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774700</wp:posOffset>
            </wp:positionH>
            <wp:positionV relativeFrom="page">
              <wp:posOffset>328930</wp:posOffset>
            </wp:positionV>
            <wp:extent cx="601154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26035"/>
                    </a:xfrm>
                    <a:prstGeom prst="rect">
                      <a:avLst/>
                    </a:prstGeom>
                    <a:noFill/>
                  </pic:spPr>
                </pic:pic>
              </a:graphicData>
            </a:graphic>
          </wp:anchor>
        </w:drawing>
        <w:t>UNITED STATES</w:t>
      </w:r>
    </w:p>
    <w:p>
      <w:pPr>
        <w:jc w:val="center"/>
        <w:ind w:right="-19"/>
        <w:spacing w:after="0" w:line="213" w:lineRule="auto"/>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line="200" w:lineRule="auto"/>
        <w:rPr>
          <w:sz w:val="20"/>
          <w:szCs w:val="20"/>
          <w:color w:val="auto"/>
        </w:rPr>
      </w:pPr>
      <w:r>
        <w:rPr>
          <w:rFonts w:ascii="Arial" w:cs="Arial" w:eastAsia="Arial" w:hAnsi="Arial"/>
          <w:sz w:val="20"/>
          <w:szCs w:val="20"/>
          <w:b w:val="1"/>
          <w:bCs w:val="1"/>
          <w:color w:val="auto"/>
        </w:rPr>
        <w:t>Washington, D.C. 20549</w:t>
      </w:r>
    </w:p>
    <w:p>
      <w:pPr>
        <w:ind w:left="3160"/>
        <w:spacing w:after="0"/>
        <w:rPr>
          <w:sz w:val="20"/>
          <w:szCs w:val="20"/>
          <w:color w:val="auto"/>
        </w:rPr>
      </w:pPr>
      <w:r>
        <w:rPr>
          <w:rFonts w:ascii="Arial" w:cs="Arial" w:eastAsia="Arial" w:hAnsi="Arial"/>
          <w:sz w:val="18"/>
          <w:szCs w:val="18"/>
          <w:b w:val="1"/>
          <w:bCs w:val="1"/>
          <w:color w:val="auto"/>
        </w:rPr>
        <w:t>___________________________________</w:t>
      </w:r>
    </w:p>
    <w:p>
      <w:pPr>
        <w:jc w:val="center"/>
        <w:ind w:right="-19"/>
        <w:spacing w:after="0"/>
        <w:rPr>
          <w:sz w:val="20"/>
          <w:szCs w:val="20"/>
          <w:color w:val="auto"/>
        </w:rPr>
      </w:pPr>
      <w:r>
        <w:rPr>
          <w:rFonts w:ascii="Arial" w:cs="Arial" w:eastAsia="Arial" w:hAnsi="Arial"/>
          <w:sz w:val="29"/>
          <w:szCs w:val="29"/>
          <w:b w:val="1"/>
          <w:bCs w:val="1"/>
          <w:color w:val="auto"/>
        </w:rPr>
        <w:t>Form 10-Q</w:t>
      </w:r>
    </w:p>
    <w:p>
      <w:pPr>
        <w:ind w:left="316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440" w:right="200" w:hanging="440"/>
        <w:spacing w:after="0" w:line="224" w:lineRule="auto"/>
        <w:tabs>
          <w:tab w:leader="none" w:pos="44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440" w:right="180" w:hanging="440"/>
        <w:spacing w:after="0" w:line="224" w:lineRule="auto"/>
        <w:tabs>
          <w:tab w:leader="none" w:pos="44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74" w:lineRule="exact"/>
        <w:rPr>
          <w:sz w:val="24"/>
          <w:szCs w:val="24"/>
          <w:color w:val="auto"/>
        </w:rPr>
      </w:pPr>
    </w:p>
    <w:p>
      <w:pPr>
        <w:ind w:left="3200"/>
        <w:spacing w:after="0"/>
        <w:tabs>
          <w:tab w:leader="none" w:pos="61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001-34899</w:t>
      </w:r>
    </w:p>
    <w:p>
      <w:pPr>
        <w:ind w:left="3160"/>
        <w:spacing w:after="0"/>
        <w:rPr>
          <w:sz w:val="20"/>
          <w:szCs w:val="20"/>
          <w:color w:val="auto"/>
        </w:rPr>
      </w:pPr>
      <w:r>
        <w:rPr>
          <w:rFonts w:ascii="Arial" w:cs="Arial" w:eastAsia="Arial" w:hAnsi="Arial"/>
          <w:sz w:val="18"/>
          <w:szCs w:val="18"/>
          <w:b w:val="1"/>
          <w:bCs w:val="1"/>
          <w:color w:val="auto"/>
        </w:rPr>
        <w:t>___________________________________</w:t>
      </w:r>
    </w:p>
    <w:p>
      <w:pPr>
        <w:jc w:val="center"/>
        <w:ind w:right="-19"/>
        <w:spacing w:after="0" w:line="225" w:lineRule="auto"/>
        <w:rPr>
          <w:sz w:val="20"/>
          <w:szCs w:val="20"/>
          <w:color w:val="auto"/>
        </w:rPr>
      </w:pPr>
      <w:r>
        <w:rPr>
          <w:rFonts w:ascii="Arial" w:cs="Arial" w:eastAsia="Arial" w:hAnsi="Arial"/>
          <w:sz w:val="40"/>
          <w:szCs w:val="40"/>
          <w:b w:val="1"/>
          <w:bCs w:val="1"/>
          <w:color w:val="auto"/>
        </w:rPr>
        <w:t>Pulse Biosciences, Inc.</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34" w:lineRule="exact"/>
        <w:rPr>
          <w:sz w:val="24"/>
          <w:szCs w:val="24"/>
          <w:color w:val="auto"/>
        </w:rPr>
      </w:pPr>
    </w:p>
    <w:tbl>
      <w:tblPr>
        <w:tblLayout w:type="fixed"/>
        <w:tblInd w:w="920" w:type="dxa"/>
        <w:tblCellMar>
          <w:top w:w="0" w:type="dxa"/>
          <w:left w:w="0" w:type="dxa"/>
          <w:bottom w:w="0" w:type="dxa"/>
          <w:right w:w="0" w:type="dxa"/>
        </w:tblCellMar>
      </w:tblPr>
      <w:tr>
        <w:trPr>
          <w:trHeight w:val="184"/>
        </w:trPr>
        <w:tc>
          <w:tcPr>
            <w:tcW w:w="5240" w:type="dxa"/>
            <w:vAlign w:val="bottom"/>
          </w:tcPr>
          <w:p>
            <w:pPr>
              <w:jc w:val="center"/>
              <w:ind w:right="2459"/>
              <w:spacing w:after="0"/>
              <w:rPr>
                <w:sz w:val="20"/>
                <w:szCs w:val="20"/>
                <w:color w:val="auto"/>
              </w:rPr>
            </w:pPr>
            <w:r>
              <w:rPr>
                <w:rFonts w:ascii="Arial" w:cs="Arial" w:eastAsia="Arial" w:hAnsi="Arial"/>
                <w:sz w:val="16"/>
                <w:szCs w:val="16"/>
                <w:b w:val="1"/>
                <w:bCs w:val="1"/>
                <w:color w:val="auto"/>
                <w:w w:val="94"/>
              </w:rPr>
              <w:t>Nevada</w:t>
            </w: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46-5696597</w:t>
            </w:r>
          </w:p>
        </w:tc>
        <w:tc>
          <w:tcPr>
            <w:tcW w:w="0" w:type="dxa"/>
            <w:vAlign w:val="bottom"/>
          </w:tcPr>
          <w:p>
            <w:pPr>
              <w:spacing w:after="0"/>
              <w:rPr>
                <w:sz w:val="1"/>
                <w:szCs w:val="1"/>
                <w:color w:val="auto"/>
              </w:rPr>
            </w:pPr>
          </w:p>
        </w:tc>
      </w:tr>
      <w:tr>
        <w:trPr>
          <w:trHeight w:val="162"/>
        </w:trPr>
        <w:tc>
          <w:tcPr>
            <w:tcW w:w="5240" w:type="dxa"/>
            <w:vAlign w:val="bottom"/>
          </w:tcPr>
          <w:p>
            <w:pPr>
              <w:jc w:val="center"/>
              <w:ind w:right="2459"/>
              <w:spacing w:after="0" w:line="162" w:lineRule="exact"/>
              <w:rPr>
                <w:sz w:val="20"/>
                <w:szCs w:val="20"/>
                <w:color w:val="auto"/>
              </w:rPr>
            </w:pPr>
            <w:r>
              <w:rPr>
                <w:rFonts w:ascii="Arial" w:cs="Arial" w:eastAsia="Arial" w:hAnsi="Arial"/>
                <w:sz w:val="16"/>
                <w:szCs w:val="16"/>
                <w:b w:val="1"/>
                <w:bCs w:val="1"/>
                <w:color w:val="auto"/>
                <w:w w:val="91"/>
              </w:rPr>
              <w:t>(State or other jurisdiction of</w:t>
            </w:r>
          </w:p>
        </w:tc>
        <w:tc>
          <w:tcPr>
            <w:tcW w:w="12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6"/>
              </w:rPr>
              <w:t>(I.R.S. Employer</w:t>
            </w:r>
          </w:p>
        </w:tc>
        <w:tc>
          <w:tcPr>
            <w:tcW w:w="0" w:type="dxa"/>
            <w:vAlign w:val="bottom"/>
          </w:tcPr>
          <w:p>
            <w:pPr>
              <w:spacing w:after="0"/>
              <w:rPr>
                <w:sz w:val="1"/>
                <w:szCs w:val="1"/>
                <w:color w:val="auto"/>
              </w:rPr>
            </w:pPr>
          </w:p>
        </w:tc>
      </w:tr>
      <w:tr>
        <w:trPr>
          <w:trHeight w:val="210"/>
        </w:trPr>
        <w:tc>
          <w:tcPr>
            <w:tcW w:w="5240" w:type="dxa"/>
            <w:vAlign w:val="bottom"/>
          </w:tcPr>
          <w:p>
            <w:pPr>
              <w:jc w:val="center"/>
              <w:ind w:right="2459"/>
              <w:spacing w:after="0"/>
              <w:rPr>
                <w:sz w:val="20"/>
                <w:szCs w:val="20"/>
                <w:color w:val="auto"/>
              </w:rPr>
            </w:pPr>
            <w:r>
              <w:rPr>
                <w:rFonts w:ascii="Arial" w:cs="Arial" w:eastAsia="Arial" w:hAnsi="Arial"/>
                <w:sz w:val="16"/>
                <w:szCs w:val="16"/>
                <w:b w:val="1"/>
                <w:bCs w:val="1"/>
                <w:color w:val="auto"/>
                <w:w w:val="91"/>
              </w:rPr>
              <w:t>incorporation or organization)</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3"/>
              </w:rPr>
              <w:t>Identification No.)</w:t>
            </w:r>
          </w:p>
        </w:tc>
        <w:tc>
          <w:tcPr>
            <w:tcW w:w="0" w:type="dxa"/>
            <w:vAlign w:val="bottom"/>
          </w:tcPr>
          <w:p>
            <w:pPr>
              <w:spacing w:after="0"/>
              <w:rPr>
                <w:sz w:val="1"/>
                <w:szCs w:val="1"/>
                <w:color w:val="auto"/>
              </w:rPr>
            </w:pPr>
          </w:p>
        </w:tc>
      </w:tr>
      <w:tr>
        <w:trPr>
          <w:trHeight w:val="289"/>
        </w:trPr>
        <w:tc>
          <w:tcPr>
            <w:tcW w:w="5240" w:type="dxa"/>
            <w:vAlign w:val="bottom"/>
          </w:tcPr>
          <w:p>
            <w:pPr>
              <w:jc w:val="center"/>
              <w:ind w:right="2459"/>
              <w:spacing w:after="0"/>
              <w:rPr>
                <w:sz w:val="20"/>
                <w:szCs w:val="20"/>
                <w:color w:val="auto"/>
              </w:rPr>
            </w:pPr>
            <w:r>
              <w:rPr>
                <w:rFonts w:ascii="Arial" w:cs="Arial" w:eastAsia="Arial" w:hAnsi="Arial"/>
                <w:sz w:val="16"/>
                <w:szCs w:val="16"/>
                <w:b w:val="1"/>
                <w:bCs w:val="1"/>
                <w:color w:val="auto"/>
                <w:w w:val="93"/>
              </w:rPr>
              <w:t>3957 Point Eden Way</w:t>
            </w:r>
          </w:p>
        </w:tc>
        <w:tc>
          <w:tcPr>
            <w:tcW w:w="128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94545</w:t>
            </w:r>
          </w:p>
        </w:tc>
        <w:tc>
          <w:tcPr>
            <w:tcW w:w="0" w:type="dxa"/>
            <w:vAlign w:val="bottom"/>
          </w:tcPr>
          <w:p>
            <w:pPr>
              <w:spacing w:after="0"/>
              <w:rPr>
                <w:sz w:val="1"/>
                <w:szCs w:val="1"/>
                <w:color w:val="auto"/>
              </w:rPr>
            </w:pPr>
          </w:p>
        </w:tc>
      </w:tr>
      <w:tr>
        <w:trPr>
          <w:trHeight w:val="162"/>
        </w:trPr>
        <w:tc>
          <w:tcPr>
            <w:tcW w:w="5240" w:type="dxa"/>
            <w:vAlign w:val="bottom"/>
          </w:tcPr>
          <w:p>
            <w:pPr>
              <w:jc w:val="center"/>
              <w:ind w:right="2459"/>
              <w:spacing w:after="0" w:line="162" w:lineRule="exact"/>
              <w:rPr>
                <w:sz w:val="20"/>
                <w:szCs w:val="20"/>
                <w:color w:val="auto"/>
              </w:rPr>
            </w:pPr>
            <w:r>
              <w:rPr>
                <w:rFonts w:ascii="Arial" w:cs="Arial" w:eastAsia="Arial" w:hAnsi="Arial"/>
                <w:sz w:val="16"/>
                <w:szCs w:val="16"/>
                <w:b w:val="1"/>
                <w:bCs w:val="1"/>
                <w:color w:val="auto"/>
                <w:w w:val="99"/>
              </w:rPr>
              <w:t>Hayward, CA</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40" w:type="dxa"/>
            <w:vAlign w:val="bottom"/>
          </w:tcPr>
          <w:p>
            <w:pPr>
              <w:jc w:val="center"/>
              <w:ind w:right="247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3"/>
              </w:rPr>
              <w:t>(Zip Code)</w:t>
            </w:r>
          </w:p>
        </w:tc>
        <w:tc>
          <w:tcPr>
            <w:tcW w:w="0" w:type="dxa"/>
            <w:vAlign w:val="bottom"/>
          </w:tcPr>
          <w:p>
            <w:pPr>
              <w:spacing w:after="0"/>
              <w:rPr>
                <w:sz w:val="1"/>
                <w:szCs w:val="1"/>
                <w:color w:val="auto"/>
              </w:rPr>
            </w:pPr>
          </w:p>
        </w:tc>
      </w:tr>
      <w:tr>
        <w:trPr>
          <w:trHeight w:val="289"/>
        </w:trPr>
        <w:tc>
          <w:tcPr>
            <w:tcW w:w="5240" w:type="dxa"/>
            <w:vAlign w:val="bottom"/>
          </w:tcPr>
          <w:p>
            <w:pPr>
              <w:jc w:val="right"/>
              <w:ind w:right="839"/>
              <w:spacing w:after="0"/>
              <w:rPr>
                <w:sz w:val="20"/>
                <w:szCs w:val="20"/>
                <w:color w:val="auto"/>
              </w:rPr>
            </w:pPr>
            <w:r>
              <w:rPr>
                <w:rFonts w:ascii="Arial" w:cs="Arial" w:eastAsia="Arial" w:hAnsi="Arial"/>
                <w:sz w:val="16"/>
                <w:szCs w:val="16"/>
                <w:b w:val="1"/>
                <w:bCs w:val="1"/>
                <w:color w:val="auto"/>
              </w:rPr>
              <w:t>(510) 906-4600</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520" w:type="dxa"/>
            <w:vAlign w:val="bottom"/>
            <w:gridSpan w:val="2"/>
          </w:tcPr>
          <w:p>
            <w:pPr>
              <w:ind w:left="1980"/>
              <w:spacing w:after="0" w:line="162" w:lineRule="exact"/>
              <w:rPr>
                <w:sz w:val="20"/>
                <w:szCs w:val="20"/>
                <w:color w:val="auto"/>
              </w:rPr>
            </w:pPr>
            <w:r>
              <w:rPr>
                <w:rFonts w:ascii="Arial" w:cs="Arial" w:eastAsia="Arial" w:hAnsi="Arial"/>
                <w:sz w:val="16"/>
                <w:szCs w:val="16"/>
                <w:b w:val="1"/>
                <w:bCs w:val="1"/>
                <w:color w:val="auto"/>
              </w:rPr>
              <w:t>(Registrant’s telephone number, including area code)</w:t>
            </w:r>
          </w:p>
        </w:tc>
        <w:tc>
          <w:tcPr>
            <w:tcW w:w="0" w:type="dxa"/>
            <w:vAlign w:val="bottom"/>
          </w:tcPr>
          <w:p>
            <w:pPr>
              <w:spacing w:after="0"/>
              <w:rPr>
                <w:sz w:val="1"/>
                <w:szCs w:val="1"/>
                <w:color w:val="auto"/>
              </w:rPr>
            </w:pPr>
          </w:p>
        </w:tc>
      </w:tr>
      <w:tr>
        <w:trPr>
          <w:trHeight w:val="210"/>
        </w:trPr>
        <w:tc>
          <w:tcPr>
            <w:tcW w:w="5240" w:type="dxa"/>
            <w:vAlign w:val="bottom"/>
          </w:tcPr>
          <w:p>
            <w:pPr>
              <w:jc w:val="right"/>
              <w:spacing w:after="0"/>
              <w:rPr>
                <w:sz w:val="20"/>
                <w:szCs w:val="20"/>
                <w:color w:val="auto"/>
              </w:rPr>
            </w:pPr>
            <w:r>
              <w:rPr>
                <w:rFonts w:ascii="Arial" w:cs="Arial" w:eastAsia="Arial" w:hAnsi="Arial"/>
                <w:sz w:val="16"/>
                <w:szCs w:val="16"/>
                <w:b w:val="1"/>
                <w:bCs w:val="1"/>
                <w:color w:val="auto"/>
              </w:rPr>
              <w:t>___________________________________</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firstLine="441"/>
        <w:spacing w:after="0" w:line="18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60" w:firstLine="441"/>
        <w:spacing w:after="0" w:line="183"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120" w:firstLine="441"/>
        <w:spacing w:after="0" w:line="22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52"/>
        </w:trPr>
        <w:tc>
          <w:tcPr>
            <w:tcW w:w="1960" w:type="dxa"/>
            <w:vAlign w:val="bottom"/>
          </w:tcPr>
          <w:p>
            <w:pPr>
              <w:spacing w:after="0" w:line="152" w:lineRule="exact"/>
              <w:rPr>
                <w:sz w:val="20"/>
                <w:szCs w:val="20"/>
                <w:color w:val="auto"/>
              </w:rPr>
            </w:pPr>
            <w:r>
              <w:rPr>
                <w:rFonts w:ascii="Arial" w:cs="Arial" w:eastAsia="Arial" w:hAnsi="Arial"/>
                <w:sz w:val="16"/>
                <w:szCs w:val="16"/>
                <w:color w:val="auto"/>
              </w:rPr>
              <w:t>Large accelerated filer</w:t>
            </w:r>
          </w:p>
        </w:tc>
        <w:tc>
          <w:tcPr>
            <w:tcW w:w="4180" w:type="dxa"/>
            <w:vAlign w:val="bottom"/>
          </w:tcPr>
          <w:p>
            <w:pPr>
              <w:ind w:left="500"/>
              <w:spacing w:after="0" w:line="153" w:lineRule="exact"/>
              <w:rPr>
                <w:sz w:val="20"/>
                <w:szCs w:val="20"/>
                <w:color w:val="auto"/>
              </w:rPr>
            </w:pPr>
            <w:r>
              <w:rPr>
                <w:rFonts w:ascii="MS PGothic" w:cs="MS PGothic" w:eastAsia="MS PGothic" w:hAnsi="MS PGothic"/>
                <w:sz w:val="16"/>
                <w:szCs w:val="16"/>
                <w:color w:val="auto"/>
              </w:rPr>
              <w:t>☐</w:t>
            </w:r>
          </w:p>
        </w:tc>
        <w:tc>
          <w:tcPr>
            <w:tcW w:w="2680" w:type="dxa"/>
            <w:vAlign w:val="bottom"/>
          </w:tcPr>
          <w:p>
            <w:pPr>
              <w:ind w:left="460"/>
              <w:spacing w:after="0" w:line="152" w:lineRule="exact"/>
              <w:rPr>
                <w:sz w:val="20"/>
                <w:szCs w:val="20"/>
                <w:color w:val="auto"/>
              </w:rPr>
            </w:pPr>
            <w:r>
              <w:rPr>
                <w:rFonts w:ascii="Arial" w:cs="Arial" w:eastAsia="Arial" w:hAnsi="Arial"/>
                <w:sz w:val="16"/>
                <w:szCs w:val="16"/>
                <w:color w:val="auto"/>
              </w:rPr>
              <w:t>Accelerated filer</w:t>
            </w:r>
          </w:p>
        </w:tc>
        <w:tc>
          <w:tcPr>
            <w:tcW w:w="600" w:type="dxa"/>
            <w:vAlign w:val="bottom"/>
          </w:tcPr>
          <w:p>
            <w:pPr>
              <w:ind w:left="440"/>
              <w:spacing w:after="0" w:line="153" w:lineRule="exact"/>
              <w:rPr>
                <w:sz w:val="20"/>
                <w:szCs w:val="20"/>
                <w:color w:val="auto"/>
              </w:rPr>
            </w:pPr>
            <w:r>
              <w:rPr>
                <w:rFonts w:ascii="MS PGothic" w:cs="MS PGothic" w:eastAsia="MS PGothic" w:hAnsi="MS PGothic"/>
                <w:sz w:val="16"/>
                <w:szCs w:val="16"/>
                <w:color w:val="auto"/>
                <w:w w:val="87"/>
              </w:rPr>
              <w:t>☒</w:t>
            </w:r>
          </w:p>
        </w:tc>
      </w:tr>
      <w:tr>
        <w:trPr>
          <w:trHeight w:val="162"/>
        </w:trPr>
        <w:tc>
          <w:tcPr>
            <w:tcW w:w="1960" w:type="dxa"/>
            <w:vAlign w:val="bottom"/>
          </w:tcPr>
          <w:p>
            <w:pPr>
              <w:spacing w:after="0" w:line="162" w:lineRule="exact"/>
              <w:rPr>
                <w:sz w:val="20"/>
                <w:szCs w:val="20"/>
                <w:color w:val="auto"/>
              </w:rPr>
            </w:pPr>
            <w:r>
              <w:rPr>
                <w:rFonts w:ascii="Arial" w:cs="Arial" w:eastAsia="Arial" w:hAnsi="Arial"/>
                <w:sz w:val="16"/>
                <w:szCs w:val="16"/>
                <w:color w:val="auto"/>
              </w:rPr>
              <w:t>Non-accelerated filer</w:t>
            </w:r>
          </w:p>
        </w:tc>
        <w:tc>
          <w:tcPr>
            <w:tcW w:w="4180" w:type="dxa"/>
            <w:vAlign w:val="bottom"/>
          </w:tcPr>
          <w:p>
            <w:pPr>
              <w:ind w:left="500"/>
              <w:spacing w:after="0" w:line="162"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2680" w:type="dxa"/>
            <w:vAlign w:val="bottom"/>
          </w:tcPr>
          <w:p>
            <w:pPr>
              <w:ind w:left="460"/>
              <w:spacing w:after="0" w:line="162" w:lineRule="exact"/>
              <w:rPr>
                <w:sz w:val="20"/>
                <w:szCs w:val="20"/>
                <w:color w:val="auto"/>
              </w:rPr>
            </w:pPr>
            <w:r>
              <w:rPr>
                <w:rFonts w:ascii="Arial" w:cs="Arial" w:eastAsia="Arial" w:hAnsi="Arial"/>
                <w:sz w:val="16"/>
                <w:szCs w:val="16"/>
                <w:color w:val="auto"/>
              </w:rPr>
              <w:t>Smaller reporting company</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96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2680" w:type="dxa"/>
            <w:vAlign w:val="bottom"/>
          </w:tcPr>
          <w:p>
            <w:pPr>
              <w:ind w:left="460"/>
              <w:spacing w:after="0"/>
              <w:rPr>
                <w:sz w:val="20"/>
                <w:szCs w:val="20"/>
                <w:color w:val="auto"/>
              </w:rPr>
            </w:pPr>
            <w:r>
              <w:rPr>
                <w:rFonts w:ascii="Arial" w:cs="Arial" w:eastAsia="Arial" w:hAnsi="Arial"/>
                <w:sz w:val="16"/>
                <w:szCs w:val="16"/>
                <w:color w:val="auto"/>
              </w:rPr>
              <w:t>Emerging growth company</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87" w:lineRule="exact"/>
        <w:rPr>
          <w:sz w:val="24"/>
          <w:szCs w:val="24"/>
          <w:color w:val="auto"/>
        </w:rPr>
      </w:pPr>
    </w:p>
    <w:p>
      <w:pPr>
        <w:ind w:right="700" w:firstLine="441"/>
        <w:spacing w:after="0" w:line="16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ind w:left="440" w:right="520"/>
        <w:spacing w:after="0" w:line="26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Number of shares outstanding of the issuer’s common stock as of May 3, 2018: 16,876,666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601154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1545" cy="260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480695</wp:posOffset>
            </wp:positionV>
            <wp:extent cx="605409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643" w:right="12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420" w:firstLine="2768"/>
        <w:spacing w:after="0" w:line="245" w:lineRule="auto"/>
        <w:rPr>
          <w:rFonts w:ascii="Arial" w:cs="Arial" w:eastAsia="Arial" w:hAnsi="Arial"/>
          <w:sz w:val="18"/>
          <w:szCs w:val="18"/>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r>
        <w:rPr>
          <w:rFonts w:ascii="Arial" w:cs="Arial" w:eastAsia="Arial" w:hAnsi="Arial"/>
          <w:sz w:val="18"/>
          <w:szCs w:val="18"/>
          <w:b w:val="1"/>
          <w:bCs w:val="1"/>
          <w:u w:val="single" w:color="auto"/>
          <w:color w:val="0000EE"/>
        </w:rPr>
        <w:t xml:space="preserve"> </w:t>
      </w:r>
      <w:hyperlink w:anchor="page3">
        <w:r>
          <w:rPr>
            <w:rFonts w:ascii="Arial" w:cs="Arial" w:eastAsia="Arial" w:hAnsi="Arial"/>
            <w:sz w:val="18"/>
            <w:szCs w:val="18"/>
            <w:u w:val="single" w:color="auto"/>
            <w:color w:val="0000EE"/>
          </w:rPr>
          <w:t>Item 1. Financial Statements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-247650</wp:posOffset>
            </wp:positionV>
            <wp:extent cx="6011545" cy="111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11545" cy="111760"/>
                    </a:xfrm>
                    <a:prstGeom prst="rect">
                      <a:avLst/>
                    </a:prstGeom>
                    <a:noFill/>
                  </pic:spPr>
                </pic:pic>
              </a:graphicData>
            </a:graphic>
          </wp:anchor>
        </w:drawing>
      </w:r>
    </w:p>
    <w:p>
      <w:pPr>
        <w:ind w:left="1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Condensed Consolidated Balance Sheets as of March 31, 2018 and December 31,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6011545"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ind w:left="180" w:right="2560"/>
        <w:spacing w:after="0" w:line="203" w:lineRule="auto"/>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and Comprehensive Loss</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for the Three-Month Periods Ended March 31, 2018 and 2017</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Condensed Consolidated Statements of Cash Flows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0</wp:posOffset>
            </wp:positionH>
            <wp:positionV relativeFrom="paragraph">
              <wp:posOffset>-102235</wp:posOffset>
            </wp:positionV>
            <wp:extent cx="6011545"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11545" cy="222885"/>
                    </a:xfrm>
                    <a:prstGeom prst="rect">
                      <a:avLst/>
                    </a:prstGeom>
                    <a:noFill/>
                  </pic:spPr>
                </pic:pic>
              </a:graphicData>
            </a:graphic>
          </wp:anchor>
        </w:drawing>
      </w:r>
    </w:p>
    <w:p>
      <w:pPr>
        <w:ind w:left="180"/>
        <w:spacing w:after="0" w:line="220"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for the Three-Month Periods Ended March 31, 2018 and 2017</w:t>
        </w:r>
      </w:hyperlink>
    </w:p>
    <w:p>
      <w:pPr>
        <w:spacing w:after="0" w:line="1" w:lineRule="exact"/>
        <w:rPr>
          <w:rFonts w:ascii="Arial" w:cs="Arial" w:eastAsia="Arial" w:hAnsi="Arial"/>
          <w:sz w:val="18"/>
          <w:szCs w:val="18"/>
          <w:u w:val="single" w:color="auto"/>
          <w:color w:val="0000EE"/>
        </w:rPr>
      </w:pPr>
    </w:p>
    <w:p>
      <w:pPr>
        <w:ind w:left="1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Notes to Condensed Consolidated Financial Statements</w:t>
        </w:r>
      </w:hyperlink>
    </w:p>
    <w:p>
      <w:pPr>
        <w:spacing w:after="0" w:line="7" w:lineRule="exact"/>
        <w:rPr>
          <w:rFonts w:ascii="Arial" w:cs="Arial" w:eastAsia="Arial" w:hAnsi="Arial"/>
          <w:sz w:val="18"/>
          <w:szCs w:val="18"/>
          <w:u w:val="single" w:color="auto"/>
          <w:color w:val="0000EE"/>
        </w:rPr>
      </w:pPr>
    </w:p>
    <w:p>
      <w:pPr>
        <w:ind w:right="1240"/>
        <w:spacing w:after="0" w:line="255" w:lineRule="auto"/>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Item 2.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19">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20">
        <w:r>
          <w:rPr>
            <w:rFonts w:ascii="Arial" w:cs="Arial" w:eastAsia="Arial" w:hAnsi="Arial"/>
            <w:sz w:val="18"/>
            <w:szCs w:val="18"/>
            <w:u w:val="single" w:color="auto"/>
            <w:color w:val="0000EE"/>
          </w:rPr>
          <w:t>Item 4. Controls and Procedures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0</wp:posOffset>
            </wp:positionH>
            <wp:positionV relativeFrom="paragraph">
              <wp:posOffset>-418465</wp:posOffset>
            </wp:positionV>
            <wp:extent cx="601154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11545"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-144145</wp:posOffset>
            </wp:positionV>
            <wp:extent cx="601154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58" w:lineRule="exact"/>
        <w:rPr>
          <w:rFonts w:ascii="Arial" w:cs="Arial" w:eastAsia="Arial" w:hAnsi="Arial"/>
          <w:sz w:val="18"/>
          <w:szCs w:val="18"/>
          <w:u w:val="single" w:color="auto"/>
          <w:color w:val="0000EE"/>
        </w:rPr>
      </w:pPr>
    </w:p>
    <w:p>
      <w:pPr>
        <w:jc w:val="right"/>
        <w:ind w:right="40"/>
        <w:spacing w:after="0"/>
        <w:rPr>
          <w:sz w:val="20"/>
          <w:szCs w:val="20"/>
          <w:color w:val="auto"/>
        </w:rPr>
      </w:pPr>
      <w:r>
        <w:rPr>
          <w:rFonts w:ascii="Arial" w:cs="Arial" w:eastAsia="Arial" w:hAnsi="Arial"/>
          <w:sz w:val="16"/>
          <w:szCs w:val="16"/>
          <w:b w:val="1"/>
          <w:bCs w:val="1"/>
          <w:color w:val="auto"/>
        </w:rPr>
        <w:t>PAGE</w:t>
      </w:r>
    </w:p>
    <w:p>
      <w:pPr>
        <w:spacing w:after="0" w:line="12" w:lineRule="exact"/>
        <w:rPr>
          <w:rFonts w:ascii="Arial" w:cs="Arial" w:eastAsia="Arial" w:hAnsi="Arial"/>
          <w:sz w:val="18"/>
          <w:szCs w:val="18"/>
          <w:u w:val="single" w:color="auto"/>
          <w:color w:val="0000EE"/>
        </w:rPr>
      </w:pPr>
    </w:p>
    <w:p>
      <w:pPr>
        <w:jc w:val="right"/>
        <w:ind w:right="40"/>
        <w:spacing w:after="0"/>
        <w:rPr>
          <w:sz w:val="20"/>
          <w:szCs w:val="20"/>
          <w:color w:val="auto"/>
        </w:rPr>
      </w:pPr>
      <w:r>
        <w:rPr>
          <w:rFonts w:ascii="Arial" w:cs="Arial" w:eastAsia="Arial" w:hAnsi="Arial"/>
          <w:sz w:val="18"/>
          <w:szCs w:val="18"/>
          <w:b w:val="1"/>
          <w:bCs w:val="1"/>
          <w:color w:val="auto"/>
        </w:rPr>
        <w:t>No.</w:t>
      </w:r>
    </w:p>
    <w:p>
      <w:pPr>
        <w:spacing w:after="0" w:line="142"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3</w:t>
      </w:r>
    </w:p>
    <w:p>
      <w:pPr>
        <w:spacing w:after="0" w:line="23"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3</w:t>
      </w:r>
    </w:p>
    <w:p>
      <w:pPr>
        <w:spacing w:after="0" w:line="62"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4</w:t>
      </w:r>
    </w:p>
    <w:p>
      <w:pPr>
        <w:spacing w:after="0" w:line="144"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5</w:t>
      </w:r>
    </w:p>
    <w:p>
      <w:pPr>
        <w:spacing w:after="0" w:line="77"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6</w:t>
      </w:r>
    </w:p>
    <w:p>
      <w:pPr>
        <w:spacing w:after="0" w:line="23" w:lineRule="exact"/>
        <w:rPr>
          <w:rFonts w:ascii="Arial" w:cs="Arial" w:eastAsia="Arial" w:hAnsi="Arial"/>
          <w:sz w:val="18"/>
          <w:szCs w:val="18"/>
          <w:u w:val="single" w:color="auto"/>
          <w:color w:val="0000EE"/>
        </w:rPr>
      </w:pPr>
    </w:p>
    <w:p>
      <w:pPr>
        <w:ind w:left="260"/>
        <w:spacing w:after="0"/>
        <w:rPr>
          <w:sz w:val="20"/>
          <w:szCs w:val="20"/>
          <w:color w:val="auto"/>
        </w:rPr>
      </w:pPr>
      <w:r>
        <w:rPr>
          <w:rFonts w:ascii="Arial" w:cs="Arial" w:eastAsia="Arial" w:hAnsi="Arial"/>
          <w:sz w:val="18"/>
          <w:szCs w:val="18"/>
          <w:color w:val="auto"/>
        </w:rPr>
        <w:t>14</w:t>
      </w:r>
    </w:p>
    <w:p>
      <w:pPr>
        <w:spacing w:after="0" w:line="9" w:lineRule="exact"/>
        <w:rPr>
          <w:rFonts w:ascii="Arial" w:cs="Arial" w:eastAsia="Arial" w:hAnsi="Arial"/>
          <w:sz w:val="18"/>
          <w:szCs w:val="18"/>
          <w:u w:val="single" w:color="auto"/>
          <w:color w:val="0000EE"/>
        </w:rPr>
      </w:pPr>
    </w:p>
    <w:p>
      <w:pPr>
        <w:ind w:left="260"/>
        <w:spacing w:after="0"/>
        <w:rPr>
          <w:sz w:val="20"/>
          <w:szCs w:val="20"/>
          <w:color w:val="auto"/>
        </w:rPr>
      </w:pPr>
      <w:r>
        <w:rPr>
          <w:rFonts w:ascii="Arial" w:cs="Arial" w:eastAsia="Arial" w:hAnsi="Arial"/>
          <w:sz w:val="18"/>
          <w:szCs w:val="18"/>
          <w:color w:val="auto"/>
        </w:rPr>
        <w:t>19</w:t>
      </w:r>
    </w:p>
    <w:p>
      <w:pPr>
        <w:spacing w:after="0" w:line="9" w:lineRule="exact"/>
        <w:rPr>
          <w:rFonts w:ascii="Arial" w:cs="Arial" w:eastAsia="Arial" w:hAnsi="Arial"/>
          <w:sz w:val="18"/>
          <w:szCs w:val="18"/>
          <w:u w:val="single" w:color="auto"/>
          <w:color w:val="0000EE"/>
        </w:rPr>
      </w:pPr>
    </w:p>
    <w:p>
      <w:pPr>
        <w:ind w:left="260"/>
        <w:spacing w:after="0"/>
        <w:rPr>
          <w:sz w:val="20"/>
          <w:szCs w:val="20"/>
          <w:color w:val="auto"/>
        </w:rPr>
      </w:pPr>
      <w:r>
        <w:rPr>
          <w:rFonts w:ascii="Arial" w:cs="Arial" w:eastAsia="Arial" w:hAnsi="Arial"/>
          <w:sz w:val="18"/>
          <w:szCs w:val="18"/>
          <w:color w:val="auto"/>
        </w:rPr>
        <w:t>20</w:t>
      </w:r>
    </w:p>
    <w:p>
      <w:pPr>
        <w:spacing w:after="0" w:line="139" w:lineRule="exact"/>
        <w:rPr>
          <w:rFonts w:ascii="Arial" w:cs="Arial" w:eastAsia="Arial" w:hAnsi="Arial"/>
          <w:sz w:val="18"/>
          <w:szCs w:val="18"/>
          <w:u w:val="single" w:color="auto"/>
          <w:color w:val="0000EE"/>
        </w:rPr>
      </w:pPr>
    </w:p>
    <w:p>
      <w:pPr>
        <w:sectPr>
          <w:pgSz w:w="11900" w:h="16838" w:orient="portrait"/>
          <w:cols w:equalWidth="0" w:num="2">
            <w:col w:w="8260" w:space="720"/>
            <w:col w:w="520"/>
          </w:cols>
          <w:pgMar w:left="1220" w:top="108" w:right="1179" w:bottom="1440" w:gutter="0" w:footer="0" w:header="0"/>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540" w:type="dxa"/>
            <w:vAlign w:val="bottom"/>
            <w:gridSpan w:val="3"/>
            <w:shd w:val="clear" w:color="auto" w:fill="CCEEFF"/>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 OTHER INFORMATION</w:t>
              </w:r>
            </w:hyperlink>
          </w:p>
        </w:tc>
        <w:tc>
          <w:tcPr>
            <w:tcW w:w="20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00" w:type="dxa"/>
            <w:vAlign w:val="bottom"/>
            <w:tcBorders>
              <w:top w:val="single" w:sz="8" w:color="CCEEFF"/>
            </w:tcBorders>
            <w:gridSpan w:val="8"/>
          </w:tcPr>
          <w:p>
            <w:pPr>
              <w:spacing w:after="0" w:line="170" w:lineRule="exact"/>
              <w:rPr>
                <w:rFonts w:ascii="Arial" w:cs="Arial" w:eastAsia="Arial" w:hAnsi="Arial"/>
                <w:sz w:val="18"/>
                <w:szCs w:val="18"/>
                <w:color w:val="0000EE"/>
              </w:rPr>
            </w:pPr>
            <w:hyperlink w:anchor="page21">
              <w:r>
                <w:rPr>
                  <w:rFonts w:ascii="Arial" w:cs="Arial" w:eastAsia="Arial" w:hAnsi="Arial"/>
                  <w:sz w:val="18"/>
                  <w:szCs w:val="18"/>
                  <w:color w:val="0000EE"/>
                </w:rPr>
                <w:t>Item 1. Legal Proceedings</w:t>
              </w:r>
            </w:hyperlink>
          </w:p>
        </w:tc>
        <w:tc>
          <w:tcPr>
            <w:tcW w:w="2760" w:type="dxa"/>
            <w:vAlign w:val="bottom"/>
            <w:tcBorders>
              <w:top w:val="single" w:sz="8" w:color="0000EE"/>
            </w:tcBorders>
            <w:gridSpan w:val="2"/>
          </w:tcPr>
          <w:p>
            <w:pPr>
              <w:spacing w:after="0"/>
              <w:rPr>
                <w:sz w:val="14"/>
                <w:szCs w:val="14"/>
                <w:color w:val="auto"/>
              </w:rPr>
            </w:pPr>
          </w:p>
        </w:tc>
        <w:tc>
          <w:tcPr>
            <w:tcW w:w="1780" w:type="dxa"/>
            <w:vAlign w:val="bottom"/>
            <w:tcBorders>
              <w:top w:val="single" w:sz="8" w:color="CCEEFF"/>
            </w:tcBorders>
          </w:tcPr>
          <w:p>
            <w:pPr>
              <w:spacing w:after="0"/>
              <w:rPr>
                <w:sz w:val="14"/>
                <w:szCs w:val="14"/>
                <w:color w:val="auto"/>
              </w:rPr>
            </w:pPr>
          </w:p>
        </w:tc>
        <w:tc>
          <w:tcPr>
            <w:tcW w:w="2000" w:type="dxa"/>
            <w:vAlign w:val="bottom"/>
            <w:tcBorders>
              <w:top w:val="single" w:sz="8" w:color="CCEEFF"/>
            </w:tcBorders>
          </w:tcPr>
          <w:p>
            <w:pPr>
              <w:jc w:val="right"/>
              <w:spacing w:after="0" w:line="170" w:lineRule="exact"/>
              <w:rPr>
                <w:sz w:val="20"/>
                <w:szCs w:val="20"/>
                <w:color w:val="auto"/>
              </w:rPr>
            </w:pPr>
            <w:r>
              <w:rPr>
                <w:rFonts w:ascii="Arial" w:cs="Arial" w:eastAsia="Arial" w:hAnsi="Arial"/>
                <w:sz w:val="18"/>
                <w:szCs w:val="18"/>
                <w:color w:val="auto"/>
              </w:rPr>
              <w:t>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1A. Risk Factors</w:t>
              </w:r>
            </w:hyperlink>
          </w:p>
        </w:tc>
        <w:tc>
          <w:tcPr>
            <w:tcW w:w="5860" w:type="dxa"/>
            <w:vAlign w:val="bottom"/>
            <w:tcBorders>
              <w:bottom w:val="single" w:sz="8" w:color="CCEEFF"/>
            </w:tcBorders>
            <w:gridSpan w:val="8"/>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40" w:type="dxa"/>
            <w:vAlign w:val="bottom"/>
            <w:gridSpan w:val="11"/>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2. Unregistered Sales of Equity Securities and Use of Proceeds</w:t>
              </w:r>
            </w:hyperlink>
          </w:p>
        </w:tc>
        <w:tc>
          <w:tcPr>
            <w:tcW w:w="2000" w:type="dxa"/>
            <w:vAlign w:val="bottom"/>
          </w:tcPr>
          <w:p>
            <w:pPr>
              <w:jc w:val="right"/>
              <w:spacing w:after="0" w:line="176" w:lineRule="exact"/>
              <w:rPr>
                <w:sz w:val="20"/>
                <w:szCs w:val="20"/>
                <w:color w:val="auto"/>
              </w:rPr>
            </w:pPr>
            <w:r>
              <w:rPr>
                <w:rFonts w:ascii="Arial" w:cs="Arial" w:eastAsia="Arial" w:hAnsi="Arial"/>
                <w:sz w:val="18"/>
                <w:szCs w:val="18"/>
                <w:color w:val="auto"/>
              </w:rPr>
              <w:t>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40" w:type="dxa"/>
            <w:vAlign w:val="bottom"/>
            <w:gridSpan w:val="11"/>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3 .Default Upon Senior Securities</w:t>
              </w:r>
            </w:hyperlink>
          </w:p>
        </w:tc>
        <w:tc>
          <w:tcPr>
            <w:tcW w:w="2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8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4. Mine Safety Disclosures</w:t>
              </w:r>
            </w:hyperlink>
          </w:p>
        </w:tc>
        <w:tc>
          <w:tcPr>
            <w:tcW w:w="4660" w:type="dxa"/>
            <w:vAlign w:val="bottom"/>
            <w:tcBorders>
              <w:top w:val="single" w:sz="8" w:color="CCEEFF"/>
            </w:tcBorders>
            <w:gridSpan w:val="4"/>
          </w:tcPr>
          <w:p>
            <w:pPr>
              <w:spacing w:after="0"/>
              <w:rPr>
                <w:sz w:val="15"/>
                <w:szCs w:val="15"/>
                <w:color w:val="auto"/>
              </w:rPr>
            </w:pPr>
          </w:p>
        </w:tc>
        <w:tc>
          <w:tcPr>
            <w:tcW w:w="20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40" w:type="dxa"/>
            <w:vAlign w:val="bottom"/>
            <w:gridSpan w:val="11"/>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5 .Other Information</w:t>
              </w:r>
            </w:hyperlink>
          </w:p>
        </w:tc>
        <w:tc>
          <w:tcPr>
            <w:tcW w:w="2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4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Item 6. Exhibits</w:t>
              </w:r>
            </w:hyperlink>
          </w:p>
        </w:tc>
        <w:tc>
          <w:tcPr>
            <w:tcW w:w="5600" w:type="dxa"/>
            <w:vAlign w:val="bottom"/>
            <w:tcBorders>
              <w:top w:val="single" w:sz="8" w:color="CCEEFF"/>
            </w:tcBorders>
            <w:gridSpan w:val="7"/>
          </w:tcPr>
          <w:p>
            <w:pPr>
              <w:spacing w:after="0"/>
              <w:rPr>
                <w:sz w:val="15"/>
                <w:szCs w:val="15"/>
                <w:color w:val="auto"/>
              </w:rPr>
            </w:pPr>
          </w:p>
        </w:tc>
        <w:tc>
          <w:tcPr>
            <w:tcW w:w="20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40" w:type="dxa"/>
            <w:vAlign w:val="bottom"/>
            <w:gridSpan w:val="11"/>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Signatures</w:t>
              </w:r>
            </w:hyperlink>
          </w:p>
        </w:tc>
        <w:tc>
          <w:tcPr>
            <w:tcW w:w="2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4140" w:type="dxa"/>
            <w:vAlign w:val="bottom"/>
            <w:tcBorders>
              <w:top w:val="single" w:sz="8" w:color="CCEEFF"/>
            </w:tcBorders>
            <w:gridSpan w:val="8"/>
          </w:tcPr>
          <w:p>
            <w:pPr>
              <w:jc w:val="right"/>
              <w:ind w:right="30"/>
              <w:spacing w:after="0"/>
              <w:rPr>
                <w:sz w:val="20"/>
                <w:szCs w:val="20"/>
                <w:color w:val="auto"/>
              </w:rPr>
            </w:pPr>
            <w:r>
              <w:rPr>
                <w:rFonts w:ascii="Arial" w:cs="Arial" w:eastAsia="Arial" w:hAnsi="Arial"/>
                <w:sz w:val="18"/>
                <w:szCs w:val="18"/>
                <w:color w:val="auto"/>
              </w:rPr>
              <w:t>2</w:t>
            </w:r>
          </w:p>
        </w:tc>
        <w:tc>
          <w:tcPr>
            <w:tcW w:w="78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20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20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780" w:type="dxa"/>
            <w:vAlign w:val="bottom"/>
            <w:tcBorders>
              <w:bottom w:val="single" w:sz="8" w:color="EEEEEE"/>
            </w:tcBorders>
          </w:tcPr>
          <w:p>
            <w:pPr>
              <w:spacing w:after="0" w:line="20" w:lineRule="exact"/>
              <w:rPr>
                <w:sz w:val="1"/>
                <w:szCs w:val="1"/>
                <w:color w:val="auto"/>
              </w:rPr>
            </w:pPr>
          </w:p>
        </w:tc>
        <w:tc>
          <w:tcPr>
            <w:tcW w:w="20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-38100</wp:posOffset>
            </wp:positionV>
            <wp:extent cx="3429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00"/>
          </w:cols>
          <w:pgMar w:left="1220" w:top="108" w:right="117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4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PULSE BIOSCIENCES, INC.</w:t>
      </w:r>
    </w:p>
    <w:p>
      <w:pPr>
        <w:spacing w:after="0" w:line="13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5"/>
                <w:szCs w:val="15"/>
                <w:color w:val="auto"/>
              </w:rPr>
            </w:pPr>
          </w:p>
        </w:tc>
        <w:tc>
          <w:tcPr>
            <w:tcW w:w="1080" w:type="dxa"/>
            <w:vAlign w:val="bottom"/>
          </w:tcPr>
          <w:p>
            <w:pPr>
              <w:jc w:val="right"/>
              <w:ind w:right="11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8"/>
        </w:trPr>
        <w:tc>
          <w:tcPr>
            <w:tcW w:w="68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(in thousands except par value amounts)</w:t>
            </w:r>
          </w:p>
        </w:tc>
        <w:tc>
          <w:tcPr>
            <w:tcW w:w="200" w:type="dxa"/>
            <w:vAlign w:val="bottom"/>
          </w:tcPr>
          <w:p>
            <w:pPr>
              <w:spacing w:after="0"/>
              <w:rPr>
                <w:sz w:val="15"/>
                <w:szCs w:val="15"/>
                <w:color w:val="auto"/>
              </w:rPr>
            </w:pPr>
          </w:p>
        </w:tc>
        <w:tc>
          <w:tcPr>
            <w:tcW w:w="1040" w:type="dxa"/>
            <w:vAlign w:val="bottom"/>
          </w:tcPr>
          <w:p>
            <w:pPr>
              <w:jc w:val="right"/>
              <w:ind w:right="391"/>
              <w:spacing w:after="0" w:line="158"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371"/>
              <w:spacing w:after="0" w:line="158"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8"/>
                <w:szCs w:val="18"/>
                <w:b w:val="1"/>
                <w:bCs w:val="1"/>
                <w:color w:val="auto"/>
              </w:rPr>
              <w:t>ASSETS</w:t>
            </w:r>
          </w:p>
        </w:tc>
        <w:tc>
          <w:tcPr>
            <w:tcW w:w="43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20" w:type="dxa"/>
            <w:vAlign w:val="bottom"/>
            <w:gridSpan w:val="2"/>
          </w:tcPr>
          <w:p>
            <w:pPr>
              <w:spacing w:after="0" w:line="176"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16"/>
        </w:trPr>
        <w:tc>
          <w:tcPr>
            <w:tcW w:w="684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16"/>
        </w:trPr>
        <w:tc>
          <w:tcPr>
            <w:tcW w:w="6840" w:type="dxa"/>
            <w:vAlign w:val="bottom"/>
            <w:gridSpan w:val="3"/>
          </w:tcPr>
          <w:p>
            <w:pPr>
              <w:spacing w:after="0"/>
              <w:rPr>
                <w:sz w:val="20"/>
                <w:szCs w:val="20"/>
                <w:color w:val="auto"/>
              </w:rPr>
            </w:pPr>
            <w:r>
              <w:rPr>
                <w:rFonts w:ascii="Arial" w:cs="Arial" w:eastAsia="Arial" w:hAnsi="Arial"/>
                <w:sz w:val="18"/>
                <w:szCs w:val="18"/>
                <w:color w:val="auto"/>
              </w:rPr>
              <w:t>Other asset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tcBorders>
              <w:top w:val="single" w:sz="8" w:color="CCEEFF"/>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49,821</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20" w:type="dxa"/>
            <w:vAlign w:val="bottom"/>
            <w:gridSpan w:val="2"/>
          </w:tcPr>
          <w:p>
            <w:pPr>
              <w:spacing w:after="0" w:line="176" w:lineRule="exact"/>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rent, current</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4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840" w:type="dxa"/>
            <w:vAlign w:val="bottom"/>
            <w:gridSpan w:val="3"/>
          </w:tcPr>
          <w:p>
            <w:pPr>
              <w:spacing w:after="0"/>
              <w:rPr>
                <w:sz w:val="20"/>
                <w:szCs w:val="20"/>
                <w:color w:val="auto"/>
              </w:rPr>
            </w:pPr>
            <w:r>
              <w:rPr>
                <w:rFonts w:ascii="Arial" w:cs="Arial" w:eastAsia="Arial" w:hAnsi="Arial"/>
                <w:sz w:val="18"/>
                <w:szCs w:val="18"/>
                <w:color w:val="auto"/>
              </w:rPr>
              <w:t>Deferred rent, less current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4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Commitments and contingencies (Note 10)</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gridSpan w:val="2"/>
          </w:tcPr>
          <w:p>
            <w:pPr>
              <w:ind w:left="200"/>
              <w:spacing w:after="0" w:line="149" w:lineRule="exact"/>
              <w:rPr>
                <w:sz w:val="20"/>
                <w:szCs w:val="20"/>
                <w:color w:val="auto"/>
              </w:rPr>
            </w:pPr>
            <w:r>
              <w:rPr>
                <w:rFonts w:ascii="Arial" w:cs="Arial" w:eastAsia="Arial" w:hAnsi="Arial"/>
                <w:sz w:val="17"/>
                <w:szCs w:val="17"/>
                <w:color w:val="auto"/>
              </w:rPr>
              <w:t>Preferred stock, $0.001 par value;</w:t>
            </w:r>
          </w:p>
        </w:tc>
        <w:tc>
          <w:tcPr>
            <w:tcW w:w="200" w:type="dxa"/>
            <w:vAlign w:val="bottom"/>
          </w:tcPr>
          <w:p>
            <w:pPr>
              <w:spacing w:after="0"/>
              <w:rPr>
                <w:sz w:val="12"/>
                <w:szCs w:val="12"/>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authorized – 5,000 shares; no shares issued and outstanding</w:t>
            </w:r>
          </w:p>
        </w:tc>
        <w:tc>
          <w:tcPr>
            <w:tcW w:w="2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7"/>
                <w:szCs w:val="17"/>
                <w:color w:val="auto"/>
              </w:rPr>
              <w:t>Common stock, $0.001 par value:</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w w:val="91"/>
              </w:rPr>
              <w:t>authorized – 45,000 shares; issued and outstanding – 16,870 shares and 16,819 shares at</w:t>
            </w: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March 31, 2018 and December 31, 2017, respectively</w:t>
            </w:r>
          </w:p>
        </w:tc>
        <w:tc>
          <w:tcPr>
            <w:tcW w:w="2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87,922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(46,841)</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(38,173)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44,798</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49,821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5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PULSE BIOSCIENCES, INC.</w:t>
      </w:r>
    </w:p>
    <w:p>
      <w:pPr>
        <w:spacing w:after="0" w:line="133"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ind w:left="46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Three-Month Periods Ended</w:t>
            </w:r>
          </w:p>
        </w:tc>
      </w:tr>
      <w:tr>
        <w:trPr>
          <w:trHeight w:val="171"/>
        </w:trPr>
        <w:tc>
          <w:tcPr>
            <w:tcW w:w="25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4"/>
                <w:szCs w:val="14"/>
                <w:color w:val="auto"/>
              </w:rPr>
            </w:pPr>
          </w:p>
        </w:tc>
      </w:tr>
      <w:tr>
        <w:trPr>
          <w:trHeight w:val="176"/>
        </w:trPr>
        <w:tc>
          <w:tcPr>
            <w:tcW w:w="25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(in thousands, except per share amounts)</w:t>
            </w:r>
          </w:p>
        </w:tc>
        <w:tc>
          <w:tcPr>
            <w:tcW w:w="4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371"/>
              <w:spacing w:after="0" w:line="155" w:lineRule="exact"/>
              <w:rPr>
                <w:sz w:val="20"/>
                <w:szCs w:val="20"/>
                <w:color w:val="auto"/>
              </w:rPr>
            </w:pPr>
            <w:r>
              <w:rPr>
                <w:rFonts w:ascii="Arial" w:cs="Arial" w:eastAsia="Arial" w:hAnsi="Arial"/>
                <w:sz w:val="14"/>
                <w:szCs w:val="14"/>
                <w:b w:val="1"/>
                <w:bCs w:val="1"/>
                <w:color w:val="auto"/>
              </w:rPr>
              <w:t>2017</w:t>
            </w:r>
          </w:p>
        </w:tc>
      </w:tr>
      <w:tr>
        <w:trPr>
          <w:trHeight w:val="163"/>
        </w:trPr>
        <w:tc>
          <w:tcPr>
            <w:tcW w:w="684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bottom w:val="single" w:sz="8" w:color="auto"/>
            </w:tcBorders>
            <w:shd w:val="clear" w:color="auto" w:fill="CCEEFF"/>
          </w:tcPr>
          <w:p>
            <w:pPr>
              <w:jc w:val="right"/>
              <w:ind w:right="70"/>
              <w:spacing w:after="0" w:line="16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170"/>
              <w:spacing w:after="0" w:line="16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r>
      <w:tr>
        <w:trPr>
          <w:trHeight w:val="169"/>
        </w:trPr>
        <w:tc>
          <w:tcPr>
            <w:tcW w:w="6840" w:type="dxa"/>
            <w:vAlign w:val="bottom"/>
            <w:gridSpan w:val="2"/>
          </w:tcPr>
          <w:p>
            <w:pPr>
              <w:spacing w:after="0" w:line="170"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6"/>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r>
      <w:tr>
        <w:trPr>
          <w:trHeight w:val="216"/>
        </w:trPr>
        <w:tc>
          <w:tcPr>
            <w:tcW w:w="684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1,727</w:t>
            </w:r>
          </w:p>
        </w:tc>
      </w:tr>
      <w:tr>
        <w:trPr>
          <w:trHeight w:val="216"/>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10"/>
        </w:trPr>
        <w:tc>
          <w:tcPr>
            <w:tcW w:w="6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8,724</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w:t>
            </w:r>
          </w:p>
        </w:tc>
      </w:tr>
      <w:tr>
        <w:trPr>
          <w:trHeight w:val="169"/>
        </w:trPr>
        <w:tc>
          <w:tcPr>
            <w:tcW w:w="68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16"/>
        </w:trPr>
        <w:tc>
          <w:tcPr>
            <w:tcW w:w="68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1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7"/>
        </w:trPr>
        <w:tc>
          <w:tcPr>
            <w:tcW w:w="6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(8,668)</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w:t>
            </w:r>
          </w:p>
        </w:tc>
      </w:tr>
      <w:tr>
        <w:trPr>
          <w:trHeight w:val="176"/>
        </w:trPr>
        <w:tc>
          <w:tcPr>
            <w:tcW w:w="6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Other comprehensive loss: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6"/>
        </w:trPr>
        <w:tc>
          <w:tcPr>
            <w:tcW w:w="68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Unrealized gain (loss) on available-for-sale securities, net of tax</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r>
      <w:tr>
        <w:trPr>
          <w:trHeight w:val="163"/>
        </w:trPr>
        <w:tc>
          <w:tcPr>
            <w:tcW w:w="6840" w:type="dxa"/>
            <w:vAlign w:val="bottom"/>
            <w:gridSpan w:val="2"/>
          </w:tcPr>
          <w:p>
            <w:pPr>
              <w:spacing w:after="0" w:line="163" w:lineRule="exact"/>
              <w:rPr>
                <w:sz w:val="20"/>
                <w:szCs w:val="20"/>
                <w:color w:val="auto"/>
              </w:rPr>
            </w:pPr>
            <w:r>
              <w:rPr>
                <w:rFonts w:ascii="Arial" w:cs="Arial" w:eastAsia="Arial" w:hAnsi="Arial"/>
                <w:sz w:val="18"/>
                <w:szCs w:val="18"/>
                <w:color w:val="auto"/>
              </w:rPr>
              <w:t>Net loss per share:</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3"/>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r>
      <w:tr>
        <w:trPr>
          <w:trHeight w:val="223"/>
        </w:trPr>
        <w:tc>
          <w:tcPr>
            <w:tcW w:w="68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w w:val="93"/>
              </w:rPr>
              <w:t>Weighted average shares used to compute net loss per common share — basic and diluted</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16,842</w:t>
            </w:r>
          </w:p>
        </w:tc>
        <w:tc>
          <w:tcPr>
            <w:tcW w:w="140" w:type="dxa"/>
            <w:vAlign w:val="bottom"/>
            <w:tcBorders>
              <w:top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13,803</w:t>
            </w:r>
          </w:p>
        </w:tc>
      </w:tr>
    </w:tbl>
    <w:p>
      <w:pPr>
        <w:spacing w:after="0" w:line="14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PULSE BIOSCIENCES, INC.</w:t>
      </w:r>
    </w:p>
    <w:p>
      <w:pPr>
        <w:spacing w:after="0" w:line="133"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Three-Month Periods Ended</w:t>
            </w:r>
          </w:p>
        </w:tc>
      </w:tr>
      <w:tr>
        <w:trPr>
          <w:trHeight w:val="188"/>
        </w:trPr>
        <w:tc>
          <w:tcPr>
            <w:tcW w:w="88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r>
      <w:tr>
        <w:trPr>
          <w:trHeight w:val="189"/>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5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371"/>
              <w:spacing w:after="0"/>
              <w:rPr>
                <w:sz w:val="20"/>
                <w:szCs w:val="20"/>
                <w:color w:val="auto"/>
              </w:rPr>
            </w:pPr>
            <w:r>
              <w:rPr>
                <w:rFonts w:ascii="Arial" w:cs="Arial" w:eastAsia="Arial" w:hAnsi="Arial"/>
                <w:sz w:val="14"/>
                <w:szCs w:val="14"/>
                <w:b w:val="1"/>
                <w:bCs w:val="1"/>
                <w:color w:val="auto"/>
              </w:rPr>
              <w:t>2017</w:t>
            </w:r>
          </w:p>
        </w:tc>
      </w:tr>
      <w:tr>
        <w:trPr>
          <w:trHeight w:val="203"/>
        </w:trPr>
        <w:tc>
          <w:tcPr>
            <w:tcW w:w="6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(8,668)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(3,198)</w:t>
            </w:r>
          </w:p>
        </w:tc>
      </w:tr>
      <w:tr>
        <w:trPr>
          <w:trHeight w:val="23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840" w:type="dxa"/>
            <w:vAlign w:val="bottom"/>
            <w:gridSpan w:val="2"/>
          </w:tcPr>
          <w:p>
            <w:pPr>
              <w:ind w:left="22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6840" w:type="dxa"/>
            <w:vAlign w:val="bottom"/>
            <w:gridSpan w:val="2"/>
          </w:tcPr>
          <w:p>
            <w:pPr>
              <w:ind w:left="22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3,420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premium amortization on investments</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840" w:type="dxa"/>
            <w:vAlign w:val="bottom"/>
            <w:gridSpan w:val="2"/>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840" w:type="dxa"/>
            <w:vAlign w:val="bottom"/>
            <w:gridSpan w:val="2"/>
          </w:tcPr>
          <w:p>
            <w:pPr>
              <w:ind w:left="4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30"/>
        </w:trPr>
        <w:tc>
          <w:tcPr>
            <w:tcW w:w="6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30"/>
        </w:trPr>
        <w:tc>
          <w:tcPr>
            <w:tcW w:w="6840" w:type="dxa"/>
            <w:vAlign w:val="bottom"/>
            <w:gridSpan w:val="2"/>
          </w:tcPr>
          <w:p>
            <w:pPr>
              <w:ind w:left="440"/>
              <w:spacing w:after="0"/>
              <w:rPr>
                <w:sz w:val="20"/>
                <w:szCs w:val="20"/>
                <w:color w:val="auto"/>
              </w:rPr>
            </w:pPr>
            <w:r>
              <w:rPr>
                <w:rFonts w:ascii="Arial" w:cs="Arial" w:eastAsia="Arial" w:hAnsi="Arial"/>
                <w:sz w:val="18"/>
                <w:szCs w:val="18"/>
                <w:color w:val="auto"/>
              </w:rPr>
              <w:t>Deferred rent</w:t>
            </w: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840" w:type="dxa"/>
            <w:vAlign w:val="bottom"/>
            <w:tcBorders>
              <w:top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(5,018)</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w:t>
            </w:r>
          </w:p>
        </w:tc>
      </w:tr>
      <w:tr>
        <w:trPr>
          <w:trHeight w:val="210"/>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Purchases of investments</w:t>
            </w: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(19,157)</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(7,610)</w:t>
            </w:r>
          </w:p>
        </w:tc>
      </w:tr>
      <w:tr>
        <w:trPr>
          <w:trHeight w:val="23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Maturities of investments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r>
      <w:tr>
        <w:trPr>
          <w:trHeight w:val="230"/>
        </w:trPr>
        <w:tc>
          <w:tcPr>
            <w:tcW w:w="6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Sales of investments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11,999</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w:t>
            </w:r>
          </w:p>
        </w:tc>
      </w:tr>
      <w:tr>
        <w:trPr>
          <w:trHeight w:val="210"/>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common stock under employee stock plan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Proceeds from issuance of common stock</w:t>
            </w:r>
          </w:p>
        </w:tc>
        <w:tc>
          <w:tcPr>
            <w:tcW w:w="2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4,965</w:t>
            </w:r>
          </w:p>
        </w:tc>
      </w:tr>
      <w:tr>
        <w:trPr>
          <w:trHeight w:val="23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exercises of stock options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684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4,971</w:t>
            </w:r>
          </w:p>
        </w:tc>
      </w:tr>
      <w:tr>
        <w:trPr>
          <w:trHeight w:val="210"/>
        </w:trPr>
        <w:tc>
          <w:tcPr>
            <w:tcW w:w="6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increase in cash</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7,281</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210"/>
        </w:trPr>
        <w:tc>
          <w:tcPr>
            <w:tcW w:w="6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w:t>
            </w:r>
          </w:p>
        </w:tc>
      </w:tr>
      <w:tr>
        <w:trPr>
          <w:trHeight w:val="217"/>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10,667</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r>
      <w:tr>
        <w:trPr>
          <w:trHeight w:val="216"/>
        </w:trPr>
        <w:tc>
          <w:tcPr>
            <w:tcW w:w="88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6840" w:type="dxa"/>
            <w:vAlign w:val="bottom"/>
            <w:gridSpan w:val="2"/>
          </w:tcPr>
          <w:p>
            <w:pPr>
              <w:ind w:left="440"/>
              <w:spacing w:after="0"/>
              <w:rPr>
                <w:sz w:val="20"/>
                <w:szCs w:val="20"/>
                <w:color w:val="auto"/>
              </w:rPr>
            </w:pPr>
            <w:r>
              <w:rPr>
                <w:rFonts w:ascii="Arial" w:cs="Arial" w:eastAsia="Arial" w:hAnsi="Arial"/>
                <w:sz w:val="18"/>
                <w:szCs w:val="18"/>
                <w:color w:val="auto"/>
              </w:rPr>
              <w:t>Change in unrealized gains (losses) on available-for-sale securities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PULSE BIOSCIENCES, INC.</w:t>
      </w:r>
    </w:p>
    <w:p>
      <w:pPr>
        <w:jc w:val="center"/>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8" w:lineRule="exact"/>
        <w:rPr>
          <w:sz w:val="20"/>
          <w:szCs w:val="20"/>
          <w:color w:val="auto"/>
        </w:rPr>
      </w:pPr>
    </w:p>
    <w:p>
      <w:pPr>
        <w:jc w:val="both"/>
        <w:ind w:right="260" w:firstLine="405"/>
        <w:spacing w:after="0" w:line="289" w:lineRule="auto"/>
        <w:rPr>
          <w:sz w:val="20"/>
          <w:szCs w:val="20"/>
          <w:color w:val="auto"/>
        </w:rPr>
      </w:pPr>
      <w:r>
        <w:rPr>
          <w:rFonts w:ascii="Arial" w:cs="Arial" w:eastAsia="Arial" w:hAnsi="Arial"/>
          <w:sz w:val="16"/>
          <w:szCs w:val="16"/>
          <w:color w:val="auto"/>
        </w:rPr>
        <w:t>In this Quarterly Report on Form 10-Q, references to “Pulse,” “Pulse Biosciences,” “we,” “us,” “our” and the “Company” refer to Pulse Biosciences, Inc. and its wholly-owned subsidiaries, unless expressly indicated or the context otherwise requires.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48" w:lineRule="exact"/>
        <w:rPr>
          <w:sz w:val="20"/>
          <w:szCs w:val="20"/>
          <w:color w:val="auto"/>
        </w:rPr>
      </w:pPr>
    </w:p>
    <w:p>
      <w:pPr>
        <w:ind w:firstLine="441"/>
        <w:spacing w:after="0" w:line="223" w:lineRule="auto"/>
        <w:rPr>
          <w:sz w:val="20"/>
          <w:szCs w:val="20"/>
          <w:color w:val="auto"/>
        </w:rPr>
      </w:pPr>
      <w:r>
        <w:rPr>
          <w:rFonts w:ascii="Arial" w:cs="Arial" w:eastAsia="Arial" w:hAnsi="Arial"/>
          <w:sz w:val="17"/>
          <w:szCs w:val="17"/>
          <w:color w:val="auto"/>
        </w:rPr>
        <w:t>Pulse Biosciences, Inc., incorporated in Nevada on May 19, 2014 under the name Electroblate, Inc. Electroblate, Inc. changed its name to Pulse Biosciences, Inc. effective December 8, 2015. The Company is a clinical-stage electroceutical, an electrical energy based therapeutic medical company pursuing commercial applications for its proprietary Nano-Pulse Stimulation (“NPS”) technology. NPS is a novel patented technology that leverages nano-second duration energy pulses that have demonstrated effective local tumor control and the initiation of an adaptive immune response in pre-clinical studies. The Company is pursuing a number of potential clinical applications for NPS, including oncology, dermatology, aesthetics and other minimally invasive applications where the Company believes NPS may provide greater benefits compared to current therapies and treatments. The Company’s headquarters and research facility are located in Hayward, California.</w:t>
      </w:r>
    </w:p>
    <w:p>
      <w:pPr>
        <w:spacing w:after="0" w:line="141" w:lineRule="exact"/>
        <w:rPr>
          <w:sz w:val="20"/>
          <w:szCs w:val="20"/>
          <w:color w:val="auto"/>
        </w:rPr>
      </w:pPr>
    </w:p>
    <w:p>
      <w:pPr>
        <w:ind w:right="40" w:firstLine="441"/>
        <w:spacing w:after="0" w:line="232" w:lineRule="auto"/>
        <w:rPr>
          <w:sz w:val="20"/>
          <w:szCs w:val="20"/>
          <w:color w:val="auto"/>
        </w:rPr>
      </w:pPr>
      <w:r>
        <w:rPr>
          <w:rFonts w:ascii="Arial" w:cs="Arial" w:eastAsia="Arial" w:hAnsi="Arial"/>
          <w:sz w:val="17"/>
          <w:szCs w:val="17"/>
          <w:color w:val="auto"/>
        </w:rPr>
        <w:t>The Company’s activities are subject to significant risks and uncertainties, including the need for additional capital. The Company has not yet commenced any revenue-generating operations, does not have any cash flows from operations, and will need to raise additional capital to finance its operations. However, there can be no assurances that the Company will be able to obtain additional financing on acceptable terms and in the amounts necessary to fully fund its operating requirements.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4" w:lineRule="exact"/>
        <w:rPr>
          <w:sz w:val="20"/>
          <w:szCs w:val="20"/>
          <w:color w:val="auto"/>
        </w:rPr>
      </w:pPr>
    </w:p>
    <w:p>
      <w:pPr>
        <w:ind w:right="60" w:firstLine="441"/>
        <w:spacing w:after="0" w:line="234" w:lineRule="auto"/>
        <w:rPr>
          <w:sz w:val="20"/>
          <w:szCs w:val="20"/>
          <w:color w:val="auto"/>
        </w:rPr>
      </w:pPr>
      <w:r>
        <w:rPr>
          <w:rFonts w:ascii="Arial" w:cs="Arial" w:eastAsia="Arial" w:hAnsi="Arial"/>
          <w:sz w:val="16"/>
          <w:szCs w:val="16"/>
          <w:color w:val="auto"/>
        </w:rPr>
        <w:t>In the opinion of the Company’s management, the accompanying unaudited condensed consolidated financial statements (“Financial Statements”) have been prepared on a consistent basis with the Company’s December 31, 2017 audited Consolidated Financial Statements and include all adjustments, consisting of only normal recurring adjustments, necessary to fairly state the information set forth herein. The Financial Statements have been prepared in accordance with the applicable rules and regulations of the Securities and Exchange Commission and, as permitted by such rules and regulations, omit certain information and footnote disclosures necessary to present the financial statements in accordance with accounting principles generally accepted in the United States (“U.S. GAAP”). The condensed consolidated balance sheet as of December 31, 2017 was derived from the audited consolidated financial statements as of that date, but does not include all of the information and footnotes required by U.S. GAAP for complete financial statements. These Financial Statements should be read in conjunction with the audited consolidated financial statements and notes thereto for the year ended December 31, 2017 included in the Company’s Annual Report on Form 10-K, filed on March 16, 2018. The results of operations for the three-month period ended March 31, 2018 are not necessarily indicative of the results to be expected for the entire year or any future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ind w:right="40" w:firstLine="441"/>
        <w:spacing w:after="0" w:line="226" w:lineRule="auto"/>
        <w:rPr>
          <w:sz w:val="20"/>
          <w:szCs w:val="20"/>
          <w:color w:val="auto"/>
        </w:rPr>
      </w:pPr>
      <w:r>
        <w:rPr>
          <w:rFonts w:ascii="Arial" w:cs="Arial" w:eastAsia="Arial" w:hAnsi="Arial"/>
          <w:sz w:val="17"/>
          <w:szCs w:val="17"/>
          <w:color w:val="auto"/>
        </w:rPr>
        <w:t>The preparation of financial statements in conformity with U.S. GAAP requires the Company to make estimates and assumptions that affect the amounts reported in the Financial Statements and accompanying notes to the Financial Statements. Estimates include, but are not limited to, the valuation of cash equivalents and investments, the valuation and recognition of share-based compensation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There have been no material changes to the Company’s significant accounting policies during the three-month period</w:t>
      </w:r>
    </w:p>
    <w:p>
      <w:pPr>
        <w:spacing w:after="0" w:line="229" w:lineRule="auto"/>
        <w:rPr>
          <w:sz w:val="20"/>
          <w:szCs w:val="20"/>
          <w:color w:val="auto"/>
        </w:rPr>
      </w:pPr>
      <w:r>
        <w:rPr>
          <w:rFonts w:ascii="Arial" w:cs="Arial" w:eastAsia="Arial" w:hAnsi="Arial"/>
          <w:sz w:val="16"/>
          <w:szCs w:val="16"/>
          <w:color w:val="auto"/>
        </w:rPr>
        <w:t>ended March 31, 2018, as compared to the significant accounting policies described in the Company’s Annual Report on Form 10-</w:t>
      </w:r>
    </w:p>
    <w:p>
      <w:pPr>
        <w:spacing w:after="0"/>
        <w:rPr>
          <w:sz w:val="20"/>
          <w:szCs w:val="20"/>
          <w:color w:val="auto"/>
        </w:rPr>
      </w:pPr>
      <w:r>
        <w:rPr>
          <w:rFonts w:ascii="Arial" w:cs="Arial" w:eastAsia="Arial" w:hAnsi="Arial"/>
          <w:sz w:val="18"/>
          <w:szCs w:val="18"/>
          <w:color w:val="auto"/>
        </w:rPr>
        <w:t>K for the year ended December 31, 2017.</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8" w:lineRule="exact"/>
        <w:rPr>
          <w:sz w:val="20"/>
          <w:szCs w:val="20"/>
          <w:color w:val="auto"/>
        </w:rPr>
      </w:pPr>
    </w:p>
    <w:p>
      <w:pPr>
        <w:ind w:right="660" w:firstLine="441"/>
        <w:spacing w:after="0" w:line="258" w:lineRule="auto"/>
        <w:rPr>
          <w:sz w:val="20"/>
          <w:szCs w:val="20"/>
          <w:color w:val="auto"/>
        </w:rPr>
      </w:pPr>
      <w:r>
        <w:rPr>
          <w:rFonts w:ascii="Arial" w:cs="Arial" w:eastAsia="Arial" w:hAnsi="Arial"/>
          <w:sz w:val="17"/>
          <w:szCs w:val="17"/>
          <w:color w:val="auto"/>
        </w:rPr>
        <w:t>The accompanying consolidated financial statements include the financial statements of Pulse and its wholly-owned subsidiaries. Intercompany balances and transactions, if any, have been eliminated in consolidation.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44" w:lineRule="exact"/>
        <w:rPr>
          <w:sz w:val="20"/>
          <w:szCs w:val="20"/>
          <w:color w:val="auto"/>
        </w:rPr>
      </w:pPr>
    </w:p>
    <w:p>
      <w:pPr>
        <w:ind w:right="60" w:firstLine="441"/>
        <w:spacing w:after="0" w:line="244" w:lineRule="auto"/>
        <w:rPr>
          <w:sz w:val="20"/>
          <w:szCs w:val="20"/>
          <w:color w:val="auto"/>
        </w:rPr>
      </w:pPr>
      <w:r>
        <w:rPr>
          <w:rFonts w:ascii="Arial" w:cs="Arial" w:eastAsia="Arial" w:hAnsi="Arial"/>
          <w:sz w:val="16"/>
          <w:szCs w:val="16"/>
          <w:color w:val="auto"/>
        </w:rPr>
        <w:t>The Company’s basic net loss per share is calculated by dividing the net loss by the weighted average number of shares of common stock outstanding for the period. Diluted net loss per share is computed by giving effect to all potential dilutive common stock equivalents outstanding for the period. For purposes of this calculation, options to purchase common stock and common stock warrants are considered common stock equivalents. Potential common shares that have an anti-dilutive effect (i.e., those that increase income per share or decrease loss per share) are excluded from the calculation of diluted net loss per share.</w:t>
      </w:r>
    </w:p>
    <w:p>
      <w:pPr>
        <w:spacing w:after="0" w:line="132" w:lineRule="exact"/>
        <w:rPr>
          <w:sz w:val="20"/>
          <w:szCs w:val="20"/>
          <w:color w:val="auto"/>
        </w:rPr>
      </w:pPr>
    </w:p>
    <w:p>
      <w:pPr>
        <w:ind w:right="320" w:firstLine="441"/>
        <w:spacing w:after="0" w:line="235" w:lineRule="auto"/>
        <w:rPr>
          <w:sz w:val="20"/>
          <w:szCs w:val="20"/>
          <w:color w:val="auto"/>
        </w:rPr>
      </w:pPr>
      <w:r>
        <w:rPr>
          <w:rFonts w:ascii="Arial" w:cs="Arial" w:eastAsia="Arial" w:hAnsi="Arial"/>
          <w:sz w:val="18"/>
          <w:szCs w:val="18"/>
          <w:color w:val="auto"/>
        </w:rPr>
        <w:t>Basic and diluted net loss per common share is the same for all periods presented because all warrants, stock options and restricted stock units outstanding are anti-dilutive.</w:t>
      </w:r>
    </w:p>
    <w:p>
      <w:pPr>
        <w:spacing w:after="0" w:line="121" w:lineRule="exact"/>
        <w:rPr>
          <w:sz w:val="20"/>
          <w:szCs w:val="20"/>
          <w:color w:val="auto"/>
        </w:rPr>
      </w:pPr>
    </w:p>
    <w:p>
      <w:pPr>
        <w:ind w:right="120" w:firstLine="441"/>
        <w:spacing w:after="0" w:line="258" w:lineRule="auto"/>
        <w:rPr>
          <w:sz w:val="20"/>
          <w:szCs w:val="20"/>
          <w:color w:val="auto"/>
        </w:rPr>
      </w:pPr>
      <w:r>
        <w:rPr>
          <w:rFonts w:ascii="Arial" w:cs="Arial" w:eastAsia="Arial" w:hAnsi="Arial"/>
          <w:sz w:val="17"/>
          <w:szCs w:val="17"/>
          <w:color w:val="auto"/>
        </w:rPr>
        <w:t>The following outstanding stock options, warrants and restricted stock units were excluded from the computation of diluted net loss per share for the periods presented because including them would have had an anti-dilutive effect: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40" w:type="dxa"/>
            <w:vAlign w:val="bottom"/>
          </w:tcPr>
          <w:p>
            <w:pPr>
              <w:spacing w:after="0"/>
              <w:rPr>
                <w:sz w:val="16"/>
                <w:szCs w:val="16"/>
                <w:color w:val="auto"/>
              </w:rPr>
            </w:pPr>
          </w:p>
        </w:tc>
        <w:tc>
          <w:tcPr>
            <w:tcW w:w="2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Three-Month Periods Ended</w:t>
            </w:r>
          </w:p>
        </w:tc>
      </w:tr>
      <w:tr>
        <w:trPr>
          <w:trHeight w:val="188"/>
        </w:trPr>
        <w:tc>
          <w:tcPr>
            <w:tcW w:w="684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818"/>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Borders>
              <w:bottom w:val="single" w:sz="8" w:color="auto"/>
            </w:tcBorders>
          </w:tcPr>
          <w:p>
            <w:pPr>
              <w:spacing w:after="0"/>
              <w:rPr>
                <w:sz w:val="16"/>
                <w:szCs w:val="16"/>
                <w:color w:val="auto"/>
              </w:rPr>
            </w:pPr>
          </w:p>
        </w:tc>
      </w:tr>
      <w:tr>
        <w:trPr>
          <w:trHeight w:val="183"/>
        </w:trPr>
        <w:tc>
          <w:tcPr>
            <w:tcW w:w="684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249,709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817,112</w:t>
            </w: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Common stock options</w:t>
            </w:r>
          </w:p>
        </w:tc>
        <w:tc>
          <w:tcPr>
            <w:tcW w:w="1240" w:type="dxa"/>
            <w:vAlign w:val="bottom"/>
          </w:tcPr>
          <w:p>
            <w:pPr>
              <w:jc w:val="right"/>
              <w:spacing w:after="0"/>
              <w:rPr>
                <w:sz w:val="20"/>
                <w:szCs w:val="20"/>
                <w:color w:val="auto"/>
              </w:rPr>
            </w:pPr>
            <w:r>
              <w:rPr>
                <w:rFonts w:ascii="Arial" w:cs="Arial" w:eastAsia="Arial" w:hAnsi="Arial"/>
                <w:sz w:val="18"/>
                <w:szCs w:val="18"/>
                <w:color w:val="auto"/>
              </w:rPr>
              <w:t>2,598,754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1,283,590</w:t>
            </w:r>
          </w:p>
        </w:tc>
      </w:tr>
      <w:tr>
        <w:trPr>
          <w:trHeight w:val="23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229,774</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684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3,078,237</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2,100,702</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44" w:lineRule="exact"/>
        <w:rPr>
          <w:sz w:val="20"/>
          <w:szCs w:val="20"/>
          <w:color w:val="auto"/>
        </w:rPr>
      </w:pPr>
    </w:p>
    <w:p>
      <w:pPr>
        <w:ind w:right="140" w:firstLine="441"/>
        <w:spacing w:after="0" w:line="224" w:lineRule="auto"/>
        <w:rPr>
          <w:sz w:val="20"/>
          <w:szCs w:val="20"/>
          <w:color w:val="auto"/>
        </w:rPr>
      </w:pPr>
      <w:r>
        <w:rPr>
          <w:rFonts w:ascii="Arial" w:cs="Arial" w:eastAsia="Arial" w:hAnsi="Arial"/>
          <w:sz w:val="18"/>
          <w:szCs w:val="18"/>
          <w:color w:val="auto"/>
        </w:rPr>
        <w:t>Certain items in prior period financial statements have been reclassified to conform to the presentation in the current period financial statements. During the three-month period ended March 31, 2017, patent legal costs of $0.1 million were reclassified from research and development costs to general and administrative costs.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44" w:lineRule="exact"/>
        <w:rPr>
          <w:sz w:val="20"/>
          <w:szCs w:val="20"/>
          <w:color w:val="auto"/>
        </w:rPr>
      </w:pPr>
    </w:p>
    <w:p>
      <w:pPr>
        <w:ind w:right="80" w:firstLine="441"/>
        <w:spacing w:after="0" w:line="223" w:lineRule="auto"/>
        <w:rPr>
          <w:sz w:val="20"/>
          <w:szCs w:val="20"/>
          <w:color w:val="auto"/>
        </w:rPr>
      </w:pPr>
      <w:r>
        <w:rPr>
          <w:rFonts w:ascii="Arial" w:cs="Arial" w:eastAsia="Arial" w:hAnsi="Arial"/>
          <w:sz w:val="17"/>
          <w:szCs w:val="17"/>
          <w:color w:val="auto"/>
        </w:rPr>
        <w:t xml:space="preserve">During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which amends the existing accounting standards for leases. The new standard requires lessees to record a right-of-use asset and a corresponding lease liability on the balance sheet (with the exception of short-term leases). For lessees, leases will continue to be classified as either operating or financing in the income statement. This ASU becomes effective for the Company in the first quarter of fiscal year 2019 and early adoption is permitted. This ASU is required to be applied with a modified retrospective approach and requires application of the new standard at the beginning of the earliest comparative period presented. The Company generally does not finance purchases of equipment or other capital assets, but does lease its facilities. While the Company is continuing to assess all potential impacts of this standard, it expects that most of its lease commitments will be subject to the updated standard and recognized as lease liabilities and right-of-use assets upon adoption.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48" w:lineRule="exact"/>
        <w:rPr>
          <w:sz w:val="20"/>
          <w:szCs w:val="20"/>
          <w:color w:val="auto"/>
        </w:rPr>
      </w:pPr>
    </w:p>
    <w:p>
      <w:pPr>
        <w:jc w:val="both"/>
        <w:ind w:right="100" w:firstLine="441"/>
        <w:spacing w:after="0" w:line="224" w:lineRule="auto"/>
        <w:rPr>
          <w:sz w:val="20"/>
          <w:szCs w:val="20"/>
          <w:color w:val="auto"/>
        </w:rPr>
      </w:pPr>
      <w:r>
        <w:rPr>
          <w:rFonts w:ascii="Arial" w:cs="Arial" w:eastAsia="Arial" w:hAnsi="Arial"/>
          <w:sz w:val="18"/>
          <w:szCs w:val="18"/>
          <w:color w:val="auto"/>
        </w:rPr>
        <w:t>The authoritative guidance with respect to fair value established a fair value hierarchy that prioritizes the inputs to valuation techniques used to measure fair value into three levels, and requires that assets and liabilities carried at fair value be classified and disclosed in one of three categories, as presented below.</w:t>
      </w:r>
    </w:p>
    <w:p>
      <w:pPr>
        <w:spacing w:after="0" w:line="136" w:lineRule="exact"/>
        <w:rPr>
          <w:sz w:val="20"/>
          <w:szCs w:val="20"/>
          <w:color w:val="auto"/>
        </w:rPr>
      </w:pPr>
    </w:p>
    <w:p>
      <w:pPr>
        <w:ind w:right="180" w:firstLine="441"/>
        <w:spacing w:after="0" w:line="224" w:lineRule="auto"/>
        <w:rPr>
          <w:sz w:val="20"/>
          <w:szCs w:val="20"/>
          <w:color w:val="auto"/>
        </w:rPr>
      </w:pPr>
      <w:r>
        <w:rPr>
          <w:rFonts w:ascii="Arial" w:cs="Arial" w:eastAsia="Arial" w:hAnsi="Arial"/>
          <w:sz w:val="18"/>
          <w:szCs w:val="18"/>
          <w:color w:val="auto"/>
        </w:rPr>
        <w:t>Level 1 - Observable inputs such as quoted prices in active markets for an identical asset or liability that the Company has the ability to access as of the measurement date. Financial assets and liabilities utilizing Level 1 inputs include money market funds.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160" w:firstLine="441"/>
        <w:spacing w:after="0" w:line="224" w:lineRule="auto"/>
        <w:rPr>
          <w:sz w:val="20"/>
          <w:szCs w:val="20"/>
          <w:color w:val="auto"/>
        </w:rPr>
      </w:pPr>
      <w:r>
        <w:rPr>
          <w:rFonts w:ascii="Arial" w:cs="Arial" w:eastAsia="Arial" w:hAnsi="Arial"/>
          <w:sz w:val="18"/>
          <w:szCs w:val="18"/>
          <w:color w:val="auto"/>
        </w:rPr>
        <w:t>Level 2 - Inputs, other than quoted prices included within Level 1, which are directly observable for the asset or liability or indirectly observable through corroboration with observable market data. Financial assets and liabilities utilizing Level 2 inputs include commercial paper, corporate bonds, and asset-backed securities.</w:t>
      </w:r>
    </w:p>
    <w:p>
      <w:pPr>
        <w:spacing w:after="0" w:line="136" w:lineRule="exact"/>
        <w:rPr>
          <w:sz w:val="20"/>
          <w:szCs w:val="20"/>
          <w:color w:val="auto"/>
        </w:rPr>
      </w:pPr>
    </w:p>
    <w:p>
      <w:pPr>
        <w:ind w:right="60" w:firstLine="441"/>
        <w:spacing w:after="0" w:line="224" w:lineRule="auto"/>
        <w:rPr>
          <w:sz w:val="20"/>
          <w:szCs w:val="20"/>
          <w:color w:val="auto"/>
        </w:rPr>
      </w:pPr>
      <w:r>
        <w:rPr>
          <w:rFonts w:ascii="Arial" w:cs="Arial" w:eastAsia="Arial" w:hAnsi="Arial"/>
          <w:sz w:val="18"/>
          <w:szCs w:val="18"/>
          <w:color w:val="auto"/>
        </w:rPr>
        <w:t>Level 3 - Unobservable inputs for which there is little or no market data for the asset or liability which requires the reporting entity to develop its own assumptions. The Company did not classify any of its investments within Level 3 of the fair value hierarchy.</w:t>
      </w:r>
    </w:p>
    <w:p>
      <w:pPr>
        <w:spacing w:after="0" w:line="123" w:lineRule="exact"/>
        <w:rPr>
          <w:sz w:val="20"/>
          <w:szCs w:val="20"/>
          <w:color w:val="auto"/>
        </w:rPr>
      </w:pPr>
    </w:p>
    <w:p>
      <w:pPr>
        <w:ind w:right="60" w:firstLine="441"/>
        <w:spacing w:after="0" w:line="235" w:lineRule="auto"/>
        <w:rPr>
          <w:sz w:val="20"/>
          <w:szCs w:val="20"/>
          <w:color w:val="auto"/>
        </w:rPr>
      </w:pPr>
      <w:r>
        <w:rPr>
          <w:rFonts w:ascii="Arial" w:cs="Arial" w:eastAsia="Arial" w:hAnsi="Arial"/>
          <w:sz w:val="18"/>
          <w:szCs w:val="18"/>
          <w:color w:val="auto"/>
        </w:rPr>
        <w:t>The following table sets forth the fair value of the Company’s financial assets measured on a recurring basis as of March 31, 2018 and December 31, 2017, respectively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March 31, 2018</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rPr>
              <w:t>December 31, 2017</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Assets</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6"/>
              </w:rPr>
              <w:t>Classification</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Level 1</w:t>
            </w: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Level 2</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Level 3</w:t>
            </w: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Total</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Level 1</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Level 2</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Level 3</w:t>
            </w: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3"/>
        </w:trPr>
        <w:tc>
          <w:tcPr>
            <w:tcW w:w="18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Money market funds</w:t>
            </w:r>
          </w:p>
        </w:tc>
        <w:tc>
          <w:tcPr>
            <w:tcW w:w="10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7"/>
              </w:rPr>
              <w:t>Cash and cash</w:t>
            </w: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CCEEFF"/>
            </w:tcBorders>
            <w:vMerge w:val="restart"/>
            <w:shd w:val="clear" w:color="auto" w:fill="CCEEFF"/>
          </w:tcPr>
          <w:p>
            <w:pPr>
              <w:ind w:left="320"/>
              <w:spacing w:after="0"/>
              <w:rPr>
                <w:sz w:val="20"/>
                <w:szCs w:val="20"/>
                <w:color w:val="auto"/>
              </w:rPr>
            </w:pPr>
            <w:r>
              <w:rPr>
                <w:rFonts w:ascii="Arial" w:cs="Arial" w:eastAsia="Arial" w:hAnsi="Arial"/>
                <w:sz w:val="14"/>
                <w:szCs w:val="14"/>
                <w:color w:val="auto"/>
              </w:rPr>
              <w:t>5,066</w:t>
            </w:r>
          </w:p>
        </w:tc>
        <w:tc>
          <w:tcPr>
            <w:tcW w:w="12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76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 $</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5,066</w:t>
            </w:r>
          </w:p>
        </w:tc>
        <w:tc>
          <w:tcPr>
            <w:tcW w:w="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vMerge w:val="restart"/>
            <w:shd w:val="clear" w:color="auto" w:fill="CCEEFF"/>
          </w:tcPr>
          <w:p>
            <w:pPr>
              <w:ind w:left="220"/>
              <w:spacing w:after="0"/>
              <w:rPr>
                <w:sz w:val="20"/>
                <w:szCs w:val="20"/>
                <w:color w:val="auto"/>
              </w:rPr>
            </w:pPr>
            <w:r>
              <w:rPr>
                <w:rFonts w:ascii="Arial" w:cs="Arial" w:eastAsia="Arial" w:hAnsi="Arial"/>
                <w:sz w:val="14"/>
                <w:szCs w:val="14"/>
                <w:color w:val="auto"/>
              </w:rPr>
              <w:t>2,758</w:t>
            </w:r>
          </w:p>
        </w:tc>
        <w:tc>
          <w:tcPr>
            <w:tcW w:w="140" w:type="dxa"/>
            <w:vAlign w:val="bottom"/>
            <w:vMerge w:val="restart"/>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 $</w:t>
            </w:r>
          </w:p>
        </w:tc>
        <w:tc>
          <w:tcPr>
            <w:tcW w:w="74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 $</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2,758</w:t>
            </w:r>
          </w:p>
        </w:tc>
        <w:tc>
          <w:tcPr>
            <w:tcW w:w="0" w:type="dxa"/>
            <w:vAlign w:val="bottom"/>
          </w:tcPr>
          <w:p>
            <w:pPr>
              <w:spacing w:after="0"/>
              <w:rPr>
                <w:sz w:val="1"/>
                <w:szCs w:val="1"/>
                <w:color w:val="auto"/>
              </w:rPr>
            </w:pPr>
          </w:p>
        </w:tc>
      </w:tr>
      <w:tr>
        <w:trPr>
          <w:trHeight w:val="162"/>
        </w:trPr>
        <w:tc>
          <w:tcPr>
            <w:tcW w:w="1860" w:type="dxa"/>
            <w:vAlign w:val="bottom"/>
            <w:gridSpan w:val="2"/>
            <w:vMerge w:val="continue"/>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equivalents</w:t>
            </w:r>
          </w:p>
        </w:tc>
        <w:tc>
          <w:tcPr>
            <w:tcW w:w="180" w:type="dxa"/>
            <w:vAlign w:val="bottom"/>
            <w:vMerge w:val="continue"/>
            <w:shd w:val="clear" w:color="auto" w:fill="CCEEFF"/>
          </w:tcPr>
          <w:p>
            <w:pPr>
              <w:spacing w:after="0"/>
              <w:rPr>
                <w:sz w:val="14"/>
                <w:szCs w:val="14"/>
                <w:color w:val="auto"/>
              </w:rPr>
            </w:pPr>
          </w:p>
        </w:tc>
        <w:tc>
          <w:tcPr>
            <w:tcW w:w="76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640" w:type="dxa"/>
            <w:vAlign w:val="bottom"/>
            <w:tcBorders>
              <w:right w:val="single" w:sz="8" w:color="CCEEFF"/>
            </w:tcBorders>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860" w:type="dxa"/>
            <w:vAlign w:val="bottom"/>
            <w:gridSpan w:val="2"/>
            <w:vMerge w:val="restart"/>
          </w:tcPr>
          <w:p>
            <w:pPr>
              <w:spacing w:after="0"/>
              <w:rPr>
                <w:sz w:val="20"/>
                <w:szCs w:val="20"/>
                <w:color w:val="auto"/>
              </w:rPr>
            </w:pPr>
            <w:r>
              <w:rPr>
                <w:rFonts w:ascii="Arial" w:cs="Arial" w:eastAsia="Arial" w:hAnsi="Arial"/>
                <w:sz w:val="14"/>
                <w:szCs w:val="14"/>
                <w:color w:val="auto"/>
              </w:rPr>
              <w:t>U.S. Treasury Securities</w:t>
            </w:r>
          </w:p>
        </w:tc>
        <w:tc>
          <w:tcPr>
            <w:tcW w:w="1080" w:type="dxa"/>
            <w:vAlign w:val="bottom"/>
          </w:tcPr>
          <w:p>
            <w:pPr>
              <w:jc w:val="center"/>
              <w:spacing w:after="0"/>
              <w:rPr>
                <w:sz w:val="20"/>
                <w:szCs w:val="20"/>
                <w:color w:val="auto"/>
              </w:rPr>
            </w:pPr>
            <w:r>
              <w:rPr>
                <w:rFonts w:ascii="Arial" w:cs="Arial" w:eastAsia="Arial" w:hAnsi="Arial"/>
                <w:sz w:val="14"/>
                <w:szCs w:val="14"/>
                <w:color w:val="auto"/>
                <w:w w:val="87"/>
              </w:rPr>
              <w:t>Cash and cash</w:t>
            </w:r>
          </w:p>
        </w:tc>
        <w:tc>
          <w:tcPr>
            <w:tcW w:w="180" w:type="dxa"/>
            <w:vAlign w:val="bottom"/>
          </w:tcPr>
          <w:p>
            <w:pPr>
              <w:spacing w:after="0"/>
              <w:rPr>
                <w:sz w:val="21"/>
                <w:szCs w:val="21"/>
                <w:color w:val="auto"/>
              </w:rPr>
            </w:pPr>
          </w:p>
        </w:tc>
        <w:tc>
          <w:tcPr>
            <w:tcW w:w="76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5,251</w:t>
            </w:r>
          </w:p>
        </w:tc>
        <w:tc>
          <w:tcPr>
            <w:tcW w:w="120" w:type="dxa"/>
            <w:vAlign w:val="bottom"/>
          </w:tcPr>
          <w:p>
            <w:pPr>
              <w:spacing w:after="0"/>
              <w:rPr>
                <w:sz w:val="21"/>
                <w:szCs w:val="21"/>
                <w:color w:val="auto"/>
              </w:rPr>
            </w:pPr>
          </w:p>
        </w:tc>
        <w:tc>
          <w:tcPr>
            <w:tcW w:w="76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5,251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4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4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60" w:type="dxa"/>
            <w:vAlign w:val="bottom"/>
            <w:gridSpan w:val="2"/>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equivalents</w:t>
            </w: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Treasury Securities</w:t>
            </w:r>
          </w:p>
        </w:tc>
        <w:tc>
          <w:tcPr>
            <w:tcW w:w="10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Investments</w:t>
            </w: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17,957</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860" w:type="dxa"/>
            <w:vAlign w:val="bottom"/>
            <w:gridSpan w:val="2"/>
          </w:tcPr>
          <w:p>
            <w:pPr>
              <w:spacing w:after="0"/>
              <w:rPr>
                <w:sz w:val="20"/>
                <w:szCs w:val="20"/>
                <w:color w:val="auto"/>
              </w:rPr>
            </w:pPr>
            <w:r>
              <w:rPr>
                <w:rFonts w:ascii="Arial" w:cs="Arial" w:eastAsia="Arial" w:hAnsi="Arial"/>
                <w:sz w:val="14"/>
                <w:szCs w:val="14"/>
                <w:color w:val="auto"/>
              </w:rPr>
              <w:t>Commercial paper</w:t>
            </w: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Investments</w:t>
            </w:r>
          </w:p>
        </w:tc>
        <w:tc>
          <w:tcPr>
            <w:tcW w:w="180" w:type="dxa"/>
            <w:vAlign w:val="bottom"/>
          </w:tcPr>
          <w:p>
            <w:pPr>
              <w:spacing w:after="0"/>
              <w:rPr>
                <w:sz w:val="17"/>
                <w:szCs w:val="17"/>
                <w:color w:val="auto"/>
              </w:rPr>
            </w:pPr>
          </w:p>
        </w:tc>
        <w:tc>
          <w:tcPr>
            <w:tcW w:w="760" w:type="dxa"/>
            <w:vAlign w:val="bottom"/>
          </w:tcPr>
          <w:p>
            <w:pPr>
              <w:ind w:left="5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2,500</w:t>
            </w:r>
          </w:p>
        </w:tc>
        <w:tc>
          <w:tcPr>
            <w:tcW w:w="120" w:type="dxa"/>
            <w:vAlign w:val="bottom"/>
          </w:tcPr>
          <w:p>
            <w:pPr>
              <w:spacing w:after="0"/>
              <w:rPr>
                <w:sz w:val="17"/>
                <w:szCs w:val="17"/>
                <w:color w:val="auto"/>
              </w:rPr>
            </w:pPr>
          </w:p>
        </w:tc>
        <w:tc>
          <w:tcPr>
            <w:tcW w:w="7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2,500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7,210</w:t>
            </w:r>
          </w:p>
        </w:tc>
        <w:tc>
          <w:tcPr>
            <w:tcW w:w="100" w:type="dxa"/>
            <w:vAlign w:val="bottom"/>
          </w:tcPr>
          <w:p>
            <w:pPr>
              <w:spacing w:after="0"/>
              <w:rPr>
                <w:sz w:val="17"/>
                <w:szCs w:val="17"/>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7,210</w:t>
            </w:r>
          </w:p>
        </w:tc>
        <w:tc>
          <w:tcPr>
            <w:tcW w:w="0" w:type="dxa"/>
            <w:vAlign w:val="bottom"/>
          </w:tcPr>
          <w:p>
            <w:pPr>
              <w:spacing w:after="0"/>
              <w:rPr>
                <w:sz w:val="1"/>
                <w:szCs w:val="1"/>
                <w:color w:val="auto"/>
              </w:rPr>
            </w:pPr>
          </w:p>
        </w:tc>
      </w:tr>
      <w:tr>
        <w:trPr>
          <w:trHeight w:val="203"/>
        </w:trPr>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10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Investments</w:t>
            </w: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1,751</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19,491</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19,491</w:t>
            </w:r>
          </w:p>
        </w:tc>
        <w:tc>
          <w:tcPr>
            <w:tcW w:w="0" w:type="dxa"/>
            <w:vAlign w:val="bottom"/>
          </w:tcPr>
          <w:p>
            <w:pPr>
              <w:spacing w:after="0"/>
              <w:rPr>
                <w:sz w:val="1"/>
                <w:szCs w:val="1"/>
                <w:color w:val="auto"/>
              </w:rPr>
            </w:pPr>
          </w:p>
        </w:tc>
      </w:tr>
      <w:tr>
        <w:trPr>
          <w:trHeight w:val="203"/>
        </w:trPr>
        <w:tc>
          <w:tcPr>
            <w:tcW w:w="1860" w:type="dxa"/>
            <w:vAlign w:val="bottom"/>
            <w:gridSpan w:val="2"/>
          </w:tcPr>
          <w:p>
            <w:pPr>
              <w:spacing w:after="0"/>
              <w:rPr>
                <w:sz w:val="20"/>
                <w:szCs w:val="20"/>
                <w:color w:val="auto"/>
              </w:rPr>
            </w:pPr>
            <w:r>
              <w:rPr>
                <w:rFonts w:ascii="Arial" w:cs="Arial" w:eastAsia="Arial" w:hAnsi="Arial"/>
                <w:sz w:val="14"/>
                <w:szCs w:val="14"/>
                <w:color w:val="auto"/>
              </w:rPr>
              <w:t>Asset-backed securities</w:t>
            </w: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Investments</w:t>
            </w:r>
          </w:p>
        </w:tc>
        <w:tc>
          <w:tcPr>
            <w:tcW w:w="180" w:type="dxa"/>
            <w:vAlign w:val="bottom"/>
          </w:tcPr>
          <w:p>
            <w:pPr>
              <w:spacing w:after="0"/>
              <w:rPr>
                <w:sz w:val="17"/>
                <w:szCs w:val="17"/>
                <w:color w:val="auto"/>
              </w:rPr>
            </w:pPr>
          </w:p>
        </w:tc>
        <w:tc>
          <w:tcPr>
            <w:tcW w:w="760" w:type="dxa"/>
            <w:vAlign w:val="bottom"/>
          </w:tcPr>
          <w:p>
            <w:pPr>
              <w:ind w:left="5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7"/>
                <w:szCs w:val="17"/>
                <w:color w:val="auto"/>
              </w:rPr>
            </w:pPr>
          </w:p>
        </w:tc>
        <w:tc>
          <w:tcPr>
            <w:tcW w:w="7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7,982</w:t>
            </w:r>
          </w:p>
        </w:tc>
        <w:tc>
          <w:tcPr>
            <w:tcW w:w="100" w:type="dxa"/>
            <w:vAlign w:val="bottom"/>
          </w:tcPr>
          <w:p>
            <w:pPr>
              <w:spacing w:after="0"/>
              <w:rPr>
                <w:sz w:val="17"/>
                <w:szCs w:val="17"/>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7,982</w:t>
            </w:r>
          </w:p>
        </w:tc>
        <w:tc>
          <w:tcPr>
            <w:tcW w:w="0" w:type="dxa"/>
            <w:vAlign w:val="bottom"/>
          </w:tcPr>
          <w:p>
            <w:pPr>
              <w:spacing w:after="0"/>
              <w:rPr>
                <w:sz w:val="1"/>
                <w:szCs w:val="1"/>
                <w:color w:val="auto"/>
              </w:rPr>
            </w:pPr>
          </w:p>
        </w:tc>
      </w:tr>
      <w:tr>
        <w:trPr>
          <w:trHeight w:val="20"/>
        </w:trPr>
        <w:tc>
          <w:tcPr>
            <w:tcW w:w="18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Total assets measured at fair</w:t>
            </w: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60" w:type="dxa"/>
            <w:vAlign w:val="bottom"/>
            <w:gridSpan w:val="2"/>
            <w:vMerge w:val="continue"/>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spacing w:after="0"/>
              <w:rPr>
                <w:sz w:val="19"/>
                <w:szCs w:val="19"/>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CCEEFF"/>
            </w:tcBorders>
            <w:vMerge w:val="restart"/>
            <w:shd w:val="clear" w:color="auto" w:fill="CCEEFF"/>
          </w:tcPr>
          <w:p>
            <w:pPr>
              <w:ind w:left="320"/>
              <w:spacing w:after="0"/>
              <w:rPr>
                <w:sz w:val="20"/>
                <w:szCs w:val="20"/>
                <w:color w:val="auto"/>
              </w:rPr>
            </w:pPr>
            <w:r>
              <w:rPr>
                <w:rFonts w:ascii="Arial" w:cs="Arial" w:eastAsia="Arial" w:hAnsi="Arial"/>
                <w:sz w:val="14"/>
                <w:szCs w:val="14"/>
                <w:color w:val="auto"/>
              </w:rPr>
              <w:t>5,066</w:t>
            </w:r>
          </w:p>
        </w:tc>
        <w:tc>
          <w:tcPr>
            <w:tcW w:w="12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27,959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 $</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33,025</w:t>
            </w:r>
          </w:p>
        </w:tc>
        <w:tc>
          <w:tcPr>
            <w:tcW w:w="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vMerge w:val="restart"/>
            <w:shd w:val="clear" w:color="auto" w:fill="CCEEFF"/>
          </w:tcPr>
          <w:p>
            <w:pPr>
              <w:ind w:left="220"/>
              <w:spacing w:after="0"/>
              <w:rPr>
                <w:sz w:val="20"/>
                <w:szCs w:val="20"/>
                <w:color w:val="auto"/>
              </w:rPr>
            </w:pPr>
            <w:r>
              <w:rPr>
                <w:rFonts w:ascii="Arial" w:cs="Arial" w:eastAsia="Arial" w:hAnsi="Arial"/>
                <w:sz w:val="14"/>
                <w:szCs w:val="14"/>
                <w:color w:val="auto"/>
              </w:rPr>
              <w:t>2,758</w:t>
            </w:r>
          </w:p>
        </w:tc>
        <w:tc>
          <w:tcPr>
            <w:tcW w:w="140" w:type="dxa"/>
            <w:vAlign w:val="bottom"/>
            <w:vMerge w:val="restart"/>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34,683</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 $</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37,441</w:t>
            </w:r>
          </w:p>
        </w:tc>
        <w:tc>
          <w:tcPr>
            <w:tcW w:w="0" w:type="dxa"/>
            <w:vAlign w:val="bottom"/>
          </w:tcPr>
          <w:p>
            <w:pPr>
              <w:spacing w:after="0"/>
              <w:rPr>
                <w:sz w:val="1"/>
                <w:szCs w:val="1"/>
                <w:color w:val="auto"/>
              </w:rPr>
            </w:pPr>
          </w:p>
        </w:tc>
      </w:tr>
      <w:tr>
        <w:trPr>
          <w:trHeight w:val="149"/>
        </w:trPr>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value</w:t>
            </w:r>
          </w:p>
        </w:tc>
        <w:tc>
          <w:tcPr>
            <w:tcW w:w="1080" w:type="dxa"/>
            <w:vAlign w:val="bottom"/>
            <w:tcBorders>
              <w:right w:val="single" w:sz="8" w:color="CCEEFF"/>
            </w:tcBorders>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760" w:type="dxa"/>
            <w:vAlign w:val="bottom"/>
            <w:tcBorders>
              <w:right w:val="single" w:sz="8" w:color="CCEEFF"/>
            </w:tcBorders>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760" w:type="dxa"/>
            <w:vAlign w:val="bottom"/>
            <w:tcBorders>
              <w:right w:val="single" w:sz="8" w:color="CCEEFF"/>
            </w:tcBorders>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640" w:type="dxa"/>
            <w:vAlign w:val="bottom"/>
            <w:tcBorders>
              <w:right w:val="single" w:sz="8" w:color="CCEEFF"/>
            </w:tcBorders>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740" w:type="dxa"/>
            <w:vAlign w:val="bottom"/>
            <w:tcBorders>
              <w:right w:val="single" w:sz="8" w:color="CCEEFF"/>
            </w:tcBorders>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did not have any financial liabilities measured on a recurring basis as of March 31, 2018 or December 31,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42" w:lineRule="exact"/>
        <w:rPr>
          <w:sz w:val="20"/>
          <w:szCs w:val="20"/>
          <w:color w:val="auto"/>
        </w:rPr>
      </w:pPr>
    </w:p>
    <w:p>
      <w:pPr>
        <w:jc w:val="both"/>
        <w:ind w:right="100" w:firstLine="441"/>
        <w:spacing w:after="0" w:line="224" w:lineRule="auto"/>
        <w:rPr>
          <w:sz w:val="20"/>
          <w:szCs w:val="20"/>
          <w:color w:val="auto"/>
        </w:rPr>
      </w:pPr>
      <w:r>
        <w:rPr>
          <w:rFonts w:ascii="Arial" w:cs="Arial" w:eastAsia="Arial" w:hAnsi="Arial"/>
          <w:sz w:val="18"/>
          <w:szCs w:val="18"/>
          <w:color w:val="auto"/>
        </w:rPr>
        <w:t>During the three-month period ended March 31, 2018, there were no transfers between Level 1, Level 2 or Level 3 assets or liabilities reported at fair value on a recurring basis and the valuation techniques used did not change compared to the Company’s established practice.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6"/>
                <w:szCs w:val="16"/>
                <w:color w:val="auto"/>
              </w:rPr>
            </w:pPr>
          </w:p>
        </w:tc>
        <w:tc>
          <w:tcPr>
            <w:tcW w:w="1080" w:type="dxa"/>
            <w:vAlign w:val="bottom"/>
          </w:tcPr>
          <w:p>
            <w:pPr>
              <w:jc w:val="right"/>
              <w:ind w:right="114"/>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68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Laboratory equipment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3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Software</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10"/>
        </w:trPr>
        <w:tc>
          <w:tcPr>
            <w:tcW w:w="68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w:t>
            </w:r>
          </w:p>
        </w:tc>
      </w:tr>
      <w:tr>
        <w:trPr>
          <w:trHeight w:val="210"/>
        </w:trPr>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r>
      <w:tr>
        <w:trPr>
          <w:trHeight w:val="217"/>
        </w:trPr>
        <w:tc>
          <w:tcPr>
            <w:tcW w:w="68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r>
    </w:tbl>
    <w:p>
      <w:pPr>
        <w:spacing w:after="0" w:line="323" w:lineRule="exact"/>
        <w:rPr>
          <w:sz w:val="20"/>
          <w:szCs w:val="20"/>
          <w:color w:val="auto"/>
        </w:rPr>
      </w:pPr>
    </w:p>
    <w:p>
      <w:pPr>
        <w:ind w:right="840" w:firstLine="441"/>
        <w:spacing w:after="0" w:line="235" w:lineRule="auto"/>
        <w:rPr>
          <w:sz w:val="20"/>
          <w:szCs w:val="20"/>
          <w:color w:val="auto"/>
        </w:rPr>
      </w:pPr>
      <w:r>
        <w:rPr>
          <w:rFonts w:ascii="Arial" w:cs="Arial" w:eastAsia="Arial" w:hAnsi="Arial"/>
          <w:sz w:val="18"/>
          <w:szCs w:val="18"/>
          <w:color w:val="auto"/>
        </w:rPr>
        <w:t>Depreciation expense was $0.2 million and $24,000 for the three-month periods ended March 31, 2018 and 2017, respectively.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Net</w:t>
      </w:r>
    </w:p>
    <w:p>
      <w:pPr>
        <w:spacing w:after="0" w:line="148" w:lineRule="exact"/>
        <w:rPr>
          <w:sz w:val="20"/>
          <w:szCs w:val="20"/>
          <w:color w:val="auto"/>
        </w:rPr>
      </w:pPr>
    </w:p>
    <w:p>
      <w:pPr>
        <w:ind w:right="200" w:firstLine="441"/>
        <w:spacing w:after="0" w:line="229" w:lineRule="auto"/>
        <w:rPr>
          <w:sz w:val="20"/>
          <w:szCs w:val="20"/>
          <w:color w:val="auto"/>
        </w:rPr>
      </w:pPr>
      <w:r>
        <w:rPr>
          <w:rFonts w:ascii="Arial" w:cs="Arial" w:eastAsia="Arial" w:hAnsi="Arial"/>
          <w:sz w:val="17"/>
          <w:szCs w:val="17"/>
          <w:color w:val="auto"/>
        </w:rPr>
        <w:t>Intangible assets primarily consist of a license to utilize certain patents, know-how and technology relating to NPS for biomedical applications acquired from Old Dominion University Research Foundation, Eastern Virginia Medical School, and the University of Southern California. In addition, the Company entered into a Sponsored Research Agreement with Old Dominion University’s Frank Reidy Research Center for Bioelectrics, which includes certain intellectual property rights arising from the research. The Company is amortizing the intangible assets over an estimated useful life of 12 years.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6"/>
                <w:szCs w:val="16"/>
                <w:color w:val="auto"/>
              </w:rPr>
            </w:pPr>
          </w:p>
        </w:tc>
        <w:tc>
          <w:tcPr>
            <w:tcW w:w="108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68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2017</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Acquired patents and licenses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457"/>
              <w:spacing w:after="0"/>
              <w:rPr>
                <w:sz w:val="20"/>
                <w:szCs w:val="20"/>
                <w:color w:val="auto"/>
              </w:rPr>
            </w:pPr>
            <w:r>
              <w:rPr>
                <w:rFonts w:ascii="Arial" w:cs="Arial" w:eastAsia="Arial" w:hAnsi="Arial"/>
                <w:sz w:val="18"/>
                <w:szCs w:val="18"/>
                <w:color w:val="auto"/>
                <w:w w:val="93"/>
              </w:rPr>
              <w:t>7,985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88"/>
              </w:rPr>
              <w:t>7,985</w:t>
            </w: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00" w:type="dxa"/>
            <w:vAlign w:val="bottom"/>
          </w:tcPr>
          <w:p>
            <w:pPr>
              <w:spacing w:after="0"/>
              <w:rPr>
                <w:sz w:val="19"/>
                <w:szCs w:val="19"/>
                <w:color w:val="auto"/>
              </w:rPr>
            </w:pPr>
          </w:p>
        </w:tc>
        <w:tc>
          <w:tcPr>
            <w:tcW w:w="1180" w:type="dxa"/>
            <w:vAlign w:val="bottom"/>
            <w:gridSpan w:val="2"/>
          </w:tcPr>
          <w:p>
            <w:pPr>
              <w:jc w:val="center"/>
              <w:ind w:left="297"/>
              <w:spacing w:after="0"/>
              <w:rPr>
                <w:sz w:val="20"/>
                <w:szCs w:val="20"/>
                <w:color w:val="auto"/>
              </w:rPr>
            </w:pPr>
            <w:r>
              <w:rPr>
                <w:rFonts w:ascii="Arial" w:cs="Arial" w:eastAsia="Arial" w:hAnsi="Arial"/>
                <w:sz w:val="18"/>
                <w:szCs w:val="18"/>
                <w:color w:val="auto"/>
                <w:w w:val="91"/>
              </w:rPr>
              <w:t>(2,273)</w:t>
            </w:r>
          </w:p>
        </w:tc>
        <w:tc>
          <w:tcPr>
            <w:tcW w:w="160" w:type="dxa"/>
            <w:vAlign w:val="bottom"/>
          </w:tcPr>
          <w:p>
            <w:pPr>
              <w:spacing w:after="0"/>
              <w:rPr>
                <w:sz w:val="19"/>
                <w:szCs w:val="19"/>
                <w:color w:val="auto"/>
              </w:rPr>
            </w:pPr>
          </w:p>
        </w:tc>
        <w:tc>
          <w:tcPr>
            <w:tcW w:w="1080" w:type="dxa"/>
            <w:vAlign w:val="bottom"/>
          </w:tcPr>
          <w:p>
            <w:pPr>
              <w:jc w:val="center"/>
              <w:ind w:left="477"/>
              <w:spacing w:after="0"/>
              <w:rPr>
                <w:sz w:val="20"/>
                <w:szCs w:val="20"/>
                <w:color w:val="auto"/>
              </w:rPr>
            </w:pPr>
            <w:r>
              <w:rPr>
                <w:rFonts w:ascii="Arial" w:cs="Arial" w:eastAsia="Arial" w:hAnsi="Arial"/>
                <w:sz w:val="18"/>
                <w:szCs w:val="18"/>
                <w:color w:val="auto"/>
                <w:w w:val="91"/>
              </w:rPr>
              <w:t>(2,107)</w:t>
            </w:r>
          </w:p>
        </w:tc>
      </w:tr>
      <w:tr>
        <w:trPr>
          <w:trHeight w:val="217"/>
        </w:trPr>
        <w:tc>
          <w:tcPr>
            <w:tcW w:w="68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center"/>
              <w:ind w:left="457"/>
              <w:spacing w:after="0"/>
              <w:rPr>
                <w:sz w:val="20"/>
                <w:szCs w:val="20"/>
                <w:color w:val="auto"/>
              </w:rPr>
            </w:pPr>
            <w:r>
              <w:rPr>
                <w:rFonts w:ascii="Arial" w:cs="Arial" w:eastAsia="Arial" w:hAnsi="Arial"/>
                <w:sz w:val="18"/>
                <w:szCs w:val="18"/>
                <w:color w:val="auto"/>
                <w:w w:val="93"/>
              </w:rPr>
              <w:t>5,712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center"/>
              <w:ind w:left="517"/>
              <w:spacing w:after="0"/>
              <w:rPr>
                <w:sz w:val="20"/>
                <w:szCs w:val="20"/>
                <w:color w:val="auto"/>
              </w:rPr>
            </w:pPr>
            <w:r>
              <w:rPr>
                <w:rFonts w:ascii="Arial" w:cs="Arial" w:eastAsia="Arial" w:hAnsi="Arial"/>
                <w:sz w:val="18"/>
                <w:szCs w:val="18"/>
                <w:color w:val="auto"/>
                <w:w w:val="88"/>
              </w:rPr>
              <w:t>5,878</w:t>
            </w:r>
          </w:p>
        </w:tc>
      </w:tr>
    </w:tbl>
    <w:p>
      <w:pPr>
        <w:spacing w:after="0" w:line="148" w:lineRule="exact"/>
        <w:rPr>
          <w:sz w:val="20"/>
          <w:szCs w:val="20"/>
          <w:color w:val="auto"/>
        </w:rPr>
      </w:pPr>
    </w:p>
    <w:p>
      <w:pPr>
        <w:ind w:right="660" w:firstLine="405"/>
        <w:spacing w:after="0" w:line="235" w:lineRule="auto"/>
        <w:rPr>
          <w:sz w:val="20"/>
          <w:szCs w:val="20"/>
          <w:color w:val="auto"/>
        </w:rPr>
      </w:pPr>
      <w:r>
        <w:rPr>
          <w:rFonts w:ascii="Arial" w:cs="Arial" w:eastAsia="Arial" w:hAnsi="Arial"/>
          <w:sz w:val="18"/>
          <w:szCs w:val="18"/>
          <w:color w:val="auto"/>
        </w:rPr>
        <w:t>A schedule of the amortization of intangible assets for the remainder of 2018 and the succeeding five fiscal years and thereafter is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2018 (remaining 9 months)</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2019</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3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2021</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3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3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r>
      <w:tr>
        <w:trPr>
          <w:trHeight w:val="217"/>
        </w:trPr>
        <w:tc>
          <w:tcPr>
            <w:tcW w:w="798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5,712</w:t>
            </w: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162" w:lineRule="exact"/>
        <w:rPr>
          <w:sz w:val="20"/>
          <w:szCs w:val="20"/>
          <w:color w:val="auto"/>
        </w:rPr>
      </w:pPr>
    </w:p>
    <w:p>
      <w:pPr>
        <w:jc w:val="both"/>
        <w:ind w:right="40" w:firstLine="363"/>
        <w:spacing w:after="0" w:line="259" w:lineRule="auto"/>
        <w:rPr>
          <w:sz w:val="20"/>
          <w:szCs w:val="20"/>
          <w:color w:val="auto"/>
        </w:rPr>
      </w:pPr>
      <w:r>
        <w:rPr>
          <w:rFonts w:ascii="Arial" w:cs="Arial" w:eastAsia="Arial" w:hAnsi="Arial"/>
          <w:sz w:val="16"/>
          <w:szCs w:val="16"/>
          <w:color w:val="auto"/>
        </w:rPr>
        <w:t xml:space="preserve">In 2014, the Company acquired three companies (the “acquisitions”) for aggregate consideration of $5.5 million. In accordance with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recorded goodwill of $2.8 million in connection with the acquisitions as the consideration paid exceeded the fair value of the net tangible assets and the intangible assets acquired.</w:t>
      </w:r>
    </w:p>
    <w:p>
      <w:pPr>
        <w:spacing w:after="0" w:line="134" w:lineRule="exact"/>
        <w:rPr>
          <w:sz w:val="20"/>
          <w:szCs w:val="20"/>
          <w:color w:val="auto"/>
        </w:rPr>
      </w:pPr>
    </w:p>
    <w:p>
      <w:pPr>
        <w:jc w:val="both"/>
        <w:ind w:right="40" w:firstLine="363"/>
        <w:spacing w:after="0" w:line="219" w:lineRule="auto"/>
        <w:rPr>
          <w:sz w:val="20"/>
          <w:szCs w:val="20"/>
          <w:color w:val="auto"/>
        </w:rPr>
      </w:pPr>
      <w:r>
        <w:rPr>
          <w:rFonts w:ascii="Arial" w:cs="Arial" w:eastAsia="Arial" w:hAnsi="Arial"/>
          <w:sz w:val="18"/>
          <w:szCs w:val="18"/>
          <w:color w:val="auto"/>
        </w:rPr>
        <w:t>The Company reviews goodwill for impairment at least annually or whenever changes in circumstances indicate that the carrying amount of goodwill may not be recoverable. Based on the Company’s annual impairment test as of December 31, 2017 the Company determined that no impairment of goodwill existed and was not aware of any indicators of impairment at such date. In addition, there were no indicators of impairment at March 31, 2018.</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6"/>
                <w:szCs w:val="16"/>
                <w:color w:val="auto"/>
              </w:rPr>
            </w:pPr>
          </w:p>
        </w:tc>
        <w:tc>
          <w:tcPr>
            <w:tcW w:w="1080" w:type="dxa"/>
            <w:vAlign w:val="bottom"/>
          </w:tcPr>
          <w:p>
            <w:pPr>
              <w:jc w:val="right"/>
              <w:ind w:right="115"/>
              <w:spacing w:after="0"/>
              <w:rPr>
                <w:sz w:val="20"/>
                <w:szCs w:val="20"/>
                <w:color w:val="auto"/>
              </w:rPr>
            </w:pPr>
            <w:r>
              <w:rPr>
                <w:rFonts w:ascii="Arial" w:cs="Arial" w:eastAsia="Arial" w:hAnsi="Arial"/>
                <w:sz w:val="14"/>
                <w:szCs w:val="14"/>
                <w:b w:val="1"/>
                <w:bCs w:val="1"/>
                <w:color w:val="auto"/>
                <w:w w:val="94"/>
              </w:rPr>
              <w:t>December 31,</w:t>
            </w:r>
          </w:p>
        </w:tc>
        <w:tc>
          <w:tcPr>
            <w:tcW w:w="40" w:type="dxa"/>
            <w:vAlign w:val="bottom"/>
          </w:tcPr>
          <w:p>
            <w:pPr>
              <w:spacing w:after="0"/>
              <w:rPr>
                <w:sz w:val="16"/>
                <w:szCs w:val="16"/>
                <w:color w:val="auto"/>
              </w:rPr>
            </w:pPr>
          </w:p>
        </w:tc>
      </w:tr>
      <w:tr>
        <w:trPr>
          <w:trHeight w:val="188"/>
        </w:trPr>
        <w:tc>
          <w:tcPr>
            <w:tcW w:w="3180" w:type="dxa"/>
            <w:vAlign w:val="bottom"/>
            <w:tcBorders>
              <w:bottom w:val="single" w:sz="8" w:color="CCEEFF"/>
            </w:tcBorders>
          </w:tcPr>
          <w:p>
            <w:pPr>
              <w:spacing w:after="0"/>
              <w:rPr>
                <w:sz w:val="16"/>
                <w:szCs w:val="16"/>
                <w:color w:val="auto"/>
              </w:rPr>
            </w:pPr>
          </w:p>
        </w:tc>
        <w:tc>
          <w:tcPr>
            <w:tcW w:w="36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6"/>
                <w:szCs w:val="16"/>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3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40" w:type="dxa"/>
            <w:vAlign w:val="bottom"/>
          </w:tcPr>
          <w:p>
            <w:pPr>
              <w:spacing w:after="0"/>
              <w:rPr>
                <w:sz w:val="18"/>
                <w:szCs w:val="18"/>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Professional fees</w:t>
            </w:r>
          </w:p>
        </w:tc>
        <w:tc>
          <w:tcPr>
            <w:tcW w:w="3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19"/>
                <w:szCs w:val="19"/>
                <w:color w:val="auto"/>
              </w:rPr>
            </w:pPr>
          </w:p>
        </w:tc>
      </w:tr>
      <w:tr>
        <w:trPr>
          <w:trHeight w:val="23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9"/>
                <w:szCs w:val="19"/>
                <w:color w:val="auto"/>
              </w:rPr>
            </w:pPr>
          </w:p>
        </w:tc>
      </w:tr>
      <w:tr>
        <w:trPr>
          <w:trHeight w:val="230"/>
        </w:trPr>
        <w:tc>
          <w:tcPr>
            <w:tcW w:w="3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Supplies</w:t>
            </w:r>
          </w:p>
        </w:tc>
        <w:tc>
          <w:tcPr>
            <w:tcW w:w="36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9"/>
                <w:szCs w:val="19"/>
                <w:color w:val="auto"/>
              </w:rPr>
            </w:pPr>
          </w:p>
        </w:tc>
      </w:tr>
      <w:tr>
        <w:trPr>
          <w:trHeight w:val="230"/>
        </w:trPr>
        <w:tc>
          <w:tcPr>
            <w:tcW w:w="318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40" w:type="dxa"/>
            <w:vAlign w:val="bottom"/>
          </w:tcPr>
          <w:p>
            <w:pPr>
              <w:spacing w:after="0"/>
              <w:rPr>
                <w:sz w:val="19"/>
                <w:szCs w:val="19"/>
                <w:color w:val="auto"/>
              </w:rPr>
            </w:pPr>
          </w:p>
        </w:tc>
      </w:tr>
      <w:tr>
        <w:trPr>
          <w:trHeight w:val="581"/>
        </w:trPr>
        <w:tc>
          <w:tcPr>
            <w:tcW w:w="3180" w:type="dxa"/>
            <w:vAlign w:val="bottom"/>
            <w:tcBorders>
              <w:top w:val="single" w:sz="8" w:color="CCEEFF"/>
            </w:tcBorders>
          </w:tcPr>
          <w:p>
            <w:pPr>
              <w:spacing w:after="0"/>
              <w:rPr>
                <w:sz w:val="24"/>
                <w:szCs w:val="24"/>
                <w:color w:val="auto"/>
              </w:rPr>
            </w:pPr>
          </w:p>
        </w:tc>
        <w:tc>
          <w:tcPr>
            <w:tcW w:w="3660" w:type="dxa"/>
            <w:vAlign w:val="bottom"/>
            <w:tcBorders>
              <w:top w:val="single" w:sz="8" w:color="CCEEFF"/>
            </w:tcBorders>
          </w:tcPr>
          <w:p>
            <w:pPr>
              <w:jc w:val="right"/>
              <w:ind w:right="1970"/>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81"/>
        </w:trPr>
        <w:tc>
          <w:tcPr>
            <w:tcW w:w="3180" w:type="dxa"/>
            <w:vAlign w:val="bottom"/>
            <w:tcBorders>
              <w:bottom w:val="single" w:sz="8" w:color="9A9A9A"/>
            </w:tcBorders>
          </w:tcPr>
          <w:p>
            <w:pPr>
              <w:spacing w:after="0"/>
              <w:rPr>
                <w:sz w:val="7"/>
                <w:szCs w:val="7"/>
                <w:color w:val="auto"/>
              </w:rPr>
            </w:pPr>
          </w:p>
        </w:tc>
        <w:tc>
          <w:tcPr>
            <w:tcW w:w="36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r>
        <w:trPr>
          <w:trHeight w:val="20"/>
        </w:trPr>
        <w:tc>
          <w:tcPr>
            <w:tcW w:w="3180" w:type="dxa"/>
            <w:vAlign w:val="bottom"/>
            <w:tcBorders>
              <w:bottom w:val="single" w:sz="8" w:color="EEEEEE"/>
            </w:tcBorders>
          </w:tcPr>
          <w:p>
            <w:pPr>
              <w:spacing w:after="0" w:line="20" w:lineRule="exact"/>
              <w:rPr>
                <w:sz w:val="1"/>
                <w:szCs w:val="1"/>
                <w:color w:val="auto"/>
              </w:rPr>
            </w:pPr>
          </w:p>
        </w:tc>
        <w:tc>
          <w:tcPr>
            <w:tcW w:w="36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-38100</wp:posOffset>
            </wp:positionV>
            <wp:extent cx="3429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00"/>
          </w:cols>
          <w:pgMar w:left="1220" w:top="108" w:right="11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 and Stock-Based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Placements</w:t>
      </w:r>
    </w:p>
    <w:p>
      <w:pPr>
        <w:spacing w:after="0" w:line="171" w:lineRule="exact"/>
        <w:rPr>
          <w:sz w:val="20"/>
          <w:szCs w:val="20"/>
          <w:color w:val="auto"/>
        </w:rPr>
      </w:pPr>
    </w:p>
    <w:p>
      <w:pPr>
        <w:jc w:val="both"/>
        <w:ind w:firstLine="363"/>
        <w:spacing w:after="0" w:line="219" w:lineRule="auto"/>
        <w:rPr>
          <w:sz w:val="20"/>
          <w:szCs w:val="20"/>
          <w:color w:val="auto"/>
        </w:rPr>
      </w:pPr>
      <w:r>
        <w:rPr>
          <w:rFonts w:ascii="Arial" w:cs="Arial" w:eastAsia="Arial" w:hAnsi="Arial"/>
          <w:sz w:val="18"/>
          <w:szCs w:val="18"/>
          <w:color w:val="auto"/>
        </w:rPr>
        <w:t>On February 7, 2017, the Company entered into a securities purchase agreement with Robert W. Duggan and Maky Zanganeh (the “Investors”), pursuant to which the Company, in a private placement, issued and sold to the Investors an aggregate of 819,673 shares of the Company’s common stock, par value $0.001 per share, at a price per share of $6.10, for net proceeds of approximately $5.0 million.</w:t>
      </w:r>
    </w:p>
    <w:p>
      <w:pPr>
        <w:spacing w:after="0" w:line="122" w:lineRule="exact"/>
        <w:rPr>
          <w:sz w:val="20"/>
          <w:szCs w:val="20"/>
          <w:color w:val="auto"/>
        </w:rPr>
      </w:pPr>
    </w:p>
    <w:p>
      <w:pPr>
        <w:ind w:right="80" w:firstLine="441"/>
        <w:spacing w:after="0" w:line="241" w:lineRule="auto"/>
        <w:rPr>
          <w:sz w:val="20"/>
          <w:szCs w:val="20"/>
          <w:color w:val="auto"/>
        </w:rPr>
      </w:pPr>
      <w:r>
        <w:rPr>
          <w:rFonts w:ascii="Arial" w:cs="Arial" w:eastAsia="Arial" w:hAnsi="Arial"/>
          <w:sz w:val="16"/>
          <w:szCs w:val="16"/>
          <w:color w:val="auto"/>
        </w:rPr>
        <w:t>On September 24, 2017, the Company entered into a securities purchase agreement with Robert W. Duggan, pursuant to which the Company, in a private placement, issued and sold to Robert W. Duggan an aggregate of 2,000,000 shares of the Company’s common stock, par value $0.001 per share, at a price per share of $15.02, for net proceeds of approximately $29.9 million. In connection with this private placement, the Company granted certain registration rights to Robert W. Duggan, pursuant to which, among other things, the Company is obligated to prepare and file with the Securities and Exchange Commission a registration statement to register for resale of these shares when commercially reasonable, but no earlier than January 2,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71" w:lineRule="exact"/>
        <w:rPr>
          <w:sz w:val="20"/>
          <w:szCs w:val="20"/>
          <w:color w:val="auto"/>
        </w:rPr>
      </w:pPr>
    </w:p>
    <w:p>
      <w:pPr>
        <w:jc w:val="both"/>
        <w:ind w:firstLine="356"/>
        <w:spacing w:after="0" w:line="223" w:lineRule="auto"/>
        <w:rPr>
          <w:sz w:val="20"/>
          <w:szCs w:val="20"/>
          <w:color w:val="auto"/>
        </w:rPr>
      </w:pPr>
      <w:r>
        <w:rPr>
          <w:rFonts w:ascii="Arial" w:cs="Arial" w:eastAsia="Arial" w:hAnsi="Arial"/>
          <w:sz w:val="17"/>
          <w:szCs w:val="17"/>
          <w:color w:val="auto"/>
        </w:rPr>
        <w:t>In connection with a private placement offering of the Company’s shares of common stock in 2014, the Company issued warrants as compensation to MDB Capital Group LLC (“MDB”) to purchase a total of 299,625 shares of its common stock at a price of $2.67 per share (the “Private Placement Warrants”). The Private Placement Warrants are exercisable for period of seven years. As of March 31, 2018, there were a total of 91,876 of Private Placement Warrants outstanding. In connection with the closing of the Company’s initial public offering in 2016, the Company issued warrants as compensation to MDB, as representatives of the underwriters of its initial public offering to purchase a total of 574,985 shares of its common stock at a price of $5.00 per share (“the IPO Warrants”). The IPO Warrants are exercisable for a period of five years. As of March 31, 2018, there were a total of 157,833 of the IPO Warrants outstanding.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Equity Incentive Plan and 2017 Inducement Equity Incentive Plan</w:t>
      </w:r>
    </w:p>
    <w:p>
      <w:pPr>
        <w:spacing w:after="0" w:line="171" w:lineRule="exact"/>
        <w:rPr>
          <w:sz w:val="20"/>
          <w:szCs w:val="20"/>
          <w:color w:val="auto"/>
        </w:rPr>
      </w:pPr>
    </w:p>
    <w:p>
      <w:pPr>
        <w:ind w:right="320" w:firstLine="356"/>
        <w:spacing w:after="0" w:line="235" w:lineRule="auto"/>
        <w:rPr>
          <w:sz w:val="20"/>
          <w:szCs w:val="20"/>
          <w:color w:val="auto"/>
        </w:rPr>
      </w:pPr>
      <w:r>
        <w:rPr>
          <w:rFonts w:ascii="Arial" w:cs="Arial" w:eastAsia="Arial" w:hAnsi="Arial"/>
          <w:sz w:val="18"/>
          <w:szCs w:val="18"/>
          <w:color w:val="auto"/>
        </w:rPr>
        <w:t>The Board of Directors of the Company (the “Board”) previously adopted, and the Company’s stockholders approved, the Company’s 2017 Equity Incentive Plan (the “2017 Plan”).</w:t>
      </w:r>
    </w:p>
    <w:p>
      <w:pPr>
        <w:spacing w:after="0" w:line="148" w:lineRule="exact"/>
        <w:rPr>
          <w:sz w:val="20"/>
          <w:szCs w:val="20"/>
          <w:color w:val="auto"/>
        </w:rPr>
      </w:pPr>
    </w:p>
    <w:p>
      <w:pPr>
        <w:ind w:right="40" w:firstLine="356"/>
        <w:spacing w:after="0" w:line="234" w:lineRule="auto"/>
        <w:rPr>
          <w:sz w:val="20"/>
          <w:szCs w:val="20"/>
          <w:color w:val="auto"/>
        </w:rPr>
      </w:pPr>
      <w:r>
        <w:rPr>
          <w:rFonts w:ascii="Arial" w:cs="Arial" w:eastAsia="Arial" w:hAnsi="Arial"/>
          <w:sz w:val="16"/>
          <w:szCs w:val="16"/>
          <w:color w:val="auto"/>
        </w:rPr>
        <w:t>The 2017 Plan has a 10-year term, and provides for the grant of stock options, stock appreciation rights, restricted stock, restricted stock units, performance units, and performance shares to employees, directors and consultants of the Company and any parent or subsidiary of the Company, as the Compensation Committee of the Board may determine. Subject to an annual evergreen increase and adjustment in the case of certain capitalization events, the Company initially reserved 1,500,000 shares of the Company’s common stock for issuance pursuant to awards under the 2017 Plan. In addition, shares remaining available under the Company’s 2015 Equity Incentive Plan, as amended (the “2015 Plan”), and shares reserved but not issued pursuant to outstanding equity awards that expire or terminate without being exercised or that are forfeited or repurchased by the Company will be added to the shares of common stock available for issuance under the 2017 Plan. The 2017 Plan is administered by the Board’s Compensation Committee. Effective January 1, 2018, the Company’s Board authorized an increase in the number of shares of common stock available under the 2017 Plan by 672,915 shares pursuant to the evergreen provision of the 2017 Plan. Pursuant to the 2017 Plan, the 2018 share increase is determined based on the least of (i) 1,200,000 shares, (ii) 4% of the Company’s common stock outstanding at December 31 of the immediately preceding year, or (iii) such number of shares as determined by the Board. As of March 31, 2018, 723,929 shares of common stock were available for issuance under the 2017 Plan.</w:t>
      </w:r>
    </w:p>
    <w:p>
      <w:pPr>
        <w:spacing w:after="0" w:line="139" w:lineRule="exact"/>
        <w:rPr>
          <w:sz w:val="20"/>
          <w:szCs w:val="20"/>
          <w:color w:val="auto"/>
        </w:rPr>
      </w:pPr>
    </w:p>
    <w:p>
      <w:pPr>
        <w:jc w:val="both"/>
        <w:ind w:right="40" w:firstLine="356"/>
        <w:spacing w:after="0" w:line="224" w:lineRule="auto"/>
        <w:rPr>
          <w:sz w:val="20"/>
          <w:szCs w:val="20"/>
          <w:color w:val="auto"/>
        </w:rPr>
      </w:pPr>
      <w:r>
        <w:rPr>
          <w:rFonts w:ascii="Arial" w:cs="Arial" w:eastAsia="Arial" w:hAnsi="Arial"/>
          <w:sz w:val="18"/>
          <w:szCs w:val="18"/>
          <w:color w:val="auto"/>
        </w:rPr>
        <w:t>During November 2017, the Board adopted the 2017 Inducement Equity Incentive Plan (the “Inducement Plan”) and reserved 1,000,000 shares of the Company’s common stock for issuance pursuant to equity awards granted under the Inducement Plan. The Inducement Plan was adopted without stockholder approval.</w:t>
      </w:r>
    </w:p>
    <w:p>
      <w:pPr>
        <w:spacing w:after="0" w:line="150" w:lineRule="exact"/>
        <w:rPr>
          <w:sz w:val="20"/>
          <w:szCs w:val="20"/>
          <w:color w:val="auto"/>
        </w:rPr>
      </w:pPr>
    </w:p>
    <w:p>
      <w:pPr>
        <w:ind w:right="140" w:firstLine="356"/>
        <w:spacing w:after="0" w:line="241" w:lineRule="auto"/>
        <w:rPr>
          <w:sz w:val="20"/>
          <w:szCs w:val="20"/>
          <w:color w:val="auto"/>
        </w:rPr>
      </w:pPr>
      <w:r>
        <w:rPr>
          <w:rFonts w:ascii="Arial" w:cs="Arial" w:eastAsia="Arial" w:hAnsi="Arial"/>
          <w:sz w:val="16"/>
          <w:szCs w:val="16"/>
          <w:color w:val="auto"/>
        </w:rPr>
        <w:t>The Inducement Plan has a 10-year term, and provides for the grant of equity-based awards, including nonstatutory stock options, restricted stock units, restricted stock, stock appreciation rights, performance shares and performance units, and its terms are substantially similar to the 2017 Plan, including with respect to treatment of equity awards in the event of a “merger” or “change in control” as defined under the Inducement Plan. Options issued under the Inducement Plan may have a term up to ten years and have variable vesting provisions. New hire grants generally vest 25% upon the first anniversary of the grant and 1/48th monthly thereafter, over the subsequent 36 months. Equity-based awards issued under the Inducement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51"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Plan are only issuable to individuals not previously engaged as employees or non-employee directors of the Company prior to the Inducement Plan’s adoption date. As of March 31, 2018, 857,000 shares of common stock were available for issuance under the Inducement Plan.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Employee Stock Purchase Plan</w:t>
      </w:r>
    </w:p>
    <w:p>
      <w:pPr>
        <w:spacing w:after="0" w:line="171" w:lineRule="exact"/>
        <w:rPr>
          <w:sz w:val="20"/>
          <w:szCs w:val="20"/>
          <w:color w:val="auto"/>
        </w:rPr>
      </w:pPr>
    </w:p>
    <w:p>
      <w:pPr>
        <w:ind w:right="40" w:firstLine="356"/>
        <w:spacing w:after="0" w:line="235" w:lineRule="auto"/>
        <w:rPr>
          <w:sz w:val="20"/>
          <w:szCs w:val="20"/>
          <w:color w:val="auto"/>
        </w:rPr>
      </w:pPr>
      <w:r>
        <w:rPr>
          <w:rFonts w:ascii="Arial" w:cs="Arial" w:eastAsia="Arial" w:hAnsi="Arial"/>
          <w:sz w:val="18"/>
          <w:szCs w:val="18"/>
          <w:color w:val="auto"/>
        </w:rPr>
        <w:t>The Board previously adopted and the stockholders approved the Company’s 2017 Employee Stock Purchase Plan (the “2017 ESPP”).</w:t>
      </w:r>
    </w:p>
    <w:p>
      <w:pPr>
        <w:spacing w:after="0" w:line="148" w:lineRule="exact"/>
        <w:rPr>
          <w:sz w:val="20"/>
          <w:szCs w:val="20"/>
          <w:color w:val="auto"/>
        </w:rPr>
      </w:pPr>
    </w:p>
    <w:p>
      <w:pPr>
        <w:ind w:right="40" w:firstLine="356"/>
        <w:spacing w:after="0" w:line="236" w:lineRule="auto"/>
        <w:rPr>
          <w:sz w:val="20"/>
          <w:szCs w:val="20"/>
          <w:color w:val="auto"/>
        </w:rPr>
      </w:pPr>
      <w:r>
        <w:rPr>
          <w:rFonts w:ascii="Arial" w:cs="Arial" w:eastAsia="Arial" w:hAnsi="Arial"/>
          <w:sz w:val="16"/>
          <w:szCs w:val="16"/>
          <w:color w:val="auto"/>
        </w:rPr>
        <w:t>The 2017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2017 ESPP. Effective January 1, 2018, the Board authorized an increase in the number of shares of common stock available under the 2017 ESPP by 252,343 shares pursuant to the evergreen provision of the 2017 ESPP. Pursuant to the 2017 ESPP, the annual share increase pursuant to the evergreen provision is determined based on the least of (i) 450,000 shares, (ii) 1.5% of the Company’s common stock outstanding at December 31 of the immediately preceding year, or (iii) such number of shares as determined by the Board. During the three-month period ended March 31, 2018, the Company issued 12,239 shares of common stock under the 2017 ESPP. As of March 31, 2018, 490,104 shares of common stock were available for issuance under the 2017 ESPP.</w:t>
      </w:r>
    </w:p>
    <w:p>
      <w:pPr>
        <w:spacing w:after="0" w:line="136" w:lineRule="exact"/>
        <w:rPr>
          <w:sz w:val="20"/>
          <w:szCs w:val="20"/>
          <w:color w:val="auto"/>
        </w:rPr>
      </w:pPr>
    </w:p>
    <w:p>
      <w:pPr>
        <w:ind w:right="680" w:firstLine="363"/>
        <w:spacing w:after="0" w:line="235" w:lineRule="auto"/>
        <w:tabs>
          <w:tab w:leader="none" w:pos="583"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stock option activity under the 2015 Plan, 2017 Plan and Inducement Plan for the three-months ended March 31, 2018 is presented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4"/>
              </w:rPr>
              <w:t>Stock Options Outstanding</w:t>
            </w:r>
          </w:p>
        </w:tc>
        <w:tc>
          <w:tcPr>
            <w:tcW w:w="1540" w:type="dxa"/>
            <w:vAlign w:val="bottom"/>
            <w:tcBorders>
              <w:bottom w:val="single" w:sz="8" w:color="auto"/>
            </w:tcBorders>
          </w:tcPr>
          <w:p>
            <w:pPr>
              <w:spacing w:after="0"/>
              <w:rPr>
                <w:sz w:val="14"/>
                <w:szCs w:val="14"/>
                <w:color w:val="auto"/>
              </w:rPr>
            </w:pPr>
          </w:p>
        </w:tc>
      </w:tr>
      <w:tr>
        <w:trPr>
          <w:trHeight w:val="184"/>
        </w:trPr>
        <w:tc>
          <w:tcPr>
            <w:tcW w:w="45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40" w:type="dxa"/>
            <w:vAlign w:val="bottom"/>
          </w:tcPr>
          <w:p>
            <w:pPr>
              <w:jc w:val="center"/>
              <w:ind w:right="495"/>
              <w:spacing w:after="0"/>
              <w:rPr>
                <w:sz w:val="20"/>
                <w:szCs w:val="20"/>
                <w:color w:val="auto"/>
              </w:rPr>
            </w:pPr>
            <w:r>
              <w:rPr>
                <w:rFonts w:ascii="Arial" w:cs="Arial" w:eastAsia="Arial" w:hAnsi="Arial"/>
                <w:sz w:val="14"/>
                <w:szCs w:val="14"/>
                <w:b w:val="1"/>
                <w:bCs w:val="1"/>
                <w:color w:val="auto"/>
                <w:w w:val="95"/>
              </w:rPr>
              <w:t>Weighted</w:t>
            </w:r>
          </w:p>
        </w:tc>
      </w:tr>
      <w:tr>
        <w:trPr>
          <w:trHeight w:val="189"/>
        </w:trPr>
        <w:tc>
          <w:tcPr>
            <w:tcW w:w="4580" w:type="dxa"/>
            <w:vAlign w:val="bottom"/>
          </w:tcPr>
          <w:p>
            <w:pPr>
              <w:spacing w:after="0"/>
              <w:rPr>
                <w:sz w:val="16"/>
                <w:szCs w:val="16"/>
                <w:color w:val="auto"/>
              </w:rPr>
            </w:pPr>
          </w:p>
        </w:tc>
        <w:tc>
          <w:tcPr>
            <w:tcW w:w="1460" w:type="dxa"/>
            <w:vAlign w:val="bottom"/>
          </w:tcPr>
          <w:p>
            <w:pPr>
              <w:ind w:left="880"/>
              <w:spacing w:after="0"/>
              <w:rPr>
                <w:sz w:val="20"/>
                <w:szCs w:val="20"/>
                <w:color w:val="auto"/>
              </w:rPr>
            </w:pPr>
            <w:r>
              <w:rPr>
                <w:rFonts w:ascii="Arial" w:cs="Arial" w:eastAsia="Arial" w:hAnsi="Arial"/>
                <w:sz w:val="14"/>
                <w:szCs w:val="14"/>
                <w:b w:val="1"/>
                <w:bCs w:val="1"/>
                <w:color w:val="auto"/>
              </w:rPr>
              <w:t>Number</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40" w:type="dxa"/>
            <w:vAlign w:val="bottom"/>
          </w:tcPr>
          <w:p>
            <w:pPr>
              <w:jc w:val="center"/>
              <w:ind w:right="495"/>
              <w:spacing w:after="0"/>
              <w:rPr>
                <w:sz w:val="20"/>
                <w:szCs w:val="20"/>
                <w:color w:val="auto"/>
              </w:rPr>
            </w:pPr>
            <w:r>
              <w:rPr>
                <w:rFonts w:ascii="Arial" w:cs="Arial" w:eastAsia="Arial" w:hAnsi="Arial"/>
                <w:sz w:val="14"/>
                <w:szCs w:val="14"/>
                <w:b w:val="1"/>
                <w:bCs w:val="1"/>
                <w:color w:val="auto"/>
                <w:w w:val="90"/>
              </w:rPr>
              <w:t>average</w:t>
            </w:r>
          </w:p>
        </w:tc>
      </w:tr>
      <w:tr>
        <w:trPr>
          <w:trHeight w:val="174"/>
        </w:trPr>
        <w:tc>
          <w:tcPr>
            <w:tcW w:w="45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w w:val="93"/>
              </w:rPr>
              <w:t>of shares</w:t>
            </w: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495"/>
              <w:spacing w:after="0"/>
              <w:rPr>
                <w:sz w:val="20"/>
                <w:szCs w:val="20"/>
                <w:color w:val="auto"/>
              </w:rPr>
            </w:pPr>
            <w:r>
              <w:rPr>
                <w:rFonts w:ascii="Arial" w:cs="Arial" w:eastAsia="Arial" w:hAnsi="Arial"/>
                <w:sz w:val="14"/>
                <w:szCs w:val="14"/>
                <w:b w:val="1"/>
                <w:bCs w:val="1"/>
                <w:color w:val="auto"/>
                <w:w w:val="89"/>
              </w:rPr>
              <w:t>exercise price</w:t>
            </w:r>
          </w:p>
        </w:tc>
      </w:tr>
      <w:tr>
        <w:trPr>
          <w:trHeight w:val="210"/>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 December 31, 2017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2,598,659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14.52</w:t>
            </w:r>
          </w:p>
        </w:tc>
      </w:tr>
      <w:tr>
        <w:trPr>
          <w:trHeight w:val="230"/>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(37,905)</w:t>
            </w: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Options canceled</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(12,000)</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19.99</w:t>
            </w: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Options expired</w:t>
            </w:r>
          </w:p>
        </w:tc>
        <w:tc>
          <w:tcPr>
            <w:tcW w:w="1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Balances — March 31, 2018</w:t>
            </w:r>
          </w:p>
        </w:tc>
        <w:tc>
          <w:tcPr>
            <w:tcW w:w="14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2,598,754</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17.02</w:t>
            </w:r>
          </w:p>
        </w:tc>
      </w:tr>
      <w:tr>
        <w:trPr>
          <w:trHeight w:val="22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 March 31, 2018</w:t>
            </w:r>
          </w:p>
        </w:tc>
        <w:tc>
          <w:tcPr>
            <w:tcW w:w="1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932,784</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stock-based compensation expense consisted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160" w:type="dxa"/>
            <w:vAlign w:val="bottom"/>
            <w:gridSpan w:val="4"/>
          </w:tcPr>
          <w:p>
            <w:pPr>
              <w:jc w:val="right"/>
              <w:ind w:right="366"/>
              <w:spacing w:after="0"/>
              <w:rPr>
                <w:sz w:val="20"/>
                <w:szCs w:val="20"/>
                <w:color w:val="auto"/>
              </w:rPr>
            </w:pPr>
            <w:r>
              <w:rPr>
                <w:rFonts w:ascii="Arial" w:cs="Arial" w:eastAsia="Arial" w:hAnsi="Arial"/>
                <w:sz w:val="14"/>
                <w:szCs w:val="14"/>
                <w:b w:val="1"/>
                <w:bCs w:val="1"/>
                <w:color w:val="auto"/>
              </w:rPr>
              <w:t>Three-Month Periods Ended</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5"/>
        </w:trPr>
        <w:tc>
          <w:tcPr>
            <w:tcW w:w="3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946"/>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83"/>
        </w:trPr>
        <w:tc>
          <w:tcPr>
            <w:tcW w:w="3900" w:type="dxa"/>
            <w:vAlign w:val="bottom"/>
            <w:tcBorders>
              <w:bottom w:val="single" w:sz="8" w:color="CCEEFF"/>
            </w:tcBorders>
          </w:tcPr>
          <w:p>
            <w:pPr>
              <w:spacing w:after="0"/>
              <w:rPr>
                <w:sz w:val="15"/>
                <w:szCs w:val="15"/>
                <w:color w:val="auto"/>
              </w:rPr>
            </w:pPr>
          </w:p>
        </w:tc>
        <w:tc>
          <w:tcPr>
            <w:tcW w:w="19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40" w:type="dxa"/>
            <w:vAlign w:val="bottom"/>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6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0" w:type="dxa"/>
            <w:vAlign w:val="bottom"/>
          </w:tcPr>
          <w:p>
            <w:pPr>
              <w:spacing w:after="0"/>
              <w:rPr>
                <w:sz w:val="18"/>
                <w:szCs w:val="18"/>
                <w:color w:val="auto"/>
              </w:rPr>
            </w:pPr>
          </w:p>
        </w:tc>
      </w:tr>
      <w:tr>
        <w:trPr>
          <w:trHeight w:val="230"/>
        </w:trPr>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19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9"/>
                <w:szCs w:val="19"/>
                <w:color w:val="auto"/>
              </w:rPr>
            </w:pPr>
          </w:p>
        </w:tc>
      </w:tr>
      <w:tr>
        <w:trPr>
          <w:trHeight w:val="230"/>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3040" w:type="dxa"/>
            <w:vAlign w:val="bottom"/>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6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0" w:type="dxa"/>
            <w:vAlign w:val="bottom"/>
          </w:tcPr>
          <w:p>
            <w:pPr>
              <w:spacing w:after="0"/>
              <w:rPr>
                <w:sz w:val="19"/>
                <w:szCs w:val="19"/>
                <w:color w:val="auto"/>
              </w:rPr>
            </w:pPr>
          </w:p>
        </w:tc>
      </w:tr>
      <w:tr>
        <w:trPr>
          <w:trHeight w:val="581"/>
        </w:trPr>
        <w:tc>
          <w:tcPr>
            <w:tcW w:w="3900" w:type="dxa"/>
            <w:vAlign w:val="bottom"/>
            <w:tcBorders>
              <w:top w:val="single" w:sz="8" w:color="CCEEFF"/>
            </w:tcBorders>
          </w:tcPr>
          <w:p>
            <w:pPr>
              <w:spacing w:after="0"/>
              <w:rPr>
                <w:sz w:val="24"/>
                <w:szCs w:val="24"/>
                <w:color w:val="auto"/>
              </w:rPr>
            </w:pPr>
          </w:p>
        </w:tc>
        <w:tc>
          <w:tcPr>
            <w:tcW w:w="1900" w:type="dxa"/>
            <w:vAlign w:val="bottom"/>
            <w:tcBorders>
              <w:top w:val="single" w:sz="8" w:color="CCEEFF"/>
            </w:tcBorders>
          </w:tcPr>
          <w:p>
            <w:pPr>
              <w:jc w:val="right"/>
              <w:ind w:right="890"/>
              <w:spacing w:after="0"/>
              <w:rPr>
                <w:sz w:val="20"/>
                <w:szCs w:val="20"/>
                <w:color w:val="auto"/>
              </w:rPr>
            </w:pPr>
            <w:r>
              <w:rPr>
                <w:rFonts w:ascii="Arial" w:cs="Arial" w:eastAsia="Arial" w:hAnsi="Arial"/>
                <w:sz w:val="18"/>
                <w:szCs w:val="18"/>
                <w:color w:val="auto"/>
              </w:rPr>
              <w:t>11</w:t>
            </w:r>
          </w:p>
        </w:tc>
        <w:tc>
          <w:tcPr>
            <w:tcW w:w="1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81"/>
        </w:trPr>
        <w:tc>
          <w:tcPr>
            <w:tcW w:w="390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r>
        <w:trPr>
          <w:trHeight w:val="20"/>
        </w:trPr>
        <w:tc>
          <w:tcPr>
            <w:tcW w:w="3900" w:type="dxa"/>
            <w:vAlign w:val="bottom"/>
            <w:tcBorders>
              <w:bottom w:val="single" w:sz="8" w:color="EEEEEE"/>
            </w:tcBorders>
          </w:tcPr>
          <w:p>
            <w:pPr>
              <w:spacing w:after="0" w:line="20" w:lineRule="exact"/>
              <w:rPr>
                <w:sz w:val="1"/>
                <w:szCs w:val="1"/>
                <w:color w:val="auto"/>
              </w:rPr>
            </w:pPr>
          </w:p>
        </w:tc>
        <w:tc>
          <w:tcPr>
            <w:tcW w:w="190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-38100</wp:posOffset>
            </wp:positionV>
            <wp:extent cx="3429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00"/>
          </w:cols>
          <w:pgMar w:left="1220" w:top="108" w:right="11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80" w:firstLine="441"/>
        <w:spacing w:after="0" w:line="244" w:lineRule="auto"/>
        <w:rPr>
          <w:sz w:val="20"/>
          <w:szCs w:val="20"/>
          <w:color w:val="auto"/>
        </w:rPr>
      </w:pPr>
      <w:r>
        <w:rPr>
          <w:rFonts w:ascii="Arial" w:cs="Arial" w:eastAsia="Arial" w:hAnsi="Arial"/>
          <w:sz w:val="16"/>
          <w:szCs w:val="16"/>
          <w:color w:val="auto"/>
        </w:rPr>
        <w:t>The Company estimated the fair value of employee stock options on the grant date using the Black-Scholes option pricing model. The estimated fair value of employee stock options is amortized on a straight-line basis over the requisite service period of the awards. The Company reviews, and when deemed appropriate, updates the assumptions used on a periodic basis. Due to the limited trading history of the Company’s common stock, the Company utilizes a portfolio of comparable companies to estimate volatility. The fair value of employee stock options was estimated using the following weighted-average assumptions: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488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Three-Month Periods Ended March 31,</w:t>
            </w:r>
          </w:p>
        </w:tc>
      </w:tr>
      <w:tr>
        <w:trPr>
          <w:trHeight w:val="169"/>
        </w:trPr>
        <w:tc>
          <w:tcPr>
            <w:tcW w:w="4580" w:type="dxa"/>
            <w:vAlign w:val="bottom"/>
            <w:tcBorders>
              <w:bottom w:val="single" w:sz="8" w:color="CCEEFF"/>
            </w:tcBorders>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480" w:type="dxa"/>
            <w:vAlign w:val="bottom"/>
            <w:tcBorders>
              <w:bottom w:val="single" w:sz="8" w:color="CCEEFF"/>
            </w:tcBorders>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6.08</w:t>
            </w:r>
          </w:p>
        </w:tc>
        <w:tc>
          <w:tcPr>
            <w:tcW w:w="480" w:type="dxa"/>
            <w:vAlign w:val="bottom"/>
            <w:shd w:val="clear" w:color="auto" w:fill="CCEEFF"/>
          </w:tcPr>
          <w:p>
            <w:pPr>
              <w:spacing w:after="0"/>
              <w:rPr>
                <w:sz w:val="18"/>
                <w:szCs w:val="18"/>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5.8 - 6.1</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Expected volatility</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70%</w:t>
            </w:r>
          </w:p>
        </w:tc>
        <w:tc>
          <w:tcPr>
            <w:tcW w:w="48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80%</w:t>
            </w: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2.69%</w:t>
            </w:r>
          </w:p>
        </w:tc>
        <w:tc>
          <w:tcPr>
            <w:tcW w:w="480" w:type="dxa"/>
            <w:vAlign w:val="bottom"/>
            <w:shd w:val="clear" w:color="auto" w:fill="CCEEFF"/>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2.0 - 2.1%</w:t>
            </w:r>
          </w:p>
        </w:tc>
      </w:tr>
      <w:tr>
        <w:trPr>
          <w:trHeight w:val="257"/>
        </w:trPr>
        <w:tc>
          <w:tcPr>
            <w:tcW w:w="4580" w:type="dxa"/>
            <w:vAlign w:val="bottom"/>
          </w:tcPr>
          <w:p>
            <w:pPr>
              <w:spacing w:after="0"/>
              <w:rPr>
                <w:sz w:val="20"/>
                <w:szCs w:val="20"/>
                <w:color w:val="auto"/>
              </w:rPr>
            </w:pPr>
            <w:r>
              <w:rPr>
                <w:rFonts w:ascii="Arial" w:cs="Arial" w:eastAsia="Arial" w:hAnsi="Arial"/>
                <w:sz w:val="18"/>
                <w:szCs w:val="18"/>
                <w:color w:val="auto"/>
              </w:rPr>
              <w:t>Dividend yield</w:t>
            </w:r>
          </w:p>
        </w:tc>
        <w:tc>
          <w:tcPr>
            <w:tcW w:w="276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96" w:lineRule="exact"/>
        <w:rPr>
          <w:sz w:val="20"/>
          <w:szCs w:val="20"/>
          <w:color w:val="auto"/>
        </w:rPr>
      </w:pPr>
    </w:p>
    <w:p>
      <w:pPr>
        <w:ind w:right="100" w:firstLine="441"/>
        <w:spacing w:after="0" w:line="216" w:lineRule="auto"/>
        <w:rPr>
          <w:sz w:val="20"/>
          <w:szCs w:val="20"/>
          <w:color w:val="auto"/>
        </w:rPr>
      </w:pPr>
      <w:r>
        <w:rPr>
          <w:rFonts w:ascii="Arial" w:cs="Arial" w:eastAsia="Arial" w:hAnsi="Arial"/>
          <w:sz w:val="18"/>
          <w:szCs w:val="18"/>
          <w:color w:val="auto"/>
        </w:rPr>
        <w:t>The Company estimated the fair value of ESPP on the grant date using the Black-Scholes option pricing model. The estimated fair value of ESPP is amortized on a straight-line basis over the requisite service period of the awards. The Company reviews, and when deemed appropriate, updates the assumptions used on a periodic basis. The Company utilizes its own volatility in the Black-Scholes option pricing model to determine the fair value of ESPP. The fair value of ESPP was estimated using the following weighted-average assumptions: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366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w w:val="94"/>
              </w:rPr>
              <w:t>Three-Month Periods Ended March 31,</w:t>
            </w:r>
          </w:p>
        </w:tc>
        <w:tc>
          <w:tcPr>
            <w:tcW w:w="1220" w:type="dxa"/>
            <w:vAlign w:val="bottom"/>
            <w:tcBorders>
              <w:bottom w:val="single" w:sz="8" w:color="auto"/>
            </w:tcBorders>
          </w:tcPr>
          <w:p>
            <w:pPr>
              <w:spacing w:after="0"/>
              <w:rPr>
                <w:sz w:val="14"/>
                <w:szCs w:val="14"/>
                <w:color w:val="auto"/>
              </w:rPr>
            </w:pPr>
          </w:p>
        </w:tc>
      </w:tr>
      <w:tr>
        <w:trPr>
          <w:trHeight w:val="169"/>
        </w:trPr>
        <w:tc>
          <w:tcPr>
            <w:tcW w:w="4580" w:type="dxa"/>
            <w:vAlign w:val="bottom"/>
            <w:tcBorders>
              <w:bottom w:val="single" w:sz="8" w:color="CCEEFF"/>
            </w:tcBorders>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4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2017</w:t>
            </w: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0.5-1.0</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Expected volatility</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70%</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N/A</w:t>
            </w: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 - 2.1%</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r>
      <w:tr>
        <w:trPr>
          <w:trHeight w:val="257"/>
        </w:trPr>
        <w:tc>
          <w:tcPr>
            <w:tcW w:w="4580" w:type="dxa"/>
            <w:vAlign w:val="bottom"/>
          </w:tcPr>
          <w:p>
            <w:pPr>
              <w:spacing w:after="0"/>
              <w:rPr>
                <w:sz w:val="20"/>
                <w:szCs w:val="20"/>
                <w:color w:val="auto"/>
              </w:rPr>
            </w:pPr>
            <w:r>
              <w:rPr>
                <w:rFonts w:ascii="Arial" w:cs="Arial" w:eastAsia="Arial" w:hAnsi="Arial"/>
                <w:sz w:val="18"/>
                <w:szCs w:val="18"/>
                <w:color w:val="auto"/>
              </w:rPr>
              <w:t>Dividend yield</w:t>
            </w:r>
          </w:p>
        </w:tc>
        <w:tc>
          <w:tcPr>
            <w:tcW w:w="3660" w:type="dxa"/>
            <w:vAlign w:val="bottom"/>
            <w:gridSpan w:val="3"/>
          </w:tcPr>
          <w:p>
            <w:pPr>
              <w:jc w:val="center"/>
              <w:ind w:right="1400"/>
              <w:spacing w:after="0"/>
              <w:rPr>
                <w:sz w:val="20"/>
                <w:szCs w:val="20"/>
                <w:color w:val="auto"/>
              </w:rPr>
            </w:pPr>
            <w:r>
              <w:rPr>
                <w:rFonts w:ascii="Arial" w:cs="Arial" w:eastAsia="Arial" w:hAnsi="Arial"/>
                <w:sz w:val="18"/>
                <w:szCs w:val="18"/>
                <w:color w:val="auto"/>
                <w:w w:val="99"/>
              </w:rPr>
              <w:t>—</w:t>
            </w:r>
          </w:p>
        </w:tc>
        <w:tc>
          <w:tcPr>
            <w:tcW w:w="1220" w:type="dxa"/>
            <w:vAlign w:val="bottom"/>
          </w:tcPr>
          <w:p>
            <w:pPr>
              <w:spacing w:after="0"/>
              <w:rPr>
                <w:sz w:val="20"/>
                <w:szCs w:val="20"/>
                <w:color w:val="auto"/>
              </w:rPr>
            </w:pPr>
            <w:r>
              <w:rPr>
                <w:rFonts w:ascii="Arial" w:cs="Arial" w:eastAsia="Arial" w:hAnsi="Arial"/>
                <w:sz w:val="18"/>
                <w:szCs w:val="18"/>
                <w:color w:val="auto"/>
              </w:rPr>
              <w:t>N/A</w:t>
            </w:r>
          </w:p>
        </w:tc>
      </w:tr>
    </w:tbl>
    <w:p>
      <w:pPr>
        <w:spacing w:after="0" w:line="148" w:lineRule="exact"/>
        <w:rPr>
          <w:sz w:val="20"/>
          <w:szCs w:val="20"/>
          <w:color w:val="auto"/>
        </w:rPr>
      </w:pPr>
    </w:p>
    <w:p>
      <w:pPr>
        <w:ind w:firstLine="441"/>
        <w:spacing w:after="0" w:line="237" w:lineRule="auto"/>
        <w:rPr>
          <w:sz w:val="20"/>
          <w:szCs w:val="20"/>
          <w:color w:val="auto"/>
        </w:rPr>
      </w:pPr>
      <w:r>
        <w:rPr>
          <w:rFonts w:ascii="Arial" w:cs="Arial" w:eastAsia="Arial" w:hAnsi="Arial"/>
          <w:sz w:val="16"/>
          <w:szCs w:val="16"/>
          <w:color w:val="auto"/>
        </w:rPr>
        <w:t>The fair value of restricted stock unit (“RSUs”) awards is determined based on the number of units granted and the closing price of the Company’s common stock as of the grant date. The estimated fair value of RSUs is recognized on a straight-line basis over the requisite service period. In the three-month period ended June 30, 2017, the Company granted 160,974 RSUs to an officer, with a cliff vest in June 2018. The stock-based compensation expense related to these RSUs was approximately $1.2 million for the three-month period ended March 31, 2018. In the three-month period ended September 30, 2017, the Company granted 68,800 RSUs to certain employees which vest 50% on June 1, 2019 with the remaining 50% vesting on June 1, 2021. In the event of a change in control, these RSUs vest 100%. The stock-based compensation expense related to these RSUs was approximately $0.1 million for the three-month period ended March 31, 2018.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Research Grants and Agreements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Sponsored Research Agreement</w:t>
      </w:r>
    </w:p>
    <w:p>
      <w:pPr>
        <w:spacing w:after="0" w:line="158" w:lineRule="exact"/>
        <w:rPr>
          <w:sz w:val="20"/>
          <w:szCs w:val="20"/>
          <w:color w:val="auto"/>
        </w:rPr>
      </w:pPr>
    </w:p>
    <w:p>
      <w:pPr>
        <w:ind w:firstLine="441"/>
        <w:spacing w:after="0" w:line="209" w:lineRule="auto"/>
        <w:rPr>
          <w:sz w:val="20"/>
          <w:szCs w:val="20"/>
          <w:color w:val="auto"/>
        </w:rPr>
      </w:pPr>
      <w:r>
        <w:rPr>
          <w:rFonts w:ascii="Arial" w:cs="Arial" w:eastAsia="Arial" w:hAnsi="Arial"/>
          <w:sz w:val="18"/>
          <w:szCs w:val="18"/>
          <w:color w:val="auto"/>
        </w:rPr>
        <w:t>The Company entered into a Sponsored Research Agreement (“SRA”) with the Old Dominion University Research Foundation (“ODURF”) during 2014 pursuant to which the Company may annually sponsor research activities performed by ODURF’s Frank Reidy Center. ODURF is compensated by the Company for its conduct of each study in accordance with the budget and payment terms set forth in the applicable task order. During the second quarters of 2017 and 2016, the Company agreed to sponsor $0.7 million and $1.0 million, respectively, in research during the subsequent 12-month period to be funded through monthly payments made upon ODURF certifying, to the Company’s reasonable satisfaction, that ODURF has met its obligations pursuant to the specified task order and statement of work. The principal investigator may transfer funds with the budget as needed without the Company’s approval so long as the obligations of ODURF under the task order and statement of work remain unchanged and unimpaired. As of March 31, 2018, there was approximately $0.2 million remaining available under this sponsorship.</w:t>
      </w:r>
    </w:p>
    <w:p>
      <w:pPr>
        <w:spacing w:after="0" w:line="129" w:lineRule="exact"/>
        <w:rPr>
          <w:sz w:val="20"/>
          <w:szCs w:val="20"/>
          <w:color w:val="auto"/>
        </w:rPr>
      </w:pPr>
    </w:p>
    <w:p>
      <w:pPr>
        <w:ind w:right="120" w:firstLine="441"/>
        <w:spacing w:after="0" w:line="249" w:lineRule="auto"/>
        <w:rPr>
          <w:sz w:val="20"/>
          <w:szCs w:val="20"/>
          <w:color w:val="auto"/>
        </w:rPr>
      </w:pPr>
      <w:r>
        <w:rPr>
          <w:rFonts w:ascii="Arial" w:cs="Arial" w:eastAsia="Arial" w:hAnsi="Arial"/>
          <w:sz w:val="16"/>
          <w:szCs w:val="16"/>
          <w:color w:val="auto"/>
        </w:rPr>
        <w:t>In addition, during 2017, the Company agreed to provide $0.3 million in research funding to researchers affiliated with ODURF and Eastern Virginia Medical School matching funds made available to those researchers by the Virginia Biosciences Health Research Corporation. The Company’s sponsorship affords access to certain intellectual property, if any, developed during the project. As of March 31, 2018, there was approximately $75,000 remaining available under this sponsorship.</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160" w:firstLine="441"/>
        <w:spacing w:after="0" w:line="235" w:lineRule="auto"/>
        <w:rPr>
          <w:sz w:val="20"/>
          <w:szCs w:val="20"/>
          <w:color w:val="auto"/>
        </w:rPr>
      </w:pPr>
      <w:r>
        <w:rPr>
          <w:rFonts w:ascii="Arial" w:cs="Arial" w:eastAsia="Arial" w:hAnsi="Arial"/>
          <w:sz w:val="18"/>
          <w:szCs w:val="18"/>
          <w:color w:val="auto"/>
        </w:rPr>
        <w:t>During the three-month periods ended March 31, 2018 and 2017, the Company paid and incurred costs relating to the SRA equal to $0.3 million and $0.3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44" w:lineRule="exact"/>
        <w:rPr>
          <w:sz w:val="20"/>
          <w:szCs w:val="20"/>
          <w:color w:val="auto"/>
        </w:rPr>
      </w:pPr>
    </w:p>
    <w:p>
      <w:pPr>
        <w:ind w:right="120" w:firstLine="441"/>
        <w:spacing w:after="0" w:line="235" w:lineRule="auto"/>
        <w:rPr>
          <w:sz w:val="20"/>
          <w:szCs w:val="20"/>
          <w:color w:val="auto"/>
        </w:rPr>
      </w:pPr>
      <w:r>
        <w:rPr>
          <w:rFonts w:ascii="Arial" w:cs="Arial" w:eastAsia="Arial" w:hAnsi="Arial"/>
          <w:sz w:val="18"/>
          <w:szCs w:val="18"/>
          <w:color w:val="auto"/>
        </w:rPr>
        <w:t>The Company leased approximately 4,300 square feet of corporate offices and research facilities in Burlingame, California, at a monthly cost of approximately $21,000. This lease expired on June 30, 2017.</w:t>
      </w:r>
    </w:p>
    <w:p>
      <w:pPr>
        <w:spacing w:after="0" w:line="121" w:lineRule="exact"/>
        <w:rPr>
          <w:sz w:val="20"/>
          <w:szCs w:val="20"/>
          <w:color w:val="auto"/>
        </w:rPr>
      </w:pPr>
    </w:p>
    <w:p>
      <w:pPr>
        <w:ind w:right="140" w:firstLine="441"/>
        <w:spacing w:after="0" w:line="226" w:lineRule="auto"/>
        <w:rPr>
          <w:sz w:val="20"/>
          <w:szCs w:val="20"/>
          <w:color w:val="auto"/>
        </w:rPr>
      </w:pPr>
      <w:r>
        <w:rPr>
          <w:rFonts w:ascii="Arial" w:cs="Arial" w:eastAsia="Arial" w:hAnsi="Arial"/>
          <w:sz w:val="17"/>
          <w:szCs w:val="17"/>
          <w:color w:val="auto"/>
        </w:rPr>
        <w:t>During January 2017, the Company entered into a new lease agreement (the “Lease”) for premises consisting of approximately 15,700 rentable square feet located in Hayward, California (the “Premises”). The Company took possession of the Premises in late June 2017 and moved into the Premises in July 2017. The term of the Lease is sixty-two (62) months, which commenced on July 1, 2017. During the year ended December 31, 2017, the landlord incurred approximately $2.1 million related to the initial tenant leasehold improvements and the Company capitalized these leasehold improvements to property and equipment and a corresponding deferred rent liability on its balance sheet.</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Future minimum lease payments under non-cancelable operating leases as of March 31, 2018 are as follows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4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2018 (remaining 9 months)</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2019</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2021</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3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17"/>
        </w:trPr>
        <w:tc>
          <w:tcPr>
            <w:tcW w:w="7940" w:type="dxa"/>
            <w:vAlign w:val="bottom"/>
          </w:tcPr>
          <w:p>
            <w:pPr>
              <w:spacing w:after="0"/>
              <w:rPr>
                <w:sz w:val="18"/>
                <w:szCs w:val="18"/>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w:t>
            </w:r>
          </w:p>
        </w:tc>
      </w:tr>
    </w:tbl>
    <w:p>
      <w:pPr>
        <w:spacing w:after="0" w:line="148"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During the three-month periods ended March 31, 2018 and 2017, rent expense, including common area maintenance charges, was approximately $57,000 and $64,000, respectively.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58" w:lineRule="exact"/>
        <w:rPr>
          <w:sz w:val="20"/>
          <w:szCs w:val="20"/>
          <w:color w:val="auto"/>
        </w:rPr>
      </w:pPr>
    </w:p>
    <w:p>
      <w:pPr>
        <w:ind w:right="420" w:firstLine="441"/>
        <w:spacing w:after="0" w:line="216" w:lineRule="auto"/>
        <w:rPr>
          <w:sz w:val="20"/>
          <w:szCs w:val="20"/>
          <w:color w:val="auto"/>
        </w:rPr>
      </w:pPr>
      <w:r>
        <w:rPr>
          <w:rFonts w:ascii="Arial" w:cs="Arial" w:eastAsia="Arial" w:hAnsi="Arial"/>
          <w:sz w:val="18"/>
          <w:szCs w:val="18"/>
          <w:color w:val="auto"/>
        </w:rPr>
        <w:t>The Company and certain directors have received subpoenas from the Securities and Exchange Commission requesting documents and other information in connection with an investigation into trading in the Company’s stock in advance of the Company’s September 2017 announcement of the stock purchase agreement executed between the Company and Robert W. Duggan, who was appointed Chairman of the Board effective November 2, 2017. The Company is cooperating with the investigation.</w:t>
      </w:r>
    </w:p>
    <w:p>
      <w:pPr>
        <w:spacing w:after="0" w:line="122" w:lineRule="exact"/>
        <w:rPr>
          <w:sz w:val="20"/>
          <w:szCs w:val="20"/>
          <w:color w:val="auto"/>
        </w:rPr>
      </w:pPr>
    </w:p>
    <w:p>
      <w:pPr>
        <w:ind w:right="420" w:firstLine="441"/>
        <w:spacing w:after="0" w:line="224" w:lineRule="auto"/>
        <w:rPr>
          <w:sz w:val="20"/>
          <w:szCs w:val="20"/>
          <w:color w:val="auto"/>
        </w:rPr>
      </w:pPr>
      <w:r>
        <w:rPr>
          <w:rFonts w:ascii="Arial" w:cs="Arial" w:eastAsia="Arial" w:hAnsi="Arial"/>
          <w:sz w:val="18"/>
          <w:szCs w:val="18"/>
          <w:color w:val="auto"/>
        </w:rPr>
        <w:t>The Company maintains indemnification agreements with its directors and officers that may require the Company to indemnify them against liabilities that arise by reason of their status or service as directors or officers, except as prohibited by applicable law.</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this time, the Company is unable to estimate a possible loss, if any, associated with the matter described above</w:t>
      </w:r>
      <w:r>
        <w:rPr>
          <w:rFonts w:ascii="Arial" w:cs="Arial" w:eastAsia="Arial" w:hAnsi="Arial"/>
          <w:sz w:val="20"/>
          <w:szCs w:val="20"/>
          <w:color w:val="auto"/>
        </w:rPr>
        <w:t>.</w:t>
      </w:r>
    </w:p>
    <w:p>
      <w:pPr>
        <w:spacing w:after="0" w:line="196" w:lineRule="exact"/>
        <w:rPr>
          <w:sz w:val="20"/>
          <w:szCs w:val="20"/>
          <w:color w:val="auto"/>
        </w:rPr>
      </w:pPr>
    </w:p>
    <w:p>
      <w:pPr>
        <w:ind w:right="20" w:firstLine="441"/>
        <w:spacing w:after="0" w:line="239" w:lineRule="auto"/>
        <w:rPr>
          <w:sz w:val="20"/>
          <w:szCs w:val="20"/>
          <w:color w:val="auto"/>
        </w:rPr>
      </w:pPr>
      <w:r>
        <w:rPr>
          <w:rFonts w:ascii="Arial" w:cs="Arial" w:eastAsia="Arial" w:hAnsi="Arial"/>
          <w:sz w:val="16"/>
          <w:szCs w:val="16"/>
          <w:color w:val="auto"/>
        </w:rPr>
        <w:t>From time to time, the Company may be involved in a variety of claims, lawsuits, investigations and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the Company in the form of letters and other communications. The Company currently believes that these ordinary course matters will not have a material adverse effect on our business; however, the results of litigation and claims are inherently unpredictable. Regardless of the outcome, litigation can have an adverse impact on the Company because of defense and settlement costs, diversion of management resources and other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48" w:lineRule="exact"/>
        <w:rPr>
          <w:sz w:val="20"/>
          <w:szCs w:val="20"/>
          <w:color w:val="auto"/>
        </w:rPr>
      </w:pPr>
    </w:p>
    <w:p>
      <w:pPr>
        <w:ind w:right="200" w:firstLine="441"/>
        <w:spacing w:after="0" w:line="219" w:lineRule="auto"/>
        <w:rPr>
          <w:sz w:val="20"/>
          <w:szCs w:val="20"/>
          <w:color w:val="auto"/>
        </w:rPr>
      </w:pPr>
      <w:r>
        <w:rPr>
          <w:rFonts w:ascii="Arial" w:cs="Arial" w:eastAsia="Arial" w:hAnsi="Arial"/>
          <w:sz w:val="18"/>
          <w:szCs w:val="18"/>
          <w:color w:val="auto"/>
        </w:rPr>
        <w:t>On November 2, 2017, the Company appointed Kenneth A. Clark to the Board of Directors. Mr. Clark is a member of the law firm of Wilson Sonsini Goodrich and Rosati (“WSGR”), which also serves as the outside corporate counsel to the Company. During the three-month period ended March 31, 2018, the Company incurred expenses for legal services rendered by WSGR totaling approximately $0.3 million.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ind w:right="200"/>
        <w:spacing w:after="0" w:line="220"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included in this Quarterly Report and those in our Annual Report on Form 10-K. Some of the information contained in this discussion and analysis or set forth elsewhere in this Quarterly Report, including information with respect to our products, plans and strategy for our business and related financing, contains forward-looking statements that involve risks and uncertainties, including statements regarding our expected financial results in future periods. The words “anticipates,” “believes,” “could,” “estimates,” “expects,” “intends,” “may,” “might,”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Quarterly Report on Form 10-Q for a discussion of important factors that could cause actual results to differ materially from the results described in or implied by the forward-looking statements contained in the following discussion and analysis. We do not assume any obligation to update any forward-looking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80" w:firstLine="441"/>
        <w:spacing w:after="0" w:line="237" w:lineRule="auto"/>
        <w:rPr>
          <w:sz w:val="20"/>
          <w:szCs w:val="20"/>
          <w:color w:val="auto"/>
        </w:rPr>
      </w:pPr>
      <w:r>
        <w:rPr>
          <w:rFonts w:ascii="Arial" w:cs="Arial" w:eastAsia="Arial" w:hAnsi="Arial"/>
          <w:sz w:val="16"/>
          <w:szCs w:val="16"/>
          <w:color w:val="auto"/>
        </w:rPr>
        <w:t>We are a clinical-stage electroceutical, an electrical energy based therapeutic company developing a non-thermal tissue treatment platform technology based upon our proprietary Nano-Pulse Stimulation (“NPS”) technology and pursuing applications in oncology and dermatology and evaluating other potential applications. NPS is a novel patented technology which leverages nano-second duration energy pulses that have demonstrated effective local tumor control and the initiation of an adaptive immune response in pre-clinical studies. We are pursuing a number of clinical applications for NPS, including oncology, dermatology, aesthetics and other minimally invasive applications where we believe NPS has the potential to compare favorably with current therapies and treatments. We are currently conducting research and development activities in pursuit of commercial applications for our NPS technology, but we have not yet commercialized or recognized revenue from our technology.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w:t>
      </w:r>
    </w:p>
    <w:p>
      <w:pPr>
        <w:spacing w:after="0" w:line="162" w:lineRule="exact"/>
        <w:rPr>
          <w:sz w:val="20"/>
          <w:szCs w:val="20"/>
          <w:color w:val="auto"/>
        </w:rPr>
      </w:pPr>
    </w:p>
    <w:p>
      <w:pPr>
        <w:ind w:firstLine="441"/>
        <w:spacing w:after="0" w:line="224" w:lineRule="auto"/>
        <w:rPr>
          <w:sz w:val="20"/>
          <w:szCs w:val="20"/>
          <w:color w:val="auto"/>
        </w:rPr>
      </w:pPr>
      <w:r>
        <w:rPr>
          <w:rFonts w:ascii="Arial" w:cs="Arial" w:eastAsia="Arial" w:hAnsi="Arial"/>
          <w:sz w:val="18"/>
          <w:szCs w:val="18"/>
          <w:color w:val="auto"/>
        </w:rPr>
        <w:t>We plan to establish ourselves as an electroceutical company with a local, non-thermal, and drug-free treatment platform that initiates cell death in targeted tissue by a process of cell signaling and also induces a systemic adaptive immune response to the targeted tissue. In order to accomplish this, we plan to:</w:t>
      </w:r>
    </w:p>
    <w:p>
      <w:pPr>
        <w:spacing w:after="0" w:line="28" w:lineRule="exact"/>
        <w:rPr>
          <w:sz w:val="20"/>
          <w:szCs w:val="20"/>
          <w:color w:val="auto"/>
        </w:rPr>
      </w:pPr>
    </w:p>
    <w:p>
      <w:pPr>
        <w:ind w:left="860" w:right="200" w:hanging="427"/>
        <w:spacing w:after="0" w:line="201" w:lineRule="auto"/>
        <w:tabs>
          <w:tab w:leader="none" w:pos="86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Improve our technology by continuing our research and product development efforts. We expect to develop different devices to target different tissue types that will leverage the novel characteristics of our technology platform.</w:t>
      </w:r>
    </w:p>
    <w:p>
      <w:pPr>
        <w:spacing w:after="0" w:line="41" w:lineRule="exact"/>
        <w:rPr>
          <w:rFonts w:ascii="Arial" w:cs="Arial" w:eastAsia="Arial" w:hAnsi="Arial"/>
          <w:sz w:val="26"/>
          <w:szCs w:val="26"/>
          <w:color w:val="auto"/>
          <w:vertAlign w:val="superscript"/>
        </w:rPr>
      </w:pPr>
    </w:p>
    <w:p>
      <w:pPr>
        <w:ind w:left="860" w:right="340" w:hanging="427"/>
        <w:spacing w:after="0" w:line="180" w:lineRule="auto"/>
        <w:tabs>
          <w:tab w:leader="none" w:pos="86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Conduct clinical studies to demonstrate the benefits of NPS for unmet medical needs that may be addressed by our technology.</w:t>
      </w:r>
    </w:p>
    <w:p>
      <w:pPr>
        <w:spacing w:after="0" w:line="40" w:lineRule="exact"/>
        <w:rPr>
          <w:rFonts w:ascii="Arial" w:cs="Arial" w:eastAsia="Arial" w:hAnsi="Arial"/>
          <w:sz w:val="29"/>
          <w:szCs w:val="29"/>
          <w:color w:val="auto"/>
          <w:vertAlign w:val="superscript"/>
        </w:rPr>
      </w:pPr>
    </w:p>
    <w:p>
      <w:pPr>
        <w:ind w:left="860" w:right="260" w:hanging="427"/>
        <w:spacing w:after="0" w:line="186" w:lineRule="auto"/>
        <w:tabs>
          <w:tab w:leader="none" w:pos="86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Continue to protect and expand our intellectual property portfolio with respect to NPS technology, which we expect will increase our ability to deter competitors and position our company for favorable licensing and partnering opportunities.</w:t>
      </w:r>
    </w:p>
    <w:p>
      <w:pPr>
        <w:spacing w:after="0" w:line="2" w:lineRule="exact"/>
        <w:rPr>
          <w:rFonts w:ascii="Arial" w:cs="Arial" w:eastAsia="Arial" w:hAnsi="Arial"/>
          <w:sz w:val="29"/>
          <w:szCs w:val="29"/>
          <w:color w:val="auto"/>
          <w:vertAlign w:val="superscript"/>
        </w:rPr>
      </w:pPr>
    </w:p>
    <w:p>
      <w:pPr>
        <w:ind w:left="860" w:hanging="427"/>
        <w:spacing w:after="0" w:line="201" w:lineRule="auto"/>
        <w:tabs>
          <w:tab w:leader="none" w:pos="860"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Commercialize our NPS based products in application areas of value to patients, clinicians and shareholders.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8" w:lineRule="exact"/>
        <w:rPr>
          <w:sz w:val="20"/>
          <w:szCs w:val="20"/>
          <w:color w:val="auto"/>
        </w:rPr>
      </w:pPr>
    </w:p>
    <w:p>
      <w:pPr>
        <w:ind w:right="60" w:firstLine="441"/>
        <w:spacing w:after="0" w:line="211"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unaudited financial statements, which have been prepared in accordance with the rules and regulations of the Securities and Exchange Commission (“SEC”). The preparation of these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38" w:lineRule="exact"/>
        <w:rPr>
          <w:sz w:val="20"/>
          <w:szCs w:val="20"/>
          <w:color w:val="auto"/>
        </w:rPr>
      </w:pPr>
    </w:p>
    <w:p>
      <w:pPr>
        <w:ind w:right="340" w:firstLine="441"/>
        <w:spacing w:after="0" w:line="235" w:lineRule="auto"/>
        <w:rPr>
          <w:sz w:val="20"/>
          <w:szCs w:val="20"/>
          <w:color w:val="auto"/>
        </w:rPr>
      </w:pPr>
      <w:r>
        <w:rPr>
          <w:rFonts w:ascii="Arial" w:cs="Arial" w:eastAsia="Arial" w:hAnsi="Arial"/>
          <w:sz w:val="18"/>
          <w:szCs w:val="18"/>
          <w:color w:val="auto"/>
        </w:rPr>
        <w:t>There have been no material changes to the critical accounting policies and estimates discussed in our Annual Report on Form 10-K as of and for the year ended December 31, 2017.</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160" w:firstLine="441"/>
        <w:spacing w:after="0" w:line="235" w:lineRule="auto"/>
        <w:rPr>
          <w:sz w:val="20"/>
          <w:szCs w:val="20"/>
          <w:color w:val="auto"/>
        </w:rPr>
      </w:pPr>
      <w:r>
        <w:rPr>
          <w:rFonts w:ascii="Arial" w:cs="Arial" w:eastAsia="Arial" w:hAnsi="Arial"/>
          <w:sz w:val="18"/>
          <w:szCs w:val="18"/>
          <w:color w:val="auto"/>
        </w:rPr>
        <w:t>Refer to “Recent Accounting Pronouncements” in Note 2 of Notes to Condensed Consolidated Financial Statements of this Quarterly Report.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Geographical Information</w:t>
      </w:r>
    </w:p>
    <w:p>
      <w:pPr>
        <w:spacing w:after="0" w:line="148" w:lineRule="exact"/>
        <w:rPr>
          <w:sz w:val="20"/>
          <w:szCs w:val="20"/>
          <w:color w:val="auto"/>
        </w:rPr>
      </w:pPr>
    </w:p>
    <w:p>
      <w:pPr>
        <w:jc w:val="both"/>
        <w:ind w:right="40" w:firstLine="441"/>
        <w:spacing w:after="0" w:line="238" w:lineRule="auto"/>
        <w:rPr>
          <w:sz w:val="20"/>
          <w:szCs w:val="20"/>
          <w:color w:val="auto"/>
        </w:rPr>
      </w:pPr>
      <w:r>
        <w:rPr>
          <w:rFonts w:ascii="Arial" w:cs="Arial" w:eastAsia="Arial" w:hAnsi="Arial"/>
          <w:sz w:val="17"/>
          <w:szCs w:val="17"/>
          <w:color w:val="auto"/>
        </w:rPr>
        <w:t>We operate and manage our business as one reportable and operating segment. Our Chief Executive Officer, who is the chief operating decision maker, reviews financial information on an aggregate basis for purposes of allocating resources and evaluating financial performance. All of our long-lived assets are primarily based in the United 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three-month periods ended March 31, 2018 and 2017</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condensed consolidated statements of operations as discussed herein are presented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Three-Month Periods Ended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8"/>
        </w:trPr>
        <w:tc>
          <w:tcPr>
            <w:tcW w:w="8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6"/>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45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 Change</w:t>
            </w: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30"/>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w:t>
            </w:r>
          </w:p>
        </w:tc>
      </w:tr>
      <w:tr>
        <w:trPr>
          <w:trHeight w:val="230"/>
        </w:trPr>
        <w:tc>
          <w:tcPr>
            <w:tcW w:w="546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3,175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1,448</w:t>
            </w:r>
          </w:p>
        </w:tc>
      </w:tr>
      <w:tr>
        <w:trPr>
          <w:trHeight w:val="230"/>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46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w:t>
            </w: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5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5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(8,668)</w:t>
            </w:r>
          </w:p>
        </w:tc>
        <w:tc>
          <w:tcPr>
            <w:tcW w:w="8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(3,198)</w:t>
            </w:r>
          </w:p>
        </w:tc>
        <w:tc>
          <w:tcPr>
            <w:tcW w:w="1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5,470</w:t>
            </w:r>
          </w:p>
        </w:tc>
      </w:tr>
      <w:tr>
        <w:trPr>
          <w:trHeight w:val="27"/>
        </w:trPr>
        <w:tc>
          <w:tcPr>
            <w:tcW w:w="8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44"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During the three-month period ended March 31, 2017, patent legal costs of $0.1 million were reclassified from research and development costs to general and administrative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48" w:lineRule="exact"/>
        <w:rPr>
          <w:sz w:val="20"/>
          <w:szCs w:val="20"/>
          <w:color w:val="auto"/>
        </w:rPr>
      </w:pPr>
    </w:p>
    <w:p>
      <w:pPr>
        <w:ind w:firstLine="441"/>
        <w:spacing w:after="0" w:line="231" w:lineRule="auto"/>
        <w:rPr>
          <w:sz w:val="20"/>
          <w:szCs w:val="20"/>
          <w:color w:val="auto"/>
        </w:rPr>
      </w:pPr>
      <w:r>
        <w:rPr>
          <w:rFonts w:ascii="Arial" w:cs="Arial" w:eastAsia="Arial" w:hAnsi="Arial"/>
          <w:sz w:val="16"/>
          <w:szCs w:val="16"/>
          <w:color w:val="auto"/>
        </w:rPr>
        <w:t>General and administrative expenses consist of salaries and related expenses for executives, finance, legal, human resources, information technology and administrative personnel, professional fees, patent fees and costs, insurance costs and other general corporate expenses. General and administrative expenses increased by $4,039,000 to $5,383,000 for the three-month period ended March 31, 2018, from $1,344,000 during the same period in 2017 primarily due to $2,495,000 of increased stock-based compensation expense, $342,000 of increased compensation costs, $848,000 of increased professional and consulting costs, and $115,000 of increased facilities related costs. Stock-based compensation increased principally due to the higher Black-Scholes values and grant date intrinsic value ascribed to options and restricted stock units, respectively, granted during the first quarter of 2018 and the second and third quarters of 2017. These higher values can be attributed to the increase in the fair market value of our common stock which is a primary component in valuing equity grants leading to stock-based compensation. Headcount increases during 2017 and 2018 also contributed to increased stock-based compensation as well as compensation costs more</w:t>
      </w:r>
    </w:p>
    <w:p>
      <w:pPr>
        <w:spacing w:after="0" w:line="1" w:lineRule="exact"/>
        <w:rPr>
          <w:sz w:val="20"/>
          <w:szCs w:val="20"/>
          <w:color w:val="auto"/>
        </w:rPr>
      </w:pPr>
    </w:p>
    <w:p>
      <w:pPr>
        <w:ind w:right="80"/>
        <w:spacing w:after="0" w:line="210" w:lineRule="auto"/>
        <w:rPr>
          <w:sz w:val="20"/>
          <w:szCs w:val="20"/>
          <w:color w:val="auto"/>
        </w:rPr>
      </w:pPr>
      <w:r>
        <w:rPr>
          <w:rFonts w:ascii="Arial" w:cs="Arial" w:eastAsia="Arial" w:hAnsi="Arial"/>
          <w:sz w:val="18"/>
          <w:szCs w:val="18"/>
          <w:color w:val="auto"/>
        </w:rPr>
        <w:t>broadly. Professional and consulting costs increased primarily due to operations and reporting obligations as a public company and increased legal costs related to our intellectual property. The increase in facilities costs was primarily due an increase in office supplies expense. General and administrative expenses are expected to substantially increase during 2018 as compared to 2017 primarily due an increase of stock-based compensation expense resulting from new option grants and the realization of a full year of stock-based compensation expense for grants that expensed for only a portion of 2017, as well as increased compensation expense from additional headcount and from expanding general and administrative activities to support the expected overall growth of the Company in 2018.</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2" w:lineRule="exact"/>
        <w:rPr>
          <w:sz w:val="20"/>
          <w:szCs w:val="20"/>
          <w:color w:val="auto"/>
        </w:rPr>
      </w:pPr>
    </w:p>
    <w:p>
      <w:pPr>
        <w:ind w:right="20" w:firstLine="441"/>
        <w:spacing w:after="0" w:line="220" w:lineRule="auto"/>
        <w:rPr>
          <w:sz w:val="20"/>
          <w:szCs w:val="20"/>
          <w:color w:val="auto"/>
        </w:rPr>
      </w:pPr>
      <w:r>
        <w:rPr>
          <w:rFonts w:ascii="Arial" w:cs="Arial" w:eastAsia="Arial" w:hAnsi="Arial"/>
          <w:sz w:val="17"/>
          <w:szCs w:val="17"/>
          <w:color w:val="auto"/>
        </w:rPr>
        <w:t>Research and development expenses consist of salaries and related expenses for research and development personnel, clinical trials and consulting costs related to the design, development and enhancement of our potential future products, prototypes material and devices. Research and development expenses increased by $1,448,000 to $3,175,000 for the three-month period ended March 31, 2018, from $1,727,000 during the same period in 2017 primarily due to $703,000 of increased compensation costs, $662,000 of increased stock-based compensation costs and $92,000 increase in depreciation expense, partially offset by a $252,000 decrease in consulting and outside services costs due to the conversion of consultants into full-time employees. Stock-based compensation increased principally due to the higher Black-Scholes values and grant date intrinsic value ascribed to options and restricted stock units, respectively, granted during the first quarter of 2018 and the second and third quarters of 2017. Headcount increases during 2017 and 2018 also contributed to increased stock-based compensation as well as compensation costs more broadly. The increase in depreciation expense was primarily attributable to the depreciation of leasehold improvements recorded to property and equipment in the second quarter of 2017. Research and development expenses are expected to continue to substantially increase during 2018 as we expand our clinical study activities by initiating additional studies, continue development and enhancement of our system in preparation for additional clinical trials and commercialization, and pursue regulatory clearance for our technology.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48" w:lineRule="exact"/>
        <w:rPr>
          <w:sz w:val="20"/>
          <w:szCs w:val="20"/>
          <w:color w:val="auto"/>
        </w:rPr>
      </w:pPr>
    </w:p>
    <w:p>
      <w:pPr>
        <w:jc w:val="both"/>
        <w:ind w:right="40" w:firstLine="441"/>
        <w:spacing w:after="0" w:line="224" w:lineRule="auto"/>
        <w:rPr>
          <w:sz w:val="20"/>
          <w:szCs w:val="20"/>
          <w:color w:val="auto"/>
        </w:rPr>
      </w:pPr>
      <w:r>
        <w:rPr>
          <w:rFonts w:ascii="Arial" w:cs="Arial" w:eastAsia="Arial" w:hAnsi="Arial"/>
          <w:sz w:val="18"/>
          <w:szCs w:val="18"/>
          <w:color w:val="auto"/>
        </w:rPr>
        <w:t>Interest income increased by $17,000 to $56,000 for the three-month period ended March 31, 2018, from $39,000 during the same period in 2017 due primarily to the higher interest rates earned on higher cash equivalent and investment balances as a result of the proceeds received from the private placements closed during 2017.</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firstLine="441"/>
        <w:spacing w:after="0" w:line="244" w:lineRule="auto"/>
        <w:rPr>
          <w:sz w:val="20"/>
          <w:szCs w:val="20"/>
          <w:color w:val="auto"/>
        </w:rPr>
      </w:pPr>
      <w:r>
        <w:rPr>
          <w:rFonts w:ascii="Arial" w:cs="Arial" w:eastAsia="Arial" w:hAnsi="Arial"/>
          <w:sz w:val="16"/>
          <w:szCs w:val="16"/>
          <w:color w:val="auto"/>
        </w:rPr>
        <w:t>To date, we have not generated any revenues from product sales and do not expect to generate revenues from product sales in the next year. Since inception, we have funded our business primarily through the issuance of equity securities and grants from governmental agencies. Over the next few years, we intend to invest in research and development to develop commercially viable products and to assess the feasibility of potential future products. Additionally, we expect that our general and administrative expenses will increase as we incur substantial incremental costs associated with operating as a public company.</w:t>
      </w:r>
    </w:p>
    <w:p>
      <w:pPr>
        <w:spacing w:after="0" w:line="132" w:lineRule="exact"/>
        <w:rPr>
          <w:sz w:val="20"/>
          <w:szCs w:val="20"/>
          <w:color w:val="auto"/>
        </w:rPr>
      </w:pPr>
    </w:p>
    <w:p>
      <w:pPr>
        <w:jc w:val="both"/>
        <w:ind w:firstLine="363"/>
        <w:spacing w:after="0" w:line="259" w:lineRule="auto"/>
        <w:rPr>
          <w:sz w:val="20"/>
          <w:szCs w:val="20"/>
          <w:color w:val="auto"/>
        </w:rPr>
      </w:pPr>
      <w:r>
        <w:rPr>
          <w:rFonts w:ascii="Arial" w:cs="Arial" w:eastAsia="Arial" w:hAnsi="Arial"/>
          <w:sz w:val="16"/>
          <w:szCs w:val="16"/>
          <w:color w:val="auto"/>
        </w:rPr>
        <w:t>During February 2017, we entered into a securities purchase agreement with Robert W. Duggan and Maky Zanganeh (the “Investors”), pursuant to which we, in a private placement, issued and sold to the Investors an aggregate of 819,673 shares of our common stock, par value $0.001 per share, at a price per share of $6.10, for net proceeds of approximately $5.0 million.</w:t>
      </w:r>
    </w:p>
    <w:p>
      <w:pPr>
        <w:spacing w:after="0" w:line="120" w:lineRule="exact"/>
        <w:rPr>
          <w:sz w:val="20"/>
          <w:szCs w:val="20"/>
          <w:color w:val="auto"/>
        </w:rPr>
      </w:pPr>
    </w:p>
    <w:p>
      <w:pPr>
        <w:ind w:right="20" w:firstLine="441"/>
        <w:spacing w:after="0" w:line="238" w:lineRule="auto"/>
        <w:rPr>
          <w:sz w:val="20"/>
          <w:szCs w:val="20"/>
          <w:color w:val="auto"/>
        </w:rPr>
      </w:pPr>
      <w:r>
        <w:rPr>
          <w:rFonts w:ascii="Arial" w:cs="Arial" w:eastAsia="Arial" w:hAnsi="Arial"/>
          <w:sz w:val="17"/>
          <w:szCs w:val="17"/>
          <w:color w:val="auto"/>
        </w:rPr>
        <w:t>During September 2017, we entered into a securities purchase agreement with Robert W. Duggan, pursuant to which we, in a private placement, issued and sold to Robert W. Duggan an aggregate of 2,000,000 shares of our common stock, par value $0.001 per share, at a price per share of $15.02, for net proceeds of approximately $29.9 million.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condensed consolidated statements of cash flows as discussed herein are presented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4"/>
          </w:tcPr>
          <w:p>
            <w:pPr>
              <w:jc w:val="center"/>
              <w:ind w:right="154"/>
              <w:spacing w:after="0"/>
              <w:rPr>
                <w:sz w:val="20"/>
                <w:szCs w:val="20"/>
                <w:color w:val="auto"/>
              </w:rPr>
            </w:pPr>
            <w:r>
              <w:rPr>
                <w:rFonts w:ascii="Arial" w:cs="Arial" w:eastAsia="Arial" w:hAnsi="Arial"/>
                <w:sz w:val="14"/>
                <w:szCs w:val="14"/>
                <w:b w:val="1"/>
                <w:bCs w:val="1"/>
                <w:color w:val="auto"/>
                <w:w w:val="94"/>
              </w:rPr>
              <w:t>Three-Month Periods Ended</w:t>
            </w:r>
          </w:p>
        </w:tc>
      </w:tr>
      <w:tr>
        <w:trPr>
          <w:trHeight w:val="215"/>
        </w:trPr>
        <w:tc>
          <w:tcPr>
            <w:tcW w:w="88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Borders>
              <w:bottom w:val="single" w:sz="8" w:color="auto"/>
            </w:tcBorders>
          </w:tcPr>
          <w:p>
            <w:pPr>
              <w:spacing w:after="0"/>
              <w:rPr>
                <w:sz w:val="18"/>
                <w:szCs w:val="18"/>
                <w:color w:val="auto"/>
              </w:rPr>
            </w:pPr>
          </w:p>
        </w:tc>
      </w:tr>
      <w:tr>
        <w:trPr>
          <w:trHeight w:val="176"/>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59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11,999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(1,810)</w:t>
            </w:r>
          </w:p>
        </w:tc>
      </w:tr>
      <w:tr>
        <w:trPr>
          <w:trHeight w:val="23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w:t>
            </w:r>
          </w:p>
        </w:tc>
      </w:tr>
      <w:tr>
        <w:trPr>
          <w:trHeight w:val="257"/>
        </w:trPr>
        <w:tc>
          <w:tcPr>
            <w:tcW w:w="6840" w:type="dxa"/>
            <w:vAlign w:val="bottom"/>
            <w:gridSpan w:val="2"/>
          </w:tcPr>
          <w:p>
            <w:pPr>
              <w:spacing w:after="0"/>
              <w:rPr>
                <w:sz w:val="20"/>
                <w:szCs w:val="20"/>
                <w:color w:val="auto"/>
              </w:rPr>
            </w:pPr>
            <w:r>
              <w:rPr>
                <w:rFonts w:ascii="Arial" w:cs="Arial" w:eastAsia="Arial" w:hAnsi="Arial"/>
                <w:sz w:val="18"/>
                <w:szCs w:val="18"/>
                <w:color w:val="auto"/>
              </w:rPr>
              <w:t>Net increase in cash</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7,281</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662</w:t>
            </w:r>
          </w:p>
        </w:tc>
      </w:tr>
    </w:tbl>
    <w:p>
      <w:pPr>
        <w:spacing w:after="0" w:line="134" w:lineRule="exact"/>
        <w:rPr>
          <w:sz w:val="20"/>
          <w:szCs w:val="20"/>
          <w:color w:val="auto"/>
        </w:rPr>
      </w:pPr>
    </w:p>
    <w:p>
      <w:pPr>
        <w:ind w:right="40" w:firstLine="441"/>
        <w:spacing w:after="0" w:line="237" w:lineRule="auto"/>
        <w:rPr>
          <w:sz w:val="20"/>
          <w:szCs w:val="20"/>
          <w:color w:val="auto"/>
        </w:rPr>
      </w:pPr>
      <w:r>
        <w:rPr>
          <w:rFonts w:ascii="Arial" w:cs="Arial" w:eastAsia="Arial" w:hAnsi="Arial"/>
          <w:sz w:val="16"/>
          <w:szCs w:val="16"/>
          <w:color w:val="auto"/>
        </w:rPr>
        <w:t>At March 31, 2018, we had cash, cash equivalents and investments of $33.4 million. We believe that our existing cash, cash equivalents and investments will be sufficient to fund our projected operating requirements for at least the next twelve months from the filing date of our Form 10-Q for the three-month period ended March 31, 2018; however, we plan to raise additional capital in the future. 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or corporate collaboration and licensing arrangements. Such additional funds may not be available on terms acceptable to us or at all. If we raise funds by issuing equity or equity-linked securities, the ownership of our stockholders will be diluted and the holders of new equity securities may have priority rights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over our existing stockholders. If adequate funds are not available, we may be required to curtail operations significantly or to obtain funds by entering into agreements on unattractive terms. Our inability to raise capital could have a material adverse effect on our business, financial condition and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primary uses of cash in operating activities are for ongoing product development.</w:t>
      </w:r>
    </w:p>
    <w:p>
      <w:pPr>
        <w:spacing w:after="0" w:line="144" w:lineRule="exact"/>
        <w:rPr>
          <w:sz w:val="20"/>
          <w:szCs w:val="20"/>
          <w:color w:val="auto"/>
        </w:rPr>
      </w:pPr>
    </w:p>
    <w:p>
      <w:pPr>
        <w:ind w:right="40" w:firstLine="441"/>
        <w:spacing w:after="0" w:line="219" w:lineRule="auto"/>
        <w:rPr>
          <w:sz w:val="20"/>
          <w:szCs w:val="20"/>
          <w:color w:val="auto"/>
        </w:rPr>
      </w:pPr>
      <w:r>
        <w:rPr>
          <w:rFonts w:ascii="Arial" w:cs="Arial" w:eastAsia="Arial" w:hAnsi="Arial"/>
          <w:sz w:val="18"/>
          <w:szCs w:val="18"/>
          <w:color w:val="auto"/>
        </w:rPr>
        <w:t>During the three-month period ended March 31, 2018, we used cash of $5.0 million in operating activities. The difference between cash used in operating activities and net loss consisted primarily of stock-based compensation and depreciation and amortization, an increase in accounts payable, partially offset by increased prepaid expenses and other current assets and decreases in accrued liabilities and deferred rent.</w:t>
      </w:r>
    </w:p>
    <w:p>
      <w:pPr>
        <w:spacing w:after="0" w:line="122" w:lineRule="exact"/>
        <w:rPr>
          <w:sz w:val="20"/>
          <w:szCs w:val="20"/>
          <w:color w:val="auto"/>
        </w:rPr>
      </w:pPr>
    </w:p>
    <w:p>
      <w:pPr>
        <w:ind w:right="240" w:firstLine="441"/>
        <w:spacing w:after="0" w:line="224" w:lineRule="auto"/>
        <w:rPr>
          <w:sz w:val="20"/>
          <w:szCs w:val="20"/>
          <w:color w:val="auto"/>
        </w:rPr>
      </w:pPr>
      <w:r>
        <w:rPr>
          <w:rFonts w:ascii="Arial" w:cs="Arial" w:eastAsia="Arial" w:hAnsi="Arial"/>
          <w:sz w:val="18"/>
          <w:szCs w:val="18"/>
          <w:color w:val="auto"/>
        </w:rPr>
        <w:t>During the three-month period ended March 31, 2017, we used cash of $2.5 million in operating activities. The difference between cash used in operating activities and net loss consisted primarily of depreciation and amortization and stock-based compensation, and a net increase in accounts payable and accrued expenses.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investing activities consist primarily of investment purchases, sales and maturities and capital expenditures.</w:t>
      </w:r>
    </w:p>
    <w:p>
      <w:pPr>
        <w:spacing w:after="0" w:line="144" w:lineRule="exact"/>
        <w:rPr>
          <w:sz w:val="20"/>
          <w:szCs w:val="20"/>
          <w:color w:val="auto"/>
        </w:rPr>
      </w:pPr>
    </w:p>
    <w:p>
      <w:pPr>
        <w:ind w:right="120" w:firstLine="441"/>
        <w:spacing w:after="0" w:line="224" w:lineRule="auto"/>
        <w:rPr>
          <w:sz w:val="20"/>
          <w:szCs w:val="20"/>
          <w:color w:val="auto"/>
        </w:rPr>
      </w:pPr>
      <w:r>
        <w:rPr>
          <w:rFonts w:ascii="Arial" w:cs="Arial" w:eastAsia="Arial" w:hAnsi="Arial"/>
          <w:sz w:val="18"/>
          <w:szCs w:val="18"/>
          <w:color w:val="auto"/>
        </w:rPr>
        <w:t>During the three-month period ended March 31, 2018, $12.0 million of cash was provided from the sale of investments of $25.0 million and $6.3 million of cash proceeds from the maturities of investments, partially offset by $19.2 million cash used for the purchase of available-for-sale securities.</w:t>
      </w:r>
    </w:p>
    <w:p>
      <w:pPr>
        <w:spacing w:after="0" w:line="123" w:lineRule="exact"/>
        <w:rPr>
          <w:sz w:val="20"/>
          <w:szCs w:val="20"/>
          <w:color w:val="auto"/>
        </w:rPr>
      </w:pPr>
    </w:p>
    <w:p>
      <w:pPr>
        <w:ind w:right="320" w:firstLine="441"/>
        <w:spacing w:after="0" w:line="224" w:lineRule="auto"/>
        <w:rPr>
          <w:sz w:val="20"/>
          <w:szCs w:val="20"/>
          <w:color w:val="auto"/>
        </w:rPr>
      </w:pPr>
      <w:r>
        <w:rPr>
          <w:rFonts w:ascii="Arial" w:cs="Arial" w:eastAsia="Arial" w:hAnsi="Arial"/>
          <w:sz w:val="18"/>
          <w:szCs w:val="18"/>
          <w:color w:val="auto"/>
        </w:rPr>
        <w:t>During the three-month period ended March 31, 2017, $1.8 million of cash was used in investing activities, consisting of $7.6 million of cash used to purchase available-for-sale securities partially offset by $5.8 million of cash proceeds from the maturities of investments.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ind w:right="280" w:firstLine="441"/>
        <w:spacing w:after="0" w:line="258" w:lineRule="auto"/>
        <w:rPr>
          <w:sz w:val="20"/>
          <w:szCs w:val="20"/>
          <w:color w:val="auto"/>
        </w:rPr>
      </w:pPr>
      <w:r>
        <w:rPr>
          <w:rFonts w:ascii="Arial" w:cs="Arial" w:eastAsia="Arial" w:hAnsi="Arial"/>
          <w:sz w:val="17"/>
          <w:szCs w:val="17"/>
          <w:color w:val="auto"/>
        </w:rPr>
        <w:t>During the three-month period ended March 31, 2018, cash provided from financing activities was $0.3 million primarily due to cash received from stock option exercises and the sale of stock under our employee stock purchase plan.</w:t>
      </w:r>
    </w:p>
    <w:p>
      <w:pPr>
        <w:spacing w:after="0" w:line="106" w:lineRule="exact"/>
        <w:rPr>
          <w:sz w:val="20"/>
          <w:szCs w:val="20"/>
          <w:color w:val="auto"/>
        </w:rPr>
      </w:pPr>
    </w:p>
    <w:p>
      <w:pPr>
        <w:ind w:right="180" w:firstLine="441"/>
        <w:spacing w:after="0" w:line="235" w:lineRule="auto"/>
        <w:rPr>
          <w:sz w:val="20"/>
          <w:szCs w:val="20"/>
          <w:color w:val="auto"/>
        </w:rPr>
      </w:pPr>
      <w:r>
        <w:rPr>
          <w:rFonts w:ascii="Arial" w:cs="Arial" w:eastAsia="Arial" w:hAnsi="Arial"/>
          <w:sz w:val="18"/>
          <w:szCs w:val="18"/>
          <w:color w:val="auto"/>
        </w:rPr>
        <w:t>During the three-month period ended March 31, 2017, we received $5.0 million of cash from financing activities primarily as a result of the private placement in February 2017.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98" w:lineRule="exact"/>
        <w:rPr>
          <w:sz w:val="20"/>
          <w:szCs w:val="20"/>
          <w:color w:val="auto"/>
        </w:rPr>
      </w:pPr>
    </w:p>
    <w:p>
      <w:pPr>
        <w:ind w:right="200" w:firstLine="416"/>
        <w:spacing w:after="0" w:line="235" w:lineRule="auto"/>
        <w:rPr>
          <w:sz w:val="20"/>
          <w:szCs w:val="20"/>
          <w:color w:val="auto"/>
        </w:rPr>
      </w:pPr>
      <w:r>
        <w:rPr>
          <w:rFonts w:ascii="Arial" w:cs="Arial" w:eastAsia="Arial" w:hAnsi="Arial"/>
          <w:sz w:val="18"/>
          <w:szCs w:val="18"/>
          <w:color w:val="auto"/>
        </w:rPr>
        <w:t>There have been no material changes outside the ordinary course of our business to the contractual obligations disclosed in our 2017 Annual Report on Form 10-K.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right="820" w:firstLine="441"/>
        <w:spacing w:after="0" w:line="235" w:lineRule="auto"/>
        <w:rPr>
          <w:sz w:val="20"/>
          <w:szCs w:val="20"/>
          <w:color w:val="auto"/>
        </w:rPr>
      </w:pPr>
      <w:r>
        <w:rPr>
          <w:rFonts w:ascii="Arial" w:cs="Arial" w:eastAsia="Arial" w:hAnsi="Arial"/>
          <w:sz w:val="18"/>
          <w:szCs w:val="18"/>
          <w:color w:val="auto"/>
        </w:rPr>
        <w:t>At March 31, 2018, we did not have any transactions, obligations or relationships that constitute off-balance sheet arrangements.</w:t>
      </w:r>
    </w:p>
    <w:p>
      <w:pPr>
        <w:spacing w:after="0" w:line="121"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135" w:lineRule="exact"/>
        <w:rPr>
          <w:sz w:val="20"/>
          <w:szCs w:val="20"/>
          <w:color w:val="auto"/>
        </w:rPr>
      </w:pPr>
    </w:p>
    <w:p>
      <w:pPr>
        <w:ind w:right="240" w:firstLine="441"/>
        <w:spacing w:after="0" w:line="244" w:lineRule="auto"/>
        <w:rPr>
          <w:sz w:val="20"/>
          <w:szCs w:val="20"/>
          <w:color w:val="auto"/>
        </w:rPr>
      </w:pPr>
      <w:r>
        <w:rPr>
          <w:rFonts w:ascii="Arial" w:cs="Arial" w:eastAsia="Arial" w:hAnsi="Arial"/>
          <w:sz w:val="16"/>
          <w:szCs w:val="16"/>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agreements entered into between us and such third parties in connection with such fundraising efforts. No liability associated with such indemnification agreements has been recorded as of March 31,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62" w:lineRule="exact"/>
        <w:rPr>
          <w:sz w:val="20"/>
          <w:szCs w:val="20"/>
          <w:color w:val="auto"/>
        </w:rPr>
      </w:pPr>
    </w:p>
    <w:p>
      <w:pPr>
        <w:ind w:right="180" w:firstLine="441"/>
        <w:spacing w:after="0" w:line="249" w:lineRule="auto"/>
        <w:rPr>
          <w:sz w:val="20"/>
          <w:szCs w:val="20"/>
          <w:color w:val="auto"/>
        </w:rPr>
      </w:pPr>
      <w:r>
        <w:rPr>
          <w:rFonts w:ascii="Arial" w:cs="Arial" w:eastAsia="Arial" w:hAnsi="Arial"/>
          <w:sz w:val="16"/>
          <w:szCs w:val="16"/>
          <w:color w:val="auto"/>
        </w:rPr>
        <w:t>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Events and Uncertainties</w:t>
      </w:r>
    </w:p>
    <w:p>
      <w:pPr>
        <w:spacing w:after="0" w:line="148" w:lineRule="exact"/>
        <w:rPr>
          <w:sz w:val="20"/>
          <w:szCs w:val="20"/>
          <w:color w:val="auto"/>
        </w:rPr>
      </w:pPr>
    </w:p>
    <w:p>
      <w:pPr>
        <w:ind w:firstLine="441"/>
        <w:spacing w:after="0" w:line="214" w:lineRule="auto"/>
        <w:rPr>
          <w:sz w:val="20"/>
          <w:szCs w:val="20"/>
          <w:color w:val="auto"/>
        </w:rPr>
      </w:pPr>
      <w:r>
        <w:rPr>
          <w:rFonts w:ascii="Arial" w:cs="Arial" w:eastAsia="Arial" w:hAnsi="Arial"/>
          <w:sz w:val="18"/>
          <w:szCs w:val="18"/>
          <w:color w:val="auto"/>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our path to commercialization of NPS, including, but not limited to, additional financing through follow-on stock offerings, debt financings, or co-development agreements and /or other alternatives.</w:t>
      </w:r>
    </w:p>
    <w:p>
      <w:pPr>
        <w:spacing w:after="0" w:line="122"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cash resources are insufficient to satisfy our ongoing cash needs, we would be required to scale back or discontinue our technology and product development programs, or obtain funds, if available, although there can be no assurances, through the sale, licensing or strategic alliances that could require us to relinquish rights to our technology and intellectual property, or to curtail, suspend or discontinue our operations entirely.</w:t>
      </w:r>
    </w:p>
    <w:p>
      <w:pPr>
        <w:spacing w:after="0" w:line="135" w:lineRule="exact"/>
        <w:rPr>
          <w:sz w:val="20"/>
          <w:szCs w:val="20"/>
          <w:color w:val="auto"/>
        </w:rPr>
      </w:pPr>
    </w:p>
    <w:p>
      <w:pPr>
        <w:jc w:val="both"/>
        <w:ind w:right="280" w:firstLine="441"/>
        <w:spacing w:after="0" w:line="238" w:lineRule="auto"/>
        <w:rPr>
          <w:sz w:val="20"/>
          <w:szCs w:val="20"/>
          <w:color w:val="auto"/>
        </w:rPr>
      </w:pPr>
      <w:r>
        <w:rPr>
          <w:rFonts w:ascii="Arial" w:cs="Arial" w:eastAsia="Arial" w:hAnsi="Arial"/>
          <w:sz w:val="17"/>
          <w:szCs w:val="17"/>
          <w:color w:val="auto"/>
        </w:rPr>
        <w:t>Other than as discussed above and elsewhere in this Quarterly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jc w:val="both"/>
        <w:ind w:right="80" w:firstLine="441"/>
        <w:spacing w:after="0" w:line="238" w:lineRule="auto"/>
        <w:rPr>
          <w:sz w:val="20"/>
          <w:szCs w:val="20"/>
          <w:color w:val="auto"/>
        </w:rPr>
      </w:pPr>
      <w:r>
        <w:rPr>
          <w:rFonts w:ascii="Arial" w:cs="Arial" w:eastAsia="Arial" w:hAnsi="Arial"/>
          <w:sz w:val="17"/>
          <w:szCs w:val="17"/>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We do not hold financial instruments for trading purposes.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and Market Risk</w:t>
      </w:r>
    </w:p>
    <w:p>
      <w:pPr>
        <w:spacing w:after="0" w:line="148" w:lineRule="exact"/>
        <w:rPr>
          <w:sz w:val="20"/>
          <w:szCs w:val="20"/>
          <w:color w:val="auto"/>
        </w:rPr>
      </w:pPr>
    </w:p>
    <w:p>
      <w:pPr>
        <w:ind w:right="20" w:firstLine="441"/>
        <w:spacing w:after="0" w:line="223" w:lineRule="auto"/>
        <w:rPr>
          <w:sz w:val="20"/>
          <w:szCs w:val="20"/>
          <w:color w:val="auto"/>
        </w:rPr>
      </w:pPr>
      <w:r>
        <w:rPr>
          <w:rFonts w:ascii="Arial" w:cs="Arial" w:eastAsia="Arial" w:hAnsi="Arial"/>
          <w:sz w:val="17"/>
          <w:szCs w:val="17"/>
          <w:color w:val="auto"/>
        </w:rPr>
        <w:t>As of March 31, 2018 and December 31, 2017, we had cash, cash equivalents and investments totaling $33.4 million and $38.1 million, respectively, all of which have maturities of less than three years. The goals of our investment policy are preservation of capital, fulfillment of liquidity needs and fiduciary control of our cash and investments. We also seek to maximize income from our investments without assuming significant risk. To achieve our goals, we maintain a portfolio of cash equivalents and investments in a variety of securities of high credit quality. The securities in our investment portfolio are not leveraged, are classified as available-for-sale, and are, due to their relatively short-term nature, subject to minimal interest rate risks. We currently do not hedge interest rate exposure. A decline in interest rates would reduce our interest income; however, because of the short-term maturities of our investments, we do not believe that a hypothetical 10% change in market interest rates would have a material negative impact on the value of our investment portfolio.</w:t>
      </w:r>
    </w:p>
    <w:p>
      <w:pPr>
        <w:spacing w:after="0" w:line="54"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16"/>
          <w:szCs w:val="16"/>
          <w:color w:val="auto"/>
        </w:rPr>
        <w:t>On the other hand, when interest rates rise, our marketable securities purchased at a lower yield would incur a mark-to-market unrealized loss. Under certain circumstances, if we are forced to sell our marketable securities prior to maturity, we may incur realized losses in such investments. However, because of the conservative and short-term nature of the investments in our portfolio, a change in interest rates is not expected to have a material impact on our condensed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48" w:lineRule="exact"/>
        <w:rPr>
          <w:sz w:val="20"/>
          <w:szCs w:val="20"/>
          <w:color w:val="auto"/>
        </w:rPr>
      </w:pPr>
    </w:p>
    <w:p>
      <w:pPr>
        <w:ind w:right="280" w:firstLine="441"/>
        <w:spacing w:after="0" w:line="235" w:lineRule="auto"/>
        <w:rPr>
          <w:sz w:val="20"/>
          <w:szCs w:val="20"/>
          <w:color w:val="auto"/>
        </w:rPr>
      </w:pPr>
      <w:r>
        <w:rPr>
          <w:rFonts w:ascii="Arial" w:cs="Arial" w:eastAsia="Arial" w:hAnsi="Arial"/>
          <w:sz w:val="18"/>
          <w:szCs w:val="18"/>
          <w:color w:val="auto"/>
        </w:rPr>
        <w:t>The majority of our expense and capital purchasing activities are transacted in U.S. dollars. We do not currently have any international operations. We may incur foreign exchange gains or losses in the future.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firstLine="441"/>
        <w:spacing w:after="0" w:line="236"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our Chief Financial Officer, our principal executive and principal financial officers, respectively, conducted an evaluation of the effectiveness of the design and operation of our disclosure controls and procedures, as defined in Rules 13a-15(e) and 15d-15(e) under the Exchange Act of 1934, as amended, as of the end of the period covered by this Quarterly Report on Form 10-Q. Based on this evaluation, our Chief Executive Officer and our Chief Financial Officer have concluded that, as of March 31, 2018,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320" w:firstLine="441"/>
        <w:spacing w:after="0" w:line="244" w:lineRule="auto"/>
        <w:rPr>
          <w:sz w:val="20"/>
          <w:szCs w:val="20"/>
          <w:color w:val="auto"/>
        </w:rPr>
      </w:pPr>
      <w:r>
        <w:rPr>
          <w:rFonts w:ascii="Arial" w:cs="Arial" w:eastAsia="Arial" w:hAnsi="Arial"/>
          <w:sz w:val="16"/>
          <w:szCs w:val="16"/>
          <w:color w:val="auto"/>
        </w:rPr>
        <w:t>There have been no changes in our internal control over financial reporting identified in connection with the evaluation required by Rule 13a-15(d) and 15d-15(d) of the Exchange Act, as amended, that occurred during the quarter ended March 31, 2018 that have materially affected, or are reasonably likely to materially affect, our internal control over financial reporting. Internal control over financial reporting means a process designed to provide reasonable assurance regarding the reliability of financial reporting and the preparation of financial statements for external purposes in accordance with GAAP.</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48" w:lineRule="exact"/>
        <w:rPr>
          <w:sz w:val="20"/>
          <w:szCs w:val="20"/>
          <w:color w:val="auto"/>
        </w:rPr>
      </w:pPr>
    </w:p>
    <w:p>
      <w:pPr>
        <w:ind w:right="80" w:firstLine="441"/>
        <w:spacing w:after="0" w:line="220"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 OTHER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We and certain of our directors have received subpoenas from the Securities and Exchange Commission (“SEC”) requesting documents and other information in connection with an investigation into trading in our stock in advance of our September 2017 announcement of the stock purchase agreement executed between us and Robert W. Duggan. According to documents received from the SEC, “This investigation is a non-public, fact-finding inquiry. We are [the SEC is] trying to determine whether there have been any violations of the federal securities laws. The investigation and the subpoena do not mean that we have [the SEC has] concluded that you or anyone else has violated the law. Also, the investigation does not mean that we have a negative opinion of any person, entity or security.” We are fully cooperating with the investigation.</w:t>
      </w:r>
    </w:p>
    <w:p>
      <w:pPr>
        <w:spacing w:after="0" w:line="13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From time to time, we may be involved in a variety of legal proceedings and claims relating to securities laws, product liability, patent infringement, contract disputes, employment matters and other matters relating to the normal course of our business in addition to governmental and other regulatory investigations and proceedings. In addition, third parties may, from time to time, assert claims against us in the form of letters and other communications.</w:t>
      </w:r>
    </w:p>
    <w:p>
      <w:pPr>
        <w:spacing w:after="0" w:line="146" w:lineRule="exact"/>
        <w:rPr>
          <w:sz w:val="20"/>
          <w:szCs w:val="20"/>
          <w:color w:val="auto"/>
        </w:rPr>
      </w:pPr>
    </w:p>
    <w:p>
      <w:pPr>
        <w:ind w:right="200" w:firstLine="441"/>
        <w:spacing w:after="0" w:line="308" w:lineRule="auto"/>
        <w:rPr>
          <w:sz w:val="20"/>
          <w:szCs w:val="20"/>
          <w:color w:val="auto"/>
        </w:rPr>
      </w:pPr>
      <w:r>
        <w:rPr>
          <w:rFonts w:ascii="Arial" w:cs="Arial" w:eastAsia="Arial" w:hAnsi="Arial"/>
          <w:sz w:val="17"/>
          <w:szCs w:val="17"/>
          <w:color w:val="auto"/>
        </w:rPr>
        <w:t>The results of legal proceedings and claims are inherently unpredictable. We do not believe any currently pending matters will have a material adverse effect on our business based on our current understanding of such matters.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together with all of the other information in this Quarterly Report on Form 10-Q,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Industry and Financial Condition</w:t>
      </w:r>
    </w:p>
    <w:p>
      <w:pPr>
        <w:spacing w:after="0" w:line="202"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b w:val="1"/>
          <w:bCs w:val="1"/>
          <w:i w:val="1"/>
          <w:iCs w:val="1"/>
          <w:color w:val="auto"/>
        </w:rPr>
        <w:t>Since we have a limited operating history and have not commenced any revenue producing operations, it is difficult to evaluate the future of our business</w:t>
      </w:r>
      <w:r>
        <w:rPr>
          <w:rFonts w:ascii="Arial" w:cs="Arial" w:eastAsia="Arial" w:hAnsi="Arial"/>
          <w:sz w:val="18"/>
          <w:szCs w:val="18"/>
          <w:color w:val="auto"/>
        </w:rPr>
        <w:t>.</w:t>
      </w:r>
    </w:p>
    <w:p>
      <w:pPr>
        <w:spacing w:after="0" w:line="130"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We are a clinical-stage medical technology company and have not yet commenced revenue-producing operations. To date, our operations on a consolidated basis have consisted of the continued development of our technologies and implementation of the early parts of our business plan. We have incurred significant operating losses in each year since our inception and we expect to continue to incur additional loses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or prospective operations and business prospects.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currently have no commercial products or product revenue and may never become profitable.</w:t>
      </w:r>
    </w:p>
    <w:p>
      <w:pPr>
        <w:spacing w:after="0" w:line="198"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color w:val="auto"/>
        </w:rPr>
        <w:t>To date, we have not generated revenue and have relied on financing from the sale of equity securities to fund our operations. We expect that our future financial results will depend primarily on our success in obtaining approval for, launching, selling and supporting our PulseTx</w:t>
      </w:r>
      <w:r>
        <w:rPr>
          <w:rFonts w:ascii="Arial" w:cs="Arial" w:eastAsia="Arial" w:hAnsi="Arial"/>
          <w:sz w:val="7"/>
          <w:szCs w:val="7"/>
          <w:color w:val="auto"/>
        </w:rPr>
        <w:t>TM</w:t>
      </w:r>
      <w:r>
        <w:rPr>
          <w:rFonts w:ascii="Arial" w:cs="Arial" w:eastAsia="Arial" w:hAnsi="Arial"/>
          <w:sz w:val="16"/>
          <w:szCs w:val="16"/>
          <w:color w:val="auto"/>
        </w:rPr>
        <w:t xml:space="preserve"> System or other products based on Nano Pulse Stimulation, or NPS; however, our technology is still in development. We expect to expend significant resources on hiring of personnel, continued scientific and product research and development, potential product testing and preclinical and clinical investigation, intellectual property development and prosecution, marketing and promotion, capital expenditures, working capital, general and administrative expenses, and fees and expenses associated with our capital raising efforts. We expect to incur costs and expenses related to consulting costs, laboratory development costs, hiring of scientists, engineers, and other operational personnel, and the continued development of relationships with potential partners. We are incurring significant operating losses, we expect to continue to incur additional loses for at least the next several years, and we cannot assure you that we will generate revenue or be profitable in the future. Our future products may never be approved or become commercially viable or accepted for use. Even if we find commercially viable applications for our technology, which may include licensing, we may never recover our research and development expenses.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Investment in medical technology is highly speculative, because it entails substantial upfront capital expenditures and significant risk that any potential product will fail to demonstrate adequate efficacy or clinical utility. Investors should evaluate an investment in us in light of the uncertainties encountered by developing medical technology companies in a competitive environment. There can be no assurance that our efforts will be successful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spacing w:after="0" w:line="15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b w:val="1"/>
          <w:bCs w:val="1"/>
          <w:i w:val="1"/>
          <w:iCs w:val="1"/>
          <w:color w:val="auto"/>
        </w:rPr>
        <w:t>We anticipate needing additional financing to execute our business plan and fund operations, which additional financing may not be available on reasonable terms or at all.</w:t>
      </w:r>
    </w:p>
    <w:p>
      <w:pPr>
        <w:spacing w:after="0" w:line="130"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Our ability to continue as a going concern ultimately depends on our ability to generate cash flow from sales that are sufficient to fund operations or to find adequate financing to support our operations. Currently, we have no revenue, do not plan to have revenue in the near term, and do not have arrangements in place for all the anticipated financing that would be required to fully implement our business plan. We plan to raise additional funds in the future.</w:t>
      </w:r>
    </w:p>
    <w:p>
      <w:pPr>
        <w:spacing w:after="0" w:line="146" w:lineRule="exact"/>
        <w:rPr>
          <w:sz w:val="20"/>
          <w:szCs w:val="20"/>
          <w:color w:val="auto"/>
        </w:rPr>
      </w:pPr>
    </w:p>
    <w:p>
      <w:pPr>
        <w:ind w:right="20" w:firstLine="441"/>
        <w:spacing w:after="0" w:line="253" w:lineRule="auto"/>
        <w:rPr>
          <w:sz w:val="20"/>
          <w:szCs w:val="20"/>
          <w:color w:val="auto"/>
        </w:rPr>
      </w:pPr>
      <w:r>
        <w:rPr>
          <w:rFonts w:ascii="Arial" w:cs="Arial" w:eastAsia="Arial" w:hAnsi="Arial"/>
          <w:sz w:val="18"/>
          <w:szCs w:val="18"/>
          <w:color w:val="auto"/>
        </w:rPr>
        <w:t>We cannot give any assurance that we will be able to obtain all the necessary funding that we may need. We believe that we will require additional capital in the future to fully develop our technologies and planned products to the stage of a commercial launch. We have pursued and may pursue additional funding through various financing sources, including the private sale of our equity and debt securities, licensing fees for our technology, joint ventures with capital partners and project type financing. If we raise funds by issuing equity or equity-linked securities, dilution to our stockholders will result. Any equity securities issued may also provide for rights, preferences or privileges senior to those of holders of our common stock. The terms of debt securities issued or borrowings could impose significant restrictions on our operations. We also may seek government based financing, such as development and research grants. There can be no assurance that funds will be available on commercially reasonable terms, if at all.</w:t>
      </w:r>
    </w:p>
    <w:p>
      <w:pPr>
        <w:spacing w:after="0" w:line="170" w:lineRule="exact"/>
        <w:rPr>
          <w:sz w:val="20"/>
          <w:szCs w:val="20"/>
          <w:color w:val="auto"/>
        </w:rPr>
      </w:pPr>
    </w:p>
    <w:p>
      <w:pPr>
        <w:ind w:right="60" w:firstLine="441"/>
        <w:spacing w:after="0" w:line="288" w:lineRule="auto"/>
        <w:rPr>
          <w:sz w:val="20"/>
          <w:szCs w:val="20"/>
          <w:color w:val="auto"/>
        </w:rPr>
      </w:pPr>
      <w:r>
        <w:rPr>
          <w:rFonts w:ascii="Arial" w:cs="Arial" w:eastAsia="Arial" w:hAnsi="Arial"/>
          <w:sz w:val="16"/>
          <w:szCs w:val="16"/>
          <w:color w:val="auto"/>
        </w:rPr>
        <w:t>The incurrence of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29"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If we are unable to obtain adequate financing or financing on terms satisfactory to us when we require it, we may terminate or delay the development of one or more of our products, delay clinical trials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or we may be unable to continue operations, in which case you could lose your entire investment.</w:t>
      </w:r>
    </w:p>
    <w:p>
      <w:pPr>
        <w:spacing w:after="0" w:line="132" w:lineRule="exact"/>
        <w:rPr>
          <w:sz w:val="20"/>
          <w:szCs w:val="20"/>
          <w:color w:val="auto"/>
        </w:rPr>
      </w:pPr>
    </w:p>
    <w:p>
      <w:pPr>
        <w:ind w:right="140" w:firstLine="441"/>
        <w:spacing w:after="0" w:line="342" w:lineRule="auto"/>
        <w:rPr>
          <w:sz w:val="20"/>
          <w:szCs w:val="20"/>
          <w:color w:val="auto"/>
        </w:rPr>
      </w:pPr>
      <w:r>
        <w:rPr>
          <w:rFonts w:ascii="Arial" w:cs="Arial" w:eastAsia="Arial" w:hAnsi="Arial"/>
          <w:sz w:val="16"/>
          <w:szCs w:val="16"/>
          <w:b w:val="1"/>
          <w:bCs w:val="1"/>
          <w:i w:val="1"/>
          <w:iCs w:val="1"/>
          <w:color w:val="auto"/>
        </w:rPr>
        <w:t>If we lose key management personnel, our ability to identify, develop and commercialize new or next generation product candidates will be impaired, could result in loss of markets or market share and could make us less competitive.</w:t>
      </w:r>
    </w:p>
    <w:p>
      <w:pPr>
        <w:spacing w:after="0" w:line="97"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We are highly dependent upon the principal members of our management team, including our Chief Executive Officer, Darrin Uecker, and the members of our scientific and engineering teams. These persons have significant experience and knowledge with sub-microsecond pulsed electric fields and more broadly in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and may be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spacing w:after="0" w:line="160" w:lineRule="exact"/>
        <w:rPr>
          <w:sz w:val="20"/>
          <w:szCs w:val="20"/>
          <w:color w:val="auto"/>
        </w:rPr>
      </w:pPr>
    </w:p>
    <w:p>
      <w:pPr>
        <w:ind w:right="660" w:firstLine="441"/>
        <w:spacing w:after="0" w:line="381" w:lineRule="auto"/>
        <w:rPr>
          <w:sz w:val="20"/>
          <w:szCs w:val="20"/>
          <w:color w:val="auto"/>
        </w:rPr>
      </w:pPr>
      <w:r>
        <w:rPr>
          <w:rFonts w:ascii="Arial" w:cs="Arial" w:eastAsia="Arial" w:hAnsi="Arial"/>
          <w:sz w:val="15"/>
          <w:szCs w:val="15"/>
          <w:b w:val="1"/>
          <w:bCs w:val="1"/>
          <w:i w:val="1"/>
          <w:iCs w:val="1"/>
          <w:color w:val="auto"/>
        </w:rPr>
        <w:t>There is a limited talent pool of experienced professionals in our industry. If we are not able to retain and recruit personnel with the requisite technical skills, we may be unable to successfully execute our business strategy.</w:t>
      </w:r>
    </w:p>
    <w:p>
      <w:pPr>
        <w:spacing w:after="0" w:line="60"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life science businesses, we may not succeed in attracting or retaining the personnel we require to continue and grow our operations.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Rapidly changing technology in life sciences could make the products we are developing obsolete.</w:t>
      </w:r>
    </w:p>
    <w:p>
      <w:pPr>
        <w:spacing w:after="0" w:line="198"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We also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spacing w:after="0" w:line="137" w:lineRule="exact"/>
        <w:rPr>
          <w:sz w:val="20"/>
          <w:szCs w:val="20"/>
          <w:color w:val="auto"/>
        </w:rPr>
      </w:pPr>
    </w:p>
    <w:p>
      <w:pPr>
        <w:ind w:right="60" w:firstLine="441"/>
        <w:spacing w:after="0" w:line="342" w:lineRule="auto"/>
        <w:rPr>
          <w:sz w:val="20"/>
          <w:szCs w:val="20"/>
          <w:color w:val="auto"/>
        </w:rPr>
      </w:pPr>
      <w:r>
        <w:rPr>
          <w:rFonts w:ascii="Arial" w:cs="Arial" w:eastAsia="Arial" w:hAnsi="Arial"/>
          <w:sz w:val="16"/>
          <w:szCs w:val="16"/>
          <w:b w:val="1"/>
          <w:bCs w:val="1"/>
          <w:i w:val="1"/>
          <w:iCs w:val="1"/>
          <w:color w:val="auto"/>
        </w:rPr>
        <w:t>We expect to operate in a highly competitive market, we may face competition from large, well-established medical device and product manufacturers with significant resources, and we may not be able to compete effectively.</w:t>
      </w:r>
    </w:p>
    <w:p>
      <w:pPr>
        <w:spacing w:after="0" w:line="83" w:lineRule="exact"/>
        <w:rPr>
          <w:sz w:val="20"/>
          <w:szCs w:val="20"/>
          <w:color w:val="auto"/>
        </w:rPr>
      </w:pPr>
    </w:p>
    <w:p>
      <w:pPr>
        <w:ind w:right="440" w:firstLine="441"/>
        <w:spacing w:after="0" w:line="264" w:lineRule="auto"/>
        <w:rPr>
          <w:sz w:val="20"/>
          <w:szCs w:val="20"/>
          <w:color w:val="auto"/>
        </w:rPr>
      </w:pPr>
      <w:r>
        <w:rPr>
          <w:rFonts w:ascii="Arial" w:cs="Arial" w:eastAsia="Arial" w:hAnsi="Arial"/>
          <w:sz w:val="18"/>
          <w:szCs w:val="18"/>
          <w:color w:val="auto"/>
        </w:rPr>
        <w:t>The medical technology, medical device, biotechnology and pharmaceutical industries are characterized by intense and dynamic competition to develop new technologies and proprietary therapies. We may find ourselves in competition with companies that have competitive advantages over us, such as:</w:t>
      </w:r>
    </w:p>
    <w:p>
      <w:pPr>
        <w:spacing w:after="0" w:line="154" w:lineRule="exact"/>
        <w:rPr>
          <w:sz w:val="20"/>
          <w:szCs w:val="20"/>
          <w:color w:val="auto"/>
        </w:rPr>
      </w:pPr>
    </w:p>
    <w:p>
      <w:pPr>
        <w:ind w:left="1080" w:hanging="323"/>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established relations with healthcare professionals, customers and third-party payers;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established distribution networks;</w:t>
      </w:r>
    </w:p>
    <w:p>
      <w:pPr>
        <w:spacing w:after="0" w:line="184" w:lineRule="exact"/>
        <w:rPr>
          <w:rFonts w:ascii="Arial" w:cs="Arial" w:eastAsia="Arial" w:hAnsi="Arial"/>
          <w:sz w:val="18"/>
          <w:szCs w:val="18"/>
          <w:color w:val="auto"/>
        </w:rPr>
      </w:pPr>
    </w:p>
    <w:p>
      <w:pPr>
        <w:ind w:left="1080" w:right="360" w:hanging="323"/>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additional lines of products, and the ability to offer rebates, higher discounts or incentives to gain a competitive advantage;</w:t>
      </w:r>
    </w:p>
    <w:p>
      <w:pPr>
        <w:spacing w:after="0" w:line="129" w:lineRule="exact"/>
        <w:rPr>
          <w:rFonts w:ascii="Arial" w:cs="Arial" w:eastAsia="Arial" w:hAnsi="Arial"/>
          <w:sz w:val="18"/>
          <w:szCs w:val="18"/>
          <w:color w:val="auto"/>
        </w:rPr>
      </w:pPr>
    </w:p>
    <w:p>
      <w:pPr>
        <w:ind w:left="1080" w:right="380" w:hanging="323"/>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greater experience in conducting research and development, manufacturing, clinical trials, obtaining regulatory approval for products, and marketing approved products; and</w:t>
      </w:r>
    </w:p>
    <w:p>
      <w:pPr>
        <w:spacing w:after="0" w:line="129" w:lineRule="exact"/>
        <w:rPr>
          <w:rFonts w:ascii="Arial" w:cs="Arial" w:eastAsia="Arial" w:hAnsi="Arial"/>
          <w:sz w:val="18"/>
          <w:szCs w:val="18"/>
          <w:color w:val="auto"/>
        </w:rPr>
      </w:pPr>
    </w:p>
    <w:p>
      <w:pPr>
        <w:ind w:left="1080" w:hanging="323"/>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greater financial and human resources for product development, sales and marketing, and patent litigation.</w:t>
      </w:r>
    </w:p>
    <w:p>
      <w:pPr>
        <w:spacing w:after="0" w:line="196" w:lineRule="exact"/>
        <w:rPr>
          <w:sz w:val="20"/>
          <w:szCs w:val="20"/>
          <w:color w:val="auto"/>
        </w:rPr>
      </w:pPr>
    </w:p>
    <w:p>
      <w:pPr>
        <w:ind w:right="240" w:firstLine="441"/>
        <w:spacing w:after="0" w:line="297" w:lineRule="auto"/>
        <w:rPr>
          <w:sz w:val="20"/>
          <w:szCs w:val="20"/>
          <w:color w:val="auto"/>
        </w:rPr>
      </w:pPr>
      <w:r>
        <w:rPr>
          <w:rFonts w:ascii="Arial" w:cs="Arial" w:eastAsia="Arial" w:hAnsi="Arial"/>
          <w:sz w:val="16"/>
          <w:szCs w:val="16"/>
          <w:color w:val="auto"/>
        </w:rPr>
        <w:t>We may also face increased competition in the future as new companies enter our markets and as scientific developments surrounding electro-signaling therapeutics continue to accelerate. While we will seek to expand our technological capabilities to remain competitive, research and development by others may render our technology or product candidates obsolete or noncompetitive or result in treatments or cures superior to any therapy developed by us. As a result, we may not be able to compete effectively against current and potential future competitors or their devices and products.</w:t>
      </w:r>
    </w:p>
    <w:p>
      <w:pPr>
        <w:spacing w:after="0" w:line="118"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b w:val="1"/>
          <w:bCs w:val="1"/>
          <w:i w:val="1"/>
          <w:iCs w:val="1"/>
          <w:color w:val="auto"/>
        </w:rPr>
        <w:t>We may rely on third parties for our sales, marketing, manufacturing and/or distribution, and these third parties may not perform satisfactorily.</w:t>
      </w:r>
    </w:p>
    <w:p>
      <w:pPr>
        <w:spacing w:after="0" w:line="130" w:lineRule="exact"/>
        <w:rPr>
          <w:sz w:val="20"/>
          <w:szCs w:val="20"/>
          <w:color w:val="auto"/>
        </w:rPr>
      </w:pPr>
    </w:p>
    <w:p>
      <w:pPr>
        <w:ind w:right="120" w:firstLine="441"/>
        <w:spacing w:after="0" w:line="279" w:lineRule="auto"/>
        <w:rPr>
          <w:sz w:val="20"/>
          <w:szCs w:val="20"/>
          <w:color w:val="auto"/>
        </w:rPr>
      </w:pPr>
      <w:r>
        <w:rPr>
          <w:rFonts w:ascii="Arial" w:cs="Arial" w:eastAsia="Arial" w:hAnsi="Arial"/>
          <w:sz w:val="17"/>
          <w:szCs w:val="17"/>
          <w:color w:val="auto"/>
        </w:rPr>
        <w:t>We do not currently conduct any aspects of sales, marketing, large-scale manufacturing or distribution. To be able to commercialize our planned products, we may elect to internally develop all of the foregoing or utilize third parties with respect to one or more of these items. Our reliance on these third parties may reduce our control over these activities; however, reliance on third parties does not relieve us of our responsibility to ensure compliance with all required legal,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regulatory and scientific standards. Any failure of these third parties to perform satisfactorily and in compliance with relevant laws and regulations could lead to delays in the development of our planned products, including delays in our clinical trials, or failure to obtain regulatory approval for our planned products, or failure to successfully commercialize our planned products or other future products. Some of these events could be the basis for FDA or other regulatory action, including injunction, recall, seizure or total or partial suspension of production.</w:t>
      </w:r>
    </w:p>
    <w:p>
      <w:pPr>
        <w:spacing w:after="0" w:line="161"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color w:val="auto"/>
        </w:rPr>
        <w:t>We do not have any corporate experience in establishing these capabilities, and therefore, we may be unsuccessful in achieving commercialization and earning revenues. We believe that setting up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If we are unable to establish and maintain adequate sales, marketing, manufacturing and distribution capabilities, independently or with others, we will not be able to generate product revenue, and may not become profitable.</w:t>
      </w:r>
    </w:p>
    <w:p>
      <w:pPr>
        <w:spacing w:after="0" w:line="152"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b w:val="1"/>
          <w:bCs w:val="1"/>
          <w:i w:val="1"/>
          <w:iCs w:val="1"/>
          <w:color w:val="auto"/>
        </w:rPr>
        <w:t>If we are unable to manage the anticipated growth of our business, our future revenue and operating results may be harmed.</w:t>
      </w:r>
    </w:p>
    <w:p>
      <w:pPr>
        <w:spacing w:after="0" w:line="130"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We have experienced and continue to experience rapid growth in our business. Recent and future growth imposes significant added responsibilities on management, including the need to identify, recruit, train and integrate additional employees. Rapid expansion in personnel could mean that less experienced people carry out our research and development activities, manufacture our PulseTx System devices and market and sell our NPS technology, therapies and treatments,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unexpected expansion difficulties could have a material adverse effect on our business, financial condition and results of operations and our ability to timely execute our business plan. If we are unable to manage our growth effectively, it may be difficult for us to execute our business strategy and our business could be harmed.</w:t>
      </w:r>
    </w:p>
    <w:p>
      <w:pPr>
        <w:spacing w:after="0" w:line="140"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41" w:lineRule="exact"/>
        <w:rPr>
          <w:sz w:val="20"/>
          <w:szCs w:val="20"/>
          <w:color w:val="auto"/>
        </w:rPr>
      </w:pPr>
    </w:p>
    <w:p>
      <w:pPr>
        <w:ind w:right="120" w:firstLine="441"/>
        <w:spacing w:after="0" w:line="273" w:lineRule="auto"/>
        <w:rPr>
          <w:sz w:val="20"/>
          <w:szCs w:val="20"/>
          <w:color w:val="auto"/>
        </w:rPr>
      </w:pPr>
      <w:r>
        <w:rPr>
          <w:rFonts w:ascii="Arial" w:cs="Arial" w:eastAsia="Arial" w:hAnsi="Arial"/>
          <w:sz w:val="17"/>
          <w:szCs w:val="17"/>
          <w:color w:val="auto"/>
        </w:rPr>
        <w:t>In the ordinary course of our business, we, and our third-party service providers may collect and store sensitive data, including legally protected health information, personally identifiable information about our patients, information related to our trials, intellectual property, and our proprietary business and financial information. We manage and maintain our applications and data utilizing a combination of on-site and vendor-owned systems. We face a number of risks related to our protection of, and our service providers’ protection of, this critical information, including loss of access, unauthorized disclosure and unauthorized access, as well as risks associated with our ability to identify and audit such events.</w:t>
      </w:r>
    </w:p>
    <w:p>
      <w:pPr>
        <w:spacing w:after="0" w:line="138" w:lineRule="exact"/>
        <w:rPr>
          <w:sz w:val="20"/>
          <w:szCs w:val="20"/>
          <w:color w:val="auto"/>
        </w:rPr>
      </w:pPr>
    </w:p>
    <w:p>
      <w:pPr>
        <w:ind w:right="120" w:firstLine="441"/>
        <w:spacing w:after="0" w:line="287" w:lineRule="auto"/>
        <w:rPr>
          <w:sz w:val="20"/>
          <w:szCs w:val="20"/>
          <w:color w:val="auto"/>
        </w:rPr>
      </w:pPr>
      <w:r>
        <w:rPr>
          <w:rFonts w:ascii="Arial" w:cs="Arial" w:eastAsia="Arial" w:hAnsi="Arial"/>
          <w:sz w:val="16"/>
          <w:szCs w:val="16"/>
          <w:color w:val="auto"/>
        </w:rPr>
        <w:t>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have not experienced any such attack or breach, if such an event were to occur,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federal Health Insurance Portability and Accountability Act of 1996, or HIPAA, as amended by the Health Information Technology for Economic and Clinical Health Act of 2009, or HITECH, and regulatory penalties. Unauthorized access, loss or dissemination could also disrupt our operations, including our ability to process tests, provide test results, provide services, conduct research and development activities, collect, process and prepare company financial information, provide information about our product candidates and manage the administrative aspects of our business and could damage our reputation, any of which could adversely affect our business.</w:t>
      </w:r>
    </w:p>
    <w:p>
      <w:pPr>
        <w:spacing w:after="0" w:line="146" w:lineRule="exact"/>
        <w:rPr>
          <w:sz w:val="20"/>
          <w:szCs w:val="20"/>
          <w:color w:val="auto"/>
        </w:rPr>
      </w:pPr>
    </w:p>
    <w:p>
      <w:pPr>
        <w:ind w:right="260" w:firstLine="441"/>
        <w:spacing w:after="0" w:line="302" w:lineRule="auto"/>
        <w:rPr>
          <w:sz w:val="20"/>
          <w:szCs w:val="20"/>
          <w:color w:val="auto"/>
        </w:rPr>
      </w:pPr>
      <w:r>
        <w:rPr>
          <w:rFonts w:ascii="Arial" w:cs="Arial" w:eastAsia="Arial" w:hAnsi="Arial"/>
          <w:sz w:val="16"/>
          <w:szCs w:val="16"/>
          <w:color w:val="auto"/>
        </w:rPr>
        <w:t>In addition, the interpretation and application of federal and state consumer, health-related and data protection laws in the United States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incur substantial costs or require us to change our business practices, systems and compliance procedures in a manner adverse to our business.</w:t>
      </w:r>
    </w:p>
    <w:p>
      <w:pPr>
        <w:spacing w:after="0" w:line="143"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30"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We face an inherent risk of product liability exposure related to the future sale of planned products and the use of planned products in human clinical studies.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We may also be subject to liability for a misunderstanding of, or inappropriate reliance upon, the information we provide. If we cannot successfully defend ourselves against claims that our planned products caused injuries, we may incur substantial liabilities. Regardless of merit or eventual outcome, liability claims may result in:</w:t>
      </w:r>
    </w:p>
    <w:p>
      <w:pPr>
        <w:spacing w:after="0" w:line="138" w:lineRule="exact"/>
        <w:rPr>
          <w:sz w:val="20"/>
          <w:szCs w:val="20"/>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decreased demand for any planned products that we may develop;</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withdrawal of patients from clinical studies or cancellation of studies;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and distraction to our management team;</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substantial monetary awards to patients;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85"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For example, if we pursue clinical trials in the field of oncology, patients with the types and stages of cancer targeted by our NPS technology may already be in severe and advanced stages of disease, may have worsened conditions despite traditional therapies, may not be surgical candidates, and/or may have both known and unknown significant pre-existing and potentially life-threatening conditions. During the course of treatment, patients may suffer adverse events, including death, for reasons that may be related to our NPS Technology or our PulseTx System.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in a circumstance in which we do not believe that an adverse event is related to our product, the investigation into the circumstance may be time-consuming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spacing w:after="0" w:line="156"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become involved in litigation that may materially adversely affect us.</w:t>
      </w:r>
    </w:p>
    <w:p>
      <w:pPr>
        <w:spacing w:after="0" w:line="198"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in the form of letters and other communications.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See the section entitled “Legal Proceedings” for more detail on our current legal proceedings.</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8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We have incurred net losses since our inception and anticipate that we will continue to incur significant losses for the foreseeable future. If not utilized, the federal and state NOL carryforwards will begin to expire in various years beginning after 2032. Under the Internal Revenue Code of 1986, as amended, or the Code, and certain similar state tax provisions, a corporation is generally allowed a deduction for net operating losses, or NOLs, carried over from a prior taxable year. Under those provisions, we can carry forward our NOLs to offset our future taxable income, if any, until such NOLs are used or expire. The same is true of other unused tax attributes, such as tax credits.</w:t>
      </w:r>
    </w:p>
    <w:p>
      <w:pPr>
        <w:spacing w:after="0" w:line="166" w:lineRule="exact"/>
        <w:rPr>
          <w:sz w:val="20"/>
          <w:szCs w:val="20"/>
          <w:color w:val="auto"/>
        </w:rPr>
      </w:pPr>
    </w:p>
    <w:p>
      <w:pPr>
        <w:jc w:val="both"/>
        <w:ind w:right="40" w:firstLine="441"/>
        <w:spacing w:after="0" w:line="257" w:lineRule="auto"/>
        <w:rPr>
          <w:sz w:val="20"/>
          <w:szCs w:val="20"/>
          <w:color w:val="auto"/>
        </w:rPr>
      </w:pPr>
      <w:r>
        <w:rPr>
          <w:rFonts w:ascii="Arial" w:cs="Arial" w:eastAsia="Arial" w:hAnsi="Arial"/>
          <w:sz w:val="18"/>
          <w:szCs w:val="18"/>
          <w:color w:val="auto"/>
        </w:rPr>
        <w:t>In addition, under Section 382 of the Internal Revenue Code, a corporation that undergoes an “ownership change” is subject to limitations on its ability to utilize its pre-change net operating losses (“NOLs”) to offset future taxable income. We believe that we have had one or more ownership changes, and, as a result, a portion of our existing NOLs may be subject to limitation. Future changes in our stock ownership could result in additional limitations. We may not be able to utilize a material portion of our NOLs even if we attain profitability.</w:t>
      </w:r>
    </w:p>
    <w:p>
      <w:pPr>
        <w:spacing w:after="0" w:line="148"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Further, in December 2017, the Tax Cuts and Jobs Act (the “TCJA”) was enacted into law. The change in the tax law was partially effective in 2017 and fully effective in 2018. The primary impacts to us include a decrease of the corporate income tax rate structure and NOL limitations. These changes may have a material impact to the value of deferred tax assets and liabilities and our future taxable income and effective tax rate. We are assessing the TCJA with professional advisers, and believe that the impact of the TCJA on our business may not be fully known for some time, until such analysis is complete, the full impact of the new tax law on us in future periods is uncertain, and no assurances can be made by us on any potential impacts.</w:t>
      </w:r>
    </w:p>
    <w:p>
      <w:pPr>
        <w:spacing w:after="0" w:line="124"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b w:val="1"/>
          <w:bCs w:val="1"/>
          <w:i w:val="1"/>
          <w:iCs w:val="1"/>
          <w:color w:val="auto"/>
        </w:rPr>
        <w:t>We have a substantial amount of goodwill and intangible assets which over time may have to be written down as we make the required periodic assessments as to their value as reflected on our financial statements.</w:t>
      </w:r>
    </w:p>
    <w:p>
      <w:pPr>
        <w:spacing w:after="0" w:line="120"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A significant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spacing w:after="0" w:line="127" w:lineRule="exact"/>
        <w:rPr>
          <w:sz w:val="20"/>
          <w:szCs w:val="20"/>
          <w:color w:val="auto"/>
        </w:rPr>
      </w:pPr>
    </w:p>
    <w:p>
      <w:pPr>
        <w:ind w:right="40" w:firstLine="441"/>
        <w:spacing w:after="0" w:line="340" w:lineRule="auto"/>
        <w:rPr>
          <w:sz w:val="20"/>
          <w:szCs w:val="20"/>
          <w:color w:val="auto"/>
        </w:rPr>
      </w:pPr>
      <w:r>
        <w:rPr>
          <w:rFonts w:ascii="Arial" w:cs="Arial" w:eastAsia="Arial" w:hAnsi="Arial"/>
          <w:sz w:val="15"/>
          <w:szCs w:val="15"/>
          <w:b w:val="1"/>
          <w:bCs w:val="1"/>
          <w:i w:val="1"/>
          <w:iCs w:val="1"/>
          <w:color w:val="auto"/>
        </w:rPr>
        <w:t>If we experience additional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91"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GAAP.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w:t>
      </w:r>
    </w:p>
    <w:p>
      <w:pPr>
        <w:spacing w:after="0" w:line="138"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In connection with the audit of our financial statements as of and for the year ended December 31, 2016, we identified a material weakness in our internal control over financial reporting. The material weakness related to a lack of effective controls to adequately restrict access and segregate duties. We implemented measures and remediated the material weakness in 2017; however, we cannot assure you that the measures we have taken to date, and are continuing to implement, will be sufficient to avoid potential future material weaknesses. The existence of one or more material weaknesses could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27"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an “emerging growth company” as defined in the Jumpstart Our Business Startups Act, or JOBS Act if we continue to take advantage of the exemptions contained in the JOBS Act.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adversely affected, and we could become subject to investigations by the stock exchange on which our securities are listed, the SEC, or other regulatory authorities, which could require additional financial and management resources.</w:t>
      </w:r>
    </w:p>
    <w:p>
      <w:pPr>
        <w:spacing w:after="0" w:line="139" w:lineRule="exact"/>
        <w:rPr>
          <w:sz w:val="20"/>
          <w:szCs w:val="20"/>
          <w:color w:val="auto"/>
        </w:rPr>
      </w:pPr>
    </w:p>
    <w:p>
      <w:pPr>
        <w:ind w:right="40" w:firstLine="486"/>
        <w:spacing w:after="0" w:line="381" w:lineRule="auto"/>
        <w:rPr>
          <w:sz w:val="20"/>
          <w:szCs w:val="20"/>
          <w:color w:val="auto"/>
        </w:rPr>
      </w:pPr>
      <w:r>
        <w:rPr>
          <w:rFonts w:ascii="Arial" w:cs="Arial" w:eastAsia="Arial" w:hAnsi="Arial"/>
          <w:sz w:val="15"/>
          <w:szCs w:val="15"/>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74"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Our facilities in the San Francisco Bay Area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w:t>
      </w:r>
    </w:p>
    <w:p>
      <w:pPr>
        <w:spacing w:after="0" w:line="189"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b w:val="1"/>
          <w:bCs w:val="1"/>
          <w:i w:val="1"/>
          <w:iCs w:val="1"/>
          <w:color w:val="auto"/>
        </w:rPr>
        <w:t>We currently do not have any products approved or cleared by the FDA or other similar foreign regulatory authorities for commercial sale or any commercialized products.</w:t>
      </w:r>
    </w:p>
    <w:p>
      <w:pPr>
        <w:spacing w:after="0" w:line="143"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To date, we have invested a substantial amount of time and capital to research and develop the foundations of our technology and potential applications. For us to develop any products that might ultimately be commercialized, we will have to invest further time and capital in research and product development, medical and other regulatory compliance, and market development. Therefore, we may never develop any products that can be commercialized. All of our development efforts will require substantial additional investment, which may never result in any revenue. Our efforts may not lead to approved or commercially successful products for a number of reasons, including:</w:t>
      </w:r>
    </w:p>
    <w:p>
      <w:pPr>
        <w:spacing w:after="0" w:line="153" w:lineRule="exact"/>
        <w:rPr>
          <w:sz w:val="20"/>
          <w:szCs w:val="20"/>
          <w:color w:val="auto"/>
        </w:rPr>
      </w:pPr>
    </w:p>
    <w:p>
      <w:pPr>
        <w:ind w:left="1080" w:hanging="323"/>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complete the science and develop any planned products for NPS;</w:t>
      </w:r>
    </w:p>
    <w:p>
      <w:pPr>
        <w:spacing w:after="0" w:line="184" w:lineRule="exact"/>
        <w:rPr>
          <w:rFonts w:ascii="Arial" w:cs="Arial" w:eastAsia="Arial" w:hAnsi="Arial"/>
          <w:sz w:val="18"/>
          <w:szCs w:val="18"/>
          <w:color w:val="auto"/>
        </w:rPr>
      </w:pPr>
    </w:p>
    <w:p>
      <w:pPr>
        <w:ind w:left="1080" w:right="320" w:hanging="323"/>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obtain regulatory approvals for our planned products, or the approved indications may be narrower than we seek;</w:t>
      </w:r>
    </w:p>
    <w:p>
      <w:pPr>
        <w:spacing w:after="0" w:line="129" w:lineRule="exact"/>
        <w:rPr>
          <w:rFonts w:ascii="Arial" w:cs="Arial" w:eastAsia="Arial" w:hAnsi="Arial"/>
          <w:sz w:val="18"/>
          <w:szCs w:val="18"/>
          <w:color w:val="auto"/>
        </w:rPr>
      </w:pPr>
    </w:p>
    <w:p>
      <w:pPr>
        <w:ind w:left="1080" w:hanging="323"/>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experience delays in our development program, clinical trials and the regulatory approval process;</w:t>
      </w:r>
    </w:p>
    <w:p>
      <w:pPr>
        <w:spacing w:after="0" w:line="196" w:lineRule="exact"/>
        <w:rPr>
          <w:rFonts w:ascii="Arial" w:cs="Arial" w:eastAsia="Arial" w:hAnsi="Arial"/>
          <w:sz w:val="17"/>
          <w:szCs w:val="17"/>
          <w:color w:val="auto"/>
        </w:rPr>
      </w:pPr>
    </w:p>
    <w:p>
      <w:pPr>
        <w:ind w:left="1080" w:hanging="323"/>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NPS technology may not prove to be safe or effective in clinical trials;</w:t>
      </w:r>
    </w:p>
    <w:p>
      <w:pPr>
        <w:spacing w:after="0" w:line="184" w:lineRule="exact"/>
        <w:rPr>
          <w:rFonts w:ascii="Arial" w:cs="Arial" w:eastAsia="Arial" w:hAnsi="Arial"/>
          <w:sz w:val="18"/>
          <w:szCs w:val="18"/>
          <w:color w:val="auto"/>
        </w:rPr>
      </w:pPr>
    </w:p>
    <w:p>
      <w:pPr>
        <w:ind w:left="1080" w:right="480" w:hanging="323"/>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physicians may not receive any reimbursement from third-party payers, or the level of reimbursement may be insufficient to support widespread adoption of any of our products;</w:t>
      </w:r>
    </w:p>
    <w:p>
      <w:pPr>
        <w:spacing w:after="0" w:line="129" w:lineRule="exact"/>
        <w:rPr>
          <w:rFonts w:ascii="Arial" w:cs="Arial" w:eastAsia="Arial" w:hAnsi="Arial"/>
          <w:sz w:val="18"/>
          <w:szCs w:val="18"/>
          <w:color w:val="auto"/>
        </w:rPr>
      </w:pPr>
    </w:p>
    <w:p>
      <w:pPr>
        <w:ind w:left="1080" w:hanging="323"/>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products that are approved may not be accepted in the marketplace by physicians or patients;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manufacture our products in commercial quantities or at an acceptable cost; and</w:t>
      </w:r>
    </w:p>
    <w:p>
      <w:pPr>
        <w:spacing w:after="0" w:line="184" w:lineRule="exact"/>
        <w:rPr>
          <w:rFonts w:ascii="Arial" w:cs="Arial" w:eastAsia="Arial" w:hAnsi="Arial"/>
          <w:sz w:val="18"/>
          <w:szCs w:val="18"/>
          <w:color w:val="auto"/>
        </w:rPr>
      </w:pPr>
    </w:p>
    <w:p>
      <w:pPr>
        <w:ind w:left="1080" w:right="500" w:hanging="323"/>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rapid technological change or the appearance of a new competitive technology may make our technology and products obsolete.</w:t>
      </w:r>
    </w:p>
    <w:p>
      <w:pPr>
        <w:spacing w:after="0" w:line="130" w:lineRule="exact"/>
        <w:rPr>
          <w:sz w:val="20"/>
          <w:szCs w:val="20"/>
          <w:color w:val="auto"/>
        </w:rPr>
      </w:pPr>
    </w:p>
    <w:p>
      <w:pPr>
        <w:ind w:right="640" w:firstLine="441"/>
        <w:spacing w:after="0" w:line="381" w:lineRule="auto"/>
        <w:rPr>
          <w:sz w:val="20"/>
          <w:szCs w:val="20"/>
          <w:color w:val="auto"/>
        </w:rPr>
      </w:pPr>
      <w:r>
        <w:rPr>
          <w:rFonts w:ascii="Arial" w:cs="Arial" w:eastAsia="Arial" w:hAnsi="Arial"/>
          <w:sz w:val="15"/>
          <w:szCs w:val="15"/>
          <w:b w:val="1"/>
          <w:bCs w:val="1"/>
          <w:i w:val="1"/>
          <w:iCs w:val="1"/>
          <w:color w:val="auto"/>
        </w:rPr>
        <w:t>If we fail to obtain and maintain necessary regulatory clearances or approvals for our devices, or if clearances or approvals for future devices and indications are delayed or not issued, our commercial operations would be harmed.</w:t>
      </w:r>
    </w:p>
    <w:p>
      <w:pPr>
        <w:spacing w:after="0" w:line="60"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Our devices are medical devices that are subject to extensive regulation by FDA in the United States and by regulatory agencies in other countries where we plan to do business. Government regulations specific to medical devices are wide-ranging and govern, among other things:</w:t>
      </w:r>
    </w:p>
    <w:p>
      <w:pPr>
        <w:spacing w:after="0" w:line="154" w:lineRule="exact"/>
        <w:rPr>
          <w:sz w:val="20"/>
          <w:szCs w:val="20"/>
          <w:color w:val="auto"/>
        </w:rPr>
      </w:pPr>
    </w:p>
    <w:p>
      <w:pPr>
        <w:ind w:left="1080" w:hanging="323"/>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device design, development and manufacture;</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laboratory, preclinical and clinical testing, labeling, packaging, storage and distribution;</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premarketing clearance and approval;</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device marketing, promotion and advertising, sales and distribution; and</w:t>
      </w:r>
    </w:p>
    <w:p>
      <w:pPr>
        <w:spacing w:after="0" w:line="184" w:lineRule="exact"/>
        <w:rPr>
          <w:rFonts w:ascii="Arial" w:cs="Arial" w:eastAsia="Arial" w:hAnsi="Arial"/>
          <w:sz w:val="18"/>
          <w:szCs w:val="18"/>
          <w:color w:val="auto"/>
        </w:rPr>
      </w:pPr>
    </w:p>
    <w:p>
      <w:pPr>
        <w:ind w:left="1080" w:right="560" w:hanging="323"/>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post-marketing surveillance, including reporting of deaths and serious injuries and recalls and correction and removals.</w:t>
      </w:r>
    </w:p>
    <w:p>
      <w:pPr>
        <w:spacing w:after="0" w:line="130"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Before a new medical device, or a new intended use for, an existing device can be marketed in the United States, a company must first submit and receive either 510(k) clearance or premarketing approval, or PMA from the FDA, unless an exemption applies. In the 510(k) 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 We may not be able to obtain the necessary clearances or approvals or may be unduly delayed in doing so, which could harm our business. Furthermore, even if we are granted regulatory clearances or approvals, they may include significant limitations on the indicated uses for the device, which may limit the market for the device. For example, during September 2017, the FDA requested that we submit additional data in connection with our application seeking clearance of our PulseTx System for soft tissue ablation. Subsequent to this FDA request, we chose to withdraw our application, so as to enable us to collect additional data and with the intent of submitting the data in a subsequent application.</w:t>
      </w:r>
    </w:p>
    <w:p>
      <w:pPr>
        <w:spacing w:after="0" w:line="139"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FDA and the Federal Trade Commission, or FTC, also regulate the advertising and promotion of our devices to ensure that the claims we make are consistent with our regulatory clearances, that there are adequate and reasonable data to substantiate the claims and that our promotional labeling and advertising is neither false nor misleading in any respect. If the FDA or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spacing w:after="0" w:line="153" w:lineRule="exact"/>
        <w:rPr>
          <w:sz w:val="20"/>
          <w:szCs w:val="20"/>
          <w:color w:val="auto"/>
        </w:rPr>
      </w:pPr>
    </w:p>
    <w:p>
      <w:pPr>
        <w:ind w:right="260" w:firstLine="441"/>
        <w:spacing w:after="0" w:line="342" w:lineRule="auto"/>
        <w:rPr>
          <w:sz w:val="20"/>
          <w:szCs w:val="20"/>
          <w:color w:val="auto"/>
        </w:rPr>
      </w:pPr>
      <w:r>
        <w:rPr>
          <w:rFonts w:ascii="Arial" w:cs="Arial" w:eastAsia="Arial" w:hAnsi="Arial"/>
          <w:sz w:val="16"/>
          <w:szCs w:val="16"/>
          <w:color w:val="auto"/>
        </w:rPr>
        <w:t>FDA and state authorities have broad enforcement powers. Our failure to comply with applicable regulatory requirements could result in enforcement action by the FDA or state agencies, which may include any of the following sanctions:</w:t>
      </w:r>
    </w:p>
    <w:p>
      <w:pPr>
        <w:spacing w:after="0" w:line="83" w:lineRule="exact"/>
        <w:rPr>
          <w:sz w:val="20"/>
          <w:szCs w:val="20"/>
          <w:color w:val="auto"/>
        </w:rPr>
      </w:pPr>
    </w:p>
    <w:p>
      <w:pPr>
        <w:ind w:left="1080" w:hanging="323"/>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publicity, warning letters, fines, injunctions, consent decrees and civil penalties;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devices;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84" w:lineRule="exact"/>
        <w:rPr>
          <w:rFonts w:ascii="Arial" w:cs="Arial" w:eastAsia="Arial" w:hAnsi="Arial"/>
          <w:sz w:val="18"/>
          <w:szCs w:val="18"/>
          <w:color w:val="auto"/>
        </w:rPr>
      </w:pPr>
    </w:p>
    <w:p>
      <w:pPr>
        <w:ind w:left="1080" w:right="1000" w:hanging="323"/>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refusing our requests for 510(k) clearance or premarket approval of new devices, new intended uses or modifications to existing devices;</w:t>
      </w:r>
    </w:p>
    <w:p>
      <w:pPr>
        <w:spacing w:after="0" w:line="129" w:lineRule="exact"/>
        <w:rPr>
          <w:rFonts w:ascii="Arial" w:cs="Arial" w:eastAsia="Arial" w:hAnsi="Arial"/>
          <w:sz w:val="18"/>
          <w:szCs w:val="18"/>
          <w:color w:val="auto"/>
        </w:rPr>
      </w:pPr>
    </w:p>
    <w:p>
      <w:pPr>
        <w:ind w:left="1080" w:hanging="323"/>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withdrawing 510(k) clearance or premarket approvals that have already been granted; and</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these events were to occur, our business and financial condition would be harmed.</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efforts may never demonstrate the feasibility of our technology</w:t>
      </w:r>
      <w:r>
        <w:rPr>
          <w:rFonts w:ascii="Arial" w:cs="Arial" w:eastAsia="Arial" w:hAnsi="Arial"/>
          <w:sz w:val="18"/>
          <w:szCs w:val="18"/>
          <w:color w:val="auto"/>
        </w:rPr>
        <w:t>.</w:t>
      </w:r>
    </w:p>
    <w:p>
      <w:pPr>
        <w:spacing w:after="0" w:line="185"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Our research and development efforts remain subject to all of the risks associated with the development of new therapies, devices, treatment modalities, and related products based on our NPS technology. NPS applications are not yet fully developed. Development of the underlying technology, including the development of the PulseTx System, may be affected by unanticipated technical or other problems, among other development and research issues, and the possible insufficiency of funds needed in order to complete development of these products or devices. Safety, regulatory and efficacy issues, clinical hurdles or challenges also may result in delays and cause us to incur additional expenses that may increase our need for capital and result in additional losses. In addition, the potential indications for NPS are numerous, and we may fail to pursue the most optimal indications. If we cannot complete, or if we experience significant delays in developing our technology, applications or products for use in potential commercial applications, particularly after incurring significant expenditures, our business may fail and investors may lose the entirety of their investment.</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mechanism of action of NPS has not been fully determined or validated.</w:t>
      </w:r>
    </w:p>
    <w:p>
      <w:pPr>
        <w:spacing w:after="0" w:line="225"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The exact mechanism(s) of action(s) of NPS is not fully understood, and data is still being gathered regarding its use. Furthermore, there are only a relatively small number of scientists and researchers who can be considered experts in the use of this emerging technology. A full understanding of a future product’s mechanism of action and a large stable of scientific experts are typically believed to make product development less risky. The FDA or similar foreign regulatory authorities may view this as increasing the potential risks, and diminishing the potential benefits, of products based on NPS technology. In addition, potential partners may view this as a limitation of the program, and it may be more challenging for us to obtain a partnership on favorable terms as a result.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b w:val="1"/>
          <w:bCs w:val="1"/>
          <w:i w:val="1"/>
          <w:iCs w:val="1"/>
          <w:color w:val="auto"/>
        </w:rPr>
        <w:t>NPS or our planned products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154" w:lineRule="exact"/>
        <w:rPr>
          <w:sz w:val="20"/>
          <w:szCs w:val="20"/>
          <w:color w:val="auto"/>
        </w:rPr>
      </w:pPr>
    </w:p>
    <w:p>
      <w:pPr>
        <w:ind w:right="120" w:firstLine="441"/>
        <w:spacing w:after="0" w:line="297" w:lineRule="auto"/>
        <w:rPr>
          <w:sz w:val="20"/>
          <w:szCs w:val="20"/>
          <w:color w:val="auto"/>
        </w:rPr>
      </w:pPr>
      <w:r>
        <w:rPr>
          <w:rFonts w:ascii="Arial" w:cs="Arial" w:eastAsia="Arial" w:hAnsi="Arial"/>
          <w:sz w:val="16"/>
          <w:szCs w:val="16"/>
          <w:color w:val="auto"/>
        </w:rPr>
        <w:t xml:space="preserve">The risk of failure of clinical development is high. For example, the vast majority of our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data has been a result of animal testing, and we have only recently completed our first pilot study in humans. It is difficult to predict when or if this or any planned products will prove safe enough to receive regulatory approval. Undesirable side effects caused by NPS or any of our planned products could cause us or regulatory authorities to interrupt, delay or halt clinical trials. They could result in a more restrictive label or the delay or denial of regulatory approval by the FDA or other comparable foreign regulatory authority.</w:t>
      </w:r>
    </w:p>
    <w:p>
      <w:pPr>
        <w:spacing w:after="0" w:line="118"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Additionally, if NPS or any of our planned products receive marketing approval but, we or others later identify undesirable side effects caused by such product, a number of potentially significant negative consequences could result, including:</w:t>
      </w:r>
    </w:p>
    <w:p>
      <w:pPr>
        <w:spacing w:after="0" w:line="83" w:lineRule="exact"/>
        <w:rPr>
          <w:sz w:val="20"/>
          <w:szCs w:val="20"/>
          <w:color w:val="auto"/>
        </w:rPr>
      </w:pPr>
    </w:p>
    <w:p>
      <w:pPr>
        <w:ind w:left="1080" w:hanging="323"/>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forced to recall such product and suspend the marketing of such product;</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184" w:lineRule="exact"/>
        <w:rPr>
          <w:rFonts w:ascii="Arial" w:cs="Arial" w:eastAsia="Arial" w:hAnsi="Arial"/>
          <w:sz w:val="18"/>
          <w:szCs w:val="18"/>
          <w:color w:val="auto"/>
        </w:rPr>
      </w:pPr>
    </w:p>
    <w:p>
      <w:pPr>
        <w:ind w:left="1080" w:right="80" w:hanging="323"/>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that could diminish the usage or otherwise limit the commercial success of such products;</w:t>
      </w:r>
    </w:p>
    <w:p>
      <w:pPr>
        <w:spacing w:after="0" w:line="129" w:lineRule="exact"/>
        <w:rPr>
          <w:rFonts w:ascii="Arial" w:cs="Arial" w:eastAsia="Arial" w:hAnsi="Arial"/>
          <w:sz w:val="18"/>
          <w:szCs w:val="18"/>
          <w:color w:val="auto"/>
        </w:rPr>
      </w:pPr>
    </w:p>
    <w:p>
      <w:pPr>
        <w:ind w:left="1080" w:right="180" w:hanging="323"/>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such product;</w:t>
      </w:r>
    </w:p>
    <w:p>
      <w:pPr>
        <w:spacing w:after="0" w:line="129" w:lineRule="exact"/>
        <w:rPr>
          <w:rFonts w:ascii="Arial" w:cs="Arial" w:eastAsia="Arial" w:hAnsi="Arial"/>
          <w:sz w:val="18"/>
          <w:szCs w:val="18"/>
          <w:color w:val="auto"/>
        </w:rPr>
      </w:pPr>
    </w:p>
    <w:p>
      <w:pPr>
        <w:ind w:left="1080" w:right="200" w:hanging="323"/>
        <w:spacing w:after="0" w:line="31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FDA may require the establishment or modification of Risk Evaluation Mitigation Strategies or a comparable foreign regulatory authority may require the establishment or modification of a similar strategy that may, for instance, restrict distribution of our products and impose burdensome implementation requirements on us;</w:t>
      </w:r>
    </w:p>
    <w:p>
      <w:pPr>
        <w:spacing w:after="0" w:line="106" w:lineRule="exact"/>
        <w:rPr>
          <w:rFonts w:ascii="Arial" w:cs="Arial" w:eastAsia="Arial" w:hAnsi="Arial"/>
          <w:sz w:val="16"/>
          <w:szCs w:val="16"/>
          <w:color w:val="auto"/>
        </w:rPr>
      </w:pPr>
    </w:p>
    <w:p>
      <w:pPr>
        <w:ind w:left="1080" w:hanging="323"/>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planned product, if approved.</w:t>
      </w:r>
    </w:p>
    <w:p>
      <w:pPr>
        <w:spacing w:after="0" w:line="143"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b w:val="1"/>
          <w:bCs w:val="1"/>
          <w:i w:val="1"/>
          <w:iCs w:val="1"/>
          <w:color w:val="auto"/>
        </w:rPr>
        <w:t>Our business is dependent upon physicians adopting our NPS technology, and if we fail to obtain broad adoption, our business would be adversely affected.</w:t>
      </w:r>
    </w:p>
    <w:p>
      <w:pPr>
        <w:spacing w:after="0" w:line="130"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If we obtain regulatory approval for an NPS application or product, our success will depend on our ability to educate physicians regarding the benefits of NPS, such as our PulseTx System, over existing treatment modalities and to persuade them to prescribe PulseTx System treatments for their patients. We do not know if NPS will be successful over the long term, and market acceptance may be hindered if physicians are not presented with compelling data demonstrating the efficacy of our service compared to alternative treatments. Any studies we, or third parties, may conduct comparing our NPS technology with alternative treatments may be expensive, time consuming or may not yield positive results. Additionally, adoption will be directly influenced by a number of financial factors, including the ability of providers to attract cash reimbursement from patients or to obtain sufficient reimbursement from third party commercial payors, and the Centers for Medicare &amp; Medicaid Services, or CMS, for the professional services they provide in administering NPS treatments. The efficacy, safety, performance and cost-effectiveness of our NPS technology, PulseTx System or other potential products based on NPS technology, on a stand-alone basis and relative to competing services, will determine the availability and level of reimbursement received by us and providers. If physicians do not adopt and prescribe our future products, we may never become profitable.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If we cannot enroll a sufficient number of eligible patients to participate in the clinical trials, we may not be able to initiate or continue clinical trials, which could delay or prevent development of our product candidates.</w:t>
      </w:r>
    </w:p>
    <w:p>
      <w:pPr>
        <w:spacing w:after="0" w:line="154"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life sciences industry or for other reasons, including competitive clinical trials for similar patient populations, the timeline for recruiting patients, conducting trials and obtaining regulatory approval of planned products may be delayed. If there are delays in accumulating the required patients and patient data, there may be delays in completing the trial. Further, if any of our clinical trial sites fail to comply with FDA-approved good clinical practices, we may be unable to use the data gathered at those sites.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These delays could result in increased costs, delays in advancing our product development, delays in testing the effectiveness of our technology or termination of the clinical trials altogether.</w:t>
      </w:r>
    </w:p>
    <w:p>
      <w:pPr>
        <w:spacing w:after="0" w:line="13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b w:val="1"/>
          <w:bCs w:val="1"/>
          <w:i w:val="1"/>
          <w:iCs w:val="1"/>
          <w:color w:val="auto"/>
        </w:rPr>
        <w:t>Laboratory conditions differ from commercial conditions and field conditions, and the safety and effectiveness of our planned products may depend on the technique of the user.</w:t>
      </w:r>
    </w:p>
    <w:p>
      <w:pPr>
        <w:spacing w:after="0" w:line="130"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Observations and developments that may be achievable under laboratory circumstances may not be able to be replicated in broader research and development phases, in commercial settings, or in the use of any of the planned products in the field. Furthermore, if commercialized, NPS will be administered by healthcare professionals and will require a degree of training and practice to administer correctly. Treatment results achieved during the laboratory or in clinical trials conducted by us or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In addition, there may be a selection bias in the patients and/or sites of administration chosen for any clinical trials that would positively affect treatment results.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Issues with our firmware and software may negatively affect the function of our devices.</w:t>
      </w:r>
    </w:p>
    <w:p>
      <w:pPr>
        <w:spacing w:after="0" w:line="185"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The safety and effectiveness of NPS-based treatments and therapies may depend, in part, on the function of firmware run by the microprocessors embedded in the device and associated software. This firmware and software is proprietary to us. While we have made efforts to test the firmware and software extensively, it is potentially subject to malfunction which in turn may harm a patient. Further, it may be vulnerable to physical break-ins, hackers, improper employee or contractor access, computer viruses, programming errors, or similar problems. Any of these might result in harm to a patient or the unauthorized release of confidential medical, business or other information of other persons or of ours.</w:t>
      </w:r>
    </w:p>
    <w:p>
      <w:pPr>
        <w:spacing w:after="0" w:line="138"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b w:val="1"/>
          <w:bCs w:val="1"/>
          <w:i w:val="1"/>
          <w:iCs w:val="1"/>
          <w:color w:val="auto"/>
        </w:rPr>
        <w:t>We may encounter manufacturing problems or delays that could result in lost revenue. Additionally, we currently rely on third-party suppliers for critical materials needed to manufacture NPS devices such as the PulseTx System and related applicators and, if we obtain regulatory approval, our planned products. Any problems experienced by these suppliers could result in a delay or interruption of their supply to us, and as a result, we may face delays in the development and commercialization of planned products.</w:t>
      </w:r>
    </w:p>
    <w:p>
      <w:pPr>
        <w:spacing w:after="0" w:line="161"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color w:val="auto"/>
        </w:rPr>
        <w:t>We perform final assembly of our devices to support our current research and development activities at our facility in California. We believe we have adequate manufacturing capacity for these purposes. However, if demand for our planned products increases significantly, we will need to either expand our manufacturing capabilities or outsource to other manufacturers. We have no corporate experience in commercial-scale manufacturing of our planned products, and we currently rely upon third-party suppliers to manufacture and supply components for our NPS devices. The manufacture of these products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strictly enforced FDA requirements, other federal and state regulatory requirements, and foreign regulations.</w:t>
      </w:r>
    </w:p>
    <w:p>
      <w:pPr>
        <w:spacing w:after="0" w:line="126" w:lineRule="exact"/>
        <w:rPr>
          <w:sz w:val="20"/>
          <w:szCs w:val="20"/>
          <w:color w:val="auto"/>
        </w:rPr>
      </w:pPr>
    </w:p>
    <w:p>
      <w:pPr>
        <w:ind w:right="340" w:firstLine="441"/>
        <w:spacing w:after="0" w:line="342" w:lineRule="auto"/>
        <w:rPr>
          <w:sz w:val="20"/>
          <w:szCs w:val="20"/>
          <w:color w:val="auto"/>
        </w:rPr>
      </w:pPr>
      <w:r>
        <w:rPr>
          <w:rFonts w:ascii="Arial" w:cs="Arial" w:eastAsia="Arial" w:hAnsi="Arial"/>
          <w:sz w:val="16"/>
          <w:szCs w:val="16"/>
          <w:color w:val="auto"/>
        </w:rPr>
        <w:t>We currently purchase components for our NPS devices under purchase orders and do not have long-term contracts with most of the suppliers of these materials. If suppliers were to delay or stop producing our components, or if the prices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they charge us were to increase significantly, or if they elected not to sell to us, we would need to identify other suppliers. We could experience delays in manufacturing the devices while finding another acceptable supplier, which could impact our results of operations.</w:t>
      </w:r>
    </w:p>
    <w:p>
      <w:pPr>
        <w:spacing w:after="0" w:line="154"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b w:val="1"/>
          <w:bCs w:val="1"/>
          <w:i w:val="1"/>
          <w:iCs w:val="1"/>
          <w:color w:val="auto"/>
        </w:rPr>
        <w:t>We may not become commercially viable if our ultimate commercialized products or related treatments fail to obtain an adequate level of reimbursement by Medicare and other third-party payers.</w:t>
      </w:r>
    </w:p>
    <w:p>
      <w:pPr>
        <w:spacing w:after="0" w:line="130" w:lineRule="exact"/>
        <w:rPr>
          <w:sz w:val="20"/>
          <w:szCs w:val="20"/>
          <w:color w:val="auto"/>
        </w:rPr>
      </w:pPr>
    </w:p>
    <w:p>
      <w:pPr>
        <w:ind w:right="100" w:firstLine="441"/>
        <w:spacing w:after="0" w:line="270" w:lineRule="auto"/>
        <w:rPr>
          <w:sz w:val="20"/>
          <w:szCs w:val="20"/>
          <w:color w:val="auto"/>
        </w:rPr>
      </w:pPr>
      <w:r>
        <w:rPr>
          <w:rFonts w:ascii="Arial" w:cs="Arial" w:eastAsia="Arial" w:hAnsi="Arial"/>
          <w:sz w:val="17"/>
          <w:szCs w:val="17"/>
          <w:color w:val="auto"/>
        </w:rPr>
        <w:t>We believe that the commercial viability of our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is not assured. It typically takes a period of use in the market place before coverage and reimbursement is granted, if it is granted at all. In the United States and other jurisdictions in Europe and other regions,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spacing w:after="0" w:line="141"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Medicare, Medicaid, health maintenance organizations and other third-party payers are increasingly attempting to contain healthcare costs by limiting both the scope of coverage and the level of reimbursement of new medical technologies and products, and as a result, they may not cover or provide adequate payment for the use of our planned products. In order to obtain satisfactory reimbursement arrangements, we may have to agree to a fee or sales price lower than the fee or sales price we might otherwise charge. Even if Medicare and other third-party payers decide to cover procedures involving our proposed devices and products, we cannot be certain that the reimbursement levels will be adequate. Accordingly, even if our planned products are approved for commercial sale, unless government and other third-party payers provide adequate coverage and reimbursement for our devices and products, some physicians may be discouraged from using them, and our sales would suffer.</w:t>
      </w:r>
    </w:p>
    <w:p>
      <w:pPr>
        <w:spacing w:after="0" w:line="139"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new provisions will be implemented and it is not possible to indicate how they might apply to any of our proposed devices and products, as they are still in the development stages. Coverage presupposes that the technology, device, or product has been cleared or approved by the FDA and further, that the coverage will be no broader than the approved intended uses of the device or product as approved or cleared by the FDA, but coverage can be narrower. A coverage determination may be so limited that relatively few patients will qualify for a covered use of a device or product.</w:t>
      </w:r>
    </w:p>
    <w:p>
      <w:pPr>
        <w:spacing w:after="0" w:line="142" w:lineRule="exact"/>
        <w:rPr>
          <w:sz w:val="20"/>
          <w:szCs w:val="20"/>
          <w:color w:val="auto"/>
        </w:rPr>
      </w:pPr>
    </w:p>
    <w:p>
      <w:pPr>
        <w:ind w:right="100" w:firstLine="441"/>
        <w:spacing w:after="0" w:line="290" w:lineRule="auto"/>
        <w:rPr>
          <w:sz w:val="20"/>
          <w:szCs w:val="20"/>
          <w:color w:val="auto"/>
        </w:rPr>
      </w:pPr>
      <w:r>
        <w:rPr>
          <w:rFonts w:ascii="Arial" w:cs="Arial" w:eastAsia="Arial" w:hAnsi="Arial"/>
          <w:sz w:val="16"/>
          <w:szCs w:val="16"/>
          <w:color w:val="auto"/>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The Medicare statutory framework is also subject to administrative rulings, interpretations and discretion that affect the amount and timing of reimbursement made under Medicare. Medicaid coverage determinations and reimbursement levels are determined on a state by state basis, because Medicaid, unlike Medicare, is administered by the states under a state plan filed with the Secretary of the United States Department of Health and Human Services (HHS). Medicaid generally reimburses at lower levels than Medicare. Moreover, Medicaid programs and private insurers are frequently influenced by Medicare coverage determinations.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b w:val="1"/>
          <w:bCs w:val="1"/>
          <w:i w:val="1"/>
          <w:iCs w:val="1"/>
          <w:color w:val="auto"/>
        </w:rPr>
        <w:t>We work with outside scientists and their institutions in developing product candidates. These scientists may have other commitments or conflicts of interest, which could limit our access to their expertise and harm our ability to leverage our discovery platforms.</w:t>
      </w:r>
    </w:p>
    <w:p>
      <w:pPr>
        <w:spacing w:after="0" w:line="154"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We work with scientific advisors and collaborators at academic research institutions in connection with our product development. These scientists and collaborators are not our employees, but they serve as either independent contractors or researchers under research agreements that we have with their sponsoring clinic, academic institution or research institution. Such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would cause competitive harm to our business.</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380"/>
          </w:cols>
          <w:pgMar w:left="1220" w:top="108" w:right="1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02" w:lineRule="exact"/>
        <w:rPr>
          <w:sz w:val="20"/>
          <w:szCs w:val="20"/>
          <w:color w:val="auto"/>
        </w:rPr>
      </w:pPr>
    </w:p>
    <w:p>
      <w:pPr>
        <w:ind w:right="640" w:firstLine="441"/>
        <w:spacing w:after="0" w:line="308" w:lineRule="auto"/>
        <w:rPr>
          <w:sz w:val="20"/>
          <w:szCs w:val="20"/>
          <w:color w:val="auto"/>
        </w:rPr>
      </w:pPr>
      <w:r>
        <w:rPr>
          <w:rFonts w:ascii="Arial" w:cs="Arial" w:eastAsia="Arial" w:hAnsi="Arial"/>
          <w:sz w:val="17"/>
          <w:szCs w:val="17"/>
          <w:b w:val="1"/>
          <w:bCs w:val="1"/>
          <w:i w:val="1"/>
          <w:iCs w:val="1"/>
          <w:color w:val="auto"/>
        </w:rPr>
        <w:t>If we or our licensors are unable to protect our/their intellectual property, then our financial condition, results of operations and the value of our technology and products could be adversely affected.</w:t>
      </w:r>
    </w:p>
    <w:p>
      <w:pPr>
        <w:spacing w:after="0" w:line="106" w:lineRule="exact"/>
        <w:rPr>
          <w:sz w:val="20"/>
          <w:szCs w:val="20"/>
          <w:color w:val="auto"/>
        </w:rPr>
      </w:pPr>
    </w:p>
    <w:p>
      <w:pPr>
        <w:ind w:right="40" w:firstLine="441"/>
        <w:spacing w:after="0" w:line="268" w:lineRule="auto"/>
        <w:rPr>
          <w:sz w:val="20"/>
          <w:szCs w:val="20"/>
          <w:color w:val="auto"/>
        </w:rPr>
      </w:pPr>
      <w:r>
        <w:rPr>
          <w:rFonts w:ascii="Arial" w:cs="Arial" w:eastAsia="Arial" w:hAnsi="Arial"/>
          <w:sz w:val="17"/>
          <w:szCs w:val="17"/>
          <w:color w:val="auto"/>
        </w:rPr>
        <w:t>Patents and other proprietary rights are essential to our business, and our ability to compete effectively with other companies is dependent upon the proprietary nature of our technologies.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and our licensors, may not successfully prosecute or continue to prosecute the patent applications which we have licensed. Even if patents are issued in respect of these patent applications, we or our licensors may fail to maintain these patents, may determine not to pursue litigation against entities that are infringing upon these patents, or may pursue such enforcement less aggressively than we ordinarily would for our own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w:t>
      </w:r>
    </w:p>
    <w:p>
      <w:pPr>
        <w:spacing w:after="0" w:line="145"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b w:val="1"/>
          <w:bCs w:val="1"/>
          <w:i w:val="1"/>
          <w:iCs w:val="1"/>
          <w:color w:val="auto"/>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spacing w:after="0" w:line="154"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If we are the target of claims by third parties asserting that our products or intellectual property infringe upon the rights of others we may be forced to incur substantial expenses or divert substantial employee resources from our business. If successful, those claims could result in our having to pay substantial damages or could prevent us from developing one or more product candidates.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118"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If we or our collaborators experience patent infringement claims, or if we elect to avoid potential claims others may be able to assert, we or our collaborators may choose to seek, or be required to seek, a license from the third-party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pacing w:after="0" w:line="128" w:lineRule="exact"/>
        <w:rPr>
          <w:sz w:val="20"/>
          <w:szCs w:val="20"/>
          <w:color w:val="auto"/>
        </w:rPr>
      </w:pPr>
    </w:p>
    <w:p>
      <w:pPr>
        <w:ind w:right="320" w:firstLine="441"/>
        <w:spacing w:after="0" w:line="381"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development or commercialization rights to products or technology from third-parties, we could lose license rights that are important to our business.</w:t>
      </w:r>
    </w:p>
    <w:p>
      <w:pPr>
        <w:spacing w:after="0" w:line="74"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We hold licenses from ODURF and EVMS and from AMI-USC to intellectual property relating to the sub-microsecond electric field technology, as well as applicator design and configuration, and pulse generators in addition to the intellectual property that we own for these things. For the continuance of the license with ODURF and EVMS, we must continue to comply with the various obligations set forth in the license. If we fail to meet these obligations, the licensor will have the right to terminate the applicable license or modify certain terms of the license agreement. Generally, the loss of any one of our current licenses, or any other license we may acquire in the future, could harm our business, prospects, financial condition and results of operation. In addition, some of our licenses from third parties limit the field in which we can use the licensed technology. Therefore, in order for us to use such licensed technology in potential future applications that are outside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licensed field of use, we may be required to negotiate new licenses with our licensors or expand our rights under our existing licenses. We cannot assure you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185"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41" w:lineRule="exact"/>
        <w:rPr>
          <w:sz w:val="20"/>
          <w:szCs w:val="20"/>
          <w:color w:val="auto"/>
        </w:rPr>
      </w:pPr>
    </w:p>
    <w:p>
      <w:pPr>
        <w:ind w:left="1080" w:hanging="323"/>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the patents that we own or have exclusively licensed;</w:t>
      </w:r>
    </w:p>
    <w:p>
      <w:pPr>
        <w:spacing w:after="0" w:line="129" w:lineRule="exact"/>
        <w:rPr>
          <w:rFonts w:ascii="Arial" w:cs="Arial" w:eastAsia="Arial" w:hAnsi="Arial"/>
          <w:sz w:val="18"/>
          <w:szCs w:val="18"/>
          <w:color w:val="auto"/>
        </w:rPr>
      </w:pPr>
    </w:p>
    <w:p>
      <w:pPr>
        <w:ind w:left="1080" w:right="260" w:hanging="323"/>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129" w:lineRule="exact"/>
        <w:rPr>
          <w:rFonts w:ascii="Arial" w:cs="Arial" w:eastAsia="Arial" w:hAnsi="Arial"/>
          <w:sz w:val="18"/>
          <w:szCs w:val="18"/>
          <w:color w:val="auto"/>
        </w:rPr>
      </w:pPr>
    </w:p>
    <w:p>
      <w:pPr>
        <w:ind w:left="1080" w:right="300" w:hanging="323"/>
        <w:spacing w:after="0" w:line="308"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issued patents that we own or have exclusively licensed may not provide us with any competitive advantages, or may be held invalid or unenforceable, as a result of legal challenges by our competitors;</w:t>
      </w:r>
    </w:p>
    <w:p>
      <w:pPr>
        <w:spacing w:after="0" w:line="106" w:lineRule="exact"/>
        <w:rPr>
          <w:rFonts w:ascii="Arial" w:cs="Arial" w:eastAsia="Arial" w:hAnsi="Arial"/>
          <w:sz w:val="17"/>
          <w:szCs w:val="17"/>
          <w:color w:val="auto"/>
        </w:rPr>
      </w:pPr>
    </w:p>
    <w:p>
      <w:pPr>
        <w:ind w:left="1080" w:right="180" w:hanging="323"/>
        <w:spacing w:after="0" w:line="264"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p>
      <w:pPr>
        <w:spacing w:after="0" w:line="140" w:lineRule="exact"/>
        <w:rPr>
          <w:rFonts w:ascii="Arial" w:cs="Arial" w:eastAsia="Arial" w:hAnsi="Arial"/>
          <w:sz w:val="18"/>
          <w:szCs w:val="18"/>
          <w:color w:val="auto"/>
        </w:rPr>
      </w:pPr>
    </w:p>
    <w:p>
      <w:pPr>
        <w:ind w:left="1080" w:right="100" w:hanging="323"/>
        <w:spacing w:after="0" w:line="264"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40" w:lineRule="exact"/>
        <w:rPr>
          <w:rFonts w:ascii="Arial" w:cs="Arial" w:eastAsia="Arial" w:hAnsi="Arial"/>
          <w:sz w:val="18"/>
          <w:szCs w:val="18"/>
          <w:color w:val="auto"/>
        </w:rPr>
      </w:pPr>
    </w:p>
    <w:p>
      <w:pPr>
        <w:ind w:left="1080" w:hanging="323"/>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84" w:lineRule="exact"/>
        <w:rPr>
          <w:rFonts w:ascii="Arial" w:cs="Arial" w:eastAsia="Arial" w:hAnsi="Arial"/>
          <w:sz w:val="18"/>
          <w:szCs w:val="18"/>
          <w:color w:val="auto"/>
        </w:rPr>
      </w:pPr>
    </w:p>
    <w:p>
      <w:pPr>
        <w:ind w:left="1080" w:right="180" w:hanging="323"/>
        <w:spacing w:after="0" w:line="264"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140" w:lineRule="exact"/>
        <w:rPr>
          <w:rFonts w:ascii="Arial" w:cs="Arial" w:eastAsia="Arial" w:hAnsi="Arial"/>
          <w:sz w:val="18"/>
          <w:szCs w:val="18"/>
          <w:color w:val="auto"/>
        </w:rPr>
      </w:pPr>
    </w:p>
    <w:p>
      <w:pPr>
        <w:ind w:left="1080" w:right="80" w:hanging="323"/>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 aforementioned threats to our competitive advantage could harm our business.</w:t>
      </w:r>
    </w:p>
    <w:p>
      <w:pPr>
        <w:spacing w:after="0" w:line="198"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30" w:lineRule="exact"/>
        <w:rPr>
          <w:sz w:val="20"/>
          <w:szCs w:val="20"/>
          <w:color w:val="auto"/>
        </w:rPr>
      </w:pPr>
    </w:p>
    <w:p>
      <w:pPr>
        <w:ind w:right="140" w:firstLine="441"/>
        <w:spacing w:after="0" w:line="287" w:lineRule="auto"/>
        <w:rPr>
          <w:sz w:val="20"/>
          <w:szCs w:val="20"/>
          <w:color w:val="auto"/>
        </w:rPr>
      </w:pPr>
      <w:r>
        <w:rPr>
          <w:rFonts w:ascii="Arial" w:cs="Arial" w:eastAsia="Arial" w:hAnsi="Arial"/>
          <w:sz w:val="16"/>
          <w:szCs w:val="16"/>
          <w:color w:val="auto"/>
        </w:rPr>
        <w:t>In addition to patented technology, we rely upon, among other things, unpatented proprietary technology, processes, trade secrets and know-how. Any involuntary disclosure to or misappropriation by third-parties of our confidential or proprietary information could enable competitors to duplicate or surpass our technological achievements, potentially eroding our competitive position in our market. We seek to protect confidential or proprietary information in part by confidentiality agreements with our employees, consultants and third-parties. While we require all of our employees, consultants, advisors and any third-parties who have access to our proprietary know-how, information and technology to enter into confidentiality agreements, we cannot be certain that this know-how, information and technology will not be disclosed or that competitors will not otherwise gain access to our trade secrets or independently develop substantially equivalent information and techniques. These agreements may be terminated or breached, and we may not have adequate remedies for any such termination or breach. Furthermore, these agreements may not provide meaningful protection for our trade secrets and know-how in the event of unauthorized use or disclosure. To the extent that any of our staff were previously employed by other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pharmaceutical, medical technology or biotechnology companies, those employers may allege violations of trade secrets and other similar claims in relation to their medical device development activities for us.</w:t>
      </w:r>
    </w:p>
    <w:p>
      <w:pPr>
        <w:spacing w:after="0" w:line="143"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b w:val="1"/>
          <w:bCs w:val="1"/>
          <w:i w:val="1"/>
          <w:iCs w:val="1"/>
          <w:color w:val="auto"/>
        </w:rPr>
        <w:t>If we are unable to protect the intellectual property used in our products, others may be able to copy our innovations which may impair our ability to compete effectively in our markets.</w:t>
      </w:r>
    </w:p>
    <w:p>
      <w:pPr>
        <w:spacing w:after="0" w:line="13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strength of our patents involves complex legal and scientific questions and can be uncertain. Our patents or patent applications may be challenged or our patent applications may fail to result in issued patents and our existing or future patents may be too narrow to prevent third-parties from developing or designing around our intellectual property and in that event we may lose competitive advantage and our business may suffer. Further, the patent applications that we license or have filed may fail to result in issued patents. The claims may need to be amended. Even after amendment, a patent may not issue and in that event we may not obtain the use of the intellectual property that we seek and may lose competitive advantage which could result in harm to our business.</w:t>
      </w:r>
    </w:p>
    <w:p>
      <w:pPr>
        <w:spacing w:after="0" w:line="149"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b w:val="1"/>
          <w:bCs w:val="1"/>
          <w:i w:val="1"/>
          <w:iCs w:val="1"/>
          <w:color w:val="auto"/>
        </w:rPr>
        <w:t>We may become involved in future lawsuits to protect or enforce our patents or the patents of our licensors, which could be expensive, time consuming and unsuccessful.</w:t>
      </w:r>
    </w:p>
    <w:p>
      <w:pPr>
        <w:spacing w:after="0" w:line="143"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or our licensors may file infringement claims, which can be expensive and time consuming. In addition, in an infringement proceeding, a court may decide that a patent of ours or of our licensors is not valid or is unenforceable, or may refuse to stop the other party from using the technology at issue on the grounds that our patents do not cover the technology in question. If we or any current licensors or future licensees or licensors with rights to prosecute, assert or defend patents related to our product candidates fail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 An adverse result in any litigation or defense proceedings could put one or more of our patents at risk of being invalidated or interpreted narrowly and could put our patent applications at risk of not issuing.</w:t>
      </w:r>
    </w:p>
    <w:p>
      <w:pPr>
        <w:spacing w:after="0" w:line="142"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The United States Patent and Trademark Office may initiate interference proceedings to determine the priority of inventions described in or otherwise affecting our patents and patent applications or those of our collaborators or licensors. An unfavorable outcome could require us to cease using the technology or to attempt to license rights to it from the prevailing party. Our business could be harmed if a prevailing party does not offer us a license on terms that are acceptable to us. Litigation or interference proceedings may fail and, even if successful, may result in substantial costs and distraction of our management and other employees. We may not be able to prevent, alone or with our licensors, misappropriation of our proprietary rights, particularly in countries where the laws may not protect those rights as fully as in the United States.</w:t>
      </w:r>
    </w:p>
    <w:p>
      <w:pPr>
        <w:spacing w:after="0" w:line="13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 which would harm our competitive position.</w:t>
      </w:r>
    </w:p>
    <w:p>
      <w:pPr>
        <w:spacing w:after="0" w:line="143" w:lineRule="exact"/>
        <w:rPr>
          <w:sz w:val="20"/>
          <w:szCs w:val="20"/>
          <w:color w:val="auto"/>
        </w:rPr>
      </w:pPr>
    </w:p>
    <w:p>
      <w:pPr>
        <w:ind w:right="60" w:firstLine="441"/>
        <w:spacing w:after="0" w:line="285"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business strategy and product candidates in order to protect our competitive position, which are difficult to protect. As we collaborate with various third parties on the research and development of our planned products, we must, at times, share trade secrets with them. In the course of our research and development activities and our business activities, we rely on confidentiality agreements to protect our proprietary information. Such confidentiality agreements are used, for example, when we talk to vendors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 party illegally obtained and is using any of our trade secrets is expensive and time consuming, and the outcome is unpredictable. In addition, courts outside the United States sometimes are less willing than U.S. courts to protect trade secrets. Moreover, our competitors may independently develop equivalent knowledge, methods and know-how, and our trade secrets cannot be enforced against such independently developed knowledge. If we cannot maintain the confidentiality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of our proprietary technology and other confidential information, then our ability to obtain patent protection or to protect our trade secret information would be jeopardized, which would adversely affect our competitive position.</w:t>
      </w:r>
    </w:p>
    <w:p>
      <w:pPr>
        <w:spacing w:after="0" w:line="143"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41"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Although we seek to protect our ownership of intellectual property rights by ensuring that our agreements with our independent contractors, collaborators and other third parties with whom we do business include provisions requiring such parties to assign rights in inventions to us,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harm our business. Even if we are successful in defending against such claims, litigation could result in substantial costs and be a distraction to management and other employees.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98"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spacing w:after="0" w:line="137"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We believe this is caused by both the technical nature of the subject matter and a general enthusiasm for generic competition in developing countries, and is not a concern that is specific to any particular foreign jurisdiction.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39" w:lineRule="exact"/>
        <w:rPr>
          <w:sz w:val="20"/>
          <w:szCs w:val="20"/>
          <w:color w:val="auto"/>
        </w:rPr>
      </w:pPr>
    </w:p>
    <w:p>
      <w:pPr>
        <w:ind w:right="960" w:firstLine="441"/>
        <w:spacing w:after="0" w:line="277" w:lineRule="auto"/>
        <w:rPr>
          <w:sz w:val="20"/>
          <w:szCs w:val="20"/>
          <w:color w:val="auto"/>
        </w:rPr>
      </w:pPr>
      <w:r>
        <w:rPr>
          <w:rFonts w:ascii="Arial" w:cs="Arial" w:eastAsia="Arial" w:hAnsi="Arial"/>
          <w:sz w:val="18"/>
          <w:szCs w:val="18"/>
          <w:b w:val="1"/>
          <w:bCs w:val="1"/>
          <w:i w:val="1"/>
          <w:iCs w:val="1"/>
          <w:color w:val="auto"/>
        </w:rPr>
        <w:t>We have not yet registered some of our trademarks in all of our potential markets, and failure to secure those registrations could adversely affect our business.</w:t>
      </w:r>
    </w:p>
    <w:p>
      <w:pPr>
        <w:spacing w:after="0" w:line="143"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If we apply to register our trademarks in all of our potential markets, our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existing and future products.</w:t>
      </w:r>
    </w:p>
    <w:p>
      <w:pPr>
        <w:spacing w:after="0" w:line="143"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Patent reform legislation could increase the uncertainties and costs surrounding the prosecution of patent applications and the enforcement or defense of issued patents. In 2011, the Leahy-Smith America Invents Act, or the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 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31"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never receive regulatory approval, including that from the FDA, for any of our planned products.</w:t>
      </w:r>
    </w:p>
    <w:p>
      <w:pPr>
        <w:spacing w:after="0" w:line="185"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We may never receive regulatory approvals, including from the FDA, for any potential therapies, devices or products in the United States or in any foreign market. For example, during September 2017, the FDA requested that we submit additional data in connection with our application seeking clearance of our PulseTx System for soft tissue ablation. Subsequent to this FDA request, we chose to withdraw our application, so as to enable us to collect additional data and with the intent of submitting the data in a subsequent application. As such, it is highly speculative as to any timing for our planned products to be approved or commercialized. Investors need to take a long-term approach to an investment in our securities, as the commercial realization of our technology is speculative and well into the future.</w:t>
      </w:r>
    </w:p>
    <w:p>
      <w:pPr>
        <w:spacing w:after="0" w:line="13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b w:val="1"/>
          <w:bCs w:val="1"/>
          <w:i w:val="1"/>
          <w:iCs w:val="1"/>
          <w:color w:val="auto"/>
        </w:rPr>
        <w:t>We will be subject to stringent domestic and foreign regulation in respect of any potential therapies, devices and products. Any unfavorable regulatory action may materially and adversely affect our future financial condition and business operations and prospects.</w:t>
      </w:r>
    </w:p>
    <w:p>
      <w:pPr>
        <w:spacing w:after="0" w:line="154"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Our potential therapies, devices and products, further development activities and manufacturing and distribution, once developed and determined, will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therapies, devices and products, or for enhancements, expansion of the indications or modifications to existing products, could:</w:t>
      </w:r>
    </w:p>
    <w:p>
      <w:pPr>
        <w:spacing w:after="0" w:line="137" w:lineRule="exact"/>
        <w:rPr>
          <w:sz w:val="20"/>
          <w:szCs w:val="20"/>
          <w:color w:val="auto"/>
        </w:rPr>
      </w:pPr>
    </w:p>
    <w:p>
      <w:pPr>
        <w:ind w:left="1080" w:hanging="323"/>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take a significant, indeterminate amount of time;</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the expenditure of substantial resources;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involve rigorous pre-clinical and clinical testing, and possibly post-market surveillance;</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design changes of our products;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 in limitations on the indicated uses of our products; and</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 in our never being granted the regulatory approval we seek.</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If we experience any of these occurrences, our operations may suffer, we might experience harm to our competitive standing and result in further losses that adversely affect our financial condition. We will have ongoing responsibilities under FDA and international regulations, both before and after a product is approved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therapies or devices are ineffective or pose an unreasonable health risk, the FDA or similar foreign regulatory authorities could ban such medical therapies,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therapies, devices and products and assess civil or criminal penalties against our officers, employees, or us. The FDA and similar foreign regulatory authorities have been increasing its scrutiny of the industry and the government is expected to continue to scrutinize the industry closely with inspections and possibly enforcement actions. Any adverse regulatory action, depending on its magnitude, may restrict us from effectively manufacturing, marketing and selling our therapies, devices and products. In addition, negative publicity and product liability claims resulting from any adverse regulatory action could have a material adverse effect on our financial condition and results of operations.</w:t>
      </w:r>
    </w:p>
    <w:p>
      <w:pPr>
        <w:spacing w:after="0" w:line="154"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b w:val="1"/>
          <w:bCs w:val="1"/>
          <w:i w:val="1"/>
          <w:iCs w:val="1"/>
          <w:color w:val="auto"/>
        </w:rPr>
        <w:t>We will have to comply with complex statutes prohibiting fraud and abuse, and both we and physicians utilizing our planned products could be subject to significant penalties for noncompliance.</w:t>
      </w:r>
    </w:p>
    <w:p>
      <w:pPr>
        <w:spacing w:after="0" w:line="130"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There are many federal and state laws and regulations prohibiting fraud and abuse in the healthcare industry that can result in significant criminal and civil penalties. These federal laws include: the anti-kickback statutes which prohibit certain business practices and relationships, including the payment or receipt of remuneration for the referral of patients whose care will be paid by Medicare or other federal healthcare programs; the physician self-referral prohibition, commonly referred to as the Stark Law; the anti-inducement law, which prohibits providers from offering anything to a Medicare or Medicaid beneficiary to induce that beneficiary to use items or services covered by either program; the Civil False Claims Act, which prohibits any person from knowingly presenting or causing to be presented false or fraudulent claims for payment by the federal government, including the Medicare and Medicaid programs and the Civil Monetary Penalties Law, which authorizes the imposition of civil penalties administratively for fraudulent or abusive acts.</w:t>
      </w:r>
    </w:p>
    <w:p>
      <w:pPr>
        <w:spacing w:after="0" w:line="141"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Sanctions for violating these federal laws include criminal and civil penalties that range from punitive sanctions, damage assessments, money penalties, imprisonment, denial of Medicare and Medicaid payments, or exclusion from the Medicare and Medicaid programs, or both. As federal and state budget pressures continue, federal and state administrative agencies may also continue to escalate investigation and enforcement efforts to root out waste and to control fraud and abuse in governmental healthcare programs. Private enforcement of healthcare fraud has also increased, due in large part to amendments to the Civil False Claims Act in 1986 that were designed to encourage private persons to sue on behalf of the government. A violation of any of these federal and state fraud and abuse laws and regulations could have a material adverse effect on our liquidity and financial condition.</w:t>
      </w:r>
    </w:p>
    <w:p>
      <w:pPr>
        <w:spacing w:after="0" w:line="165"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b w:val="1"/>
          <w:bCs w:val="1"/>
          <w:i w:val="1"/>
          <w:iCs w:val="1"/>
          <w:color w:val="auto"/>
        </w:rPr>
        <w:t>To obtain the necessary device and marketing and manufacturing clearance or approval, as a pre-condition, we will have to conduct various preclinical and clinical tests, which may be costly and time consuming, and may not provide results that will allow us to seek regulatory approval.</w:t>
      </w:r>
    </w:p>
    <w:p>
      <w:pPr>
        <w:spacing w:after="0" w:line="14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number of preclinical and clinical tests that will be required for regulatory clearance or approval varies depending on the disease or condition to be treated, the method of treatment, the nature of the device, the jurisdiction in which we are seeking approval and the applicable regulations. Regulatory agencies, including those in the United States, Canada, Europe and other countries where medical devices and products are regulated, can delay, limit or deny approval of a product for many reasons. For example, regulatory agencies:</w:t>
      </w:r>
    </w:p>
    <w:p>
      <w:pPr>
        <w:spacing w:after="0" w:line="148" w:lineRule="exact"/>
        <w:rPr>
          <w:sz w:val="20"/>
          <w:szCs w:val="20"/>
          <w:color w:val="auto"/>
        </w:rPr>
      </w:pPr>
    </w:p>
    <w:p>
      <w:pPr>
        <w:ind w:left="1080" w:hanging="323"/>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not deem a therapy, technology or device to be safe or effective;</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interpret data from preclinical and clinical testing differently than we do;</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not approve our manufacturing processes;</w:t>
      </w:r>
    </w:p>
    <w:p>
      <w:pPr>
        <w:spacing w:after="0" w:line="184" w:lineRule="exact"/>
        <w:rPr>
          <w:rFonts w:ascii="Arial" w:cs="Arial" w:eastAsia="Arial" w:hAnsi="Arial"/>
          <w:sz w:val="18"/>
          <w:szCs w:val="18"/>
          <w:color w:val="auto"/>
        </w:rPr>
      </w:pPr>
    </w:p>
    <w:p>
      <w:pPr>
        <w:ind w:left="1080" w:right="120" w:hanging="323"/>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conclude that our device does not meet quality standards for durability, long-term reliability, biocompatibility, electromagnetic compatibility, or electrical safety;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80" w:hanging="323"/>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may change their approval policies or adopt new regulations.</w:t>
      </w:r>
    </w:p>
    <w:p>
      <w:pPr>
        <w:spacing w:after="0" w:line="185"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The FDA may make requests or suggestions regarding conduct of our clinical trials, resulting in an increased risk of difficulties or delays in obtaining regulatory approval in the US. As part of the process for regulatory approval, we may, from time to time, elect to withdraw an application. For example, during September 2017, the FDA requested that we submit additional data in connection with our application seeking clearance of our PulseTx System for soft tissue ablation. Subsequent to this FDA request, we chose to withdraw our application, so as to enable us to collect additional data and with the intent of submitting the data in a subsequent application.</w:t>
      </w:r>
    </w:p>
    <w:p>
      <w:pPr>
        <w:spacing w:after="0" w:line="166" w:lineRule="exact"/>
        <w:rPr>
          <w:sz w:val="20"/>
          <w:szCs w:val="20"/>
          <w:color w:val="auto"/>
        </w:rPr>
      </w:pPr>
    </w:p>
    <w:p>
      <w:pPr>
        <w:ind w:right="280" w:firstLine="441"/>
        <w:spacing w:after="0" w:line="342" w:lineRule="auto"/>
        <w:rPr>
          <w:sz w:val="20"/>
          <w:szCs w:val="20"/>
          <w:color w:val="auto"/>
        </w:rPr>
      </w:pPr>
      <w:r>
        <w:rPr>
          <w:rFonts w:ascii="Arial" w:cs="Arial" w:eastAsia="Arial" w:hAnsi="Arial"/>
          <w:sz w:val="16"/>
          <w:szCs w:val="16"/>
          <w:b w:val="1"/>
          <w:bCs w:val="1"/>
          <w:i w:val="1"/>
          <w:iCs w:val="1"/>
          <w:color w:val="auto"/>
        </w:rPr>
        <w:t>Even if a potential device or product ultimately is cleared or approved by the different regulatory authorities, it may be cleared or approved only for narrow indications which may render it commercially less viable.</w:t>
      </w:r>
    </w:p>
    <w:p>
      <w:pPr>
        <w:spacing w:after="0" w:line="83"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Even if a potential device or product of ours is cleared or approved, it may not be cleared or approved for the indications that are necessary or desirable for a successful commercialization. Our preference will be to obtain as broad an indication as possible for use in connection with the particular disease or treatment for which it is designed. However, the final classification may be more limited than we originally seek. The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w:t>
      </w:r>
    </w:p>
    <w:p>
      <w:pPr>
        <w:spacing w:after="0" w:line="124" w:lineRule="exact"/>
        <w:rPr>
          <w:sz w:val="20"/>
          <w:szCs w:val="20"/>
          <w:color w:val="auto"/>
        </w:rPr>
      </w:pPr>
    </w:p>
    <w:p>
      <w:pPr>
        <w:ind w:right="560" w:firstLine="441"/>
        <w:spacing w:after="0" w:line="308" w:lineRule="auto"/>
        <w:rPr>
          <w:sz w:val="20"/>
          <w:szCs w:val="20"/>
          <w:color w:val="auto"/>
        </w:rPr>
      </w:pPr>
      <w:r>
        <w:rPr>
          <w:rFonts w:ascii="Arial" w:cs="Arial" w:eastAsia="Arial" w:hAnsi="Arial"/>
          <w:sz w:val="17"/>
          <w:szCs w:val="17"/>
          <w:b w:val="1"/>
          <w:bCs w:val="1"/>
          <w:i w:val="1"/>
          <w:iCs w:val="1"/>
          <w:color w:val="auto"/>
        </w:rPr>
        <w:t>Even if we obtain clearance or approval to sell a potential product, we will be subject to ongoing requirements and inspections that could lead to the restriction, suspension or revocation of our clearance.</w:t>
      </w:r>
    </w:p>
    <w:p>
      <w:pPr>
        <w:spacing w:after="0" w:line="120"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We, as well as any potential collaborative partners such as manufacturers and distributors, will be required to adhere to applicable FDA regulations regarding good manufacturing practice, which include testing, control, and documentation requirements. We will be subject to similar regulations in foreign countries. 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Ongoing compliance with good manufacturing practice and other applicable regulatory requirements is strictly enforced in the United States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previously obtained, and criminal prosecution. The restriction, suspension or revocation of regulatory approvals or any other failure to comply with regulatory requirements will limit our ability to operate and could increase our costs.</w:t>
      </w:r>
    </w:p>
    <w:p>
      <w:pPr>
        <w:spacing w:after="0" w:line="139"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b w:val="1"/>
          <w:bCs w:val="1"/>
          <w:i w:val="1"/>
          <w:iCs w:val="1"/>
          <w:color w:val="auto"/>
        </w:rPr>
        <w:t>Any failure or delay in completing clinical trials or studies for our therapies, devices and products and the expense of those trials may adversely affect our business.</w:t>
      </w:r>
    </w:p>
    <w:p>
      <w:pPr>
        <w:spacing w:after="0" w:line="130" w:lineRule="exact"/>
        <w:rPr>
          <w:sz w:val="20"/>
          <w:szCs w:val="20"/>
          <w:color w:val="auto"/>
        </w:rPr>
      </w:pPr>
    </w:p>
    <w:p>
      <w:pPr>
        <w:ind w:right="120" w:firstLine="441"/>
        <w:spacing w:after="0" w:line="286" w:lineRule="auto"/>
        <w:rPr>
          <w:sz w:val="20"/>
          <w:szCs w:val="20"/>
          <w:color w:val="auto"/>
        </w:rPr>
      </w:pPr>
      <w:r>
        <w:rPr>
          <w:rFonts w:ascii="Arial" w:cs="Arial" w:eastAsia="Arial" w:hAnsi="Arial"/>
          <w:sz w:val="16"/>
          <w:szCs w:val="16"/>
          <w:color w:val="auto"/>
        </w:rPr>
        <w:t>Preclinical studies, clinical trials and post-clinical monitoring and trials required to demonstrate the safety and efficacy of our potential devices and products are and will be time consuming and expensive. If we must conduct additional clinical trials or other studies with respect to any of our proposed product candidates to those that are initially contemplated, if we are unable to successfully complete any clinical trials or other studies, or if the results of these trials or studies are not positive or are only modestly positive, we may be delayed in obtaining marketing approval for the planned products, we may not be able to obtain marketing approval, or we may obtain approval for indications that are not as broad as we seek. Our research and product development costs also will increase if we experience delays in testing or approvals. The completion of clinical trials for our proposed therapies, devices and products could be delayed because of our inability to manufacture or obtain from third-parties materials sufficient for use in preclinical studies and clinical trials; delays in patient enrollment and variability in the number and types of patients available for clinical trials; difficulty in maintaining contact with patients after treatment, resulting in incomplete data; poor effectiveness of proposed devices and products during clinical trials; unforeseen safety issues or side effects; and governmental or regulatory delays and changes in regulatory requirements and guidelines. If we incur significant delays in our clinical trials, our competitors may be able to bring their products to market before we do, which could result in harming our ability to commercialize our planned products. If we experience any of these occurrences our business will be materially harmed.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40" w:firstLine="441"/>
        <w:spacing w:after="0" w:line="308" w:lineRule="auto"/>
        <w:rPr>
          <w:sz w:val="20"/>
          <w:szCs w:val="20"/>
          <w:color w:val="auto"/>
        </w:rPr>
      </w:pPr>
      <w:r>
        <w:rPr>
          <w:rFonts w:ascii="Arial" w:cs="Arial" w:eastAsia="Arial" w:hAnsi="Arial"/>
          <w:sz w:val="17"/>
          <w:szCs w:val="17"/>
          <w:b w:val="1"/>
          <w:bCs w:val="1"/>
          <w:i w:val="1"/>
          <w:iCs w:val="1"/>
          <w:color w:val="auto"/>
        </w:rPr>
        <w:t>Because we and one of our licensors have used federal funding in the development of certain aspects of our technology, the federal government retains ‘march-in’ rights in connection with results derived from these grants.</w:t>
      </w:r>
    </w:p>
    <w:p>
      <w:pPr>
        <w:spacing w:after="0" w:line="120"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March-in rights give the federal government the right to grant to other entities, which may include competitors, licenses or to take a license for itself if the government funded the development of a patent. The march-in right applies to patents that have been issued. The march-in right is intended to be used only if there is a threat to public health and safety that the owner of the patent is not equipped to handle. The march-in right may also be used to remove the exclusive rights belonging to a patent holder if the patent for which the government provided funding is not suitable for public use. If march-in rights are used by the government, the entities using the patent are required to pay royalties to the patent holder, which amount would be subject to negotiation. Because federal funding was used for some aspects of the company’s technology that will be the subject of some of our patents, the company could be subject to the march-in right and lose its exclusivity of those patents, and may suffer direct competition if any license is granted by the government under the march-in right to a competitor.</w:t>
      </w:r>
    </w:p>
    <w:p>
      <w:pPr>
        <w:spacing w:after="0" w:line="14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30"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We are exposed to the risk of fraud or other misconduct by our employees, collaborators, vendors, principal investigators, consultants and commercial partners. Misconduct by these parties could include intentional failures to comply with the regulations of the FDA and similar foreign regulatory authorities, provide accurate information to the FDA and similar foreign regulatory authorities, comply with data privacy and security and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Additionally, laws regarding data privacy and security, including HIPAA, as amended by HITECH, as well as comparable laws in non-U.S. jurisdictions, may impose obligations with respect to safeguarding the privacy, use, security and transmission of individually identifiable health information such as genetic material.</w:t>
      </w:r>
    </w:p>
    <w:p>
      <w:pPr>
        <w:spacing w:after="0" w:line="140"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Various laws and regulations may restrict or prohibit a wide range of pricing, discounting, marketing and promotion, sales commission, customer incentive programs and other business arrangements. Any misconduct could also involve the improper use of information obtained in the course of clinical trials, which could result in regulatory sanctions and cause harm to our reputation. We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02"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b w:val="1"/>
          <w:bCs w:val="1"/>
          <w:i w:val="1"/>
          <w:iCs w:val="1"/>
          <w:color w:val="auto"/>
        </w:rPr>
        <w:t>The price of our common stock has been, and we expect it to continue to be, highly volatile, and you may be unable to sell your shares at or above the price you paid to acquire them.</w:t>
      </w:r>
    </w:p>
    <w:p>
      <w:pPr>
        <w:spacing w:after="0" w:line="170" w:lineRule="exact"/>
        <w:rPr>
          <w:sz w:val="20"/>
          <w:szCs w:val="20"/>
          <w:color w:val="auto"/>
        </w:rPr>
      </w:pPr>
    </w:p>
    <w:p>
      <w:pPr>
        <w:ind w:right="320" w:firstLine="441"/>
        <w:spacing w:after="0" w:line="308" w:lineRule="auto"/>
        <w:rPr>
          <w:sz w:val="20"/>
          <w:szCs w:val="20"/>
          <w:color w:val="auto"/>
        </w:rPr>
      </w:pPr>
      <w:r>
        <w:rPr>
          <w:rFonts w:ascii="Arial" w:cs="Arial" w:eastAsia="Arial" w:hAnsi="Arial"/>
          <w:sz w:val="17"/>
          <w:szCs w:val="17"/>
          <w:color w:val="auto"/>
        </w:rPr>
        <w:t>The market price of our common stock has been highly volatile, and we expect it to continue to be highly volatile for the foreseeable future in response to many risk factors listed in this section, and others beyond our control, including:</w:t>
      </w:r>
    </w:p>
    <w:p>
      <w:pPr>
        <w:spacing w:after="0" w:line="106" w:lineRule="exact"/>
        <w:rPr>
          <w:sz w:val="20"/>
          <w:szCs w:val="20"/>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results of clinical trials of our planned products or those of our competitors;</w:t>
      </w:r>
    </w:p>
    <w:p>
      <w:pPr>
        <w:spacing w:after="0" w:line="184" w:lineRule="exact"/>
        <w:rPr>
          <w:rFonts w:ascii="Arial" w:cs="Arial" w:eastAsia="Arial" w:hAnsi="Arial"/>
          <w:sz w:val="18"/>
          <w:szCs w:val="18"/>
          <w:color w:val="auto"/>
        </w:rPr>
      </w:pPr>
    </w:p>
    <w:p>
      <w:pPr>
        <w:ind w:left="1080" w:right="40" w:hanging="323"/>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actions by regulatory bodies, such as the FDA, that have the effect of delaying or rejecting approvals of our planned products;</w:t>
      </w:r>
    </w:p>
    <w:p>
      <w:pPr>
        <w:spacing w:after="0" w:line="129"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84" w:lineRule="exact"/>
        <w:rPr>
          <w:rFonts w:ascii="Arial" w:cs="Arial" w:eastAsia="Arial" w:hAnsi="Arial"/>
          <w:sz w:val="18"/>
          <w:szCs w:val="18"/>
          <w:color w:val="auto"/>
        </w:rPr>
      </w:pPr>
    </w:p>
    <w:p>
      <w:pPr>
        <w:ind w:left="1080" w:right="300" w:hanging="323"/>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our customers, partners or suppliers relating directly or indirectly to our products, services or technologies;</w:t>
      </w:r>
    </w:p>
    <w:p>
      <w:pPr>
        <w:spacing w:after="0" w:line="129"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overall conditions in our industry and market;</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planned products;</w:t>
      </w:r>
    </w:p>
    <w:p>
      <w:pPr>
        <w:spacing w:after="0" w:line="184" w:lineRule="exact"/>
        <w:rPr>
          <w:rFonts w:ascii="Arial" w:cs="Arial" w:eastAsia="Arial" w:hAnsi="Arial"/>
          <w:sz w:val="18"/>
          <w:szCs w:val="18"/>
          <w:color w:val="auto"/>
        </w:rPr>
      </w:pPr>
    </w:p>
    <w:p>
      <w:pPr>
        <w:ind w:left="1080" w:right="280" w:hanging="323"/>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capital commitments or achievement of significant milestones;</w:t>
      </w:r>
    </w:p>
    <w:p>
      <w:pPr>
        <w:spacing w:after="0" w:line="129"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84" w:lineRule="exact"/>
        <w:rPr>
          <w:rFonts w:ascii="Arial" w:cs="Arial" w:eastAsia="Arial" w:hAnsi="Arial"/>
          <w:sz w:val="18"/>
          <w:szCs w:val="18"/>
          <w:color w:val="auto"/>
        </w:rPr>
      </w:pPr>
    </w:p>
    <w:p>
      <w:pPr>
        <w:ind w:left="1080" w:right="300" w:hanging="323"/>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or our ability to obtain intellectual property protection for our technologies;</w:t>
      </w:r>
    </w:p>
    <w:p>
      <w:pPr>
        <w:spacing w:after="0" w:line="129"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 price and volume fluctuations attributable to inconsistent trading volume levels of our shares;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reports, guidance and ratings issued by securities or industry analysts; and</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85"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If any of the foregoing occurs, it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Securities litigation against us could result in substantial costs and divert our management’s attention from other business concerns, which could seriously harm our business.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Sales or purchases of shares of our common stock may adversely affect the market for our common stock.</w:t>
      </w:r>
    </w:p>
    <w:p>
      <w:pPr>
        <w:spacing w:after="0" w:line="210"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w:t>
      </w:r>
    </w:p>
    <w:p>
      <w:pPr>
        <w:spacing w:after="0" w:line="141"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We maintain a shelf registration statement on Form S-3 pursuant to which we may, from time to time, sell up to an aggregate of $150.0 million of our common stock, preferred stock, depositary shares, warrants, debt securities or units. We may also issue shares of common stock or securities convertible into or exercisable for our common stock from time to time in connection with financings, acquisitions, investments or otherwise. Any such issuances would result in dilution to our existing stockholders and could cause our stock price to fall.</w:t>
      </w:r>
    </w:p>
    <w:p>
      <w:pPr>
        <w:spacing w:after="0" w:line="148"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be maintained for our common stock and as a result it may be difficult for you to sell your common stock.</w:t>
      </w:r>
    </w:p>
    <w:p>
      <w:pPr>
        <w:spacing w:after="0" w:line="143"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Prior to our initial public offering in May 2016, there was no public market for our common stock. Although our common stock is listed on The Nasdaq Capital Market, the market for our shares has demonstrated varying levels of trading activity. As a result of these and other factors, you may not be able to sell your common stock quickly or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spacing w:after="0" w:line="153"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b w:val="1"/>
          <w:bCs w:val="1"/>
          <w:i w:val="1"/>
          <w:iCs w:val="1"/>
          <w:color w:val="auto"/>
        </w:rPr>
        <w:t>Concentration of ownership by our principal stockholders may limit your ability to influence the outcome of director elections and other transactions requiring stockholder approval</w:t>
      </w:r>
      <w:r>
        <w:rPr>
          <w:rFonts w:ascii="Arial" w:cs="Arial" w:eastAsia="Arial" w:hAnsi="Arial"/>
          <w:sz w:val="18"/>
          <w:szCs w:val="18"/>
          <w:color w:val="auto"/>
        </w:rPr>
        <w:t>.</w:t>
      </w:r>
    </w:p>
    <w:p>
      <w:pPr>
        <w:spacing w:after="0" w:line="130"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A significant percentage of our outstanding stock is held by a limited number of investors, including Robert W. Duggan. Mr. Duggan, Chairman of our Board, beneficially owns approximately 35% of our outstanding common stock. As a result, such persons will have significant influence over corporate actions requiring stockholder approval, including the following actions:</w:t>
      </w:r>
    </w:p>
    <w:p>
      <w:pPr>
        <w:spacing w:after="0" w:line="120" w:lineRule="exact"/>
        <w:rPr>
          <w:sz w:val="20"/>
          <w:szCs w:val="20"/>
          <w:color w:val="auto"/>
        </w:rPr>
      </w:pPr>
    </w:p>
    <w:p>
      <w:pPr>
        <w:ind w:left="1080" w:hanging="32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elect or defeat the election of our directors;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amend or prevent amendment of our articles of incorporation or bylaws;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effect or prevent a merger, sale of assets or other corporate transaction; and</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control the outcome of any other matter submitted to our stockholders for vote.</w:t>
      </w:r>
    </w:p>
    <w:p>
      <w:pPr>
        <w:spacing w:after="0" w:line="185" w:lineRule="exact"/>
        <w:rPr>
          <w:sz w:val="20"/>
          <w:szCs w:val="20"/>
          <w:color w:val="auto"/>
        </w:rPr>
      </w:pPr>
    </w:p>
    <w:p>
      <w:pPr>
        <w:jc w:val="both"/>
        <w:ind w:right="220" w:firstLine="441"/>
        <w:spacing w:after="0" w:line="264" w:lineRule="auto"/>
        <w:rPr>
          <w:sz w:val="20"/>
          <w:szCs w:val="20"/>
          <w:color w:val="auto"/>
        </w:rPr>
      </w:pPr>
      <w:r>
        <w:rPr>
          <w:rFonts w:ascii="Arial" w:cs="Arial" w:eastAsia="Arial" w:hAnsi="Arial"/>
          <w:sz w:val="18"/>
          <w:szCs w:val="18"/>
          <w:color w:val="auto"/>
        </w:rPr>
        <w:t>Such persons’ stock ownership may discourage a potential acquirer from making a tender offer or otherwise attempting to obtain control of our company, which in turn could reduce our stock price or prevent our stockholders from realizing a premium over our stock price.</w:t>
      </w:r>
    </w:p>
    <w:p>
      <w:pPr>
        <w:spacing w:after="0" w:line="14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Management currently beneficially holds a small percentage of our common stock. Other than their positions as directors or officers, and the restriction on the stockholders being able to call a special meeting limited to holders of 10% or more of the outstanding shares of common stock, our management will not be able to greatly influence corporate actions requiring stockholder approval.</w:t>
      </w:r>
    </w:p>
    <w:p>
      <w:pPr>
        <w:spacing w:after="0" w:line="146"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b w:val="1"/>
          <w:bCs w:val="1"/>
          <w:i w:val="1"/>
          <w:iCs w:val="1"/>
          <w:color w:val="auto"/>
        </w:rPr>
        <w:t>Robert W. Duggan’s significant ownership position may deter or prevent efforts by other companies to acquire us, which could prevent our stockholders from realizing a control premium.</w:t>
      </w:r>
    </w:p>
    <w:p>
      <w:pPr>
        <w:spacing w:after="0" w:line="143"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Robert W. Duggan, is the Chairman of our Board, beneficially owns approximately 35% of our outstanding common stock. As a result of Robert W. Duggan’s significant ownership and position as Chairman of the Board, other companies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b w:val="1"/>
          <w:bCs w:val="1"/>
          <w:i w:val="1"/>
          <w:iCs w:val="1"/>
          <w:color w:val="auto"/>
        </w:rPr>
        <w:t>Robert W. Duggan could sell or transfer a substantial number of shares of our common stock, which could depress the price of our securities or result in a change in control of our company.</w:t>
      </w:r>
    </w:p>
    <w:p>
      <w:pPr>
        <w:spacing w:after="0" w:line="143"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color w:val="auto"/>
        </w:rPr>
        <w:t>Robert W. Duggan is not subject to any contractual restrictions with us on his ability to sell or transfer our common stock on the open market, in privately negotiated transactions or otherwise, and these sales or transfers could create substantial declines in the price of our securities or, if these sales or transfers were made to a single buyer or group of buyers, could contribute to a transfer of control of our company to a third party. Sales by Robert W. Duggan of a substantial number of shares, or the expectation of such sales, could cause a significant reduction in the market price of our common stock.</w:t>
      </w:r>
    </w:p>
    <w:p>
      <w:pPr>
        <w:spacing w:after="0" w:line="118"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b w:val="1"/>
          <w:bCs w:val="1"/>
          <w:i w:val="1"/>
          <w:iCs w:val="1"/>
          <w:color w:val="auto"/>
        </w:rPr>
        <w:t>Four of our directors resigned in November 2017 and we added four new directors to our board of directors at such time, which may lead to changes in our operations.</w:t>
      </w:r>
    </w:p>
    <w:p>
      <w:pPr>
        <w:spacing w:after="0" w:line="49" w:lineRule="exact"/>
        <w:rPr>
          <w:sz w:val="20"/>
          <w:szCs w:val="20"/>
          <w:color w:val="auto"/>
        </w:rPr>
      </w:pPr>
    </w:p>
    <w:p>
      <w:pPr>
        <w:ind w:right="40" w:firstLine="501"/>
        <w:spacing w:after="0" w:line="241" w:lineRule="auto"/>
        <w:rPr>
          <w:sz w:val="20"/>
          <w:szCs w:val="20"/>
          <w:color w:val="auto"/>
        </w:rPr>
      </w:pPr>
      <w:r>
        <w:rPr>
          <w:rFonts w:ascii="Arial" w:cs="Arial" w:eastAsia="Arial" w:hAnsi="Arial"/>
          <w:sz w:val="16"/>
          <w:szCs w:val="16"/>
          <w:color w:val="auto"/>
        </w:rPr>
        <w:t>Four new directors were elected to our board of directors, and four existing directors resigned from our board of directors, on November 2, 2017. One of the new directors, Robert W. Duggan, who was appointed Chairman of the Board, beneficially owns approximately 35% of our outstanding common stock. Because of these recent additions and resignations, our board of directors has not worked together as a group for an extended period of time. This change in the composition of our board of directors may lead to changes in our operations as these new directors analyze our business and contribute to the formulation of business strategies and objectives. Our operating results could be adversely affected as we adjust to new business strategies and objectives.</w:t>
      </w:r>
    </w:p>
    <w:p>
      <w:pPr>
        <w:spacing w:after="0" w:line="134" w:lineRule="exact"/>
        <w:rPr>
          <w:sz w:val="20"/>
          <w:szCs w:val="20"/>
          <w:color w:val="auto"/>
        </w:rPr>
      </w:pPr>
    </w:p>
    <w:p>
      <w:pPr>
        <w:ind w:right="80" w:firstLine="441"/>
        <w:spacing w:after="0" w:line="308" w:lineRule="auto"/>
        <w:rPr>
          <w:sz w:val="20"/>
          <w:szCs w:val="20"/>
          <w:color w:val="auto"/>
        </w:rPr>
      </w:pPr>
      <w:r>
        <w:rPr>
          <w:rFonts w:ascii="Arial" w:cs="Arial" w:eastAsia="Arial" w:hAnsi="Arial"/>
          <w:sz w:val="17"/>
          <w:szCs w:val="17"/>
          <w:b w:val="1"/>
          <w:bCs w:val="1"/>
          <w:i w:val="1"/>
          <w:iCs w:val="1"/>
          <w:color w:val="auto"/>
        </w:rPr>
        <w:t>We have incurred and will continue to incur costs as a result of operating as a public company and our management has been and will be required to devote substantial time to public company compliance initiatives.</w:t>
      </w:r>
    </w:p>
    <w:p>
      <w:pPr>
        <w:spacing w:after="0" w:line="120"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As a public company, listed in the United States,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the Nasdaq. The SEC and other regulators have continued to adopt new rules and regulations and make additional changes to existing regulations that require our compliance.</w:t>
      </w:r>
    </w:p>
    <w:p>
      <w:pPr>
        <w:spacing w:after="0" w:line="148"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of 2002,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spacing w:after="0" w:line="139"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our executive officers.</w:t>
      </w:r>
    </w:p>
    <w:p>
      <w:pPr>
        <w:spacing w:after="0" w:line="148" w:lineRule="exact"/>
        <w:rPr>
          <w:sz w:val="20"/>
          <w:szCs w:val="20"/>
          <w:color w:val="auto"/>
        </w:rPr>
      </w:pPr>
    </w:p>
    <w:p>
      <w:pPr>
        <w:ind w:right="160" w:firstLine="441"/>
        <w:spacing w:after="0" w:line="324" w:lineRule="auto"/>
        <w:rPr>
          <w:sz w:val="20"/>
          <w:szCs w:val="20"/>
          <w:color w:val="auto"/>
        </w:rPr>
      </w:pPr>
      <w:r>
        <w:rPr>
          <w:rFonts w:ascii="Arial" w:cs="Arial" w:eastAsia="Arial" w:hAnsi="Arial"/>
          <w:sz w:val="15"/>
          <w:szCs w:val="15"/>
          <w:b w:val="1"/>
          <w:bCs w:val="1"/>
          <w:i w:val="1"/>
          <w:iCs w:val="1"/>
          <w:color w:val="auto"/>
        </w:rPr>
        <w:t>We are an “emerging growth company” under the JOBS Act of 2012 and we cannot be certain if the reduced disclosure requirements applicable to emerging growth companies will make our common stock less attractive to investors.</w:t>
      </w:r>
    </w:p>
    <w:p>
      <w:pPr>
        <w:spacing w:after="0" w:line="61" w:lineRule="exact"/>
        <w:rPr>
          <w:sz w:val="20"/>
          <w:szCs w:val="20"/>
          <w:color w:val="auto"/>
        </w:rPr>
      </w:pPr>
    </w:p>
    <w:p>
      <w:pPr>
        <w:ind w:right="160" w:firstLine="441"/>
        <w:spacing w:after="0" w:line="239"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may rely on these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exemptions. If some investors find our common stock less attractive as a result, there may be a less active trading market for our common stock and our stock price may be more volatile.</w:t>
      </w:r>
    </w:p>
    <w:p>
      <w:pPr>
        <w:spacing w:after="0" w:line="135" w:lineRule="exact"/>
        <w:rPr>
          <w:sz w:val="20"/>
          <w:szCs w:val="20"/>
          <w:color w:val="auto"/>
        </w:rPr>
      </w:pPr>
    </w:p>
    <w:p>
      <w:pPr>
        <w:jc w:val="both"/>
        <w:ind w:right="60" w:firstLine="441"/>
        <w:spacing w:after="0" w:line="224" w:lineRule="auto"/>
        <w:rPr>
          <w:sz w:val="20"/>
          <w:szCs w:val="20"/>
          <w:color w:val="auto"/>
        </w:rPr>
      </w:pPr>
      <w:r>
        <w:rPr>
          <w:rFonts w:ascii="Arial" w:cs="Arial" w:eastAsia="Arial" w:hAnsi="Arial"/>
          <w:sz w:val="18"/>
          <w:szCs w:val="18"/>
          <w:color w:val="auto"/>
        </w:rPr>
        <w:t>We will remain an “emerging growth company” for up to five years, although we will lose that status sooner if our revenues exceed $1.07 billion, if we issue more than $1.0 billion in non-convertible debt in a three-year period, or if the market value of our common stock that is held by non-affiliates exceeds $700 million as of any June 30.</w:t>
      </w:r>
    </w:p>
    <w:p>
      <w:pPr>
        <w:spacing w:after="0" w:line="123" w:lineRule="exact"/>
        <w:rPr>
          <w:sz w:val="20"/>
          <w:szCs w:val="20"/>
          <w:color w:val="auto"/>
        </w:rPr>
      </w:pPr>
    </w:p>
    <w:p>
      <w:pPr>
        <w:ind w:right="100" w:firstLine="441"/>
        <w:spacing w:after="0" w:line="229" w:lineRule="auto"/>
        <w:rPr>
          <w:sz w:val="20"/>
          <w:szCs w:val="20"/>
          <w:color w:val="auto"/>
        </w:rPr>
      </w:pPr>
      <w:r>
        <w:rPr>
          <w:rFonts w:ascii="Arial" w:cs="Arial" w:eastAsia="Arial" w:hAnsi="Arial"/>
          <w:sz w:val="17"/>
          <w:szCs w:val="17"/>
          <w:color w:val="auto"/>
        </w:rPr>
        <w:t>Because of the exemptions from various reporting requirements provided to us as an “emerging growth company,” we may be less attractive to investors as an investment opportunity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w:t>
      </w:r>
    </w:p>
    <w:p>
      <w:pPr>
        <w:spacing w:after="0" w:line="121" w:lineRule="exact"/>
        <w:rPr>
          <w:sz w:val="20"/>
          <w:szCs w:val="20"/>
          <w:color w:val="auto"/>
        </w:rPr>
      </w:pPr>
    </w:p>
    <w:p>
      <w:pPr>
        <w:ind w:right="600" w:firstLine="441"/>
        <w:spacing w:after="0" w:line="23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market price and trading volume could decline.</w:t>
      </w:r>
    </w:p>
    <w:p>
      <w:pPr>
        <w:spacing w:after="0" w:line="135" w:lineRule="exact"/>
        <w:rPr>
          <w:sz w:val="20"/>
          <w:szCs w:val="20"/>
          <w:color w:val="auto"/>
        </w:rPr>
      </w:pPr>
    </w:p>
    <w:p>
      <w:pPr>
        <w:ind w:right="60" w:firstLine="441"/>
        <w:spacing w:after="0" w:line="226" w:lineRule="auto"/>
        <w:rPr>
          <w:sz w:val="20"/>
          <w:szCs w:val="20"/>
          <w:color w:val="auto"/>
        </w:rPr>
      </w:pPr>
      <w:r>
        <w:rPr>
          <w:rFonts w:ascii="Arial" w:cs="Arial" w:eastAsia="Arial" w:hAnsi="Arial"/>
          <w:sz w:val="17"/>
          <w:szCs w:val="17"/>
          <w:color w:val="auto"/>
        </w:rPr>
        <w:t>The trading market for our common stock will depend on the research and reports that securities or industry analysts publish about us or our business. We do not have any control over these analysts. We currently have no analysts covering us and there can be no assurance that analysts will cover us or provide favorable coverage. If one or more of the analysts who cover us downgrade our stock or change their opinion of our stock, our market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have not paid dividends in the past and have no plans to pay dividends</w:t>
      </w:r>
      <w:r>
        <w:rPr>
          <w:rFonts w:ascii="Arial" w:cs="Arial" w:eastAsia="Arial" w:hAnsi="Arial"/>
          <w:sz w:val="18"/>
          <w:szCs w:val="18"/>
          <w:color w:val="auto"/>
        </w:rPr>
        <w:t>.</w:t>
      </w:r>
    </w:p>
    <w:p>
      <w:pPr>
        <w:spacing w:after="0" w:line="144" w:lineRule="exact"/>
        <w:rPr>
          <w:sz w:val="20"/>
          <w:szCs w:val="20"/>
          <w:color w:val="auto"/>
        </w:rPr>
      </w:pPr>
    </w:p>
    <w:p>
      <w:pPr>
        <w:ind w:firstLine="441"/>
        <w:spacing w:after="0" w:line="232" w:lineRule="auto"/>
        <w:rPr>
          <w:sz w:val="20"/>
          <w:szCs w:val="20"/>
          <w:color w:val="auto"/>
        </w:rPr>
      </w:pPr>
      <w:r>
        <w:rPr>
          <w:rFonts w:ascii="Arial" w:cs="Arial" w:eastAsia="Arial" w:hAnsi="Arial"/>
          <w:sz w:val="17"/>
          <w:szCs w:val="17"/>
          <w:color w:val="auto"/>
        </w:rPr>
        <w:t>We plan to reinvest all of our earnings, to the extent we have earnings, into our product research and development. We do not plan to pay any cash dividends with respect to our securities in the foreseeable future. We cannot assure you that we would, at any time, generate sufficient surplus cash that would be available for distribution to the holders of our common stock as a dividend. Therefore, you should not expect to receive cash dividends on our outstanding common stock.</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charter documents and Nevada law may inhibit a takeover that stockholders consider favorable.</w:t>
      </w:r>
    </w:p>
    <w:p>
      <w:pPr>
        <w:spacing w:after="0" w:line="144" w:lineRule="exact"/>
        <w:rPr>
          <w:sz w:val="20"/>
          <w:szCs w:val="20"/>
          <w:color w:val="auto"/>
        </w:rPr>
      </w:pPr>
    </w:p>
    <w:p>
      <w:pPr>
        <w:ind w:right="80" w:firstLine="441"/>
        <w:spacing w:after="0" w:line="249" w:lineRule="auto"/>
        <w:rPr>
          <w:sz w:val="20"/>
          <w:szCs w:val="20"/>
          <w:color w:val="auto"/>
        </w:rPr>
      </w:pPr>
      <w:r>
        <w:rPr>
          <w:rFonts w:ascii="Arial" w:cs="Arial" w:eastAsia="Arial" w:hAnsi="Arial"/>
          <w:sz w:val="16"/>
          <w:szCs w:val="16"/>
          <w:color w:val="auto"/>
        </w:rPr>
        <w:t>Provisions of our articles of incorporation and bylaws and applicable provisions of Nevada law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Some of the following provisions in our articles and bylaws that implement these are:</w:t>
      </w:r>
    </w:p>
    <w:p>
      <w:pPr>
        <w:spacing w:after="0" w:line="128" w:lineRule="exact"/>
        <w:rPr>
          <w:sz w:val="20"/>
          <w:szCs w:val="20"/>
          <w:color w:val="auto"/>
        </w:rPr>
      </w:pPr>
    </w:p>
    <w:p>
      <w:pPr>
        <w:ind w:left="860" w:right="380" w:hanging="427"/>
        <w:spacing w:after="0" w:line="198" w:lineRule="auto"/>
        <w:tabs>
          <w:tab w:leader="none" w:pos="86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5,000,000 shares of “blank check” preferred stock, which may be issued at the discretion of the board of directors, without further approval of the stockholders;</w:t>
      </w:r>
    </w:p>
    <w:p>
      <w:pPr>
        <w:spacing w:after="0" w:line="58" w:lineRule="exact"/>
        <w:rPr>
          <w:rFonts w:ascii="Arial" w:cs="Arial" w:eastAsia="Arial" w:hAnsi="Arial"/>
          <w:sz w:val="29"/>
          <w:szCs w:val="29"/>
          <w:color w:val="auto"/>
          <w:vertAlign w:val="superscript"/>
        </w:rPr>
      </w:pPr>
    </w:p>
    <w:p>
      <w:pPr>
        <w:ind w:left="860" w:hanging="427"/>
        <w:spacing w:after="0"/>
        <w:tabs>
          <w:tab w:leader="none" w:pos="86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stockholders may not vote by written consent;</w:t>
      </w:r>
    </w:p>
    <w:p>
      <w:pPr>
        <w:spacing w:after="0" w:line="139" w:lineRule="exact"/>
        <w:rPr>
          <w:rFonts w:ascii="Arial" w:cs="Arial" w:eastAsia="Arial" w:hAnsi="Arial"/>
          <w:sz w:val="29"/>
          <w:szCs w:val="29"/>
          <w:color w:val="auto"/>
          <w:vertAlign w:val="superscript"/>
        </w:rPr>
      </w:pPr>
    </w:p>
    <w:p>
      <w:pPr>
        <w:ind w:left="860" w:hanging="427"/>
        <w:spacing w:after="0" w:line="181" w:lineRule="auto"/>
        <w:tabs>
          <w:tab w:leader="none" w:pos="86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special meetings require a member of the board of directors or a 10% or greater stockholder to call;</w:t>
      </w:r>
    </w:p>
    <w:p>
      <w:pPr>
        <w:spacing w:after="0" w:line="161" w:lineRule="exact"/>
        <w:rPr>
          <w:rFonts w:ascii="Arial" w:cs="Arial" w:eastAsia="Arial" w:hAnsi="Arial"/>
          <w:sz w:val="29"/>
          <w:szCs w:val="29"/>
          <w:color w:val="auto"/>
          <w:vertAlign w:val="superscript"/>
        </w:rPr>
      </w:pPr>
    </w:p>
    <w:p>
      <w:pPr>
        <w:ind w:left="860" w:right="240" w:hanging="427"/>
        <w:spacing w:after="0" w:line="198" w:lineRule="auto"/>
        <w:tabs>
          <w:tab w:leader="none" w:pos="86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advance notice provisions for director nominations, or other business to be brought, by a stockholder at a meeting of the Company’s stockholders;</w:t>
      </w:r>
    </w:p>
    <w:p>
      <w:pPr>
        <w:ind w:left="860" w:hanging="427"/>
        <w:spacing w:after="0" w:line="213" w:lineRule="auto"/>
        <w:tabs>
          <w:tab w:leader="none" w:pos="86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no cumulative voting rights for the holders of common stock in the election of directors; and</w:t>
      </w:r>
    </w:p>
    <w:p>
      <w:pPr>
        <w:spacing w:after="0" w:line="56" w:lineRule="exact"/>
        <w:rPr>
          <w:rFonts w:ascii="Arial" w:cs="Arial" w:eastAsia="Arial" w:hAnsi="Arial"/>
          <w:sz w:val="29"/>
          <w:szCs w:val="29"/>
          <w:color w:val="auto"/>
          <w:vertAlign w:val="superscript"/>
        </w:rPr>
      </w:pPr>
    </w:p>
    <w:p>
      <w:pPr>
        <w:ind w:left="860" w:right="20" w:hanging="427"/>
        <w:spacing w:after="0" w:line="180" w:lineRule="auto"/>
        <w:tabs>
          <w:tab w:leader="none" w:pos="86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vacancies in the board of directors may be filled by the affirmative vote of a majority of directors then in office, even if less than a quorum.</w:t>
      </w:r>
    </w:p>
    <w:p>
      <w:pPr>
        <w:spacing w:after="0" w:line="123" w:lineRule="exact"/>
        <w:rPr>
          <w:sz w:val="20"/>
          <w:szCs w:val="20"/>
          <w:color w:val="auto"/>
        </w:rPr>
      </w:pPr>
    </w:p>
    <w:p>
      <w:pPr>
        <w:ind w:right="40" w:firstLine="441"/>
        <w:spacing w:after="0" w:line="224" w:lineRule="auto"/>
        <w:rPr>
          <w:sz w:val="20"/>
          <w:szCs w:val="20"/>
          <w:color w:val="auto"/>
        </w:rPr>
      </w:pPr>
      <w:r>
        <w:rPr>
          <w:rFonts w:ascii="Arial" w:cs="Arial" w:eastAsia="Arial" w:hAnsi="Arial"/>
          <w:sz w:val="18"/>
          <w:szCs w:val="18"/>
          <w:color w:val="auto"/>
        </w:rPr>
        <w:t>These provisions may have the effect of entrenching our board of directors and management team or make it more difficult for stockholders to take other corporate actions, and may deprive you of the opportunity to sell your shares to potential acquirers at a premium over prevailing prices.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 Upon Senior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239"/>
          </w:cols>
          <w:pgMar w:left="1220" w:top="108"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8740" w:type="dxa"/>
            <w:vAlign w:val="bottom"/>
            <w:gridSpan w:val="8"/>
          </w:tcPr>
          <w:p>
            <w:pPr>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59"/>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860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35"/>
        </w:trPr>
        <w:tc>
          <w:tcPr>
            <w:tcW w:w="720" w:type="dxa"/>
            <w:vAlign w:val="bottom"/>
            <w:tcBorders>
              <w:bottom w:val="single" w:sz="8" w:color="auto"/>
            </w:tcBorders>
            <w:gridSpan w:val="2"/>
          </w:tcPr>
          <w:p>
            <w:pPr>
              <w:spacing w:after="0" w:line="135" w:lineRule="exact"/>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1"/>
                <w:szCs w:val="11"/>
                <w:color w:val="auto"/>
              </w:rPr>
            </w:pPr>
          </w:p>
        </w:tc>
        <w:tc>
          <w:tcPr>
            <w:tcW w:w="8600" w:type="dxa"/>
            <w:vAlign w:val="bottom"/>
            <w:tcBorders>
              <w:bottom w:val="single" w:sz="8" w:color="auto"/>
            </w:tcBorders>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720" w:type="dxa"/>
            <w:vAlign w:val="bottom"/>
            <w:gridSpan w:val="2"/>
          </w:tcPr>
          <w:p>
            <w:pPr>
              <w:spacing w:after="0"/>
              <w:rPr>
                <w:rFonts w:ascii="Arial" w:cs="Arial" w:eastAsia="Arial" w:hAnsi="Arial"/>
                <w:sz w:val="18"/>
                <w:szCs w:val="18"/>
                <w:color w:val="0000EE"/>
              </w:rPr>
            </w:pPr>
            <w:hyperlink r:id="rId6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r>
              <w:rPr>
                <w:rFonts w:ascii="Arial" w:cs="Arial" w:eastAsia="Arial" w:hAnsi="Arial"/>
                <w:sz w:val="18"/>
                <w:szCs w:val="18"/>
                <w:color w:val="000000"/>
              </w:rPr>
              <w:t>(1)</w:t>
            </w:r>
          </w:p>
        </w:tc>
        <w:tc>
          <w:tcPr>
            <w:tcW w:w="140" w:type="dxa"/>
            <w:vAlign w:val="bottom"/>
          </w:tcPr>
          <w:p>
            <w:pPr>
              <w:spacing w:after="0"/>
              <w:rPr>
                <w:sz w:val="22"/>
                <w:szCs w:val="22"/>
                <w:color w:val="auto"/>
              </w:rPr>
            </w:pPr>
          </w:p>
        </w:tc>
        <w:tc>
          <w:tcPr>
            <w:tcW w:w="8600" w:type="dxa"/>
            <w:vAlign w:val="bottom"/>
            <w:gridSpan w:val="7"/>
          </w:tcPr>
          <w:p>
            <w:pPr>
              <w:spacing w:after="0"/>
              <w:rPr>
                <w:rFonts w:ascii="Arial" w:cs="Arial" w:eastAsia="Arial" w:hAnsi="Arial"/>
                <w:sz w:val="18"/>
                <w:szCs w:val="18"/>
                <w:color w:val="0000EE"/>
              </w:rPr>
            </w:pPr>
            <w:hyperlink r:id="rId65">
              <w:r>
                <w:rPr>
                  <w:rFonts w:ascii="Arial" w:cs="Arial" w:eastAsia="Arial" w:hAnsi="Arial"/>
                  <w:sz w:val="18"/>
                  <w:szCs w:val="18"/>
                  <w:color w:val="0000EE"/>
                </w:rPr>
                <w:t>Form of Indemnification Agreement</w:t>
              </w:r>
            </w:hyperlink>
          </w:p>
        </w:tc>
        <w:tc>
          <w:tcPr>
            <w:tcW w:w="0" w:type="dxa"/>
            <w:vAlign w:val="bottom"/>
          </w:tcPr>
          <w:p>
            <w:pPr>
              <w:spacing w:after="0"/>
              <w:rPr>
                <w:sz w:val="1"/>
                <w:szCs w:val="1"/>
                <w:color w:val="auto"/>
              </w:rPr>
            </w:pPr>
          </w:p>
        </w:tc>
      </w:tr>
      <w:tr>
        <w:trPr>
          <w:trHeight w:val="115"/>
        </w:trPr>
        <w:tc>
          <w:tcPr>
            <w:tcW w:w="320" w:type="dxa"/>
            <w:vAlign w:val="bottom"/>
            <w:tcBorders>
              <w:top w:val="single" w:sz="8" w:color="0000EE"/>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4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4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20" w:type="dxa"/>
            <w:vAlign w:val="bottom"/>
            <w:gridSpan w:val="2"/>
            <w:shd w:val="clear" w:color="auto" w:fill="CCEEFF"/>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40" w:type="dxa"/>
            <w:vAlign w:val="bottom"/>
            <w:shd w:val="clear" w:color="auto" w:fill="CCEEFF"/>
          </w:tcPr>
          <w:p>
            <w:pPr>
              <w:spacing w:after="0"/>
              <w:rPr>
                <w:sz w:val="23"/>
                <w:szCs w:val="23"/>
                <w:color w:val="auto"/>
              </w:rPr>
            </w:pPr>
          </w:p>
        </w:tc>
        <w:tc>
          <w:tcPr>
            <w:tcW w:w="8600" w:type="dxa"/>
            <w:vAlign w:val="bottom"/>
            <w:gridSpan w:val="7"/>
            <w:shd w:val="clear" w:color="auto" w:fill="CCEEFF"/>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115"/>
        </w:trPr>
        <w:tc>
          <w:tcPr>
            <w:tcW w:w="320" w:type="dxa"/>
            <w:vAlign w:val="bottom"/>
            <w:tcBorders>
              <w:top w:val="single" w:sz="8" w:color="0000EE"/>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240" w:type="dxa"/>
            <w:vAlign w:val="bottom"/>
            <w:tcBorders>
              <w:top w:val="single" w:sz="8" w:color="0000EE"/>
            </w:tcBorders>
            <w:shd w:val="clear" w:color="auto" w:fill="CCEEFF"/>
          </w:tcPr>
          <w:p>
            <w:pPr>
              <w:spacing w:after="0"/>
              <w:rPr>
                <w:sz w:val="10"/>
                <w:szCs w:val="10"/>
                <w:color w:val="auto"/>
              </w:rPr>
            </w:pPr>
          </w:p>
        </w:tc>
        <w:tc>
          <w:tcPr>
            <w:tcW w:w="360" w:type="dxa"/>
            <w:vAlign w:val="bottom"/>
            <w:tcBorders>
              <w:top w:val="single" w:sz="8" w:color="0000EE"/>
            </w:tcBorders>
            <w:shd w:val="clear" w:color="auto" w:fill="CCEEFF"/>
          </w:tcPr>
          <w:p>
            <w:pPr>
              <w:spacing w:after="0"/>
              <w:rPr>
                <w:sz w:val="10"/>
                <w:szCs w:val="10"/>
                <w:color w:val="auto"/>
              </w:rPr>
            </w:pPr>
          </w:p>
        </w:tc>
        <w:tc>
          <w:tcPr>
            <w:tcW w:w="4560" w:type="dxa"/>
            <w:vAlign w:val="bottom"/>
            <w:tcBorders>
              <w:top w:val="single" w:sz="8" w:color="0000EE"/>
            </w:tcBorders>
            <w:shd w:val="clear" w:color="auto" w:fill="CCEEFF"/>
          </w:tcPr>
          <w:p>
            <w:pPr>
              <w:spacing w:after="0"/>
              <w:rPr>
                <w:sz w:val="10"/>
                <w:szCs w:val="10"/>
                <w:color w:val="auto"/>
              </w:rPr>
            </w:pPr>
          </w:p>
        </w:tc>
        <w:tc>
          <w:tcPr>
            <w:tcW w:w="40" w:type="dxa"/>
            <w:vAlign w:val="bottom"/>
            <w:tcBorders>
              <w:top w:val="single" w:sz="8" w:color="0000EE"/>
            </w:tcBorders>
            <w:shd w:val="clear" w:color="auto" w:fill="CCEEFF"/>
          </w:tcPr>
          <w:p>
            <w:pPr>
              <w:spacing w:after="0"/>
              <w:rPr>
                <w:sz w:val="10"/>
                <w:szCs w:val="10"/>
                <w:color w:val="auto"/>
              </w:rPr>
            </w:pPr>
          </w:p>
        </w:tc>
        <w:tc>
          <w:tcPr>
            <w:tcW w:w="13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20" w:type="dxa"/>
            <w:vAlign w:val="bottom"/>
            <w:gridSpan w:val="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40" w:type="dxa"/>
            <w:vAlign w:val="bottom"/>
          </w:tcPr>
          <w:p>
            <w:pPr>
              <w:spacing w:after="0"/>
              <w:rPr>
                <w:sz w:val="23"/>
                <w:szCs w:val="23"/>
                <w:color w:val="auto"/>
              </w:rPr>
            </w:pPr>
          </w:p>
        </w:tc>
        <w:tc>
          <w:tcPr>
            <w:tcW w:w="860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115"/>
        </w:trPr>
        <w:tc>
          <w:tcPr>
            <w:tcW w:w="320" w:type="dxa"/>
            <w:vAlign w:val="bottom"/>
            <w:tcBorders>
              <w:top w:val="single" w:sz="8" w:color="0000EE"/>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4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4560" w:type="dxa"/>
            <w:vAlign w:val="bottom"/>
            <w:tcBorders>
              <w:top w:val="single" w:sz="8" w:color="0000EE"/>
            </w:tcBorders>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20" w:type="dxa"/>
            <w:vAlign w:val="bottom"/>
            <w:gridSpan w:val="2"/>
            <w:shd w:val="clear" w:color="auto" w:fill="CCEEFF"/>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32.</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140" w:type="dxa"/>
            <w:vAlign w:val="bottom"/>
            <w:shd w:val="clear" w:color="auto" w:fill="CCEEFF"/>
          </w:tcPr>
          <w:p>
            <w:pPr>
              <w:spacing w:after="0"/>
              <w:rPr>
                <w:sz w:val="23"/>
                <w:szCs w:val="23"/>
                <w:color w:val="auto"/>
              </w:rPr>
            </w:pPr>
          </w:p>
        </w:tc>
        <w:tc>
          <w:tcPr>
            <w:tcW w:w="8600" w:type="dxa"/>
            <w:vAlign w:val="bottom"/>
            <w:gridSpan w:val="7"/>
            <w:shd w:val="clear" w:color="auto" w:fill="CCEEFF"/>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Certification of the Chief Executive and Chief Financial Officers pursuant to Section 906 of the Sarbanes-Oxley Act of</w:t>
              </w:r>
            </w:hyperlink>
          </w:p>
        </w:tc>
        <w:tc>
          <w:tcPr>
            <w:tcW w:w="0" w:type="dxa"/>
            <w:vAlign w:val="bottom"/>
          </w:tcPr>
          <w:p>
            <w:pPr>
              <w:spacing w:after="0"/>
              <w:rPr>
                <w:sz w:val="1"/>
                <w:szCs w:val="1"/>
                <w:color w:val="auto"/>
              </w:rPr>
            </w:pPr>
          </w:p>
        </w:tc>
      </w:tr>
      <w:tr>
        <w:trPr>
          <w:trHeight w:val="169"/>
        </w:trPr>
        <w:tc>
          <w:tcPr>
            <w:tcW w:w="320" w:type="dxa"/>
            <w:vAlign w:val="bottom"/>
            <w:tcBorders>
              <w:top w:val="single" w:sz="8" w:color="0000EE"/>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560" w:type="dxa"/>
            <w:vAlign w:val="bottom"/>
            <w:tcBorders>
              <w:top w:val="single" w:sz="8" w:color="0000EE"/>
            </w:tcBorders>
            <w:gridSpan w:val="5"/>
            <w:shd w:val="clear" w:color="auto" w:fill="CCEEFF"/>
          </w:tcPr>
          <w:p>
            <w:pPr>
              <w:spacing w:after="0" w:line="170" w:lineRule="exact"/>
              <w:rPr>
                <w:rFonts w:ascii="Arial" w:cs="Arial" w:eastAsia="Arial" w:hAnsi="Arial"/>
                <w:sz w:val="18"/>
                <w:szCs w:val="18"/>
                <w:color w:val="0000EE"/>
              </w:rPr>
            </w:pPr>
            <w:hyperlink w:anchor="page52">
              <w:r>
                <w:rPr>
                  <w:rFonts w:ascii="Arial" w:cs="Arial" w:eastAsia="Arial" w:hAnsi="Arial"/>
                  <w:sz w:val="18"/>
                  <w:szCs w:val="18"/>
                  <w:color w:val="0000EE"/>
                </w:rPr>
                <w:t>2002 (18 U.S.C. Section 1350).</w:t>
              </w:r>
            </w:hyperlink>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240" w:type="dxa"/>
            <w:vAlign w:val="bottom"/>
            <w:tcBorders>
              <w:top w:val="single" w:sz="8" w:color="0000EE"/>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45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11"/>
        </w:trPr>
        <w:tc>
          <w:tcPr>
            <w:tcW w:w="7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860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95"/>
        </w:trPr>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101.SCH</w:t>
            </w:r>
          </w:p>
        </w:tc>
        <w:tc>
          <w:tcPr>
            <w:tcW w:w="140" w:type="dxa"/>
            <w:vAlign w:val="bottom"/>
            <w:shd w:val="clear" w:color="auto" w:fill="CCEEFF"/>
          </w:tcPr>
          <w:p>
            <w:pPr>
              <w:spacing w:after="0"/>
              <w:rPr>
                <w:sz w:val="24"/>
                <w:szCs w:val="24"/>
                <w:color w:val="auto"/>
              </w:rPr>
            </w:pPr>
          </w:p>
        </w:tc>
        <w:tc>
          <w:tcPr>
            <w:tcW w:w="86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95"/>
        </w:trPr>
        <w:tc>
          <w:tcPr>
            <w:tcW w:w="3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720" w:type="dxa"/>
            <w:vAlign w:val="bottom"/>
            <w:gridSpan w:val="2"/>
          </w:tcPr>
          <w:p>
            <w:pPr>
              <w:spacing w:after="0"/>
              <w:rPr>
                <w:sz w:val="20"/>
                <w:szCs w:val="20"/>
                <w:color w:val="auto"/>
              </w:rPr>
            </w:pPr>
            <w:r>
              <w:rPr>
                <w:rFonts w:ascii="Arial" w:cs="Arial" w:eastAsia="Arial" w:hAnsi="Arial"/>
                <w:sz w:val="18"/>
                <w:szCs w:val="18"/>
                <w:color w:val="auto"/>
                <w:w w:val="99"/>
              </w:rPr>
              <w:t>101.CAL</w:t>
            </w:r>
          </w:p>
        </w:tc>
        <w:tc>
          <w:tcPr>
            <w:tcW w:w="140" w:type="dxa"/>
            <w:vAlign w:val="bottom"/>
          </w:tcPr>
          <w:p>
            <w:pPr>
              <w:spacing w:after="0"/>
              <w:rPr>
                <w:sz w:val="24"/>
                <w:szCs w:val="24"/>
                <w:color w:val="auto"/>
              </w:rPr>
            </w:pPr>
          </w:p>
        </w:tc>
        <w:tc>
          <w:tcPr>
            <w:tcW w:w="860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95"/>
        </w:trPr>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101.DEF</w:t>
            </w:r>
          </w:p>
        </w:tc>
        <w:tc>
          <w:tcPr>
            <w:tcW w:w="140" w:type="dxa"/>
            <w:vAlign w:val="bottom"/>
            <w:shd w:val="clear" w:color="auto" w:fill="CCEEFF"/>
          </w:tcPr>
          <w:p>
            <w:pPr>
              <w:spacing w:after="0"/>
              <w:rPr>
                <w:sz w:val="24"/>
                <w:szCs w:val="24"/>
                <w:color w:val="auto"/>
              </w:rPr>
            </w:pPr>
          </w:p>
        </w:tc>
        <w:tc>
          <w:tcPr>
            <w:tcW w:w="86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95"/>
        </w:trPr>
        <w:tc>
          <w:tcPr>
            <w:tcW w:w="3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7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860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95"/>
        </w:trPr>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101.PRE</w:t>
            </w:r>
          </w:p>
        </w:tc>
        <w:tc>
          <w:tcPr>
            <w:tcW w:w="140" w:type="dxa"/>
            <w:vAlign w:val="bottom"/>
            <w:shd w:val="clear" w:color="auto" w:fill="CCEEFF"/>
          </w:tcPr>
          <w:p>
            <w:pPr>
              <w:spacing w:after="0"/>
              <w:rPr>
                <w:sz w:val="24"/>
                <w:szCs w:val="24"/>
                <w:color w:val="auto"/>
              </w:rPr>
            </w:pPr>
          </w:p>
        </w:tc>
        <w:tc>
          <w:tcPr>
            <w:tcW w:w="86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95"/>
        </w:trPr>
        <w:tc>
          <w:tcPr>
            <w:tcW w:w="3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(1) Incorporated by reference to Exhibit 10.1 to Registrant’s Current Report on Form 8-K filed with the SEC on January 29, 2018</w:t>
      </w:r>
    </w:p>
    <w:p>
      <w:pPr>
        <w:spacing w:after="0" w:line="167" w:lineRule="exact"/>
        <w:rPr>
          <w:sz w:val="20"/>
          <w:szCs w:val="20"/>
          <w:color w:val="auto"/>
        </w:rPr>
      </w:pPr>
    </w:p>
    <w:p>
      <w:pPr>
        <w:ind w:right="40"/>
        <w:spacing w:after="0" w:line="249" w:lineRule="auto"/>
        <w:tabs>
          <w:tab w:leader="none" w:pos="1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certification attached as Exhibit 32.1 that accompanies this Quarterly Report on Form 10-Q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259" w:firstLine="441"/>
        <w:spacing w:after="0" w:line="235"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306"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PULSE BIOSCIENCES, INC.</w:t>
      </w:r>
    </w:p>
    <w:p>
      <w:pPr>
        <w:spacing w:after="0" w:line="146" w:lineRule="exact"/>
        <w:rPr>
          <w:sz w:val="20"/>
          <w:szCs w:val="20"/>
          <w:color w:val="auto"/>
        </w:rPr>
      </w:pPr>
    </w:p>
    <w:p>
      <w:pPr>
        <w:spacing w:after="0"/>
        <w:tabs>
          <w:tab w:leader="none" w:pos="4780" w:val="left"/>
          <w:tab w:leader="none" w:pos="6320" w:val="left"/>
          <w:tab w:leader="none" w:pos="6660" w:val="left"/>
        </w:tabs>
        <w:rPr>
          <w:sz w:val="20"/>
          <w:szCs w:val="20"/>
          <w:color w:val="auto"/>
        </w:rPr>
      </w:pPr>
      <w:r>
        <w:rPr>
          <w:rFonts w:ascii="Arial" w:cs="Arial" w:eastAsia="Arial" w:hAnsi="Arial"/>
          <w:sz w:val="18"/>
          <w:szCs w:val="18"/>
          <w:color w:val="auto"/>
        </w:rPr>
        <w:t>Date: May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BRIAN B.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3319145</wp:posOffset>
            </wp:positionH>
            <wp:positionV relativeFrom="paragraph">
              <wp:posOffset>-635</wp:posOffset>
            </wp:positionV>
            <wp:extent cx="24180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jc w:val="center"/>
        <w:ind w:left="4800"/>
        <w:spacing w:after="0" w:line="193" w:lineRule="auto"/>
        <w:rPr>
          <w:sz w:val="20"/>
          <w:szCs w:val="20"/>
          <w:color w:val="auto"/>
        </w:rPr>
      </w:pPr>
      <w:r>
        <w:rPr>
          <w:rFonts w:ascii="Arial" w:cs="Arial" w:eastAsia="Arial" w:hAnsi="Arial"/>
          <w:sz w:val="18"/>
          <w:szCs w:val="18"/>
          <w:b w:val="1"/>
          <w:bCs w:val="1"/>
          <w:color w:val="auto"/>
        </w:rPr>
        <w:t>Brian B. Dow</w:t>
      </w:r>
    </w:p>
    <w:p>
      <w:pPr>
        <w:jc w:val="center"/>
        <w:ind w:left="4800"/>
        <w:spacing w:after="0" w:line="202"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480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239"/>
          </w:cols>
          <w:pgMar w:left="1220" w:top="108" w:right="1440"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131" w:lineRule="exact"/>
        <w:rPr>
          <w:sz w:val="20"/>
          <w:szCs w:val="20"/>
          <w:color w:val="auto"/>
        </w:rPr>
      </w:pPr>
    </w:p>
    <w:p>
      <w:pPr>
        <w:jc w:val="center"/>
        <w:spacing w:after="0" w:line="226" w:lineRule="auto"/>
        <w:rPr>
          <w:sz w:val="20"/>
          <w:szCs w:val="20"/>
          <w:color w:val="auto"/>
        </w:rPr>
      </w:pPr>
      <w:r>
        <w:rPr>
          <w:rFonts w:ascii="Arial" w:cs="Arial" w:eastAsia="Arial" w:hAnsi="Arial"/>
          <w:sz w:val="18"/>
          <w:szCs w:val="18"/>
          <w:b w:val="1"/>
          <w:bCs w:val="1"/>
          <w:color w:val="auto"/>
        </w:rPr>
        <w:t>CERTIFICATION OF CHIEF EXECUTIVE OFFICER PURSUANT TO SECURITIES EXCHANGE ACT RULES 13a-14(a) and 15d-14(a), AS ADOPTED 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Darrin R. Uecker, President and Chief Executive Officer, certify that:</w:t>
      </w:r>
    </w:p>
    <w:p>
      <w:pPr>
        <w:spacing w:after="0" w:line="117" w:lineRule="exact"/>
        <w:rPr>
          <w:sz w:val="20"/>
          <w:szCs w:val="20"/>
          <w:color w:val="auto"/>
        </w:rPr>
      </w:pPr>
    </w:p>
    <w:p>
      <w:pPr>
        <w:ind w:left="320" w:hanging="320"/>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Pulse Biosciences, Inc.;</w:t>
      </w:r>
    </w:p>
    <w:p>
      <w:pPr>
        <w:spacing w:after="0" w:line="117" w:lineRule="exact"/>
        <w:rPr>
          <w:rFonts w:ascii="Arial" w:cs="Arial" w:eastAsia="Arial" w:hAnsi="Arial"/>
          <w:sz w:val="18"/>
          <w:szCs w:val="18"/>
          <w:color w:val="auto"/>
        </w:rPr>
      </w:pPr>
    </w:p>
    <w:p>
      <w:pPr>
        <w:ind w:left="320" w:right="80" w:hanging="320"/>
        <w:spacing w:after="0" w:line="224"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ind w:left="320" w:right="160" w:hanging="320"/>
        <w:spacing w:after="0" w:line="224"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8"/>
          <w:szCs w:val="18"/>
          <w:color w:val="auto"/>
        </w:rPr>
      </w:pPr>
    </w:p>
    <w:p>
      <w:pPr>
        <w:ind w:left="320" w:right="720" w:hanging="320"/>
        <w:spacing w:after="0" w:line="258" w:lineRule="auto"/>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79" w:lineRule="exact"/>
        <w:rPr>
          <w:rFonts w:ascii="Arial" w:cs="Arial" w:eastAsia="Arial" w:hAnsi="Arial"/>
          <w:sz w:val="17"/>
          <w:szCs w:val="17"/>
          <w:color w:val="auto"/>
        </w:rPr>
      </w:pPr>
    </w:p>
    <w:p>
      <w:pPr>
        <w:ind w:left="640" w:hanging="315"/>
        <w:spacing w:after="0" w:line="259" w:lineRule="auto"/>
        <w:tabs>
          <w:tab w:leader="none" w:pos="6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6"/>
          <w:szCs w:val="16"/>
          <w:color w:val="auto"/>
        </w:rPr>
      </w:pPr>
    </w:p>
    <w:p>
      <w:pPr>
        <w:ind w:left="640" w:right="160" w:hanging="315"/>
        <w:spacing w:after="0" w:line="224" w:lineRule="auto"/>
        <w:tabs>
          <w:tab w:leader="none" w:pos="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8"/>
          <w:szCs w:val="18"/>
          <w:color w:val="auto"/>
        </w:rPr>
      </w:pPr>
    </w:p>
    <w:p>
      <w:pPr>
        <w:ind w:left="640" w:right="320" w:hanging="315"/>
        <w:spacing w:after="0" w:line="219" w:lineRule="auto"/>
        <w:tabs>
          <w:tab w:leader="none" w:pos="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left="320" w:right="420" w:hanging="320"/>
        <w:spacing w:after="0" w:line="224"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8"/>
          <w:szCs w:val="18"/>
          <w:color w:val="auto"/>
        </w:rPr>
      </w:pPr>
    </w:p>
    <w:p>
      <w:pPr>
        <w:ind w:left="640" w:right="80" w:hanging="315"/>
        <w:spacing w:after="0" w:line="224" w:lineRule="auto"/>
        <w:tabs>
          <w:tab w:leader="none" w:pos="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8"/>
          <w:szCs w:val="18"/>
          <w:color w:val="auto"/>
        </w:rPr>
      </w:pPr>
    </w:p>
    <w:p>
      <w:pPr>
        <w:ind w:left="640" w:right="460" w:hanging="315"/>
        <w:spacing w:after="0" w:line="235" w:lineRule="auto"/>
        <w:tabs>
          <w:tab w:leader="none" w:pos="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640" w:val="left"/>
          <w:tab w:leader="none" w:pos="5100" w:val="left"/>
        </w:tabs>
        <w:rPr>
          <w:sz w:val="20"/>
          <w:szCs w:val="20"/>
          <w:color w:val="auto"/>
        </w:rPr>
      </w:pPr>
      <w:r>
        <w:rPr>
          <w:rFonts w:ascii="Arial" w:cs="Arial" w:eastAsia="Arial" w:hAnsi="Arial"/>
          <w:sz w:val="18"/>
          <w:szCs w:val="18"/>
          <w:color w:val="auto"/>
        </w:rPr>
        <w:t>Date: May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Darrin R. Uecker</w:t>
      </w:r>
    </w:p>
    <w:p>
      <w:pPr>
        <w:ind w:left="5120"/>
        <w:spacing w:after="0" w:line="204" w:lineRule="auto"/>
        <w:rPr>
          <w:sz w:val="20"/>
          <w:szCs w:val="20"/>
          <w:color w:val="auto"/>
        </w:rPr>
      </w:pPr>
      <w:r>
        <w:rPr>
          <w:rFonts w:ascii="Arial" w:cs="Arial" w:eastAsia="Arial" w:hAnsi="Arial"/>
          <w:sz w:val="18"/>
          <w:szCs w:val="18"/>
          <w:color w:val="auto"/>
        </w:rPr>
        <w:t>President and Chief Executive Officer</w:t>
      </w:r>
    </w:p>
    <w:p>
      <w:pPr>
        <w:ind w:left="51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335280</wp:posOffset>
            </wp:positionV>
            <wp:extent cx="605409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131" w:lineRule="exact"/>
        <w:rPr>
          <w:sz w:val="20"/>
          <w:szCs w:val="20"/>
          <w:color w:val="auto"/>
        </w:rPr>
      </w:pPr>
    </w:p>
    <w:p>
      <w:pPr>
        <w:jc w:val="center"/>
        <w:spacing w:after="0" w:line="226" w:lineRule="auto"/>
        <w:rPr>
          <w:sz w:val="20"/>
          <w:szCs w:val="20"/>
          <w:color w:val="auto"/>
        </w:rPr>
      </w:pPr>
      <w:r>
        <w:rPr>
          <w:rFonts w:ascii="Arial" w:cs="Arial" w:eastAsia="Arial" w:hAnsi="Arial"/>
          <w:sz w:val="18"/>
          <w:szCs w:val="18"/>
          <w:b w:val="1"/>
          <w:bCs w:val="1"/>
          <w:color w:val="auto"/>
        </w:rPr>
        <w:t>CERTIFICATION OF CHIEF FINANCIAL OFFICER PURSUANT TO SECURITIES EXCHANGE ACT RULES 13a-14(a) and 15d-14(a), AS ADOPTED 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Brian B. Dow, Chief Financial Officer, certify that:</w:t>
      </w:r>
    </w:p>
    <w:p>
      <w:pPr>
        <w:spacing w:after="0" w:line="117" w:lineRule="exact"/>
        <w:rPr>
          <w:sz w:val="20"/>
          <w:szCs w:val="20"/>
          <w:color w:val="auto"/>
        </w:rPr>
      </w:pPr>
    </w:p>
    <w:p>
      <w:pPr>
        <w:ind w:left="320" w:hanging="320"/>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Pulse Biosciences, Inc.;</w:t>
      </w:r>
    </w:p>
    <w:p>
      <w:pPr>
        <w:spacing w:after="0" w:line="117" w:lineRule="exact"/>
        <w:rPr>
          <w:rFonts w:ascii="Arial" w:cs="Arial" w:eastAsia="Arial" w:hAnsi="Arial"/>
          <w:sz w:val="18"/>
          <w:szCs w:val="18"/>
          <w:color w:val="auto"/>
        </w:rPr>
      </w:pPr>
    </w:p>
    <w:p>
      <w:pPr>
        <w:ind w:left="320" w:right="80" w:hanging="320"/>
        <w:spacing w:after="0" w:line="224" w:lineRule="auto"/>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ind w:left="320" w:right="160" w:hanging="320"/>
        <w:spacing w:after="0" w:line="224" w:lineRule="auto"/>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8"/>
          <w:szCs w:val="18"/>
          <w:color w:val="auto"/>
        </w:rPr>
      </w:pPr>
    </w:p>
    <w:p>
      <w:pPr>
        <w:ind w:left="320" w:right="720" w:hanging="320"/>
        <w:spacing w:after="0" w:line="258" w:lineRule="auto"/>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79" w:lineRule="exact"/>
        <w:rPr>
          <w:rFonts w:ascii="Arial" w:cs="Arial" w:eastAsia="Arial" w:hAnsi="Arial"/>
          <w:sz w:val="17"/>
          <w:szCs w:val="17"/>
          <w:color w:val="auto"/>
        </w:rPr>
      </w:pPr>
    </w:p>
    <w:p>
      <w:pPr>
        <w:ind w:left="640" w:hanging="315"/>
        <w:spacing w:after="0" w:line="259" w:lineRule="auto"/>
        <w:tabs>
          <w:tab w:leader="none" w:pos="6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6"/>
          <w:szCs w:val="16"/>
          <w:color w:val="auto"/>
        </w:rPr>
      </w:pPr>
    </w:p>
    <w:p>
      <w:pPr>
        <w:ind w:left="640" w:right="160" w:hanging="315"/>
        <w:spacing w:after="0" w:line="224" w:lineRule="auto"/>
        <w:tabs>
          <w:tab w:leader="none" w:pos="6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8"/>
          <w:szCs w:val="18"/>
          <w:color w:val="auto"/>
        </w:rPr>
      </w:pPr>
    </w:p>
    <w:p>
      <w:pPr>
        <w:ind w:left="640" w:right="320" w:hanging="315"/>
        <w:spacing w:after="0" w:line="219" w:lineRule="auto"/>
        <w:tabs>
          <w:tab w:leader="none" w:pos="6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left="320" w:right="420" w:hanging="320"/>
        <w:spacing w:after="0" w:line="224" w:lineRule="auto"/>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8"/>
          <w:szCs w:val="18"/>
          <w:color w:val="auto"/>
        </w:rPr>
      </w:pPr>
    </w:p>
    <w:p>
      <w:pPr>
        <w:ind w:left="640" w:right="80" w:hanging="315"/>
        <w:spacing w:after="0" w:line="224" w:lineRule="auto"/>
        <w:tabs>
          <w:tab w:leader="none" w:pos="6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8"/>
          <w:szCs w:val="18"/>
          <w:color w:val="auto"/>
        </w:rPr>
      </w:pPr>
    </w:p>
    <w:p>
      <w:pPr>
        <w:ind w:left="640" w:right="460" w:hanging="315"/>
        <w:spacing w:after="0" w:line="235" w:lineRule="auto"/>
        <w:tabs>
          <w:tab w:leader="none" w:pos="6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640" w:val="left"/>
          <w:tab w:leader="none" w:pos="5100" w:val="left"/>
        </w:tabs>
        <w:rPr>
          <w:sz w:val="20"/>
          <w:szCs w:val="20"/>
          <w:color w:val="auto"/>
        </w:rPr>
      </w:pPr>
      <w:r>
        <w:rPr>
          <w:rFonts w:ascii="Arial" w:cs="Arial" w:eastAsia="Arial" w:hAnsi="Arial"/>
          <w:sz w:val="18"/>
          <w:szCs w:val="18"/>
          <w:color w:val="auto"/>
        </w:rPr>
        <w:t>Date: May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Brian B.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Brian B. Dow</w:t>
      </w:r>
    </w:p>
    <w:p>
      <w:pPr>
        <w:ind w:left="5120"/>
        <w:spacing w:after="0" w:line="204" w:lineRule="auto"/>
        <w:rPr>
          <w:sz w:val="20"/>
          <w:szCs w:val="20"/>
          <w:color w:val="auto"/>
        </w:rPr>
      </w:pPr>
      <w:r>
        <w:rPr>
          <w:rFonts w:ascii="Arial" w:cs="Arial" w:eastAsia="Arial" w:hAnsi="Arial"/>
          <w:sz w:val="18"/>
          <w:szCs w:val="18"/>
          <w:color w:val="auto"/>
        </w:rPr>
        <w:t>Senior Vice President and Chief Financial Officer</w:t>
      </w:r>
    </w:p>
    <w:p>
      <w:pPr>
        <w:ind w:left="51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335280</wp:posOffset>
            </wp:positionV>
            <wp:extent cx="605409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ind w:left="2460"/>
        <w:spacing w:after="0" w:line="203" w:lineRule="auto"/>
        <w:rPr>
          <w:sz w:val="20"/>
          <w:szCs w:val="20"/>
          <w:color w:val="auto"/>
        </w:rPr>
      </w:pPr>
      <w:r>
        <w:rPr>
          <w:rFonts w:ascii="Arial" w:cs="Arial" w:eastAsia="Arial" w:hAnsi="Arial"/>
          <w:sz w:val="18"/>
          <w:szCs w:val="18"/>
          <w:b w:val="1"/>
          <w:bCs w:val="1"/>
          <w:color w:val="auto"/>
        </w:rPr>
        <w:t>18 U.S.C. SECTION 1350, AS ADOPTED PURSUANT TO</w:t>
      </w:r>
    </w:p>
    <w:p>
      <w:pPr>
        <w:ind w:left="24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9" w:lineRule="exact"/>
        <w:rPr>
          <w:sz w:val="20"/>
          <w:szCs w:val="20"/>
          <w:color w:val="auto"/>
        </w:rPr>
      </w:pPr>
    </w:p>
    <w:p>
      <w:pPr>
        <w:ind w:right="220" w:firstLine="441"/>
        <w:spacing w:after="0" w:line="219" w:lineRule="auto"/>
        <w:rPr>
          <w:sz w:val="20"/>
          <w:szCs w:val="20"/>
          <w:color w:val="auto"/>
        </w:rPr>
      </w:pPr>
      <w:r>
        <w:rPr>
          <w:rFonts w:ascii="Arial" w:cs="Arial" w:eastAsia="Arial" w:hAnsi="Arial"/>
          <w:sz w:val="18"/>
          <w:szCs w:val="18"/>
          <w:color w:val="auto"/>
        </w:rPr>
        <w:t>In connection with the Quarterly Report of Pulse Biosciences, Inc. (the “Company”) on Form 10-Q for the period ended March 31, 2018 as filed with the Securities and Exchange Commission on the date hereof (the “Report”), each of the undersigned certify, pursuant to 18 U.S.C. Section 1350, as adopted pursuant to Section 906 of the Sarbanes-Oxley Act of 2002, that to the best of his knowledge:</w:t>
      </w:r>
    </w:p>
    <w:p>
      <w:pPr>
        <w:spacing w:after="0" w:line="41" w:lineRule="exact"/>
        <w:rPr>
          <w:sz w:val="20"/>
          <w:szCs w:val="20"/>
          <w:color w:val="auto"/>
        </w:rPr>
      </w:pPr>
    </w:p>
    <w:p>
      <w:pPr>
        <w:ind w:left="840" w:hanging="399"/>
        <w:spacing w:after="0"/>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7" w:lineRule="exact"/>
        <w:rPr>
          <w:rFonts w:ascii="Arial" w:cs="Arial" w:eastAsia="Arial" w:hAnsi="Arial"/>
          <w:sz w:val="16"/>
          <w:szCs w:val="16"/>
          <w:color w:val="auto"/>
        </w:rPr>
      </w:pPr>
    </w:p>
    <w:p>
      <w:pPr>
        <w:ind w:right="220" w:firstLine="441"/>
        <w:spacing w:after="0" w:line="235" w:lineRule="auto"/>
        <w:tabs>
          <w:tab w:leader="none" w:pos="8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auto"/>
        </w:rPr>
        <w:t>Date: May 8, 2018</w:t>
      </w:r>
      <w:r>
        <w:rPr>
          <w:sz w:val="20"/>
          <w:szCs w:val="20"/>
          <w:color w:val="auto"/>
        </w:rPr>
        <w:tab/>
      </w:r>
      <w:r>
        <w:rPr>
          <w:rFonts w:ascii="Arial" w:cs="Arial" w:eastAsia="Arial" w:hAnsi="Arial"/>
          <w:sz w:val="16"/>
          <w:szCs w:val="16"/>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Darrin R. Uecker</w:t>
      </w:r>
    </w:p>
    <w:p>
      <w:pPr>
        <w:ind w:left="5120"/>
        <w:spacing w:after="0" w:line="204" w:lineRule="auto"/>
        <w:rPr>
          <w:sz w:val="20"/>
          <w:szCs w:val="20"/>
          <w:color w:val="auto"/>
        </w:rPr>
      </w:pPr>
      <w:r>
        <w:rPr>
          <w:rFonts w:ascii="Arial" w:cs="Arial" w:eastAsia="Arial" w:hAnsi="Arial"/>
          <w:sz w:val="18"/>
          <w:szCs w:val="18"/>
          <w:color w:val="auto"/>
        </w:rPr>
        <w:t>President and Chief Executive Officer</w:t>
      </w:r>
    </w:p>
    <w:p>
      <w:pPr>
        <w:ind w:left="5120"/>
        <w:spacing w:after="0"/>
        <w:rPr>
          <w:sz w:val="20"/>
          <w:szCs w:val="20"/>
          <w:color w:val="auto"/>
        </w:rPr>
      </w:pPr>
      <w:r>
        <w:rPr>
          <w:rFonts w:ascii="Arial" w:cs="Arial" w:eastAsia="Arial" w:hAnsi="Arial"/>
          <w:sz w:val="18"/>
          <w:szCs w:val="18"/>
          <w:color w:val="auto"/>
        </w:rPr>
        <w:t>(Principal Executive Officer)</w:t>
      </w:r>
    </w:p>
    <w:p>
      <w:pPr>
        <w:spacing w:after="0" w:line="14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Brian B.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Brian B. Dow</w:t>
      </w:r>
    </w:p>
    <w:p>
      <w:pPr>
        <w:ind w:left="5120"/>
        <w:spacing w:after="0" w:line="204" w:lineRule="auto"/>
        <w:rPr>
          <w:sz w:val="20"/>
          <w:szCs w:val="20"/>
          <w:color w:val="auto"/>
        </w:rPr>
      </w:pPr>
      <w:r>
        <w:rPr>
          <w:rFonts w:ascii="Arial" w:cs="Arial" w:eastAsia="Arial" w:hAnsi="Arial"/>
          <w:sz w:val="18"/>
          <w:szCs w:val="18"/>
          <w:color w:val="auto"/>
        </w:rPr>
        <w:t>Senior Vice President and Chief Financial Officer</w:t>
      </w:r>
    </w:p>
    <w:p>
      <w:pPr>
        <w:ind w:left="5120"/>
        <w:spacing w:after="0"/>
        <w:rPr>
          <w:sz w:val="20"/>
          <w:szCs w:val="20"/>
          <w:color w:val="auto"/>
        </w:rPr>
      </w:pPr>
      <w:r>
        <w:rPr>
          <w:rFonts w:ascii="Arial" w:cs="Arial" w:eastAsia="Arial" w:hAnsi="Arial"/>
          <w:sz w:val="18"/>
          <w:szCs w:val="18"/>
          <w:color w:val="auto"/>
        </w:rPr>
        <w:t>(Principal Financial and Accounting Officer)</w:t>
      </w:r>
    </w:p>
    <w:p>
      <w:pPr>
        <w:spacing w:after="0" w:line="344" w:lineRule="exact"/>
        <w:rPr>
          <w:sz w:val="20"/>
          <w:szCs w:val="20"/>
          <w:color w:val="auto"/>
        </w:rPr>
      </w:pPr>
    </w:p>
    <w:p>
      <w:pPr>
        <w:ind w:right="80" w:firstLine="441"/>
        <w:spacing w:after="0" w:line="219" w:lineRule="auto"/>
        <w:rPr>
          <w:sz w:val="20"/>
          <w:szCs w:val="20"/>
          <w:color w:val="auto"/>
        </w:rPr>
      </w:pPr>
      <w:r>
        <w:rPr>
          <w:rFonts w:ascii="Arial" w:cs="Arial" w:eastAsia="Arial" w:hAnsi="Arial"/>
          <w:sz w:val="18"/>
          <w:szCs w:val="18"/>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331470</wp:posOffset>
            </wp:positionV>
            <wp:extent cx="605409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sectPr>
      <w:pgSz w:w="11900" w:h="16838" w:orient="portrait"/>
      <w:cols w:equalWidth="0" w:num="1">
        <w:col w:w="9460"/>
      </w:cols>
      <w:pgMar w:left="1220" w:top="108"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A"/>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65" Type="http://schemas.openxmlformats.org/officeDocument/2006/relationships/hyperlink" Target="http://www.sec.gov/Archives/edgar/data/1625101/000162510118000008/plse-20180129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2019-12-28T22:21:12Z</dcterms:created>
  <dcterms:modified xsi:type="dcterms:W3CDTF">2019-12-28T22:21:12Z</dcterms:modified>
</cp:coreProperties>
</file>