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se20230828_10q.htm"/>
      <w:bookmarkStart w:id="1" w:name="ksplse20230828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w:t>
      </w:r>
      <w:r>
        <w:rPr>
          <w:rFonts w:ascii="Times New Roman" w:hAnsi="Times New Roman"/>
          <w:caps w:val="false"/>
          <w:smallCaps w:val="false"/>
          <w:sz w:val="24"/>
        </w:rPr>
        <w:t> </w:t>
      </w:r>
      <w:r>
        <w:rPr>
          <w:rFonts w:ascii="Times New Roman" w:hAnsi="Times New Roman"/>
          <w:b/>
          <w:caps w:val="false"/>
          <w:smallCaps w:val="false"/>
          <w:sz w:val="24"/>
        </w:rPr>
        <w:t>AND</w:t>
      </w:r>
      <w:r>
        <w:rPr>
          <w:rFonts w:ascii="Times New Roman" w:hAnsi="Times New Roman"/>
          <w:caps w:val="false"/>
          <w:smallCaps w:val="false"/>
          <w:sz w:val="24"/>
        </w:rPr>
        <w:t> </w:t>
      </w:r>
      <w:r>
        <w:rPr>
          <w:rFonts w:ascii="Times New Roman" w:hAnsi="Times New Roman"/>
          <w:b/>
          <w:caps w:val="false"/>
          <w:smallCaps w:val="false"/>
          <w:sz w:val="24"/>
        </w:rPr>
        <w:t>EXCHANGE</w:t>
      </w:r>
      <w:r>
        <w:rPr>
          <w:rFonts w:ascii="Times New Roman" w:hAnsi="Times New Roman"/>
          <w:caps w:val="false"/>
          <w:smallCaps w:val="false"/>
          <w:sz w:val="24"/>
        </w:rPr>
        <w:t> </w:t>
      </w:r>
      <w:r>
        <w:rPr>
          <w:rFonts w:ascii="Times New Roman" w:hAnsi="Times New Roman"/>
          <w:b/>
          <w:caps w:val="false"/>
          <w:smallCaps w:val="false"/>
          <w:sz w:val="24"/>
        </w:rPr>
        <w:t>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w:t>
      </w:r>
      <w:r>
        <w:rPr>
          <w:rFonts w:ascii="Times New Roman" w:hAnsi="Times New Roman"/>
          <w:caps w:val="false"/>
          <w:smallCaps w:val="false"/>
          <w:sz w:val="20"/>
        </w:rPr>
        <w:t> </w:t>
      </w:r>
      <w:r>
        <w:rPr>
          <w:rFonts w:ascii="Times New Roman" w:hAnsi="Times New Roman"/>
          <w:b/>
          <w:caps w:val="false"/>
          <w:smallCaps w:val="false"/>
          <w:sz w:val="20"/>
        </w:rPr>
        <w:t>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w:t>
      </w:r>
      <w:r>
        <w:rPr>
          <w:rFonts w:ascii="Times New Roman" w:hAnsi="Times New Roman"/>
          <w:caps w:val="false"/>
          <w:smallCaps w:val="false"/>
          <w:sz w:val="28"/>
        </w:rPr>
        <w:t> </w:t>
      </w:r>
      <w:r>
        <w:rPr>
          <w:rFonts w:ascii="Times New Roman" w:hAnsi="Times New Roman"/>
          <w:b/>
          <w:caps w:val="false"/>
          <w:smallCaps w:val="false"/>
          <w:sz w:val="28"/>
        </w:rPr>
        <w:t>10-Q</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xml:space="preserve"> </w:t>
      </w:r>
      <w:r>
        <w:rPr>
          <w:rFonts w:ascii="Times New Roman" w:hAnsi="Times New Roman"/>
          <w:b/>
          <w:caps w:val="false"/>
          <w:smallCaps w:val="false"/>
          <w:sz w:val="20"/>
        </w:rPr>
        <w:t>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001-34899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Pulse</w:t>
      </w:r>
      <w:r>
        <w:rPr>
          <w:rFonts w:ascii="Times New Roman" w:hAnsi="Times New Roman"/>
          <w:caps w:val="false"/>
          <w:smallCaps w:val="false"/>
          <w:sz w:val="36"/>
        </w:rPr>
        <w:t> </w:t>
      </w:r>
      <w:r>
        <w:rPr>
          <w:rFonts w:ascii="Times New Roman" w:hAnsi="Times New Roman"/>
          <w:b/>
          <w:caps w:val="false"/>
          <w:smallCaps w:val="false"/>
          <w:sz w:val="36"/>
        </w:rPr>
        <w:t>Biosciences,</w:t>
      </w:r>
      <w:r>
        <w:rPr>
          <w:rFonts w:ascii="Times New Roman" w:hAnsi="Times New Roman"/>
          <w:caps w:val="false"/>
          <w:smallCaps w:val="false"/>
          <w:sz w:val="36"/>
        </w:rPr>
        <w:t> </w:t>
      </w:r>
      <w:r>
        <w:rPr>
          <w:rFonts w:ascii="Times New Roman" w:hAnsi="Times New Roman"/>
          <w:b/>
          <w:caps w:val="false"/>
          <w:smallCaps w:val="false"/>
          <w:sz w:val="36"/>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46-5696597</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3957 Point Eden Way</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Hayward, CA</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94545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w:t>
      </w:r>
      <w:r>
        <w:rPr>
          <w:rFonts w:ascii="Times New Roman" w:hAnsi="Times New Roman"/>
          <w:b/>
          <w:caps w:val="false"/>
          <w:smallCaps w:val="false"/>
          <w:sz w:val="20"/>
        </w:rPr>
        <w:t>906-4600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665"/>
        <w:gridCol w:w="1535"/>
        <w:gridCol w:w="3575"/>
      </w:tblGrid>
      <w:tr>
        <w:trPr/>
        <w:tc>
          <w:tcPr>
            <w:tcW w:w="366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PLSE</w:t>
            </w:r>
          </w:p>
        </w:tc>
        <w:tc>
          <w:tcPr>
            <w:tcW w:w="35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55"/>
        <w:gridCol w:w="290"/>
        <w:gridCol w:w="236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number of shares outstanding of the registrant’s common stock as of October 31, 2023: 54,991,487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45"/>
        <w:gridCol w:w="560"/>
      </w:tblGrid>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br/>
              <w:t> </w:t>
            </w:r>
            <w:r>
              <w:rPr>
                <w:rFonts w:ascii="Times New Roman" w:hAnsi="Times New Roman"/>
                <w:b/>
                <w:caps w:val="false"/>
                <w:smallCaps w:val="false"/>
                <w:sz w:val="20"/>
              </w:rPr>
              <w:t>No.</w:t>
            </w:r>
          </w:p>
        </w:tc>
      </w:tr>
      <w:tr>
        <w:trPr/>
        <w:tc>
          <w:tcPr>
            <w:tcW w:w="10205" w:type="dxa"/>
            <w:gridSpan w:val="2"/>
            <w:tcBorders/>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rPr>
                <w:t>PART I. FINANCIAL INFORMATION</w:t>
              </w:r>
            </w:hyperlink>
          </w:p>
        </w:tc>
      </w:tr>
      <w:tr>
        <w:trPr/>
        <w:tc>
          <w:tcPr>
            <w:tcW w:w="9645"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Item 1. Financial Statements (unaudited):</w:t>
              </w:r>
            </w:hyperlink>
          </w:p>
        </w:tc>
        <w:tc>
          <w:tcPr>
            <w:tcW w:w="560" w:type="dxa"/>
            <w:tcBorders/>
            <w:vAlign w:val="center"/>
          </w:tcPr>
          <w:p>
            <w:pPr>
              <w:pStyle w:val="TableContents"/>
              <w:bidi w:val="0"/>
              <w:spacing w:before="0" w:after="0"/>
              <w:ind w:left="0" w:right="0" w:hanging="0"/>
              <w:jc w:val="right"/>
              <w:rPr/>
            </w:pPr>
            <w:hyperlink w:anchor="fs">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0"/>
              <w:ind w:left="180" w:right="0" w:hanging="0"/>
              <w:jc w:val="left"/>
              <w:rPr/>
            </w:pPr>
            <w:hyperlink w:anchor="bs">
              <w:r>
                <w:rPr>
                  <w:rStyle w:val="InternetLink"/>
                  <w:rFonts w:ascii="Times New Roman" w:hAnsi="Times New Roman"/>
                  <w:caps w:val="false"/>
                  <w:smallCaps w:val="false"/>
                  <w:sz w:val="20"/>
                </w:rPr>
                <w:t>Condensed Consolidated Balance Sheets as of September 30, 2023 and December 31, 2022</w:t>
              </w:r>
            </w:hyperlink>
          </w:p>
        </w:tc>
        <w:tc>
          <w:tcPr>
            <w:tcW w:w="56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0"/>
              <w:ind w:left="180" w:right="0" w:hanging="0"/>
              <w:jc w:val="left"/>
              <w:rPr/>
            </w:pPr>
            <w:hyperlink w:anchor="income">
              <w:r>
                <w:rPr>
                  <w:rStyle w:val="InternetLink"/>
                  <w:rFonts w:ascii="Times New Roman" w:hAnsi="Times New Roman"/>
                  <w:caps w:val="false"/>
                  <w:smallCaps w:val="false"/>
                  <w:sz w:val="20"/>
                </w:rPr>
                <w:t>Condensed Consolidated Statements of Operations and Comprehensive Loss for the Three- and Nine-Month Periods Ended September 30, 2023 and 2022</w:t>
              </w:r>
            </w:hyperlink>
          </w:p>
        </w:tc>
        <w:tc>
          <w:tcPr>
            <w:tcW w:w="56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9645" w:type="dxa"/>
            <w:tcBorders/>
            <w:vAlign w:val="center"/>
          </w:tcPr>
          <w:p>
            <w:pPr>
              <w:pStyle w:val="TableContents"/>
              <w:bidi w:val="0"/>
              <w:spacing w:before="0" w:after="0"/>
              <w:ind w:left="180" w:right="0" w:hanging="0"/>
              <w:jc w:val="left"/>
              <w:rPr/>
            </w:pPr>
            <w:hyperlink w:anchor="cashflows">
              <w:r>
                <w:rPr>
                  <w:rStyle w:val="InternetLink"/>
                  <w:rFonts w:ascii="Times New Roman" w:hAnsi="Times New Roman"/>
                  <w:caps w:val="false"/>
                  <w:smallCaps w:val="false"/>
                  <w:sz w:val="20"/>
                </w:rPr>
                <w:t>Condensed Consolidated Statements of Cash Flows for the Nine-Month Periods Ended September 30, 2023 and 2022</w:t>
              </w:r>
            </w:hyperlink>
          </w:p>
        </w:tc>
        <w:tc>
          <w:tcPr>
            <w:tcW w:w="56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5</w:t>
              </w:r>
            </w:hyperlink>
          </w:p>
        </w:tc>
      </w:tr>
      <w:tr>
        <w:trPr/>
        <w:tc>
          <w:tcPr>
            <w:tcW w:w="9645" w:type="dxa"/>
            <w:tcBorders/>
            <w:vAlign w:val="center"/>
          </w:tcPr>
          <w:p>
            <w:pPr>
              <w:pStyle w:val="TableContents"/>
              <w:bidi w:val="0"/>
              <w:spacing w:before="0" w:after="0"/>
              <w:ind w:left="200" w:right="0" w:hanging="0"/>
              <w:jc w:val="left"/>
              <w:rPr/>
            </w:pPr>
            <w:hyperlink w:anchor="equity">
              <w:r>
                <w:rPr>
                  <w:rStyle w:val="InternetLink"/>
                  <w:rFonts w:ascii="Times New Roman" w:hAnsi="Times New Roman"/>
                  <w:caps w:val="false"/>
                  <w:smallCaps w:val="false"/>
                  <w:sz w:val="20"/>
                </w:rPr>
                <w:t>Condensed Consolidated Statements of Stockholders’ Equity for the Three- and Nine-Month Periods Ended September 30, 2023 and 2022</w:t>
              </w:r>
            </w:hyperlink>
          </w:p>
        </w:tc>
        <w:tc>
          <w:tcPr>
            <w:tcW w:w="56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9645" w:type="dxa"/>
            <w:tcBorders/>
            <w:vAlign w:val="center"/>
          </w:tcPr>
          <w:p>
            <w:pPr>
              <w:pStyle w:val="TableContents"/>
              <w:bidi w:val="0"/>
              <w:spacing w:before="0" w:after="0"/>
              <w:ind w:left="200" w:right="0" w:hanging="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56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9645"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 Management’s Discussion and Analysis of Financial Condition and Results of Operations</w:t>
              </w:r>
            </w:hyperlink>
          </w:p>
        </w:tc>
        <w:tc>
          <w:tcPr>
            <w:tcW w:w="56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22</w:t>
              </w:r>
            </w:hyperlink>
          </w:p>
        </w:tc>
      </w:tr>
      <w:tr>
        <w:trPr/>
        <w:tc>
          <w:tcPr>
            <w:tcW w:w="9645"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rPr>
                <w:t>Item 3. Quantitative and Qualitative Disclosures About Market Risk</w:t>
              </w:r>
            </w:hyperlink>
          </w:p>
        </w:tc>
        <w:tc>
          <w:tcPr>
            <w:tcW w:w="560" w:type="dxa"/>
            <w:tcBorders/>
            <w:vAlign w:val="center"/>
          </w:tcPr>
          <w:p>
            <w:pPr>
              <w:pStyle w:val="TableContents"/>
              <w:bidi w:val="0"/>
              <w:spacing w:before="0" w:after="0"/>
              <w:ind w:left="0" w:right="0" w:hanging="0"/>
              <w:jc w:val="right"/>
              <w:rPr/>
            </w:pPr>
            <w:hyperlink w:anchor="item3">
              <w:r>
                <w:rPr>
                  <w:rStyle w:val="InternetLink"/>
                  <w:rFonts w:ascii="Times New Roman" w:hAnsi="Times New Roman"/>
                  <w:caps w:val="false"/>
                  <w:smallCaps w:val="false"/>
                  <w:sz w:val="20"/>
                </w:rPr>
                <w:t>32</w:t>
              </w:r>
            </w:hyperlink>
          </w:p>
        </w:tc>
      </w:tr>
      <w:tr>
        <w:trPr/>
        <w:tc>
          <w:tcPr>
            <w:tcW w:w="9645"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rPr>
                <w:t>Item 4. Controls and Procedures</w:t>
              </w:r>
            </w:hyperlink>
          </w:p>
        </w:tc>
        <w:tc>
          <w:tcPr>
            <w:tcW w:w="56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32</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rPr>
                <w:t>PART II. OTHER INFORMATION</w:t>
              </w:r>
            </w:hyperlink>
          </w:p>
        </w:tc>
      </w:tr>
      <w:tr>
        <w:trPr/>
        <w:tc>
          <w:tcPr>
            <w:tcW w:w="964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 Legal Proceedings</w:t>
              </w:r>
            </w:hyperlink>
          </w:p>
        </w:tc>
        <w:tc>
          <w:tcPr>
            <w:tcW w:w="56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33</w:t>
              </w:r>
            </w:hyperlink>
          </w:p>
        </w:tc>
      </w:tr>
      <w:tr>
        <w:trPr/>
        <w:tc>
          <w:tcPr>
            <w:tcW w:w="9645"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 Risk Factors</w:t>
              </w:r>
            </w:hyperlink>
          </w:p>
        </w:tc>
        <w:tc>
          <w:tcPr>
            <w:tcW w:w="56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33</w:t>
              </w:r>
            </w:hyperlink>
          </w:p>
        </w:tc>
      </w:tr>
      <w:tr>
        <w:trPr/>
        <w:tc>
          <w:tcPr>
            <w:tcW w:w="9645"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Item 2. Unregistered Sales of Equity Securities and Use of Proceeds</w:t>
              </w:r>
            </w:hyperlink>
          </w:p>
        </w:tc>
        <w:tc>
          <w:tcPr>
            <w:tcW w:w="56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default">
              <w:r>
                <w:rPr>
                  <w:rStyle w:val="InternetLink"/>
                  <w:rFonts w:ascii="Times New Roman" w:hAnsi="Times New Roman"/>
                  <w:caps w:val="false"/>
                  <w:smallCaps w:val="false"/>
                  <w:sz w:val="20"/>
                </w:rPr>
                <w:t>Item 3. Default Upon Senior Securities</w:t>
              </w:r>
            </w:hyperlink>
          </w:p>
        </w:tc>
        <w:tc>
          <w:tcPr>
            <w:tcW w:w="560" w:type="dxa"/>
            <w:tcBorders/>
            <w:vAlign w:val="center"/>
          </w:tcPr>
          <w:p>
            <w:pPr>
              <w:pStyle w:val="TableContents"/>
              <w:bidi w:val="0"/>
              <w:spacing w:before="0" w:after="0"/>
              <w:ind w:left="0" w:right="0" w:hanging="0"/>
              <w:jc w:val="right"/>
              <w:rPr/>
            </w:pPr>
            <w:hyperlink w:anchor="default">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 Mine Safety Disclosures</w:t>
              </w:r>
            </w:hyperlink>
          </w:p>
        </w:tc>
        <w:tc>
          <w:tcPr>
            <w:tcW w:w="56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 Other Information</w:t>
              </w:r>
            </w:hyperlink>
          </w:p>
        </w:tc>
        <w:tc>
          <w:tcPr>
            <w:tcW w:w="56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 Exhibits</w:t>
              </w:r>
            </w:hyperlink>
          </w:p>
        </w:tc>
        <w:tc>
          <w:tcPr>
            <w:tcW w:w="56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56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63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nsPFA, CellFX nsPFA,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expressly indicated or the context requires otherwise, the terms “Pulse,” “Company,” “we,” “us,” and “our,” in this document refer to Pulse Biosciences, Inc., a Delaware corporation, and, where appropriate, its wholly owned subsidiaries.</w:t>
      </w:r>
    </w:p>
    <w:p>
      <w:pPr>
        <w:pStyle w:val="TextBody"/>
        <w:bidi w:val="0"/>
        <w:spacing w:before="0" w:after="283"/>
        <w:jc w:val="left"/>
        <w:rPr/>
      </w:pPr>
      <w:r>
        <w:rPr/>
        <w:t xml:space="preserv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s"/>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87"/>
        <w:gridCol w:w="60"/>
        <w:gridCol w:w="145"/>
        <w:gridCol w:w="885"/>
        <w:gridCol w:w="80"/>
        <w:gridCol w:w="60"/>
        <w:gridCol w:w="142"/>
        <w:gridCol w:w="862"/>
        <w:gridCol w:w="84"/>
      </w:tblGrid>
      <w:tr>
        <w:trPr/>
        <w:tc>
          <w:tcPr>
            <w:tcW w:w="7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61,139</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62,147</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1,961</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2,551</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8,062</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77,877</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1,573</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2,595</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Lease liability, current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Related party note payable, current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917</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5,981</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less current portion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Related party note payable, less current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65,000</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80,125</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8)</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$0.001 par value; authorized – 50,000 shares; no shares issued and outstanding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 authorized – 500,000 shares; issued and outstanding – 54,991 shares and 37,235 shares at September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8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292,420</w:t>
            </w:r>
          </w:p>
        </w:tc>
        <w:tc>
          <w:tcPr>
            <w:tcW w:w="84"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88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(324,982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(294,705</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8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(2,248</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8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77,877</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income"/>
      <w:bookmarkEnd w:id="6"/>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21"/>
        <w:gridCol w:w="60"/>
        <w:gridCol w:w="183"/>
        <w:gridCol w:w="954"/>
        <w:gridCol w:w="116"/>
        <w:gridCol w:w="87"/>
        <w:gridCol w:w="183"/>
        <w:gridCol w:w="954"/>
        <w:gridCol w:w="80"/>
        <w:gridCol w:w="60"/>
        <w:gridCol w:w="179"/>
        <w:gridCol w:w="932"/>
        <w:gridCol w:w="114"/>
        <w:gridCol w:w="85"/>
        <w:gridCol w:w="179"/>
        <w:gridCol w:w="932"/>
        <w:gridCol w:w="86"/>
      </w:tblGrid>
      <w:tr>
        <w:trPr/>
        <w:tc>
          <w:tcPr>
            <w:tcW w:w="5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1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10,653</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7,472</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19,998</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16,744</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11,251</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3,780</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11,043</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11,373</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11,252</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31,041</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50,021</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(11,252</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(31,041</w:t>
            </w:r>
          </w:p>
        </w:tc>
        <w:tc>
          <w:tcPr>
            <w:tcW w:w="1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(49,312</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(expense), net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(10,566</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(30,277</w:t>
            </w:r>
          </w:p>
        </w:tc>
        <w:tc>
          <w:tcPr>
            <w:tcW w:w="1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2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(10,566</w:t>
            </w:r>
          </w:p>
        </w:tc>
        <w:tc>
          <w:tcPr>
            <w:tcW w:w="11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(30,277</w:t>
            </w:r>
          </w:p>
        </w:tc>
        <w:tc>
          <w:tcPr>
            <w:tcW w:w="11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gain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0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Unrealized gain (loss) on available-for-sale securities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(10,566</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(30,277</w:t>
            </w:r>
          </w:p>
        </w:tc>
        <w:tc>
          <w:tcPr>
            <w:tcW w:w="11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(49,308</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0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1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(0.66</w:t>
            </w:r>
          </w:p>
        </w:tc>
        <w:tc>
          <w:tcPr>
            <w:tcW w:w="11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2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54,923</w:t>
            </w:r>
          </w:p>
        </w:tc>
        <w:tc>
          <w:tcPr>
            <w:tcW w:w="116"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45,672</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32,825</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cashflows"/>
      <w:bookmarkEnd w:id="7"/>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1"/>
        <w:gridCol w:w="60"/>
        <w:gridCol w:w="210"/>
        <w:gridCol w:w="1098"/>
        <w:gridCol w:w="134"/>
        <w:gridCol w:w="101"/>
        <w:gridCol w:w="210"/>
        <w:gridCol w:w="1098"/>
        <w:gridCol w:w="83"/>
      </w:tblGrid>
      <w:tr>
        <w:trPr/>
        <w:tc>
          <w:tcPr>
            <w:tcW w:w="72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(30,277</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(49,308</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3,837</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4,443</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Write-off of excessive and obsolete inventory</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7,371</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pPr>
            <w:r>
              <w:rPr/>
              <w:t>—</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pPr>
            <w:r>
              <w:rPr/>
              <w:t>—</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(2,297</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pPr>
            <w:r>
              <w:rPr/>
              <w:t>—</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w:t>
            </w:r>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Accrued interest on related party note payable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Accrued interest on note payable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54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(26,259</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(39,048</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1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CCEEFF" w:val="clear"/>
            <w:vAlign w:val="center"/>
          </w:tcPr>
          <w:p>
            <w:pPr>
              <w:pStyle w:val="TableContents"/>
              <w:bidi w:val="0"/>
              <w:spacing w:before="0" w:after="0"/>
              <w:ind w:left="54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14,893</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Proceeds from exercises of warrants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14,828</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exercises of stock options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367</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issuance of related party note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65,000</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Payments made on insurance loan agreement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pPr>
            <w:r>
              <w:rPr/>
              <w:t>—</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Issuance cost in relation to related party note extinguishment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15,584</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79,956</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(10,753</w:t>
            </w:r>
          </w:p>
        </w:tc>
        <w:tc>
          <w:tcPr>
            <w:tcW w:w="1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40,548</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61,139</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28,614</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50,386</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69,162</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21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540" w:right="0" w:hanging="360"/>
              <w:jc w:val="left"/>
              <w:rPr>
                <w:rFonts w:ascii="Times New Roman" w:hAnsi="Times New Roman"/>
                <w:caps w:val="false"/>
                <w:smallCaps w:val="false"/>
                <w:sz w:val="20"/>
              </w:rPr>
            </w:pPr>
            <w:r>
              <w:rPr>
                <w:rFonts w:ascii="Times New Roman" w:hAnsi="Times New Roman"/>
                <w:caps w:val="false"/>
                <w:smallCaps w:val="false"/>
                <w:sz w:val="20"/>
              </w:rPr>
              <w:t>Equipment purchases included in accounts payable and accrued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21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Principal and accrued interest of related party note settled via issuance of common stock</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65,249</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21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costs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center"/>
          </w:tcPr>
          <w:p>
            <w:pPr>
              <w:pStyle w:val="TableContents"/>
              <w:bidi w:val="0"/>
              <w:spacing w:before="0" w:after="283"/>
              <w:jc w:val="right"/>
              <w:rPr/>
            </w:pPr>
            <w:r>
              <w:rPr/>
              <w:t>—</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(Deficit)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38"/>
        <w:gridCol w:w="60"/>
        <w:gridCol w:w="63"/>
        <w:gridCol w:w="623"/>
        <w:gridCol w:w="63"/>
        <w:gridCol w:w="63"/>
        <w:gridCol w:w="220"/>
        <w:gridCol w:w="460"/>
        <w:gridCol w:w="60"/>
        <w:gridCol w:w="60"/>
        <w:gridCol w:w="140"/>
        <w:gridCol w:w="780"/>
        <w:gridCol w:w="60"/>
        <w:gridCol w:w="60"/>
        <w:gridCol w:w="527"/>
        <w:gridCol w:w="941"/>
        <w:gridCol w:w="60"/>
        <w:gridCol w:w="60"/>
        <w:gridCol w:w="158"/>
        <w:gridCol w:w="957"/>
        <w:gridCol w:w="80"/>
        <w:gridCol w:w="60"/>
        <w:gridCol w:w="181"/>
        <w:gridCol w:w="949"/>
        <w:gridCol w:w="82"/>
      </w:tblGrid>
      <w:tr>
        <w:trPr/>
        <w:tc>
          <w:tcPr>
            <w:tcW w:w="3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2" w:type="dxa"/>
            <w:tcBorders/>
            <w:shd w:fill="FFFFFF" w:val="clear"/>
            <w:vAlign w:val="center"/>
          </w:tcPr>
          <w:p>
            <w:pPr>
              <w:pStyle w:val="TableContents"/>
              <w:bidi w:val="0"/>
              <w:spacing w:before="0" w:after="283"/>
              <w:jc w:val="left"/>
              <w:rPr/>
            </w:pPr>
            <w:r>
              <w:rPr/>
              <w:t> </w:t>
            </w:r>
          </w:p>
        </w:tc>
      </w:tr>
      <w:tr>
        <w:trPr/>
        <w:tc>
          <w:tcPr>
            <w:tcW w:w="3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2" w:type="dxa"/>
            <w:tcBorders/>
            <w:shd w:fill="FFFFFF" w:val="clear"/>
            <w:vAlign w:val="center"/>
          </w:tcPr>
          <w:p>
            <w:pPr>
              <w:pStyle w:val="TableContents"/>
              <w:bidi w:val="0"/>
              <w:spacing w:before="0" w:after="283"/>
              <w:jc w:val="left"/>
              <w:rPr/>
            </w:pPr>
            <w:r>
              <w:rPr/>
              <w:t> </w:t>
            </w:r>
          </w:p>
        </w:tc>
      </w:tr>
      <w:tr>
        <w:trPr/>
        <w:tc>
          <w:tcPr>
            <w:tcW w:w="34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2" w:type="dxa"/>
            <w:tcBorders/>
            <w:shd w:fill="FFFFFF" w:val="clear"/>
            <w:vAlign w:val="center"/>
          </w:tcPr>
          <w:p>
            <w:pPr>
              <w:pStyle w:val="TableContents"/>
              <w:bidi w:val="0"/>
              <w:spacing w:before="0" w:after="283"/>
              <w:jc w:val="left"/>
              <w:rPr/>
            </w:pPr>
            <w:r>
              <w:rPr/>
              <w:t> </w:t>
            </w:r>
          </w:p>
        </w:tc>
      </w:tr>
      <w:tr>
        <w:trPr/>
        <w:tc>
          <w:tcPr>
            <w:tcW w:w="34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June 30, 2023</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54,771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374,861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(314,416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60,500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438"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3438"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438"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Warrant exercise, issuance cost adjustment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3438"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438"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(10,566</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3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September 30, 2023</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54,991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(324,982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52,145</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1"/>
        <w:gridCol w:w="60"/>
        <w:gridCol w:w="62"/>
        <w:gridCol w:w="612"/>
        <w:gridCol w:w="62"/>
        <w:gridCol w:w="62"/>
        <w:gridCol w:w="220"/>
        <w:gridCol w:w="460"/>
        <w:gridCol w:w="60"/>
        <w:gridCol w:w="60"/>
        <w:gridCol w:w="140"/>
        <w:gridCol w:w="780"/>
        <w:gridCol w:w="60"/>
        <w:gridCol w:w="60"/>
        <w:gridCol w:w="527"/>
        <w:gridCol w:w="884"/>
        <w:gridCol w:w="60"/>
        <w:gridCol w:w="60"/>
        <w:gridCol w:w="158"/>
        <w:gridCol w:w="957"/>
        <w:gridCol w:w="80"/>
        <w:gridCol w:w="60"/>
        <w:gridCol w:w="187"/>
        <w:gridCol w:w="980"/>
        <w:gridCol w:w="83"/>
      </w:tblGrid>
      <w:tr>
        <w:trPr/>
        <w:tc>
          <w:tcPr>
            <w:tcW w:w="34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 (Deficit)</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3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December 31, 2022</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37,235</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292,420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(294,705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(2,248</w:t>
            </w:r>
          </w:p>
        </w:tc>
        <w:tc>
          <w:tcPr>
            <w:tcW w:w="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as part of debt extinguishment, net of issuance costs of $6</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10,023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65,243</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shares upon exercise of warrants, net of issuance costs of $9</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14,828</w:t>
            </w:r>
          </w:p>
        </w:tc>
        <w:tc>
          <w:tcPr>
            <w:tcW w:w="83" w:type="dxa"/>
            <w:tcBorders/>
            <w:shd w:fill="CCEEFF" w:val="cle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shares under employee stock purchase plan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367</w:t>
            </w:r>
          </w:p>
        </w:tc>
        <w:tc>
          <w:tcPr>
            <w:tcW w:w="83" w:type="dxa"/>
            <w:tcBorders/>
            <w:shd w:fill="CCEEFF" w:val="cle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3,837</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(30,277</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September 30, 2023</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54,991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(324,982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52,145</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0"/>
        <w:gridCol w:w="60"/>
        <w:gridCol w:w="63"/>
        <w:gridCol w:w="622"/>
        <w:gridCol w:w="63"/>
        <w:gridCol w:w="63"/>
        <w:gridCol w:w="220"/>
        <w:gridCol w:w="460"/>
        <w:gridCol w:w="60"/>
        <w:gridCol w:w="60"/>
        <w:gridCol w:w="140"/>
        <w:gridCol w:w="780"/>
        <w:gridCol w:w="80"/>
        <w:gridCol w:w="60"/>
        <w:gridCol w:w="527"/>
        <w:gridCol w:w="939"/>
        <w:gridCol w:w="60"/>
        <w:gridCol w:w="60"/>
        <w:gridCol w:w="158"/>
        <w:gridCol w:w="957"/>
        <w:gridCol w:w="80"/>
        <w:gridCol w:w="60"/>
        <w:gridCol w:w="181"/>
        <w:gridCol w:w="949"/>
        <w:gridCol w:w="83"/>
      </w:tblGrid>
      <w:tr>
        <w:trPr/>
        <w:tc>
          <w:tcPr>
            <w:tcW w:w="3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3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2022</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37,126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290,847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(267,469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23,415</w:t>
            </w:r>
          </w:p>
        </w:tc>
        <w:tc>
          <w:tcPr>
            <w:tcW w:w="83" w:type="dxa"/>
            <w:tcBorders/>
            <w:shd w:fill="CCEEFF" w:val="cle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113</w:t>
            </w:r>
          </w:p>
        </w:tc>
        <w:tc>
          <w:tcPr>
            <w:tcW w:w="83" w:type="dxa"/>
            <w:tcBorders/>
            <w:shd w:fill="FFFFFF" w:val="clear"/>
            <w:vAlign w:val="center"/>
          </w:tcPr>
          <w:p>
            <w:pPr>
              <w:pStyle w:val="TableContents"/>
              <w:bidi w:val="0"/>
              <w:spacing w:before="0" w:after="283"/>
              <w:jc w:val="left"/>
              <w:rPr/>
            </w:pPr>
            <w:r>
              <w:rPr/>
              <w:t> </w:t>
            </w:r>
          </w:p>
        </w:tc>
      </w:tr>
      <w:tr>
        <w:trPr/>
        <w:tc>
          <w:tcPr>
            <w:tcW w:w="342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pursuant to warrant exercise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3" w:type="dxa"/>
            <w:tcBorders/>
            <w:shd w:fill="CCEEFF" w:val="cle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Rights offering, additional issuance costs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22"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83" w:type="dxa"/>
            <w:tcBorders/>
            <w:shd w:fill="CCEEFF" w:val="clear"/>
            <w:vAlign w:val="center"/>
          </w:tcPr>
          <w:p>
            <w:pPr>
              <w:pStyle w:val="TableContents"/>
              <w:bidi w:val="0"/>
              <w:spacing w:before="0" w:after="283"/>
              <w:jc w:val="left"/>
              <w:rPr/>
            </w:pPr>
            <w:r>
              <w:rPr/>
              <w:t> </w:t>
            </w:r>
          </w:p>
        </w:tc>
      </w:tr>
      <w:tr>
        <w:trPr/>
        <w:tc>
          <w:tcPr>
            <w:tcW w:w="342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(18,039</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September 30, 2022</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37,228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6,189</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0"/>
        <w:gridCol w:w="60"/>
        <w:gridCol w:w="62"/>
        <w:gridCol w:w="621"/>
        <w:gridCol w:w="62"/>
        <w:gridCol w:w="62"/>
        <w:gridCol w:w="220"/>
        <w:gridCol w:w="460"/>
        <w:gridCol w:w="60"/>
        <w:gridCol w:w="60"/>
        <w:gridCol w:w="140"/>
        <w:gridCol w:w="780"/>
        <w:gridCol w:w="60"/>
        <w:gridCol w:w="60"/>
        <w:gridCol w:w="527"/>
        <w:gridCol w:w="932"/>
        <w:gridCol w:w="60"/>
        <w:gridCol w:w="60"/>
        <w:gridCol w:w="158"/>
        <w:gridCol w:w="957"/>
        <w:gridCol w:w="80"/>
        <w:gridCol w:w="60"/>
        <w:gridCol w:w="181"/>
        <w:gridCol w:w="947"/>
        <w:gridCol w:w="86"/>
      </w:tblGrid>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2021</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29,716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35,690</w:t>
            </w:r>
          </w:p>
        </w:tc>
        <w:tc>
          <w:tcPr>
            <w:tcW w:w="86" w:type="dxa"/>
            <w:tcBorders/>
            <w:shd w:fill="CCEE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shares in Rights Offering, net of issuance costs of $136</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14,864</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486</w:t>
            </w:r>
          </w:p>
        </w:tc>
        <w:tc>
          <w:tcPr>
            <w:tcW w:w="86" w:type="dxa"/>
            <w:tcBorders/>
            <w:shd w:fill="CCEE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pursuant to warrant exercise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4,443</w:t>
            </w:r>
          </w:p>
        </w:tc>
        <w:tc>
          <w:tcPr>
            <w:tcW w:w="86" w:type="dxa"/>
            <w:tcBorders/>
            <w:shd w:fill="CCEE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September 30, 2022</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37,228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6,189</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Pulse Biosciences, Inc. is a novel bioelectric medicine company committed to health innovation using its patented Nano-pulse Stimulation (“NPS”) technology, a revolutionary energy modality that delivers nanosecond-duration pulses of electrical energy, each less than a millionth of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long, to non-thermally clear targeted cells while sparing adjacent noncellular tissue. NPS technology, also referred to as a Nanosecond Pulsed 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to focus its efforts on the use of CellFX nsPFA applicators and the CellFX platform in the treatment of atrial fibrillation (“AF”).</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was incorporated in Nevada on </w:t>
      </w:r>
      <w:r>
        <w:rPr>
          <w:rStyle w:val="Emphasis"/>
          <w:rFonts w:ascii="Times New Roman" w:hAnsi="Times New Roman"/>
          <w:caps w:val="false"/>
          <w:smallCaps w:val="false"/>
          <w:sz w:val="20"/>
        </w:rPr>
        <w:t xml:space="preserve">May 19,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18, 2018, </w:t>
      </w:r>
      <w:r>
        <w:rPr>
          <w:rFonts w:ascii="Times New Roman" w:hAnsi="Times New Roman"/>
          <w:caps w:val="false"/>
          <w:smallCaps w:val="false"/>
          <w:sz w:val="20"/>
        </w:rPr>
        <w:t>the Company reincorporated from the State of Nevada to the State of Delaware. The Company is located in Hayward, California. The Company maintains a website at www.pulsebiosciences.com where general information about the Company is available.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activities are subject to significant risks and uncertainties, including the need for additional capital.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material cash flows from operations. It has had minimal revenue and currently generates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revenue and will need to raise additional capital to finance its operations. However,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the Company will be able to obtain additional financing on acceptable terms and in the amounts necessary to fully fund its operating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accompanying unaudited condensed consolidated financial statements have been prepared on a basis consistent with the Company’s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xml:space="preserve">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xml:space="preserve"> was derived from the audited consolidated financial statements as of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to be expected for the entire year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include the financial statements of Pulse Biosciences, Inc. and its wholly-owned subsidiaries. Intercompany balances and transactions, if any,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valuation of cash equivalents, the valuation and recognition of share-based compensation,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significant accounting policies are described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continually evaluates the accounting policies and estimates used in preparing the consolidated financial statements.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issued stock options to certain employees which contain market conditions related to overall market capitalization. Additionally, the Company has issued stock options to certain employees which contain performance conditions related to certain financial measures and achievements of strategic/operational milestones.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stock-based compensation programs include stock options and an employee stock purchase program. The Company accounts for stock-based compensation using the fair value method.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compensation expense until it is probable that the performance-based vesting condition will be achieved. The analysis to determine such probability involves estimates and judgements from management and the estimate of expense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revised periodically. </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also issued certain stock options with market-based vesting conditions. These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in the option-pricing model represent management’s best estimates. If factors change and different assumptions are used, the Company's stock-based compensation expense could be materially different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See Note </w:t>
      </w:r>
      <w:r>
        <w:rPr>
          <w:rStyle w:val="Emphasis"/>
          <w:rFonts w:ascii="Times New Roman" w:hAnsi="Times New Roman"/>
          <w:caps w:val="false"/>
          <w:smallCaps w:val="false"/>
          <w:sz w:val="20"/>
        </w:rPr>
        <w:t>6</w:t>
      </w:r>
      <w:r>
        <w:rPr>
          <w:rFonts w:ascii="Times New Roman" w:hAnsi="Times New Roman"/>
          <w:caps w:val="false"/>
          <w:smallCaps w:val="false"/>
          <w:sz w:val="20"/>
        </w:rPr>
        <w:t> for a detailed discussion of the Company’s stock plans and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Valuation of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Inventory is stated at lower of cost or net realizable value. The Company establishes the inventory basis by determining the cost based on standard costs approximating the purchase costs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the inventory balance was fully written off due to excessive and obsolete inventory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plan to capitalize further inventory in relation to the dermatology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recognized revenue at a point in time when it satisfied performance obligations by transferring control of promised goods to its customers. The amount of revenue recognized was equal to the consideration which the Company was entitled to in exchange for the promised goods, excluding any amounts assessed by government authorities for taxes which might have been collected from a customer. Sales contracts often involved the sale and delivery of multiple products, each of which typically represented a separate performance obligation in the contract. While the Company has sold these products on a stand-alone basis at their respective stand-alone selling prices (“SSP”), initial customer contracts primarily involved the bundling of products which were delivered concurrently to the customer. In such instances, the full consideration of the contract was recognized upon shipment of the products. The Company generally required receipt of full payment prior to shipment, however, from time to time, payment terms were extended to customers upon which the Company performed a necessary credit evaluation to ensure future collectability of the outstanding balance. The accounts receivable balance at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and the Company has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 allowance against the accounts receivable balance. Refer to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provides a standard warranty on eligible products which provides the customer assurances that the products comply with the agreed-upon specifications. The standard warranty does </w:t>
      </w:r>
      <w:r>
        <w:rPr>
          <w:rStyle w:val="Emphasis"/>
          <w:rFonts w:ascii="Times New Roman" w:hAnsi="Times New Roman"/>
          <w:caps w:val="false"/>
          <w:smallCaps w:val="false"/>
          <w:sz w:val="20"/>
        </w:rPr>
        <w:t>not</w:t>
      </w:r>
      <w:r>
        <w:rPr>
          <w:rFonts w:ascii="Times New Roman" w:hAnsi="Times New Roman"/>
          <w:caps w:val="false"/>
          <w:smallCaps w:val="false"/>
          <w:sz w:val="20"/>
        </w:rPr>
        <w:t> provide any services in addition to those assurances. The Company accrued a warranty reserve for products sold based upon the best estimate of the nature, frequency, and costs of future claims. These estimates are inherently uncertain given the short history of sales, and changes to the historical or projected warranty experience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cause material changes to the warranty reserve in the future.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reduced the accrued warranty liability to zero. Based upon the Company's shift in focus, there are a limited number of consoles currently covered under the standard warranty. All inventory has been fully written off, therefore the only incremental costs to fulfill a warranty claim would be shipping costs, which will be immaterial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Warranty accrual activity consisted of the following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nine</w:t>
      </w:r>
      <w:r>
        <w:rPr>
          <w:rFonts w:ascii="Times New Roman" w:hAnsi="Times New Roman"/>
          <w:caps w:val="false"/>
          <w:smallCaps w:val="false"/>
          <w:sz w:val="20"/>
        </w:rPr>
        <w:t>-month periods ended </w:t>
      </w:r>
      <w:r>
        <w:rPr>
          <w:rStyle w:val="Emphasis"/>
          <w:rFonts w:ascii="Times New Roman" w:hAnsi="Times New Roman"/>
          <w:caps w:val="false"/>
          <w:smallCaps w:val="false"/>
          <w:sz w:val="20"/>
        </w:rPr>
        <w:t xml:space="preserve"> 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04"/>
        <w:gridCol w:w="60"/>
        <w:gridCol w:w="377"/>
        <w:gridCol w:w="781"/>
        <w:gridCol w:w="179"/>
        <w:gridCol w:w="179"/>
        <w:gridCol w:w="375"/>
        <w:gridCol w:w="1007"/>
        <w:gridCol w:w="80"/>
        <w:gridCol w:w="60"/>
        <w:gridCol w:w="347"/>
        <w:gridCol w:w="805"/>
        <w:gridCol w:w="221"/>
        <w:gridCol w:w="166"/>
        <w:gridCol w:w="346"/>
        <w:gridCol w:w="930"/>
        <w:gridCol w:w="88"/>
      </w:tblGrid>
      <w:tr>
        <w:trPr/>
        <w:tc>
          <w:tcPr>
            <w:tcW w:w="42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88" w:type="dxa"/>
            <w:tcBorders/>
            <w:shd w:fill="FFFFFF" w:val="clear"/>
            <w:vAlign w:val="center"/>
          </w:tcPr>
          <w:p>
            <w:pPr>
              <w:pStyle w:val="TableContents"/>
              <w:bidi w:val="0"/>
              <w:spacing w:before="0" w:after="283"/>
              <w:jc w:val="left"/>
              <w:rPr/>
            </w:pPr>
            <w:r>
              <w:rPr/>
              <w:t> </w:t>
            </w:r>
          </w:p>
        </w:tc>
      </w:tr>
      <w:tr>
        <w:trPr/>
        <w:tc>
          <w:tcPr>
            <w:tcW w:w="42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3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2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2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8" w:type="dxa"/>
            <w:tcBorders/>
            <w:shd w:fill="FFFFFF" w:val="clear"/>
            <w:vAlign w:val="center"/>
          </w:tcPr>
          <w:p>
            <w:pPr>
              <w:pStyle w:val="TableContents"/>
              <w:bidi w:val="0"/>
              <w:spacing w:before="0" w:after="283"/>
              <w:jc w:val="left"/>
              <w:rPr/>
            </w:pPr>
            <w:r>
              <w:rPr/>
              <w:t> </w:t>
            </w:r>
          </w:p>
        </w:tc>
      </w:tr>
      <w:tr>
        <w:trPr/>
        <w:tc>
          <w:tcPr>
            <w:tcW w:w="420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1" w:type="dxa"/>
            <w:tcBorders/>
            <w:shd w:fill="CCEEFF" w:val="clear"/>
            <w:vAlign w:val="center"/>
          </w:tcPr>
          <w:p>
            <w:pPr>
              <w:pStyle w:val="TableContents"/>
              <w:bidi w:val="0"/>
              <w:spacing w:before="0" w:after="283"/>
              <w:ind w:left="0" w:right="0" w:hanging="0"/>
              <w:jc w:val="right"/>
              <w:rPr/>
            </w:pPr>
            <w:r>
              <w:rPr/>
              <w:t>—</w:t>
            </w:r>
          </w:p>
        </w:tc>
        <w:tc>
          <w:tcPr>
            <w:tcW w:w="17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37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22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3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88" w:type="dxa"/>
            <w:tcBorders/>
            <w:shd w:fill="CCEEFF" w:val="clear"/>
            <w:vAlign w:val="center"/>
          </w:tcPr>
          <w:p>
            <w:pPr>
              <w:pStyle w:val="TableContents"/>
              <w:bidi w:val="0"/>
              <w:spacing w:before="0" w:after="283"/>
              <w:jc w:val="left"/>
              <w:rPr/>
            </w:pPr>
            <w:r>
              <w:rPr/>
              <w:t> </w:t>
            </w:r>
          </w:p>
        </w:tc>
      </w:tr>
      <w:tr>
        <w:trPr/>
        <w:tc>
          <w:tcPr>
            <w:tcW w:w="420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 Accruals for warranties issued during the period</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ind w:left="0" w:right="0" w:hanging="0"/>
              <w:jc w:val="left"/>
              <w:rPr/>
            </w:pPr>
            <w:r>
              <w:rPr/>
              <w:t> </w:t>
            </w:r>
          </w:p>
        </w:tc>
        <w:tc>
          <w:tcPr>
            <w:tcW w:w="781" w:type="dxa"/>
            <w:tcBorders/>
            <w:shd w:fill="FFFFFF" w:val="clear"/>
            <w:vAlign w:val="center"/>
          </w:tcPr>
          <w:p>
            <w:pPr>
              <w:pStyle w:val="TableContents"/>
              <w:bidi w:val="0"/>
              <w:spacing w:before="0" w:after="283"/>
              <w:ind w:left="0" w:right="0" w:hanging="0"/>
              <w:jc w:val="right"/>
              <w:rPr/>
            </w:pPr>
            <w:r>
              <w:rPr/>
              <w:t>—</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805" w:type="dxa"/>
            <w:tcBorders/>
            <w:shd w:fill="FFFFFF" w:val="clear"/>
            <w:vAlign w:val="center"/>
          </w:tcPr>
          <w:p>
            <w:pPr>
              <w:pStyle w:val="TableContents"/>
              <w:bidi w:val="0"/>
              <w:spacing w:before="0" w:after="283"/>
              <w:ind w:left="0" w:right="0" w:hanging="0"/>
              <w:jc w:val="right"/>
              <w:rPr/>
            </w:pPr>
            <w:r>
              <w:rPr/>
              <w:t>—</w:t>
            </w:r>
          </w:p>
        </w:tc>
        <w:tc>
          <w:tcPr>
            <w:tcW w:w="22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88" w:type="dxa"/>
            <w:tcBorders/>
            <w:shd w:fill="FFFFFF" w:val="clear"/>
            <w:vAlign w:val="center"/>
          </w:tcPr>
          <w:p>
            <w:pPr>
              <w:pStyle w:val="TableContents"/>
              <w:bidi w:val="0"/>
              <w:spacing w:before="0" w:after="283"/>
              <w:jc w:val="left"/>
              <w:rPr/>
            </w:pPr>
            <w:r>
              <w:rPr/>
              <w:t> </w:t>
            </w:r>
          </w:p>
        </w:tc>
      </w:tr>
      <w:tr>
        <w:trPr/>
        <w:tc>
          <w:tcPr>
            <w:tcW w:w="420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Adjustment for inventory at cost</w:t>
            </w:r>
          </w:p>
        </w:tc>
        <w:tc>
          <w:tcPr>
            <w:tcW w:w="60" w:type="dxa"/>
            <w:tcBorders/>
            <w:shd w:fill="CCEEFF" w:val="clear"/>
            <w:vAlign w:val="center"/>
          </w:tcPr>
          <w:p>
            <w:pPr>
              <w:pStyle w:val="TableContents"/>
              <w:bidi w:val="0"/>
              <w:spacing w:before="0" w:after="283"/>
              <w:jc w:val="left"/>
              <w:rPr/>
            </w:pPr>
            <w:r>
              <w:rPr/>
              <w:t> </w:t>
            </w:r>
          </w:p>
        </w:tc>
        <w:tc>
          <w:tcPr>
            <w:tcW w:w="3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7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2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66" w:type="dxa"/>
            <w:tcBorders/>
            <w:shd w:fill="CCEEFF" w:val="cle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0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3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3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2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3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8" w:type="dxa"/>
            <w:tcBorders/>
            <w:shd w:fill="FFFFFF" w:val="clear"/>
            <w:vAlign w:val="center"/>
          </w:tcPr>
          <w:p>
            <w:pPr>
              <w:pStyle w:val="TableContents"/>
              <w:bidi w:val="0"/>
              <w:spacing w:before="0" w:after="283"/>
              <w:jc w:val="left"/>
              <w:rPr/>
            </w:pPr>
            <w:r>
              <w:rPr/>
              <w:t> </w:t>
            </w:r>
          </w:p>
        </w:tc>
      </w:tr>
    </w:tbl>
    <w:tbl>
      <w:tblPr>
        <w:tblW w:w="23" w:type="dxa"/>
        <w:jc w:val="left"/>
        <w:tblInd w:w="0" w:type="dxa"/>
        <w:tblLayout w:type="fixed"/>
        <w:tblCellMar>
          <w:top w:w="0" w:type="dxa"/>
          <w:left w:w="0" w:type="dxa"/>
          <w:bottom w:w="0" w:type="dxa"/>
          <w:right w:w="0" w:type="dxa"/>
        </w:tblCellMar>
      </w:tblPr>
      <w:tblGrid>
        <w:gridCol w:w="23"/>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Basic and diluted net loss per common share is the same for all periods presented because all warrants, stock options and restricted stock units outstanding are anti-dilutive.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outstanding stock options, and warrants were excluded from the computation of diluted net loss per share for the periods presented because including them would have had an anti-dilutive effect:</w:t>
      </w:r>
    </w:p>
    <w:p>
      <w:pPr>
        <w:pStyle w:val="TextBody"/>
        <w:bidi w:val="0"/>
        <w:spacing w:before="0" w:after="0"/>
        <w:ind w:left="0" w:right="0" w:hanging="0"/>
        <w:jc w:val="left"/>
        <w:rPr>
          <w:caps w:val="false"/>
          <w:smallCaps w:val="false"/>
        </w:rPr>
      </w:pPr>
      <w:r>
        <w:rPr>
          <w:caps w:val="false"/>
          <w:smallCaps w:val="false"/>
        </w:rPr>
        <w:t> </w:t>
      </w:r>
    </w:p>
    <w:tbl>
      <w:tblPr>
        <w:tblW w:w="4973" w:type="dxa"/>
        <w:jc w:val="left"/>
        <w:tblInd w:w="0" w:type="dxa"/>
        <w:tblLayout w:type="fixed"/>
        <w:tblCellMar>
          <w:top w:w="0" w:type="dxa"/>
          <w:left w:w="0" w:type="dxa"/>
          <w:bottom w:w="0" w:type="dxa"/>
          <w:right w:w="0" w:type="dxa"/>
        </w:tblCellMar>
      </w:tblPr>
      <w:tblGrid>
        <w:gridCol w:w="1970"/>
        <w:gridCol w:w="60"/>
        <w:gridCol w:w="85"/>
        <w:gridCol w:w="1197"/>
        <w:gridCol w:w="85"/>
        <w:gridCol w:w="85"/>
        <w:gridCol w:w="85"/>
        <w:gridCol w:w="1346"/>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4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warrants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197"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7,310,477</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options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7,902,948</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5,707,488</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7,902,948</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13,017,965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recent accounting pronouncements that impact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of Financial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authoritative guidance with respect to fair value established a fair value hierarchy that prioritizes the inputs to valuation techniques used to measure fair value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and requires that assets and liabilities carried at fair value be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 as presented below.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Observable inputs such as quoted prices in active markets for an identical asset or liability that the Company has the ability to access as of the measurement date. Financial assets and liabilities utilizing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include money market funds.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are directly observable for the asset or liability or indirectly observable through corroboration with observable market data. Financial assets and liabilities utilizing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include commercial paper, corporate bonds, U.S. Treasury Securities, and asset-backed securities.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for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asset or liability which requires the reporting entity to develop its own assumptions.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classify any of its investments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sets forth the fair value of the Company’s financial assets measured on a recurring basis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respectively (in thousands):</w:t>
      </w:r>
    </w:p>
    <w:p>
      <w:pPr>
        <w:pStyle w:val="TextBody"/>
        <w:bidi w:val="0"/>
        <w:spacing w:before="0" w:after="0"/>
        <w:ind w:left="0" w:right="0" w:hanging="0"/>
        <w:jc w:val="left"/>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1700"/>
        <w:gridCol w:w="2210"/>
        <w:gridCol w:w="60"/>
        <w:gridCol w:w="125"/>
        <w:gridCol w:w="590"/>
        <w:gridCol w:w="60"/>
        <w:gridCol w:w="60"/>
        <w:gridCol w:w="200"/>
        <w:gridCol w:w="419"/>
        <w:gridCol w:w="60"/>
        <w:gridCol w:w="60"/>
        <w:gridCol w:w="200"/>
        <w:gridCol w:w="419"/>
        <w:gridCol w:w="60"/>
        <w:gridCol w:w="60"/>
        <w:gridCol w:w="125"/>
        <w:gridCol w:w="590"/>
        <w:gridCol w:w="60"/>
      </w:tblGrid>
      <w:tr>
        <w:trPr/>
        <w:tc>
          <w:tcPr>
            <w:tcW w:w="170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 2023</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21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48,563</w:t>
            </w:r>
          </w:p>
        </w:tc>
        <w:tc>
          <w:tcPr>
            <w:tcW w:w="60" w:type="dxa"/>
            <w:tcBorders/>
            <w:shd w:fill="CCEEFF" w:val="clear"/>
            <w:vAlign w:val="center"/>
          </w:tcPr>
          <w:p>
            <w:pPr>
              <w:pStyle w:val="TableContents"/>
              <w:bidi w:val="0"/>
              <w:spacing w:before="0" w:after="283"/>
              <w:jc w:val="left"/>
              <w:rPr/>
            </w:pPr>
            <w:r>
              <w:rPr/>
              <w:t> </w:t>
            </w:r>
          </w:p>
        </w:tc>
      </w:tr>
      <w:tr>
        <w:trPr/>
        <w:tc>
          <w:tcPr>
            <w:tcW w:w="3910" w:type="dxa"/>
            <w:gridSpan w:val="2"/>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48,563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118" w:type="dxa"/>
        <w:jc w:val="left"/>
        <w:tblInd w:w="0" w:type="dxa"/>
        <w:tblLayout w:type="fixed"/>
        <w:tblCellMar>
          <w:top w:w="0" w:type="dxa"/>
          <w:left w:w="0" w:type="dxa"/>
          <w:bottom w:w="0" w:type="dxa"/>
          <w:right w:w="0" w:type="dxa"/>
        </w:tblCellMar>
      </w:tblPr>
      <w:tblGrid>
        <w:gridCol w:w="1700"/>
        <w:gridCol w:w="2210"/>
        <w:gridCol w:w="60"/>
        <w:gridCol w:w="125"/>
        <w:gridCol w:w="590"/>
        <w:gridCol w:w="60"/>
        <w:gridCol w:w="60"/>
        <w:gridCol w:w="210"/>
        <w:gridCol w:w="439"/>
        <w:gridCol w:w="60"/>
        <w:gridCol w:w="60"/>
        <w:gridCol w:w="210"/>
        <w:gridCol w:w="439"/>
        <w:gridCol w:w="60"/>
        <w:gridCol w:w="60"/>
        <w:gridCol w:w="125"/>
        <w:gridCol w:w="590"/>
        <w:gridCol w:w="60"/>
      </w:tblGrid>
      <w:tr>
        <w:trPr/>
        <w:tc>
          <w:tcPr>
            <w:tcW w:w="17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8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Classification</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shd w:fill="CCEEFF" w:val="clear"/>
            <w:vAlign w:val="center"/>
          </w:tcPr>
          <w:p>
            <w:pPr>
              <w:pStyle w:val="TableContents"/>
              <w:bidi w:val="0"/>
              <w:spacing w:before="0" w:after="283"/>
              <w:jc w:val="left"/>
              <w:rPr/>
            </w:pPr>
            <w:r>
              <w:rPr/>
              <w:t> </w:t>
            </w:r>
          </w:p>
        </w:tc>
      </w:tr>
      <w:tr>
        <w:trPr/>
        <w:tc>
          <w:tcPr>
            <w:tcW w:w="3910" w:type="dxa"/>
            <w:gridSpan w:val="2"/>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did not have any financial liabilities measured on a recurring basis as of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Balance Sheet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668" w:type="dxa"/>
        <w:jc w:val="left"/>
        <w:tblInd w:w="0" w:type="dxa"/>
        <w:tblLayout w:type="fixed"/>
        <w:tblCellMar>
          <w:top w:w="0" w:type="dxa"/>
          <w:left w:w="0" w:type="dxa"/>
          <w:bottom w:w="0" w:type="dxa"/>
          <w:right w:w="0" w:type="dxa"/>
        </w:tblCellMar>
      </w:tblPr>
      <w:tblGrid>
        <w:gridCol w:w="4055"/>
        <w:gridCol w:w="60"/>
        <w:gridCol w:w="221"/>
        <w:gridCol w:w="968"/>
        <w:gridCol w:w="80"/>
        <w:gridCol w:w="60"/>
        <w:gridCol w:w="212"/>
        <w:gridCol w:w="932"/>
        <w:gridCol w:w="8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4,914</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Depreciation expense was $0.1 million and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$0.4 million and $0.5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Intangible Assets, Net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258" w:type="dxa"/>
        <w:jc w:val="left"/>
        <w:tblInd w:w="0" w:type="dxa"/>
        <w:tblLayout w:type="fixed"/>
        <w:tblCellMar>
          <w:top w:w="0" w:type="dxa"/>
          <w:left w:w="0" w:type="dxa"/>
          <w:bottom w:w="0" w:type="dxa"/>
          <w:right w:w="0" w:type="dxa"/>
        </w:tblCellMar>
      </w:tblPr>
      <w:tblGrid>
        <w:gridCol w:w="2645"/>
        <w:gridCol w:w="60"/>
        <w:gridCol w:w="221"/>
        <w:gridCol w:w="968"/>
        <w:gridCol w:w="80"/>
        <w:gridCol w:w="60"/>
        <w:gridCol w:w="212"/>
        <w:gridCol w:w="932"/>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patents and 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schedule of the amortization of intangible assets for the remainder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the succeeding </w:t>
      </w:r>
      <w:r>
        <w:rPr>
          <w:rStyle w:val="Emphasis"/>
          <w:rFonts w:ascii="Times New Roman" w:hAnsi="Times New Roman"/>
          <w:caps w:val="false"/>
          <w:smallCaps w:val="false"/>
          <w:sz w:val="20"/>
        </w:rPr>
        <w:t>three</w:t>
      </w:r>
      <w:r>
        <w:rPr>
          <w:rFonts w:ascii="Times New Roman" w:hAnsi="Times New Roman"/>
          <w:caps w:val="false"/>
          <w:smallCaps w:val="false"/>
          <w:sz w:val="20"/>
        </w:rPr>
        <w:t> fiscal years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2255"/>
        <w:gridCol w:w="60"/>
        <w:gridCol w:w="125"/>
        <w:gridCol w:w="485"/>
        <w:gridCol w:w="60"/>
      </w:tblGrid>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Years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(remaining 3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3935"/>
        <w:gridCol w:w="60"/>
        <w:gridCol w:w="243"/>
        <w:gridCol w:w="946"/>
        <w:gridCol w:w="60"/>
        <w:gridCol w:w="60"/>
        <w:gridCol w:w="234"/>
        <w:gridCol w:w="910"/>
        <w:gridCol w:w="6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and officer liability insurance (Note 12)</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fees and costs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Warranty</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acquired three companies (the “Acquisitions”) for aggregate consideration of $5.5 million. In accordance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the Company recorded goodwill of $2.8 million in connection with the Acquisitions as the consideration paid exceeded the fair value of the net tangible assets and the intangible assets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accordance with ASC Topic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w:t>
      </w:r>
      <w:r>
        <w:rPr>
          <w:rFonts w:ascii="Times New Roman" w:hAnsi="Times New Roman"/>
          <w:i/>
          <w:caps w:val="false"/>
          <w:smallCaps w:val="false"/>
          <w:sz w:val="20"/>
        </w:rPr>
        <w:t>Intangibles-Goodwill and Other</w:t>
      </w:r>
      <w:r>
        <w:rPr>
          <w:rFonts w:ascii="Times New Roman" w:hAnsi="Times New Roman"/>
          <w:caps w:val="false"/>
          <w:smallCaps w:val="false"/>
          <w:sz w:val="20"/>
        </w:rPr>
        <w:t xml:space="preserve"> (as amended by Accounting Standards Update </w:t>
      </w:r>
      <w:r>
        <w:rPr>
          <w:rStyle w:val="Emphasis"/>
          <w:rFonts w:ascii="Times New Roman" w:hAnsi="Times New Roman"/>
          <w:caps w:val="false"/>
          <w:smallCaps w:val="false"/>
          <w:sz w:val="20"/>
        </w:rPr>
        <w:t>2017</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the Company reviews goodwill for impairment at least annually or whenever any events or circumstances indicate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The Company performed an updated goodwill impairment analysis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and it was determined that no impairment of goodwill existed.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i/>
          <w:caps w:val="false"/>
          <w:smallCaps w:val="false"/>
          <w:sz w:val="20"/>
        </w:rPr>
      </w:pPr>
      <w:r>
        <w:rPr>
          <w:rFonts w:ascii="Times New Roman" w:hAnsi="Times New Roman"/>
          <w:b/>
          <w:i/>
          <w:caps w:val="false"/>
          <w:smallCaps w:val="false"/>
          <w:sz w:val="20"/>
        </w:rPr>
        <w:t>Private Placement Securities Purchase Agreement</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April 30, 2023, </w:t>
      </w:r>
      <w:r>
        <w:rPr>
          <w:rFonts w:ascii="Times New Roman" w:hAnsi="Times New Roman"/>
          <w:caps w:val="false"/>
          <w:smallCaps w:val="false"/>
          <w:sz w:val="20"/>
        </w:rPr>
        <w:t>the Company entered into a Securities Purchase Agreement with Robert W. Duggan, the Company’s majority stockholder and Executive Chairman, pursuant to which the Company agreed to issue and sell to Mr. Duggan 10,022,937 shares of the Company’s common stock, par value $0.001 per share, in a Private Placement, at a price per share of $6.51. The parties completed the Private Placement on </w:t>
      </w:r>
      <w:r>
        <w:rPr>
          <w:rStyle w:val="Emphasis"/>
          <w:rFonts w:ascii="Times New Roman" w:hAnsi="Times New Roman"/>
          <w:caps w:val="false"/>
          <w:smallCaps w:val="false"/>
          <w:sz w:val="20"/>
        </w:rPr>
        <w:t xml:space="preserve"> May 9, 2023, </w:t>
      </w:r>
      <w:r>
        <w:rPr>
          <w:rFonts w:ascii="Times New Roman" w:hAnsi="Times New Roman"/>
          <w:caps w:val="false"/>
          <w:smallCaps w:val="false"/>
          <w:sz w:val="20"/>
        </w:rPr>
        <w:t>after satisfying all pre-closing conditions, and the Company issued the full number of shares to Mr. Duggan. The shares were paid for through the cancellation of the principal sum of $65.0 million borrowed by the Company pursuant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(See Note </w:t>
      </w:r>
      <w:r>
        <w:rPr>
          <w:rStyle w:val="Emphasis"/>
          <w:rFonts w:ascii="Times New Roman" w:hAnsi="Times New Roman"/>
          <w:caps w:val="false"/>
          <w:smallCaps w:val="false"/>
          <w:sz w:val="20"/>
        </w:rPr>
        <w:t>8</w:t>
      </w:r>
      <w:r>
        <w:rPr>
          <w:rFonts w:ascii="Times New Roman" w:hAnsi="Times New Roman"/>
          <w:caps w:val="false"/>
          <w:smallCaps w:val="false"/>
          <w:sz w:val="20"/>
        </w:rPr>
        <w:t>), together with all accrued and unpaid interest outstanding owed at the time of closing.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completed a rights offering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resulting in the sale of 7,317,072 units (the “Units”), at a price of $2.05 per Unit, with each Unit consisting of one share of the Company’s common stock, par value $0.001 per share, and one warrant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to purchase one share of common stock at a price of $2.05 per share. The common stock and warrants comprising the Units separated upon the closing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and were issued individually. 7,317,072 shares of common stock and warrants to acquire up to an additional 7,317,072 shares of common stock were issued in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Company received aggregate gross proceeds from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of $15 million. 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the Company delivered an irrevocable notice of redemption to warrant holders and, on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 xml:space="preserve">it redeemed the last of the outstanding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at a price of $0.01 per warrant share. See the </w:t>
      </w:r>
      <w:r>
        <w:rPr>
          <w:rFonts w:ascii="Times New Roman" w:hAnsi="Times New Roman"/>
          <w:i/>
          <w:caps w:val="false"/>
          <w:smallCaps w:val="false"/>
          <w:sz w:val="20"/>
        </w:rPr>
        <w:t xml:space="preserve">Common Stock Warrants </w:t>
      </w:r>
      <w:r>
        <w:rPr>
          <w:rFonts w:ascii="Times New Roman" w:hAnsi="Times New Roman"/>
          <w:caps w:val="false"/>
          <w:smallCaps w:val="false"/>
          <w:sz w:val="20"/>
        </w:rPr>
        <w:t xml:space="preserve">section below for further details. Robert W. Duggan, the Company’s majority stockholder and Executive Chairman, purchased approximately 56% of the shares offered through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Common Stock</w:t>
      </w:r>
      <w:r>
        <w:rPr>
          <w:rFonts w:ascii="Times New Roman" w:hAnsi="Times New Roman"/>
          <w:caps w:val="false"/>
          <w:smallCaps w:val="false"/>
          <w:sz w:val="20"/>
        </w:rPr>
        <w:t xml:space="preserve"> </w:t>
      </w: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Company issued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to purchase a total of 7,317,072 shares of its common stock at an exercise price of $2.05.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were subject to redemption by the Company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days written notice, if the volume weighted average price of the Company’s common stock equals or exceeds 200% of the exercise price for the warrants, subject to adjustment, per share, for 20 consecutive trading days, provided that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redeem the warrants prior to the date that is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after the issuance date. On </w:t>
      </w:r>
      <w:r>
        <w:rPr>
          <w:rStyle w:val="Emphasis"/>
          <w:rFonts w:ascii="Times New Roman" w:hAnsi="Times New Roman"/>
          <w:caps w:val="false"/>
          <w:smallCaps w:val="false"/>
          <w:sz w:val="20"/>
        </w:rPr>
        <w:t xml:space="preserve">May 10, 2023, </w:t>
      </w:r>
      <w:r>
        <w:rPr>
          <w:rFonts w:ascii="Times New Roman" w:hAnsi="Times New Roman"/>
          <w:caps w:val="false"/>
          <w:smallCaps w:val="false"/>
          <w:sz w:val="20"/>
        </w:rPr>
        <w:t xml:space="preserve">the Company issued a press release announcing that 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the terms for warrant redemption had been met. Pursuant to the redemption, the Company redeemed 66,175 warrants on the redemption date,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 xml:space="preserve">Prior to the redemption date, warrants to purchase 7,250,897 shares were exercised, generating approximately $14.9 million of total gross proceeds to the Company. As of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there were no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Equity Incentive Plan and </w:t>
      </w: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of Directors of the Company (the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determine. Subject to an annual evergreen increase and adjustment in the case of certain capitalization events, the Company initially reserved 1,500,000 shares of the Company’s common stock for issuance pursuant to awards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 addition, shares remaining available under the Company’s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as amended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and shares reserved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pursuant to outstanding equity awards that expire or terminate without being exercised or that are forfeited or repurchased by the Company will be added to the shares of common stock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administered by the Board’s Compensation Committee. </w:t>
      </w:r>
      <w:r>
        <w:rPr>
          <w:rFonts w:cs="Times New Roman"/>
          <w:caps w:val="false"/>
          <w:smallCaps w:val="false"/>
          <w:szCs w:val="20"/>
        </w:rPr>
        <w:t>﻿</w:t>
      </w: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number of shares of common stock available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increased automatically by 1,200,000 shares pursuant to the evergreen provision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which provides that the number of shares available to grant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will increase each year by the lesser of (i) 1,200,000 shares, (ii) 4% of the Company’s common stock outstanding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of the immediately preceding year, or (iii) such number of shares as determined by the Board.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585,108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the Board adopted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Inducement Equity Incentive Plan (the “Inducement Plan”) and reserved 1,000,000 shares of the Company’s common stock for issuance pursuant to equity awards granted under the Inducement Plan. The Inducement Plan was adopted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Inducement Plan has a 10-year term and provides for the grant of equity-based awards, including nonstatutory stock options, restricted stock units, restricted stock, stock appreciation rights, performance shares and performance units, and its terms are substantially similar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including with respect to treatment of equity awards in the event of a “merger” or “change in control” as defined under the Inducement Plan. Options issued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 term up to ten years and have variable vesting provisions. New hire grants generally vest 25% per year starting upon the first anniversary of the grant. Equity-based awards issued under the Inducement Plan are only issuable to individuals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engaged as employees or as non-employee directors of the Company prior to the Inducement Plan’s adoption date.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Board approved an amendment to the Inducement Plan to reserve an additional 1,000,000 shares of the Company’s common stock for issuance pursuant to the Inducement Plan.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1,249,126 shares of common stock remained available for issuance under the Inducement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nine</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7"/>
        <w:gridCol w:w="60"/>
        <w:gridCol w:w="91"/>
        <w:gridCol w:w="1307"/>
        <w:gridCol w:w="80"/>
        <w:gridCol w:w="60"/>
        <w:gridCol w:w="511"/>
        <w:gridCol w:w="1985"/>
        <w:gridCol w:w="60"/>
        <w:gridCol w:w="60"/>
        <w:gridCol w:w="442"/>
        <w:gridCol w:w="2809"/>
        <w:gridCol w:w="63"/>
      </w:tblGrid>
      <w:tr>
        <w:trPr/>
        <w:tc>
          <w:tcPr>
            <w:tcW w:w="26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5,250,696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6.24</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3,475,886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hanging="0"/>
              <w:jc w:val="left"/>
              <w:rPr/>
            </w:pPr>
            <w:r>
              <w:rPr/>
              <w:t> </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2809"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(148,367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ind w:left="0" w:right="0" w:hanging="0"/>
              <w:jc w:val="left"/>
              <w:rPr/>
            </w:pPr>
            <w:r>
              <w:rPr/>
              <w:t> </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2809" w:type="dxa"/>
            <w:tcBorders/>
            <w:shd w:fill="CCEEFF" w:val="clear"/>
            <w:vAlign w:val="center"/>
          </w:tcPr>
          <w:p>
            <w:pPr>
              <w:pStyle w:val="TableContents"/>
              <w:bidi w:val="0"/>
              <w:spacing w:before="0" w:after="283"/>
              <w:jc w:val="lef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(174,994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hanging="0"/>
              <w:jc w:val="left"/>
              <w:rPr/>
            </w:pPr>
            <w:r>
              <w:rPr/>
              <w:t> </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2809"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(500,273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ind w:left="0" w:right="0" w:hanging="0"/>
              <w:jc w:val="left"/>
              <w:rPr/>
            </w:pPr>
            <w:r>
              <w:rPr/>
              <w:t> </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2809"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September 30, 2023</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7,902,948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ind w:left="0" w:right="0" w:hanging="0"/>
              <w:jc w:val="left"/>
              <w:rPr/>
            </w:pPr>
            <w:r>
              <w:rPr/>
              <w:t> </w:t>
            </w:r>
          </w:p>
        </w:tc>
        <w:tc>
          <w:tcPr>
            <w:tcW w:w="2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September 30, 2023</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3,654,425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Time-based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time-based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nine</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7"/>
        <w:gridCol w:w="60"/>
        <w:gridCol w:w="91"/>
        <w:gridCol w:w="1307"/>
        <w:gridCol w:w="80"/>
        <w:gridCol w:w="60"/>
        <w:gridCol w:w="511"/>
        <w:gridCol w:w="1985"/>
        <w:gridCol w:w="60"/>
        <w:gridCol w:w="60"/>
        <w:gridCol w:w="442"/>
        <w:gridCol w:w="2809"/>
        <w:gridCol w:w="63"/>
      </w:tblGrid>
      <w:tr>
        <w:trPr/>
        <w:tc>
          <w:tcPr>
            <w:tcW w:w="26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4,730,394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hanging="0"/>
              <w:jc w:val="left"/>
              <w:rPr/>
            </w:pPr>
            <w:r>
              <w:rPr/>
              <w:t> </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2809"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(148,367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ind w:left="0" w:right="0" w:hanging="0"/>
              <w:jc w:val="left"/>
              <w:rPr/>
            </w:pPr>
            <w:r>
              <w:rPr/>
              <w:t> </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2809" w:type="dxa"/>
            <w:tcBorders/>
            <w:shd w:fill="CCEEFF" w:val="clear"/>
            <w:vAlign w:val="center"/>
          </w:tcPr>
          <w:p>
            <w:pPr>
              <w:pStyle w:val="TableContents"/>
              <w:bidi w:val="0"/>
              <w:spacing w:before="0" w:after="283"/>
              <w:jc w:val="lef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(131,494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hanging="0"/>
              <w:jc w:val="left"/>
              <w:rPr/>
            </w:pPr>
            <w:r>
              <w:rPr/>
              <w:t> </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2809"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(409,601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ind w:left="0" w:right="0" w:hanging="0"/>
              <w:jc w:val="left"/>
              <w:rPr/>
            </w:pPr>
            <w:r>
              <w:rPr/>
              <w:t> </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2809"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September 30, 2023</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4,568,818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ind w:left="0" w:right="0" w:hanging="0"/>
              <w:jc w:val="left"/>
              <w:rPr/>
            </w:pPr>
            <w:r>
              <w:rPr/>
              <w:t> </w:t>
            </w:r>
          </w:p>
        </w:tc>
        <w:tc>
          <w:tcPr>
            <w:tcW w:w="2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6.30</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September 30, 2023</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3,458,736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time-based options granted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was $2.4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Performance-based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performance conditions related to certain financial measures and achievements of strategic/operational milestones. The options will vest and become exercisable once the specific performance condition is fulfilled.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performance-based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nine</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7"/>
        <w:gridCol w:w="60"/>
        <w:gridCol w:w="91"/>
        <w:gridCol w:w="1307"/>
        <w:gridCol w:w="80"/>
        <w:gridCol w:w="60"/>
        <w:gridCol w:w="511"/>
        <w:gridCol w:w="1985"/>
        <w:gridCol w:w="60"/>
        <w:gridCol w:w="60"/>
        <w:gridCol w:w="442"/>
        <w:gridCol w:w="2809"/>
        <w:gridCol w:w="63"/>
      </w:tblGrid>
      <w:tr>
        <w:trPr/>
        <w:tc>
          <w:tcPr>
            <w:tcW w:w="26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848,000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hanging="0"/>
              <w:jc w:val="left"/>
              <w:rPr/>
            </w:pPr>
            <w:r>
              <w:rPr/>
              <w:t> </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2809"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ind w:left="0" w:right="0" w:hanging="0"/>
              <w:jc w:val="left"/>
              <w:rPr/>
            </w:pPr>
            <w:r>
              <w:rPr/>
              <w:t> </w:t>
            </w:r>
          </w:p>
        </w:tc>
        <w:tc>
          <w:tcPr>
            <w:tcW w:w="198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2809" w:type="dxa"/>
            <w:tcBorders/>
            <w:shd w:fill="CCEEFF" w:val="clear"/>
            <w:vAlign w:val="center"/>
          </w:tcPr>
          <w:p>
            <w:pPr>
              <w:pStyle w:val="TableContents"/>
              <w:bidi w:val="0"/>
              <w:spacing w:before="0" w:after="283"/>
              <w:jc w:val="lef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ind w:left="0" w:right="0" w:hanging="0"/>
              <w:jc w:val="left"/>
              <w:rPr/>
            </w:pPr>
            <w:r>
              <w:rPr/>
              <w:t> </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2809"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ind w:left="0" w:right="0" w:hanging="0"/>
              <w:jc w:val="left"/>
              <w:rPr/>
            </w:pPr>
            <w:r>
              <w:rPr/>
              <w:t> </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2809"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267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September 30, 2023</w:t>
            </w:r>
          </w:p>
        </w:tc>
        <w:tc>
          <w:tcPr>
            <w:tcW w:w="60" w:type="dxa"/>
            <w:tcBorders/>
            <w:shd w:fill="FFFFFF" w:val="clear"/>
            <w:vAlign w:val="center"/>
          </w:tcPr>
          <w:p>
            <w:pPr>
              <w:pStyle w:val="TableContents"/>
              <w:bidi w:val="0"/>
              <w:spacing w:before="0" w:after="283"/>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1,234,130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ind w:left="0" w:right="0" w:hanging="0"/>
              <w:jc w:val="left"/>
              <w:rPr/>
            </w:pPr>
            <w:r>
              <w:rPr/>
              <w:t> </w:t>
            </w:r>
          </w:p>
        </w:tc>
        <w:tc>
          <w:tcPr>
            <w:tcW w:w="2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8.81</w:t>
            </w:r>
          </w:p>
        </w:tc>
        <w:tc>
          <w:tcPr>
            <w:tcW w:w="63" w:type="dxa"/>
            <w:tcBorders/>
            <w:shd w:fill="FFFFFF" w:val="clear"/>
            <w:vAlign w:val="center"/>
          </w:tcPr>
          <w:p>
            <w:pPr>
              <w:pStyle w:val="TableContents"/>
              <w:bidi w:val="0"/>
              <w:spacing w:before="0" w:after="283"/>
              <w:jc w:val="left"/>
              <w:rPr/>
            </w:pPr>
            <w:r>
              <w:rPr/>
              <w:t> </w:t>
            </w:r>
          </w:p>
        </w:tc>
      </w:tr>
      <w:tr>
        <w:trPr/>
        <w:tc>
          <w:tcPr>
            <w:tcW w:w="267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September 30, 2023</w:t>
            </w:r>
          </w:p>
        </w:tc>
        <w:tc>
          <w:tcPr>
            <w:tcW w:w="60" w:type="dxa"/>
            <w:tcBorders/>
            <w:shd w:fill="CCEEFF" w:val="clear"/>
            <w:vAlign w:val="center"/>
          </w:tcPr>
          <w:p>
            <w:pPr>
              <w:pStyle w:val="TableContents"/>
              <w:bidi w:val="0"/>
              <w:spacing w:before="0" w:after="283"/>
              <w:jc w:val="left"/>
              <w:rPr/>
            </w:pPr>
            <w:r>
              <w:rPr/>
              <w:t> </w:t>
            </w:r>
          </w:p>
        </w:tc>
        <w:tc>
          <w:tcPr>
            <w:tcW w:w="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performance-based options granted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was $1.9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Market-based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market conditions related to achievement of certain market capitalization targets. The options will vest and become exercisable once the specific market capitalization targets are fulfilled.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 summary of the market-based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for the </w:t>
      </w:r>
      <w:r>
        <w:rPr>
          <w:rStyle w:val="Emphasis"/>
          <w:rFonts w:ascii="Times New Roman" w:hAnsi="Times New Roman"/>
          <w:caps w:val="false"/>
          <w:smallCaps w:val="false"/>
          <w:sz w:val="20"/>
        </w:rPr>
        <w:t>nine</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is presented below: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9"/>
        <w:gridCol w:w="60"/>
        <w:gridCol w:w="92"/>
        <w:gridCol w:w="1306"/>
        <w:gridCol w:w="63"/>
        <w:gridCol w:w="63"/>
        <w:gridCol w:w="616"/>
        <w:gridCol w:w="1882"/>
        <w:gridCol w:w="63"/>
        <w:gridCol w:w="63"/>
        <w:gridCol w:w="442"/>
        <w:gridCol w:w="2811"/>
        <w:gridCol w:w="65"/>
      </w:tblGrid>
      <w:tr>
        <w:trPr/>
        <w:tc>
          <w:tcPr>
            <w:tcW w:w="26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5" w:type="dxa"/>
            <w:tcBorders/>
            <w:shd w:fill="FFFF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4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32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5" w:type="dxa"/>
            <w:tcBorders/>
            <w:shd w:fill="FFFFFF" w:val="clear"/>
            <w:vAlign w:val="center"/>
          </w:tcPr>
          <w:p>
            <w:pPr>
              <w:pStyle w:val="TableContents"/>
              <w:bidi w:val="0"/>
              <w:spacing w:before="0" w:after="283"/>
              <w:jc w:val="left"/>
              <w:rPr/>
            </w:pPr>
            <w:r>
              <w:rPr/>
              <w:t> </w:t>
            </w:r>
          </w:p>
        </w:tc>
      </w:tr>
      <w:tr>
        <w:trPr/>
        <w:tc>
          <w:tcPr>
            <w:tcW w:w="26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06"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82"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11"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ind w:left="0" w:right="0" w:hanging="0"/>
              <w:jc w:val="left"/>
              <w:rPr/>
            </w:pPr>
            <w:r>
              <w:rPr/>
              <w:t> </w:t>
            </w:r>
          </w:p>
        </w:tc>
        <w:tc>
          <w:tcPr>
            <w:tcW w:w="1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2811"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26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06"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ind w:left="0" w:right="0" w:hanging="0"/>
              <w:jc w:val="left"/>
              <w:rPr/>
            </w:pPr>
            <w:r>
              <w:rPr/>
              <w:t> </w:t>
            </w:r>
          </w:p>
        </w:tc>
        <w:tc>
          <w:tcPr>
            <w:tcW w:w="1882"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2811" w:type="dxa"/>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06"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ind w:left="0" w:right="0" w:hanging="0"/>
              <w:jc w:val="left"/>
              <w:rPr/>
            </w:pPr>
            <w:r>
              <w:rPr/>
              <w:t> </w:t>
            </w:r>
          </w:p>
        </w:tc>
        <w:tc>
          <w:tcPr>
            <w:tcW w:w="1882"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p>
        </w:tc>
        <w:tc>
          <w:tcPr>
            <w:tcW w:w="2811" w:type="dxa"/>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26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ind w:left="0" w:right="0" w:hanging="0"/>
              <w:jc w:val="left"/>
              <w:rPr/>
            </w:pPr>
            <w:r>
              <w:rPr/>
              <w:t> </w:t>
            </w:r>
          </w:p>
        </w:tc>
        <w:tc>
          <w:tcPr>
            <w:tcW w:w="1882"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2811" w:type="dxa"/>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r>
      <w:tr>
        <w:trPr/>
        <w:tc>
          <w:tcPr>
            <w:tcW w:w="267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September 30, 2023</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ind w:left="0" w:right="0" w:hanging="0"/>
              <w:jc w:val="left"/>
              <w:rPr/>
            </w:pPr>
            <w:r>
              <w:rPr/>
              <w:t> </w:t>
            </w:r>
          </w:p>
        </w:tc>
        <w:tc>
          <w:tcPr>
            <w:tcW w:w="28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9.69</w:t>
            </w:r>
          </w:p>
        </w:tc>
        <w:tc>
          <w:tcPr>
            <w:tcW w:w="65" w:type="dxa"/>
            <w:tcBorders/>
            <w:shd w:fill="FFFFFF" w:val="clear"/>
            <w:vAlign w:val="center"/>
          </w:tcPr>
          <w:p>
            <w:pPr>
              <w:pStyle w:val="TableContents"/>
              <w:bidi w:val="0"/>
              <w:spacing w:before="0" w:after="283"/>
              <w:jc w:val="left"/>
              <w:rPr/>
            </w:pPr>
            <w:r>
              <w:rPr/>
              <w:t> </w:t>
            </w:r>
          </w:p>
        </w:tc>
      </w:tr>
      <w:tr>
        <w:trPr/>
        <w:tc>
          <w:tcPr>
            <w:tcW w:w="267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September 30, 2023</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ind w:left="0" w:right="0" w:hanging="0"/>
              <w:jc w:val="left"/>
              <w:rPr/>
            </w:pPr>
            <w:r>
              <w:rPr/>
              <w:t> </w:t>
            </w:r>
          </w:p>
        </w:tc>
        <w:tc>
          <w:tcPr>
            <w:tcW w:w="1882"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ind w:left="0" w:right="0" w:hanging="0"/>
              <w:jc w:val="left"/>
              <w:rPr/>
            </w:pPr>
            <w:r>
              <w:rPr/>
              <w:t> </w:t>
            </w:r>
          </w:p>
        </w:tc>
        <w:tc>
          <w:tcPr>
            <w:tcW w:w="2811"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market-based options granted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was $10.4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time-based and performance-based stock options on the grant date using the Black-Scholes option pricing model. The estimated fair value of these employee stock options is amortized on a straight-line basis over the requisite service period of the awards. The Company reviews, and when deemed appropriate, updates the assumptions used on a periodic basis. The fair value of time-based and performance-based stock options was estimated using the following weighted-average assumptions:</w:t>
      </w:r>
    </w:p>
    <w:p>
      <w:pPr>
        <w:pStyle w:val="TextBody"/>
        <w:bidi w:val="0"/>
        <w:spacing w:before="0" w:after="0"/>
        <w:ind w:left="0" w:right="0" w:hanging="0"/>
        <w:jc w:val="left"/>
        <w:rPr>
          <w:caps w:val="false"/>
          <w:smallCaps w:val="false"/>
        </w:rPr>
      </w:pPr>
      <w:r>
        <w:rPr>
          <w:caps w:val="false"/>
          <w:smallCaps w:val="false"/>
        </w:rPr>
        <w:t> </w:t>
      </w:r>
    </w:p>
    <w:tbl>
      <w:tblPr>
        <w:tblW w:w="7959" w:type="dxa"/>
        <w:jc w:val="left"/>
        <w:tblInd w:w="0" w:type="dxa"/>
        <w:tblLayout w:type="fixed"/>
        <w:tblCellMar>
          <w:top w:w="0" w:type="dxa"/>
          <w:left w:w="0" w:type="dxa"/>
          <w:bottom w:w="0" w:type="dxa"/>
          <w:right w:w="0" w:type="dxa"/>
        </w:tblCellMar>
      </w:tblPr>
      <w:tblGrid>
        <w:gridCol w:w="1865"/>
        <w:gridCol w:w="60"/>
        <w:gridCol w:w="159"/>
        <w:gridCol w:w="1168"/>
        <w:gridCol w:w="159"/>
        <w:gridCol w:w="159"/>
        <w:gridCol w:w="159"/>
        <w:gridCol w:w="1168"/>
        <w:gridCol w:w="60"/>
        <w:gridCol w:w="60"/>
        <w:gridCol w:w="76"/>
        <w:gridCol w:w="1289"/>
        <w:gridCol w:w="76"/>
        <w:gridCol w:w="76"/>
        <w:gridCol w:w="76"/>
        <w:gridCol w:w="1289"/>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59"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3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5.0</w:t>
            </w:r>
          </w:p>
        </w:tc>
        <w:tc>
          <w:tcPr>
            <w:tcW w:w="159" w:type="dxa"/>
            <w:tcBorders/>
            <w:shd w:fill="CCEEFF" w:val="clear"/>
            <w:vAlign w:val="center"/>
          </w:tcPr>
          <w:p>
            <w:pPr>
              <w:pStyle w:val="TableContents"/>
              <w:bidi w:val="0"/>
              <w:spacing w:before="0" w:after="283"/>
              <w:jc w:val="center"/>
              <w:rPr/>
            </w:pPr>
            <w:r>
              <w:rPr/>
              <w:t> </w:t>
            </w:r>
          </w:p>
        </w:tc>
        <w:tc>
          <w:tcPr>
            <w:tcW w:w="159" w:type="dxa"/>
            <w:tcBorders/>
            <w:shd w:fill="CCEEFF" w:val="clear"/>
            <w:vAlign w:val="center"/>
          </w:tcPr>
          <w:p>
            <w:pPr>
              <w:pStyle w:val="TableContents"/>
              <w:bidi w:val="0"/>
              <w:spacing w:before="0" w:after="283"/>
              <w:jc w:val="center"/>
              <w:rPr/>
            </w:pPr>
            <w:r>
              <w:rPr/>
              <w:t> </w:t>
            </w:r>
          </w:p>
        </w:tc>
        <w:tc>
          <w:tcPr>
            <w:tcW w:w="159" w:type="dxa"/>
            <w:tcBorders/>
            <w:shd w:fill="CCEEFF" w:val="clear"/>
            <w:vAlign w:val="center"/>
          </w:tcPr>
          <w:p>
            <w:pPr>
              <w:pStyle w:val="TableContents"/>
              <w:bidi w:val="0"/>
              <w:spacing w:before="0" w:after="283"/>
              <w:ind w:left="0" w:right="0" w:hanging="0"/>
              <w:jc w:val="center"/>
              <w:rPr/>
            </w:pPr>
            <w:r>
              <w:rPr/>
              <w:t> </w:t>
            </w:r>
          </w:p>
        </w:tc>
        <w:tc>
          <w:tcPr>
            <w:tcW w:w="1168" w:type="dxa"/>
            <w:tcBorders/>
            <w:shd w:fill="CCEEFF" w:val="clear"/>
            <w:vAlign w:val="center"/>
          </w:tcPr>
          <w:p>
            <w:pPr>
              <w:pStyle w:val="TableContents"/>
              <w:bidi w:val="0"/>
              <w:spacing w:before="0" w:after="283"/>
              <w:ind w:left="0" w:right="0" w:hanging="0"/>
              <w:jc w:val="center"/>
              <w:rPr/>
            </w:pPr>
            <w:r>
              <w:rPr>
                <w:rStyle w:val="Emphasis"/>
                <w:rFonts w:ascii="Times New Roman" w:hAnsi="Times New Roman"/>
                <w:sz w:val="20"/>
              </w:rPr>
              <w:t>6.3</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ind w:left="0" w:right="0" w:hanging="0"/>
              <w:jc w:val="center"/>
              <w:rPr/>
            </w:pPr>
            <w:r>
              <w:rPr/>
              <w:t> </w:t>
            </w:r>
          </w:p>
        </w:tc>
        <w:tc>
          <w:tcPr>
            <w:tcW w:w="1289" w:type="dxa"/>
            <w:tcBorders/>
            <w:shd w:fill="CCEEFF" w:val="clear"/>
            <w:vAlign w:val="center"/>
          </w:tcPr>
          <w:p>
            <w:pPr>
              <w:pStyle w:val="TableContents"/>
              <w:bidi w:val="0"/>
              <w:spacing w:before="0" w:after="283"/>
              <w:ind w:left="0" w:right="0" w:hanging="0"/>
              <w:jc w:val="center"/>
              <w:rPr/>
            </w:pPr>
            <w:r>
              <w:rPr>
                <w:rFonts w:ascii="Times New Roman" w:hAnsi="Times New Roman"/>
                <w:sz w:val="20"/>
              </w:rPr>
              <w:t xml:space="preserve">5.0 - </w:t>
            </w:r>
            <w:r>
              <w:rPr>
                <w:rStyle w:val="Emphasis"/>
                <w:rFonts w:ascii="Times New Roman" w:hAnsi="Times New Roman"/>
                <w:sz w:val="20"/>
              </w:rPr>
              <w:t>6.3</w:t>
            </w:r>
          </w:p>
        </w:tc>
        <w:tc>
          <w:tcPr>
            <w:tcW w:w="76"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ind w:left="0" w:right="0" w:hanging="0"/>
              <w:jc w:val="center"/>
              <w:rPr/>
            </w:pPr>
            <w:r>
              <w:rPr/>
              <w:t> </w:t>
            </w:r>
          </w:p>
        </w:tc>
        <w:tc>
          <w:tcPr>
            <w:tcW w:w="1289" w:type="dxa"/>
            <w:tcBorders/>
            <w:shd w:fill="CCEEFF" w:val="clear"/>
            <w:vAlign w:val="center"/>
          </w:tcPr>
          <w:p>
            <w:pPr>
              <w:pStyle w:val="TableContents"/>
              <w:bidi w:val="0"/>
              <w:spacing w:before="0" w:after="283"/>
              <w:ind w:left="0" w:right="0" w:hanging="0"/>
              <w:jc w:val="center"/>
              <w:rPr/>
            </w:pPr>
            <w:r>
              <w:rPr>
                <w:rFonts w:ascii="Times New Roman" w:hAnsi="Times New Roman"/>
                <w:sz w:val="20"/>
              </w:rPr>
              <w:t xml:space="preserve">5.3 - </w:t>
            </w:r>
            <w:r>
              <w:rPr>
                <w:rStyle w:val="Emphasis"/>
                <w:rFonts w:ascii="Times New Roman" w:hAnsi="Times New Roman"/>
                <w:sz w:val="20"/>
              </w:rPr>
              <w:t>6.8</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93%</w:t>
            </w:r>
          </w:p>
        </w:tc>
        <w:tc>
          <w:tcPr>
            <w:tcW w:w="159"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ind w:left="0" w:right="0" w:hanging="0"/>
              <w:jc w:val="center"/>
              <w:rPr/>
            </w:pPr>
            <w:r>
              <w:rPr/>
              <w:t> </w:t>
            </w:r>
          </w:p>
        </w:tc>
        <w:tc>
          <w:tcPr>
            <w:tcW w:w="1168"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88%</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ind w:left="0" w:right="0" w:hanging="0"/>
              <w:jc w:val="center"/>
              <w:rPr/>
            </w:pPr>
            <w:r>
              <w:rPr/>
              <w:t> </w:t>
            </w:r>
          </w:p>
        </w:tc>
        <w:tc>
          <w:tcPr>
            <w:tcW w:w="1289"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89% - 94%</w:t>
            </w:r>
          </w:p>
        </w:tc>
        <w:tc>
          <w:tcPr>
            <w:tcW w:w="76"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ind w:left="0" w:right="0" w:hanging="0"/>
              <w:jc w:val="center"/>
              <w:rPr/>
            </w:pPr>
            <w:r>
              <w:rPr/>
              <w:t> </w:t>
            </w:r>
          </w:p>
        </w:tc>
        <w:tc>
          <w:tcPr>
            <w:tcW w:w="1289"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83%</w:t>
            </w:r>
            <w:r>
              <w:rPr>
                <w:rFonts w:ascii="Times New Roman" w:hAnsi="Times New Roman"/>
                <w:sz w:val="20"/>
              </w:rPr>
              <w:t xml:space="preserve"> - </w:t>
            </w:r>
            <w:r>
              <w:rPr>
                <w:rStyle w:val="Emphasis"/>
                <w:rFonts w:ascii="Times New Roman" w:hAnsi="Times New Roman"/>
                <w:sz w:val="20"/>
              </w:rPr>
              <w:t>88%</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168"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3.7%</w:t>
            </w:r>
          </w:p>
        </w:tc>
        <w:tc>
          <w:tcPr>
            <w:tcW w:w="159" w:type="dxa"/>
            <w:tcBorders/>
            <w:shd w:fill="CCEEFF" w:val="clear"/>
            <w:vAlign w:val="center"/>
          </w:tcPr>
          <w:p>
            <w:pPr>
              <w:pStyle w:val="TableContents"/>
              <w:bidi w:val="0"/>
              <w:spacing w:before="0" w:after="283"/>
              <w:jc w:val="center"/>
              <w:rPr/>
            </w:pPr>
            <w:r>
              <w:rPr/>
              <w:t> </w:t>
            </w:r>
          </w:p>
        </w:tc>
        <w:tc>
          <w:tcPr>
            <w:tcW w:w="159" w:type="dxa"/>
            <w:tcBorders/>
            <w:shd w:fill="CCEEFF" w:val="clear"/>
            <w:vAlign w:val="center"/>
          </w:tcPr>
          <w:p>
            <w:pPr>
              <w:pStyle w:val="TableContents"/>
              <w:bidi w:val="0"/>
              <w:spacing w:before="0" w:after="283"/>
              <w:jc w:val="center"/>
              <w:rPr/>
            </w:pPr>
            <w:r>
              <w:rPr/>
              <w:t> </w:t>
            </w:r>
          </w:p>
        </w:tc>
        <w:tc>
          <w:tcPr>
            <w:tcW w:w="159" w:type="dxa"/>
            <w:tcBorders/>
            <w:shd w:fill="CCEEFF" w:val="clear"/>
            <w:vAlign w:val="center"/>
          </w:tcPr>
          <w:p>
            <w:pPr>
              <w:pStyle w:val="TableContents"/>
              <w:bidi w:val="0"/>
              <w:spacing w:before="0" w:after="283"/>
              <w:ind w:left="0" w:right="0" w:hanging="0"/>
              <w:jc w:val="center"/>
              <w:rPr/>
            </w:pPr>
            <w:r>
              <w:rPr/>
              <w:t> </w:t>
            </w:r>
          </w:p>
        </w:tc>
        <w:tc>
          <w:tcPr>
            <w:tcW w:w="1168"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ind w:left="0" w:right="0" w:hanging="0"/>
              <w:jc w:val="center"/>
              <w:rPr/>
            </w:pPr>
            <w:r>
              <w:rPr/>
              <w:t> </w:t>
            </w:r>
          </w:p>
        </w:tc>
        <w:tc>
          <w:tcPr>
            <w:tcW w:w="1289"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3.7%</w:t>
            </w:r>
            <w:r>
              <w:rPr>
                <w:rFonts w:ascii="Times New Roman" w:hAnsi="Times New Roman"/>
                <w:sz w:val="20"/>
              </w:rPr>
              <w:t xml:space="preserve"> - 3.8%</w:t>
            </w:r>
          </w:p>
        </w:tc>
        <w:tc>
          <w:tcPr>
            <w:tcW w:w="76"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ind w:left="0" w:right="0" w:hanging="0"/>
              <w:jc w:val="center"/>
              <w:rPr/>
            </w:pPr>
            <w:r>
              <w:rPr/>
              <w:t> </w:t>
            </w:r>
          </w:p>
        </w:tc>
        <w:tc>
          <w:tcPr>
            <w:tcW w:w="1289"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1.9%</w:t>
            </w:r>
            <w:r>
              <w:rPr>
                <w:rFonts w:ascii="Times New Roman" w:hAnsi="Times New Roman"/>
                <w:sz w:val="20"/>
              </w:rPr>
              <w:t xml:space="preserve"> - 3.2%</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168" w:type="dxa"/>
            <w:tcBorders/>
            <w:shd w:fill="FFFFFF" w:val="clear"/>
            <w:vAlign w:val="center"/>
          </w:tcPr>
          <w:p>
            <w:pPr>
              <w:pStyle w:val="TableContents"/>
              <w:bidi w:val="0"/>
              <w:spacing w:before="0" w:after="283"/>
              <w:ind w:left="0" w:right="0" w:hanging="0"/>
              <w:jc w:val="center"/>
              <w:rPr/>
            </w:pPr>
            <w:r>
              <w:rPr>
                <w:rStyle w:val="Emphasis"/>
              </w:rPr>
              <w:t>—</w:t>
            </w:r>
          </w:p>
        </w:tc>
        <w:tc>
          <w:tcPr>
            <w:tcW w:w="159"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jc w:val="center"/>
              <w:rPr/>
            </w:pPr>
            <w:r>
              <w:rPr/>
              <w:t> </w:t>
            </w:r>
          </w:p>
        </w:tc>
        <w:tc>
          <w:tcPr>
            <w:tcW w:w="159" w:type="dxa"/>
            <w:tcBorders/>
            <w:shd w:fill="FFFFFF" w:val="clear"/>
            <w:vAlign w:val="center"/>
          </w:tcPr>
          <w:p>
            <w:pPr>
              <w:pStyle w:val="TableContents"/>
              <w:bidi w:val="0"/>
              <w:spacing w:before="0" w:after="283"/>
              <w:ind w:left="0" w:right="0" w:hanging="0"/>
              <w:jc w:val="center"/>
              <w:rPr/>
            </w:pPr>
            <w:r>
              <w:rPr/>
              <w:t> </w:t>
            </w:r>
          </w:p>
        </w:tc>
        <w:tc>
          <w:tcPr>
            <w:tcW w:w="1168"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ind w:left="0" w:right="0" w:hanging="0"/>
              <w:jc w:val="center"/>
              <w:rPr/>
            </w:pPr>
            <w:r>
              <w:rPr/>
              <w:t> </w:t>
            </w:r>
          </w:p>
        </w:tc>
        <w:tc>
          <w:tcPr>
            <w:tcW w:w="1289" w:type="dxa"/>
            <w:tcBorders/>
            <w:shd w:fill="FFFFFF" w:val="clear"/>
            <w:vAlign w:val="center"/>
          </w:tcPr>
          <w:p>
            <w:pPr>
              <w:pStyle w:val="TableContents"/>
              <w:bidi w:val="0"/>
              <w:spacing w:before="0" w:after="283"/>
              <w:ind w:left="0" w:right="0" w:hanging="0"/>
              <w:jc w:val="center"/>
              <w:rPr/>
            </w:pPr>
            <w:r>
              <w:rPr>
                <w:rStyle w:val="Emphasis"/>
              </w:rPr>
              <w:t>—</w:t>
            </w:r>
          </w:p>
        </w:tc>
        <w:tc>
          <w:tcPr>
            <w:tcW w:w="76"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ind w:left="0" w:right="0" w:hanging="0"/>
              <w:jc w:val="center"/>
              <w:rPr/>
            </w:pPr>
            <w:r>
              <w:rPr/>
              <w:t> </w:t>
            </w:r>
          </w:p>
        </w:tc>
        <w:tc>
          <w:tcPr>
            <w:tcW w:w="1289" w:type="dxa"/>
            <w:tcBorders/>
            <w:shd w:fill="FFFFFF" w:val="clear"/>
            <w:vAlign w:val="center"/>
          </w:tcPr>
          <w:p>
            <w:pPr>
              <w:pStyle w:val="TableContents"/>
              <w:bidi w:val="0"/>
              <w:spacing w:before="0" w:after="283"/>
              <w:ind w:left="0" w:right="0" w:hanging="0"/>
              <w:jc w:val="center"/>
              <w:rPr/>
            </w:pPr>
            <w:r>
              <w:rPr>
                <w:rStyle w:val="Emphasis"/>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market-based stock options on the grant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pStyle w:val="TextBody"/>
        <w:bidi w:val="0"/>
        <w:spacing w:before="0" w:after="0"/>
        <w:ind w:left="0" w:right="0" w:hanging="0"/>
        <w:jc w:val="both"/>
        <w:rPr>
          <w:caps w:val="false"/>
          <w:smallCaps w:val="false"/>
        </w:rPr>
      </w:pPr>
      <w:r>
        <w:rPr>
          <w:caps w:val="false"/>
          <w:smallCaps w:val="false"/>
        </w:rPr>
        <w:t> </w:t>
      </w:r>
    </w:p>
    <w:tbl>
      <w:tblPr>
        <w:tblW w:w="7959" w:type="dxa"/>
        <w:jc w:val="left"/>
        <w:tblInd w:w="0" w:type="dxa"/>
        <w:tblLayout w:type="fixed"/>
        <w:tblCellMar>
          <w:top w:w="0" w:type="dxa"/>
          <w:left w:w="0" w:type="dxa"/>
          <w:bottom w:w="0" w:type="dxa"/>
          <w:right w:w="0" w:type="dxa"/>
        </w:tblCellMar>
      </w:tblPr>
      <w:tblGrid>
        <w:gridCol w:w="1865"/>
        <w:gridCol w:w="60"/>
        <w:gridCol w:w="118"/>
        <w:gridCol w:w="1989"/>
        <w:gridCol w:w="118"/>
        <w:gridCol w:w="118"/>
        <w:gridCol w:w="118"/>
        <w:gridCol w:w="512"/>
        <w:gridCol w:w="60"/>
        <w:gridCol w:w="60"/>
        <w:gridCol w:w="114"/>
        <w:gridCol w:w="1929"/>
        <w:gridCol w:w="114"/>
        <w:gridCol w:w="114"/>
        <w:gridCol w:w="114"/>
        <w:gridCol w:w="496"/>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98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4.0 - 6.3</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92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4.0 - 6.3</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989"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90%</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929"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90%</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1989" w:type="dxa"/>
            <w:tcBorders/>
            <w:shd w:fill="CCEEFF" w:val="clear"/>
            <w:vAlign w:val="center"/>
          </w:tcPr>
          <w:p>
            <w:pPr>
              <w:pStyle w:val="TableContents"/>
              <w:bidi w:val="0"/>
              <w:spacing w:before="0" w:after="283"/>
              <w:ind w:left="0" w:right="0" w:hanging="0"/>
              <w:jc w:val="center"/>
              <w:rPr/>
            </w:pPr>
            <w:r>
              <w:rPr>
                <w:rStyle w:val="Emphasis"/>
                <w:rFonts w:ascii="Times New Roman" w:hAnsi="Times New Roman"/>
                <w:sz w:val="20"/>
              </w:rPr>
              <w:t>3.7%</w:t>
            </w:r>
            <w:r>
              <w:rPr>
                <w:rFonts w:ascii="Times New Roman" w:hAnsi="Times New Roman"/>
                <w:sz w:val="20"/>
              </w:rPr>
              <w:t xml:space="preserve"> - </w:t>
            </w:r>
            <w:r>
              <w:rPr>
                <w:rStyle w:val="Emphasis"/>
                <w:rFonts w:ascii="Times New Roman" w:hAnsi="Times New Roman"/>
                <w:sz w:val="20"/>
              </w:rPr>
              <w:t>3.8%</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1929" w:type="dxa"/>
            <w:tcBorders/>
            <w:shd w:fill="CCEEFF" w:val="clear"/>
            <w:vAlign w:val="center"/>
          </w:tcPr>
          <w:p>
            <w:pPr>
              <w:pStyle w:val="TableContents"/>
              <w:bidi w:val="0"/>
              <w:spacing w:before="0" w:after="283"/>
              <w:ind w:left="0" w:right="0" w:hanging="0"/>
              <w:jc w:val="center"/>
              <w:rPr/>
            </w:pPr>
            <w:r>
              <w:rPr>
                <w:rStyle w:val="Emphasis"/>
                <w:rFonts w:ascii="Times New Roman" w:hAnsi="Times New Roman"/>
                <w:sz w:val="20"/>
              </w:rPr>
              <w:t>3.4%</w:t>
            </w:r>
            <w:r>
              <w:rPr>
                <w:rFonts w:ascii="Times New Roman" w:hAnsi="Times New Roman"/>
                <w:sz w:val="20"/>
              </w:rPr>
              <w:t xml:space="preserve"> - </w:t>
            </w:r>
            <w:r>
              <w:rPr>
                <w:rStyle w:val="Emphasis"/>
                <w:rFonts w:ascii="Times New Roman" w:hAnsi="Times New Roman"/>
                <w:sz w:val="20"/>
              </w:rPr>
              <w:t>3.8%</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1989" w:type="dxa"/>
            <w:tcBorders/>
            <w:shd w:fill="FFFFFF" w:val="clear"/>
            <w:vAlign w:val="center"/>
          </w:tcPr>
          <w:p>
            <w:pPr>
              <w:pStyle w:val="TableContents"/>
              <w:bidi w:val="0"/>
              <w:spacing w:before="0" w:after="283"/>
              <w:ind w:left="0" w:right="0" w:hanging="0"/>
              <w:jc w:val="center"/>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929" w:type="dxa"/>
            <w:tcBorders/>
            <w:shd w:fill="FFFFFF" w:val="clear"/>
            <w:vAlign w:val="center"/>
          </w:tcPr>
          <w:p>
            <w:pPr>
              <w:pStyle w:val="TableContents"/>
              <w:bidi w:val="0"/>
              <w:spacing w:before="0" w:after="283"/>
              <w:ind w:left="0" w:right="0" w:hanging="0"/>
              <w:jc w:val="center"/>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496"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Employee Stock Purchase Plan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the annual share increase pursuant to the evergreen provision is determined based on the least of (i) 450,000 shares, (ii) 1.5% of the Company’s common stock outstanding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of the immediately preceding year, or (iii) such number of shares as determined by the Board. The Board waived the evergreen provision for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shares were reserved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issued 85,211 shares of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and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issued 347,681 shares of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113,318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pStyle w:val="TextBody"/>
        <w:bidi w:val="0"/>
        <w:spacing w:before="0" w:after="0"/>
        <w:ind w:left="0" w:right="0" w:hanging="0"/>
        <w:jc w:val="left"/>
        <w:rPr>
          <w:caps w:val="false"/>
          <w:smallCaps w:val="false"/>
        </w:rPr>
      </w:pPr>
      <w:r>
        <w:rPr>
          <w:caps w:val="false"/>
          <w:smallCaps w:val="false"/>
        </w:rPr>
        <w:t> </w:t>
      </w:r>
    </w:p>
    <w:tbl>
      <w:tblPr>
        <w:tblW w:w="7957" w:type="dxa"/>
        <w:jc w:val="left"/>
        <w:tblInd w:w="0" w:type="dxa"/>
        <w:tblLayout w:type="fixed"/>
        <w:tblCellMar>
          <w:top w:w="0" w:type="dxa"/>
          <w:left w:w="0" w:type="dxa"/>
          <w:bottom w:w="0" w:type="dxa"/>
          <w:right w:w="0" w:type="dxa"/>
        </w:tblCellMar>
      </w:tblPr>
      <w:tblGrid>
        <w:gridCol w:w="1865"/>
        <w:gridCol w:w="60"/>
        <w:gridCol w:w="78"/>
        <w:gridCol w:w="1329"/>
        <w:gridCol w:w="78"/>
        <w:gridCol w:w="78"/>
        <w:gridCol w:w="78"/>
        <w:gridCol w:w="1329"/>
        <w:gridCol w:w="60"/>
        <w:gridCol w:w="60"/>
        <w:gridCol w:w="76"/>
        <w:gridCol w:w="1289"/>
        <w:gridCol w:w="76"/>
        <w:gridCol w:w="76"/>
        <w:gridCol w:w="76"/>
        <w:gridCol w:w="1289"/>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3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0.5 - 1.0</w:t>
            </w:r>
          </w:p>
        </w:tc>
        <w:tc>
          <w:tcPr>
            <w:tcW w:w="78" w:type="dxa"/>
            <w:tcBorders/>
            <w:shd w:fill="CCEEFF" w:val="clear"/>
            <w:vAlign w:val="center"/>
          </w:tcPr>
          <w:p>
            <w:pPr>
              <w:pStyle w:val="TableContents"/>
              <w:bidi w:val="0"/>
              <w:spacing w:before="0" w:after="283"/>
              <w:jc w:val="center"/>
              <w:rPr/>
            </w:pPr>
            <w:r>
              <w:rPr/>
              <w:t> </w:t>
            </w:r>
          </w:p>
        </w:tc>
        <w:tc>
          <w:tcPr>
            <w:tcW w:w="78" w:type="dxa"/>
            <w:tcBorders/>
            <w:shd w:fill="CCEEFF" w:val="clear"/>
            <w:vAlign w:val="center"/>
          </w:tcPr>
          <w:p>
            <w:pPr>
              <w:pStyle w:val="TableContents"/>
              <w:bidi w:val="0"/>
              <w:spacing w:before="0" w:after="283"/>
              <w:jc w:val="center"/>
              <w:rPr/>
            </w:pPr>
            <w:r>
              <w:rPr/>
              <w:t> </w:t>
            </w:r>
          </w:p>
        </w:tc>
        <w:tc>
          <w:tcPr>
            <w:tcW w:w="78" w:type="dxa"/>
            <w:tcBorders/>
            <w:shd w:fill="CCEEFF" w:val="clear"/>
            <w:vAlign w:val="center"/>
          </w:tcPr>
          <w:p>
            <w:pPr>
              <w:pStyle w:val="TableContents"/>
              <w:bidi w:val="0"/>
              <w:spacing w:before="0" w:after="283"/>
              <w:ind w:left="0" w:right="0" w:hanging="0"/>
              <w:jc w:val="center"/>
              <w:rPr/>
            </w:pPr>
            <w:r>
              <w:rPr/>
              <w:t> </w:t>
            </w:r>
          </w:p>
        </w:tc>
        <w:tc>
          <w:tcPr>
            <w:tcW w:w="132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0.5 - 1.0</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ind w:left="0" w:right="0" w:hanging="0"/>
              <w:jc w:val="center"/>
              <w:rPr/>
            </w:pPr>
            <w:r>
              <w:rPr/>
              <w:t> </w:t>
            </w:r>
          </w:p>
        </w:tc>
        <w:tc>
          <w:tcPr>
            <w:tcW w:w="128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0.5 - 1.0</w:t>
            </w:r>
          </w:p>
        </w:tc>
        <w:tc>
          <w:tcPr>
            <w:tcW w:w="76"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ind w:left="0" w:right="0" w:hanging="0"/>
              <w:jc w:val="center"/>
              <w:rPr/>
            </w:pPr>
            <w:r>
              <w:rPr/>
              <w:t> </w:t>
            </w:r>
          </w:p>
        </w:tc>
        <w:tc>
          <w:tcPr>
            <w:tcW w:w="128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0.5 - 1.0</w:t>
            </w:r>
          </w:p>
        </w:tc>
        <w:tc>
          <w:tcPr>
            <w:tcW w:w="60" w:type="dxa"/>
            <w:tcBorders/>
            <w:shd w:fill="CCEEFF" w:val="clear"/>
            <w:vAlign w:val="center"/>
          </w:tcPr>
          <w:p>
            <w:pPr>
              <w:pStyle w:val="TableContents"/>
              <w:bidi w:val="0"/>
              <w:spacing w:before="0" w:after="283"/>
              <w:jc w:val="center"/>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ind w:left="0" w:right="0" w:hanging="0"/>
              <w:jc w:val="center"/>
              <w:rPr/>
            </w:pPr>
            <w:r>
              <w:rPr/>
              <w:t> </w:t>
            </w:r>
          </w:p>
        </w:tc>
        <w:tc>
          <w:tcPr>
            <w:tcW w:w="1329"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83%</w:t>
            </w:r>
          </w:p>
        </w:tc>
        <w:tc>
          <w:tcPr>
            <w:tcW w:w="78"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ind w:left="0" w:right="0" w:hanging="0"/>
              <w:jc w:val="center"/>
              <w:rPr/>
            </w:pPr>
            <w:r>
              <w:rPr/>
              <w:t> </w:t>
            </w:r>
          </w:p>
        </w:tc>
        <w:tc>
          <w:tcPr>
            <w:tcW w:w="1329"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ind w:left="0" w:right="0" w:hanging="0"/>
              <w:jc w:val="center"/>
              <w:rPr/>
            </w:pPr>
            <w:r>
              <w:rPr/>
              <w:t> </w:t>
            </w:r>
          </w:p>
        </w:tc>
        <w:tc>
          <w:tcPr>
            <w:tcW w:w="1289"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83%</w:t>
            </w:r>
          </w:p>
        </w:tc>
        <w:tc>
          <w:tcPr>
            <w:tcW w:w="76"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ind w:left="0" w:right="0" w:hanging="0"/>
              <w:jc w:val="center"/>
              <w:rPr/>
            </w:pPr>
            <w:r>
              <w:rPr/>
              <w:t> </w:t>
            </w:r>
          </w:p>
        </w:tc>
        <w:tc>
          <w:tcPr>
            <w:tcW w:w="1289"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83%</w:t>
            </w:r>
          </w:p>
        </w:tc>
        <w:tc>
          <w:tcPr>
            <w:tcW w:w="60" w:type="dxa"/>
            <w:tcBorders/>
            <w:shd w:fill="FFFFFF" w:val="clear"/>
            <w:vAlign w:val="center"/>
          </w:tcPr>
          <w:p>
            <w:pPr>
              <w:pStyle w:val="TableContents"/>
              <w:bidi w:val="0"/>
              <w:spacing w:before="0" w:after="283"/>
              <w:jc w:val="center"/>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center"/>
              <w:rPr/>
            </w:pPr>
            <w:r>
              <w:rPr/>
              <w:t> </w:t>
            </w:r>
          </w:p>
        </w:tc>
        <w:tc>
          <w:tcPr>
            <w:tcW w:w="78" w:type="dxa"/>
            <w:tcBorders/>
            <w:shd w:fill="CCEEFF" w:val="clear"/>
            <w:vAlign w:val="center"/>
          </w:tcPr>
          <w:p>
            <w:pPr>
              <w:pStyle w:val="TableContents"/>
              <w:bidi w:val="0"/>
              <w:spacing w:before="0" w:after="283"/>
              <w:ind w:left="0" w:right="0" w:hanging="0"/>
              <w:jc w:val="center"/>
              <w:rPr/>
            </w:pPr>
            <w:r>
              <w:rPr/>
              <w:t> </w:t>
            </w:r>
          </w:p>
        </w:tc>
        <w:tc>
          <w:tcPr>
            <w:tcW w:w="132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5.4% - 5.5%</w:t>
            </w:r>
          </w:p>
        </w:tc>
        <w:tc>
          <w:tcPr>
            <w:tcW w:w="78" w:type="dxa"/>
            <w:tcBorders/>
            <w:shd w:fill="CCEEFF" w:val="clear"/>
            <w:vAlign w:val="center"/>
          </w:tcPr>
          <w:p>
            <w:pPr>
              <w:pStyle w:val="TableContents"/>
              <w:bidi w:val="0"/>
              <w:spacing w:before="0" w:after="283"/>
              <w:jc w:val="center"/>
              <w:rPr/>
            </w:pPr>
            <w:r>
              <w:rPr/>
              <w:t> </w:t>
            </w:r>
          </w:p>
        </w:tc>
        <w:tc>
          <w:tcPr>
            <w:tcW w:w="78" w:type="dxa"/>
            <w:tcBorders/>
            <w:shd w:fill="CCEEFF" w:val="clear"/>
            <w:vAlign w:val="center"/>
          </w:tcPr>
          <w:p>
            <w:pPr>
              <w:pStyle w:val="TableContents"/>
              <w:bidi w:val="0"/>
              <w:spacing w:before="0" w:after="283"/>
              <w:jc w:val="center"/>
              <w:rPr/>
            </w:pPr>
            <w:r>
              <w:rPr/>
              <w:t> </w:t>
            </w:r>
          </w:p>
        </w:tc>
        <w:tc>
          <w:tcPr>
            <w:tcW w:w="78" w:type="dxa"/>
            <w:tcBorders/>
            <w:shd w:fill="CCEEFF" w:val="clear"/>
            <w:vAlign w:val="center"/>
          </w:tcPr>
          <w:p>
            <w:pPr>
              <w:pStyle w:val="TableContents"/>
              <w:bidi w:val="0"/>
              <w:spacing w:before="0" w:after="283"/>
              <w:ind w:left="0" w:right="0" w:hanging="0"/>
              <w:jc w:val="center"/>
              <w:rPr/>
            </w:pPr>
            <w:r>
              <w:rPr/>
              <w:t> </w:t>
            </w:r>
          </w:p>
        </w:tc>
        <w:tc>
          <w:tcPr>
            <w:tcW w:w="132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3.3% - 3.5%</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ind w:left="0" w:right="0" w:hanging="0"/>
              <w:jc w:val="center"/>
              <w:rPr/>
            </w:pPr>
            <w:r>
              <w:rPr/>
              <w:t> </w:t>
            </w:r>
          </w:p>
        </w:tc>
        <w:tc>
          <w:tcPr>
            <w:tcW w:w="128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5.1% - 5.5%</w:t>
            </w:r>
          </w:p>
        </w:tc>
        <w:tc>
          <w:tcPr>
            <w:tcW w:w="76"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jc w:val="center"/>
              <w:rPr/>
            </w:pPr>
            <w:r>
              <w:rPr/>
              <w:t> </w:t>
            </w:r>
          </w:p>
        </w:tc>
        <w:tc>
          <w:tcPr>
            <w:tcW w:w="76" w:type="dxa"/>
            <w:tcBorders/>
            <w:shd w:fill="CCEEFF" w:val="clear"/>
            <w:vAlign w:val="center"/>
          </w:tcPr>
          <w:p>
            <w:pPr>
              <w:pStyle w:val="TableContents"/>
              <w:bidi w:val="0"/>
              <w:spacing w:before="0" w:after="283"/>
              <w:ind w:left="0" w:right="0" w:hanging="0"/>
              <w:jc w:val="center"/>
              <w:rPr/>
            </w:pPr>
            <w:r>
              <w:rPr/>
              <w:t> </w:t>
            </w:r>
          </w:p>
        </w:tc>
        <w:tc>
          <w:tcPr>
            <w:tcW w:w="1289"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0.6% - 3.5%</w:t>
            </w:r>
          </w:p>
        </w:tc>
        <w:tc>
          <w:tcPr>
            <w:tcW w:w="60" w:type="dxa"/>
            <w:tcBorders/>
            <w:shd w:fill="CCEEFF" w:val="clear"/>
            <w:vAlign w:val="center"/>
          </w:tcPr>
          <w:p>
            <w:pPr>
              <w:pStyle w:val="TableContents"/>
              <w:bidi w:val="0"/>
              <w:spacing w:before="0" w:after="283"/>
              <w:jc w:val="center"/>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ind w:left="0" w:right="0" w:hanging="0"/>
              <w:jc w:val="center"/>
              <w:rPr/>
            </w:pPr>
            <w:r>
              <w:rPr/>
              <w:t> </w:t>
            </w:r>
          </w:p>
        </w:tc>
        <w:tc>
          <w:tcPr>
            <w:tcW w:w="1329" w:type="dxa"/>
            <w:tcBorders/>
            <w:shd w:fill="FFFFFF" w:val="clear"/>
            <w:vAlign w:val="center"/>
          </w:tcPr>
          <w:p>
            <w:pPr>
              <w:pStyle w:val="TableContents"/>
              <w:bidi w:val="0"/>
              <w:spacing w:before="0" w:after="283"/>
              <w:ind w:left="0" w:right="0" w:hanging="0"/>
              <w:jc w:val="center"/>
              <w:rPr/>
            </w:pPr>
            <w:r>
              <w:rPr/>
              <w:t>—</w:t>
            </w:r>
          </w:p>
        </w:tc>
        <w:tc>
          <w:tcPr>
            <w:tcW w:w="78"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jc w:val="center"/>
              <w:rPr/>
            </w:pPr>
            <w:r>
              <w:rPr/>
              <w:t> </w:t>
            </w:r>
          </w:p>
        </w:tc>
        <w:tc>
          <w:tcPr>
            <w:tcW w:w="78" w:type="dxa"/>
            <w:tcBorders/>
            <w:shd w:fill="FFFFFF" w:val="clear"/>
            <w:vAlign w:val="center"/>
          </w:tcPr>
          <w:p>
            <w:pPr>
              <w:pStyle w:val="TableContents"/>
              <w:bidi w:val="0"/>
              <w:spacing w:before="0" w:after="283"/>
              <w:ind w:left="0" w:right="0" w:hanging="0"/>
              <w:jc w:val="center"/>
              <w:rPr/>
            </w:pPr>
            <w:r>
              <w:rPr/>
              <w:t> </w:t>
            </w:r>
          </w:p>
        </w:tc>
        <w:tc>
          <w:tcPr>
            <w:tcW w:w="1329"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ind w:left="0" w:right="0" w:hanging="0"/>
              <w:jc w:val="center"/>
              <w:rPr/>
            </w:pPr>
            <w:r>
              <w:rPr/>
              <w:t> </w:t>
            </w:r>
          </w:p>
        </w:tc>
        <w:tc>
          <w:tcPr>
            <w:tcW w:w="1289" w:type="dxa"/>
            <w:tcBorders/>
            <w:shd w:fill="FFFFFF" w:val="clear"/>
            <w:vAlign w:val="center"/>
          </w:tcPr>
          <w:p>
            <w:pPr>
              <w:pStyle w:val="TableContents"/>
              <w:bidi w:val="0"/>
              <w:spacing w:before="0" w:after="283"/>
              <w:ind w:left="0" w:right="0" w:hanging="0"/>
              <w:jc w:val="center"/>
              <w:rPr/>
            </w:pPr>
            <w:r>
              <w:rPr/>
              <w:t>—</w:t>
            </w:r>
          </w:p>
        </w:tc>
        <w:tc>
          <w:tcPr>
            <w:tcW w:w="76"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jc w:val="center"/>
              <w:rPr/>
            </w:pPr>
            <w:r>
              <w:rPr/>
              <w:t> </w:t>
            </w:r>
          </w:p>
        </w:tc>
        <w:tc>
          <w:tcPr>
            <w:tcW w:w="76" w:type="dxa"/>
            <w:tcBorders/>
            <w:shd w:fill="FFFFFF" w:val="clear"/>
            <w:vAlign w:val="center"/>
          </w:tcPr>
          <w:p>
            <w:pPr>
              <w:pStyle w:val="TableContents"/>
              <w:bidi w:val="0"/>
              <w:spacing w:before="0" w:after="283"/>
              <w:ind w:left="0" w:right="0" w:hanging="0"/>
              <w:jc w:val="center"/>
              <w:rPr/>
            </w:pPr>
            <w:r>
              <w:rPr/>
              <w:t> </w:t>
            </w:r>
          </w:p>
        </w:tc>
        <w:tc>
          <w:tcPr>
            <w:tcW w:w="1289"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9467" w:type="dxa"/>
        <w:jc w:val="left"/>
        <w:tblInd w:w="0" w:type="dxa"/>
        <w:tblLayout w:type="fixed"/>
        <w:tblCellMar>
          <w:top w:w="0" w:type="dxa"/>
          <w:left w:w="0" w:type="dxa"/>
          <w:bottom w:w="0" w:type="dxa"/>
          <w:right w:w="0" w:type="dxa"/>
        </w:tblCellMar>
      </w:tblPr>
      <w:tblGrid>
        <w:gridCol w:w="3350"/>
        <w:gridCol w:w="60"/>
        <w:gridCol w:w="312"/>
        <w:gridCol w:w="1212"/>
        <w:gridCol w:w="150"/>
        <w:gridCol w:w="150"/>
        <w:gridCol w:w="312"/>
        <w:gridCol w:w="837"/>
        <w:gridCol w:w="80"/>
        <w:gridCol w:w="60"/>
        <w:gridCol w:w="269"/>
        <w:gridCol w:w="1044"/>
        <w:gridCol w:w="129"/>
        <w:gridCol w:w="129"/>
        <w:gridCol w:w="269"/>
        <w:gridCol w:w="1044"/>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2" w:type="dxa"/>
            <w:tcBorders/>
            <w:shd w:fill="CCEEFF" w:val="clear"/>
            <w:vAlign w:val="center"/>
          </w:tcPr>
          <w:p>
            <w:pPr>
              <w:pStyle w:val="TableContents"/>
              <w:bidi w:val="0"/>
              <w:spacing w:before="0" w:after="283"/>
              <w:ind w:left="0" w:right="0" w:hanging="0"/>
              <w:jc w:val="righ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982</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1,758</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ind w:left="0" w:right="0" w:hanging="0"/>
              <w:jc w:val="left"/>
              <w:rPr/>
            </w:pPr>
            <w:r>
              <w:rPr/>
              <w:t> </w:t>
            </w:r>
          </w:p>
        </w:tc>
        <w:tc>
          <w:tcPr>
            <w:tcW w:w="1212" w:type="dxa"/>
            <w:tcBorders/>
            <w:shd w:fill="CCEEFF" w:val="clear"/>
            <w:vAlign w:val="center"/>
          </w:tcPr>
          <w:p>
            <w:pPr>
              <w:pStyle w:val="TableContents"/>
              <w:bidi w:val="0"/>
              <w:spacing w:before="0" w:after="283"/>
              <w:ind w:left="0" w:right="0" w:hanging="0"/>
              <w:jc w:val="righ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ind w:left="0" w:right="0" w:hanging="0"/>
              <w:jc w:val="left"/>
              <w:rPr/>
            </w:pPr>
            <w:r>
              <w:rPr/>
              <w:t> </w:t>
            </w:r>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pPr>
            <w:r>
              <w:rPr/>
              <w:t>—</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772</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2,079</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2,227</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1,798</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3,837</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 of the performance conditions of the performance options are probable to be achieved. Compensation expense has only been recognized for those conditions that are assumed to be probable.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by type was as follows (in thousands):</w:t>
      </w:r>
    </w:p>
    <w:p>
      <w:pPr>
        <w:pStyle w:val="TextBody"/>
        <w:bidi w:val="0"/>
        <w:spacing w:before="0" w:after="0"/>
        <w:ind w:left="0" w:right="0" w:hanging="0"/>
        <w:jc w:val="left"/>
        <w:rPr>
          <w:caps w:val="false"/>
          <w:smallCaps w:val="false"/>
        </w:rPr>
      </w:pPr>
      <w:r>
        <w:rPr>
          <w:caps w:val="false"/>
          <w:smallCaps w:val="false"/>
        </w:rPr>
        <w:t> </w:t>
      </w:r>
    </w:p>
    <w:tbl>
      <w:tblPr>
        <w:tblW w:w="9777" w:type="dxa"/>
        <w:jc w:val="left"/>
        <w:tblInd w:w="0" w:type="dxa"/>
        <w:tblLayout w:type="fixed"/>
        <w:tblCellMar>
          <w:top w:w="0" w:type="dxa"/>
          <w:left w:w="0" w:type="dxa"/>
          <w:bottom w:w="0" w:type="dxa"/>
          <w:right w:w="0" w:type="dxa"/>
        </w:tblCellMar>
      </w:tblPr>
      <w:tblGrid>
        <w:gridCol w:w="3680"/>
        <w:gridCol w:w="60"/>
        <w:gridCol w:w="312"/>
        <w:gridCol w:w="1212"/>
        <w:gridCol w:w="150"/>
        <w:gridCol w:w="150"/>
        <w:gridCol w:w="312"/>
        <w:gridCol w:w="837"/>
        <w:gridCol w:w="60"/>
        <w:gridCol w:w="60"/>
        <w:gridCol w:w="269"/>
        <w:gridCol w:w="1044"/>
        <w:gridCol w:w="129"/>
        <w:gridCol w:w="129"/>
        <w:gridCol w:w="269"/>
        <w:gridCol w:w="1044"/>
        <w:gridCol w:w="60"/>
      </w:tblGrid>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1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Time-based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2,754</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3,814</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Performance-based and market-based options</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12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8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ESPP</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1,798</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3,837</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Research Grants and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Sponsored Research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sponsor research activities (“SRAs”) performed by ODURF. ODURF is compensated by the Company for its conduct of each study in accordance with the budget and payment terms set forth in the applicable task order.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the Company agreed to sponsor a task order in the amount of $0.3 million for research performed during the subsequent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 to be funded through monthly payments to ODURF.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Company agreed to sponsor an additional task order in the amount of $0.3 million for research performed during the subsequent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 These SRAs are funded through monthly payments to ODURF. Payments will be made upon ODURF certifying, to the Company’s reasonable satisfaction, that ODURF has met its obligations pursuant to the specified task order and statement of work. The principal investigator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transfer funds with the budget as needed without the Company’s approval so long as the obligations of ODURF under the task order and statement of work remain unchanged and unimpaired.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did not incur any costs relating to the SRAs.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nine</w:t>
      </w:r>
      <w:r>
        <w:rPr>
          <w:rFonts w:ascii="Times New Roman" w:hAnsi="Times New Roman"/>
          <w:caps w:val="false"/>
          <w:smallCaps w:val="false"/>
          <w:sz w:val="20"/>
        </w:rPr>
        <w:t>-month periods ended </w:t>
      </w:r>
      <w:r>
        <w:rPr>
          <w:rStyle w:val="Emphasis"/>
          <w:rFonts w:ascii="Times New Roman" w:hAnsi="Times New Roman"/>
          <w:caps w:val="false"/>
          <w:smallCaps w:val="false"/>
          <w:sz w:val="20"/>
        </w:rPr>
        <w:t xml:space="preserve"> September 30, 2022</w:t>
      </w:r>
      <w:r>
        <w:rPr>
          <w:rFonts w:ascii="Times New Roman" w:hAnsi="Times New Roman"/>
          <w:caps w:val="false"/>
          <w:smallCaps w:val="false"/>
          <w:sz w:val="20"/>
        </w:rPr>
        <w:t>, the Company recorded costs relating to the SRAs equal to zero and $0.2 million, respectively. As of </w:t>
      </w:r>
      <w:r>
        <w:rPr>
          <w:rStyle w:val="Emphasis"/>
          <w:rFonts w:ascii="Times New Roman" w:hAnsi="Times New Roman"/>
          <w:caps w:val="false"/>
          <w:smallCaps w:val="false"/>
          <w:sz w:val="20"/>
        </w:rPr>
        <w:t xml:space="preserve"> September 30, 2023</w:t>
      </w:r>
      <w:r>
        <w:rPr>
          <w:rFonts w:ascii="Times New Roman" w:hAnsi="Times New Roman"/>
          <w:caps w:val="false"/>
          <w:smallCaps w:val="false"/>
          <w:sz w:val="20"/>
        </w:rPr>
        <w:t xml:space="preserv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active SRAs with ODURF.</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 and Contingencies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2022</w:t>
      </w:r>
      <w:r>
        <w:rPr>
          <w:rFonts w:ascii="Times New Roman" w:hAnsi="Times New Roman"/>
          <w:b/>
          <w:i/>
          <w:caps w:val="false"/>
          <w:smallCaps w:val="false"/>
          <w:sz w:val="20"/>
        </w:rPr>
        <w:t xml:space="preserve"> Loan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Robert W. Duggan, the Company's majority stockholder and Executive Chairman, entered into a Loan Agreement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in connection with Mr. Duggan lending the principal sum of $65.0 million to the Company. The Loan Agreement bore interest at a rate per annum equal to 5.0%, payable quarterly commencing on </w:t>
      </w:r>
      <w:r>
        <w:rPr>
          <w:rStyle w:val="Emphasis"/>
          <w:rFonts w:ascii="Times New Roman" w:hAnsi="Times New Roman"/>
          <w:caps w:val="false"/>
          <w:smallCaps w:val="false"/>
          <w:sz w:val="20"/>
        </w:rPr>
        <w:t xml:space="preserve"> January 1,</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 with the principal sum payable on </w:t>
      </w:r>
      <w:r>
        <w:rPr>
          <w:rStyle w:val="Emphasis"/>
          <w:rFonts w:ascii="Times New Roman" w:hAnsi="Times New Roman"/>
          <w:caps w:val="false"/>
          <w:smallCaps w:val="false"/>
          <w:sz w:val="20"/>
        </w:rPr>
        <w:t xml:space="preserve"> March 20, 2024.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17, 2023, </w:t>
      </w:r>
      <w:r>
        <w:rPr>
          <w:rFonts w:ascii="Times New Roman" w:hAnsi="Times New Roman"/>
          <w:caps w:val="false"/>
          <w:smallCaps w:val="false"/>
          <w:sz w:val="20"/>
        </w:rPr>
        <w:t>the Company and Mr. Duggan amended certain terms of the Loan Agreement.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interest rate, but the principal sum repayment date was changed to </w:t>
      </w:r>
      <w:r>
        <w:rPr>
          <w:rStyle w:val="Emphasis"/>
          <w:rFonts w:ascii="Times New Roman" w:hAnsi="Times New Roman"/>
          <w:caps w:val="false"/>
          <w:smallCaps w:val="false"/>
          <w:sz w:val="20"/>
        </w:rPr>
        <w:t>September 30, 2024.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made cash payments of $1.7 million for accrued interest on the loan, and recorded an additional $1.1 million of interest expense in relation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On </w:t>
      </w:r>
      <w:r>
        <w:rPr>
          <w:rStyle w:val="Emphasis"/>
          <w:rFonts w:ascii="Times New Roman" w:hAnsi="Times New Roman"/>
          <w:caps w:val="false"/>
          <w:smallCaps w:val="false"/>
          <w:sz w:val="20"/>
        </w:rPr>
        <w:t xml:space="preserve">April 30, 2023, </w:t>
      </w:r>
      <w:r>
        <w:rPr>
          <w:rFonts w:ascii="Times New Roman" w:hAnsi="Times New Roman"/>
          <w:caps w:val="false"/>
          <w:smallCaps w:val="false"/>
          <w:sz w:val="20"/>
        </w:rPr>
        <w:t xml:space="preserve">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the principal sum of $65.0 million and all accrued and unpaid interest outstanding, which totaled approximately $0.2 million as of </w:t>
      </w:r>
      <w:r>
        <w:rPr>
          <w:rStyle w:val="Emphasis"/>
          <w:rFonts w:ascii="Times New Roman" w:hAnsi="Times New Roman"/>
          <w:caps w:val="false"/>
          <w:smallCaps w:val="false"/>
          <w:sz w:val="20"/>
        </w:rPr>
        <w:t>April 30, 2023. </w:t>
      </w:r>
      <w:r>
        <w:rPr>
          <w:rFonts w:ascii="Times New Roman" w:hAnsi="Times New Roman"/>
          <w:caps w:val="false"/>
          <w:smallCaps w:val="false"/>
          <w:sz w:val="20"/>
        </w:rPr>
        <w:t xml:space="preserve">The parties completed the Private Placement 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and, upon closing and satisfaction of the outstanding debt,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terminated, without early termination fees or penalties being owed by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amounts are owed to Mr. Duggan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2017, </w:t>
      </w:r>
      <w:r>
        <w:rPr>
          <w:rFonts w:ascii="Times New Roman" w:hAnsi="Times New Roman"/>
          <w:caps w:val="false"/>
          <w:smallCaps w:val="false"/>
          <w:sz w:val="20"/>
        </w:rPr>
        <w:t xml:space="preserve">the Company entered into a five-year lease (the “Existing Lease”) for approximately 15,700 square feet for its corporate headquarters located in Hayward, California. The lease commenced in </w:t>
      </w:r>
      <w:r>
        <w:rPr>
          <w:rStyle w:val="Emphasis"/>
          <w:rFonts w:ascii="Times New Roman" w:hAnsi="Times New Roman"/>
          <w:caps w:val="false"/>
          <w:smallCaps w:val="false"/>
          <w:sz w:val="20"/>
        </w:rPr>
        <w:t>July 2017.</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2019, </w:t>
      </w:r>
      <w:r>
        <w:rPr>
          <w:rFonts w:ascii="Times New Roman" w:hAnsi="Times New Roman"/>
          <w:caps w:val="false"/>
          <w:smallCaps w:val="false"/>
          <w:sz w:val="20"/>
        </w:rPr>
        <w:t xml:space="preserve">the Company entered into Lease Amendment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“Lease Amendment”) in relation to the Existing Lease and added the lease of new premises of approximately 13,300 square feet and 21,300 square feet,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respectively). Additionally, the term of the Existing Lease was extended to </w:t>
      </w:r>
      <w:r>
        <w:rPr>
          <w:rStyle w:val="Emphasis"/>
          <w:rFonts w:ascii="Times New Roman" w:hAnsi="Times New Roman"/>
          <w:caps w:val="false"/>
          <w:smallCaps w:val="false"/>
          <w:sz w:val="20"/>
        </w:rPr>
        <w:t xml:space="preserve">October 2029 </w:t>
      </w:r>
      <w:r>
        <w:rPr>
          <w:rFonts w:ascii="Times New Roman" w:hAnsi="Times New Roman"/>
          <w:caps w:val="false"/>
          <w:smallCaps w:val="false"/>
          <w:sz w:val="20"/>
        </w:rPr>
        <w:t xml:space="preserve">to be coterminous with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Expansion Premises </w:t>
      </w:r>
      <w:r>
        <w:rPr>
          <w:rStyle w:val="Emphasis"/>
          <w:rFonts w:ascii="Times New Roman" w:hAnsi="Times New Roman"/>
          <w:caps w:val="false"/>
          <w:smallCaps w:val="false"/>
          <w:sz w:val="20"/>
        </w:rPr>
        <w:t>2.</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evaluated the lease amendment under the provisions of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It concluded that the Lease Amendment would be accounted for as a single contract with the Existing Lease because the additional lease payments due to the Lease Amendment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commensurate with the right-of-use asset granted to the Company. Though the Lease Amendment was accounted for as a single contract, the Existing Premises,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(occupied in </w:t>
      </w:r>
      <w:r>
        <w:rPr>
          <w:rStyle w:val="Emphasis"/>
          <w:rFonts w:ascii="Times New Roman" w:hAnsi="Times New Roman"/>
          <w:caps w:val="false"/>
          <w:smallCaps w:val="false"/>
          <w:sz w:val="20"/>
        </w:rPr>
        <w:t xml:space="preserve">November 2019) </w:t>
      </w:r>
      <w:r>
        <w:rPr>
          <w:rFonts w:ascii="Times New Roman" w:hAnsi="Times New Roman"/>
          <w:caps w:val="false"/>
          <w:smallCaps w:val="false"/>
          <w:sz w:val="20"/>
        </w:rPr>
        <w:t xml:space="preserve">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(occupied in </w:t>
      </w:r>
      <w:r>
        <w:rPr>
          <w:rStyle w:val="Emphasis"/>
          <w:rFonts w:ascii="Times New Roman" w:hAnsi="Times New Roman"/>
          <w:caps w:val="false"/>
          <w:smallCaps w:val="false"/>
          <w:sz w:val="20"/>
        </w:rPr>
        <w:t xml:space="preserve">May 2020) </w:t>
      </w:r>
      <w:r>
        <w:rPr>
          <w:rFonts w:ascii="Times New Roman" w:hAnsi="Times New Roman"/>
          <w:caps w:val="false"/>
          <w:smallCaps w:val="false"/>
          <w:sz w:val="20"/>
        </w:rPr>
        <w:t>are accounted for as separate lease components. Accordingly, the Company measured and allocated consideration to each lease component as of the modification date.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(in thousands):</w:t>
      </w:r>
    </w:p>
    <w:p>
      <w:pPr>
        <w:pStyle w:val="TextBody"/>
        <w:bidi w:val="0"/>
        <w:spacing w:before="0" w:after="0"/>
        <w:ind w:left="0" w:right="0" w:hanging="0"/>
        <w:jc w:val="left"/>
        <w:rPr>
          <w:caps w:val="false"/>
          <w:smallCaps w:val="false"/>
        </w:rPr>
      </w:pPr>
      <w:r>
        <w:rPr>
          <w:caps w:val="false"/>
          <w:smallCaps w:val="false"/>
        </w:rPr>
        <w:t> </w:t>
      </w:r>
    </w:p>
    <w:tbl>
      <w:tblPr>
        <w:tblW w:w="4123" w:type="dxa"/>
        <w:jc w:val="left"/>
        <w:tblInd w:w="0" w:type="dxa"/>
        <w:tblLayout w:type="fixed"/>
        <w:tblCellMar>
          <w:top w:w="0" w:type="dxa"/>
          <w:left w:w="0" w:type="dxa"/>
          <w:bottom w:w="0" w:type="dxa"/>
          <w:right w:w="0" w:type="dxa"/>
        </w:tblCellMar>
      </w:tblPr>
      <w:tblGrid>
        <w:gridCol w:w="1550"/>
        <w:gridCol w:w="60"/>
        <w:gridCol w:w="243"/>
        <w:gridCol w:w="946"/>
        <w:gridCol w:w="60"/>
        <w:gridCol w:w="60"/>
        <w:gridCol w:w="234"/>
        <w:gridCol w:w="910"/>
        <w:gridCol w:w="60"/>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668" w:type="dxa"/>
        <w:jc w:val="left"/>
        <w:tblInd w:w="0" w:type="dxa"/>
        <w:tblLayout w:type="fixed"/>
        <w:tblCellMar>
          <w:top w:w="0" w:type="dxa"/>
          <w:left w:w="0" w:type="dxa"/>
          <w:bottom w:w="0" w:type="dxa"/>
          <w:right w:w="0" w:type="dxa"/>
        </w:tblCellMar>
      </w:tblPr>
      <w:tblGrid>
        <w:gridCol w:w="3095"/>
        <w:gridCol w:w="60"/>
        <w:gridCol w:w="243"/>
        <w:gridCol w:w="946"/>
        <w:gridCol w:w="60"/>
        <w:gridCol w:w="60"/>
        <w:gridCol w:w="199"/>
        <w:gridCol w:w="945"/>
        <w:gridCol w:w="60"/>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Total cash paid for operating lease liabilities (in thousands):</w:t>
      </w:r>
    </w:p>
    <w:p>
      <w:pPr>
        <w:pStyle w:val="TextBody"/>
        <w:bidi w:val="0"/>
        <w:spacing w:before="0" w:after="0"/>
        <w:ind w:left="520" w:right="0" w:hanging="0"/>
        <w:jc w:val="left"/>
        <w:rPr>
          <w:caps w:val="false"/>
          <w:smallCaps w:val="false"/>
        </w:rPr>
      </w:pPr>
      <w:r>
        <w:rPr>
          <w:caps w:val="false"/>
          <w:smallCaps w:val="false"/>
        </w:rPr>
        <w:t> </w:t>
      </w:r>
    </w:p>
    <w:tbl>
      <w:tblPr>
        <w:tblW w:w="6204" w:type="dxa"/>
        <w:jc w:val="left"/>
        <w:tblInd w:w="0" w:type="dxa"/>
        <w:tblLayout w:type="fixed"/>
        <w:tblCellMar>
          <w:top w:w="0" w:type="dxa"/>
          <w:left w:w="0" w:type="dxa"/>
          <w:bottom w:w="0" w:type="dxa"/>
          <w:right w:w="0" w:type="dxa"/>
        </w:tblCellMar>
      </w:tblPr>
      <w:tblGrid>
        <w:gridCol w:w="3200"/>
        <w:gridCol w:w="60"/>
        <w:gridCol w:w="269"/>
        <w:gridCol w:w="1044"/>
        <w:gridCol w:w="129"/>
        <w:gridCol w:w="129"/>
        <w:gridCol w:w="269"/>
        <w:gridCol w:w="1044"/>
        <w:gridCol w:w="6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1,376</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Maturities of operating lease liabilities were as follows (in thousands):</w:t>
      </w:r>
    </w:p>
    <w:p>
      <w:pPr>
        <w:pStyle w:val="TextBody"/>
        <w:bidi w:val="0"/>
        <w:spacing w:before="0" w:after="0"/>
        <w:ind w:left="16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2225"/>
        <w:gridCol w:w="60"/>
        <w:gridCol w:w="125"/>
        <w:gridCol w:w="590"/>
        <w:gridCol w:w="80"/>
      </w:tblGrid>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(remaining 3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2,046</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2,117</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4,075</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12,594</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pPr>
      <w:r>
        <w:rPr>
          <w:rFonts w:ascii="Times New Roman" w:hAnsi="Times New Roman"/>
          <w:caps w:val="false"/>
          <w:smallCaps w:val="false"/>
          <w:sz w:val="20"/>
        </w:rPr>
        <w:t xml:space="preserve">Weighted-average remaining lease term and discount rate,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were as follows:</w:t>
      </w:r>
    </w:p>
    <w:p>
      <w:pPr>
        <w:pStyle w:val="TextBody"/>
        <w:bidi w:val="0"/>
        <w:spacing w:before="0" w:after="0"/>
        <w:ind w:left="52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3230"/>
        <w:gridCol w:w="60"/>
        <w:gridCol w:w="60"/>
        <w:gridCol w:w="380"/>
        <w:gridCol w:w="185"/>
      </w:tblGrid>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Rent expense, including common area maintenance charges, was approximately $0.6 million and $0.5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,respectively; and was approximately $1.7 million and $1.5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September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From time to time, we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provide coverage for such matters, including customary employment practices liability insurance.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2022, </w:t>
      </w:r>
      <w:r>
        <w:rPr>
          <w:rFonts w:ascii="Times New Roman" w:hAnsi="Times New Roman"/>
          <w:caps w:val="false"/>
          <w:smallCaps w:val="false"/>
          <w:sz w:val="20"/>
        </w:rPr>
        <w:t>the employment of our former Chief Financial Officer, Sandra Gardiner, terminated. Ms. Gardiner’s departure was </w:t>
      </w:r>
      <w:r>
        <w:rPr>
          <w:rStyle w:val="Emphasis"/>
          <w:rFonts w:ascii="Times New Roman" w:hAnsi="Times New Roman"/>
          <w:caps w:val="false"/>
          <w:smallCaps w:val="false"/>
          <w:sz w:val="20"/>
        </w:rPr>
        <w:t>not</w:t>
      </w:r>
      <w:r>
        <w:rPr>
          <w:rFonts w:ascii="Times New Roman" w:hAnsi="Times New Roman"/>
          <w:caps w:val="false"/>
          <w:smallCaps w:val="false"/>
          <w:sz w:val="20"/>
        </w:rPr>
        <w:t> the result of any disagreement with the Company on any matter relating to its operations, accounting policies or practices, although the Company determined that she was </w:t>
      </w:r>
      <w:r>
        <w:rPr>
          <w:rStyle w:val="Emphasis"/>
          <w:rFonts w:ascii="Times New Roman" w:hAnsi="Times New Roman"/>
          <w:caps w:val="false"/>
          <w:smallCaps w:val="false"/>
          <w:sz w:val="20"/>
        </w:rPr>
        <w:t>not</w:t>
      </w:r>
      <w:r>
        <w:rPr>
          <w:rFonts w:ascii="Times New Roman" w:hAnsi="Times New Roman"/>
          <w:caps w:val="false"/>
          <w:smallCaps w:val="false"/>
          <w:sz w:val="20"/>
        </w:rPr>
        <w:t> eligible to receive any severance benefits under the terms and conditions of her then existing employment agreement. In </w:t>
      </w:r>
      <w:r>
        <w:rPr>
          <w:rStyle w:val="Emphasis"/>
          <w:rFonts w:ascii="Times New Roman" w:hAnsi="Times New Roman"/>
          <w:caps w:val="false"/>
          <w:smallCaps w:val="false"/>
          <w:sz w:val="20"/>
        </w:rPr>
        <w:t xml:space="preserve"> March 2023, </w:t>
      </w:r>
      <w:r>
        <w:rPr>
          <w:rFonts w:ascii="Times New Roman" w:hAnsi="Times New Roman"/>
          <w:caps w:val="false"/>
          <w:smallCaps w:val="false"/>
          <w:sz w:val="20"/>
        </w:rPr>
        <w:t>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that is in its early stages,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adversely affect our consolidated position, results of operations, or cash flows and that a liability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at this time.</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Controlled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February 2021, </w:t>
      </w:r>
      <w:r>
        <w:rPr>
          <w:rFonts w:ascii="Times New Roman" w:hAnsi="Times New Roman"/>
          <w:caps w:val="false"/>
          <w:smallCaps w:val="false"/>
          <w:sz w:val="20"/>
        </w:rPr>
        <w:t>the Company received </w:t>
      </w:r>
      <w:r>
        <w:rPr>
          <w:rStyle w:val="Emphasis"/>
          <w:rFonts w:ascii="Times New Roman" w:hAnsi="Times New Roman"/>
          <w:caps w:val="false"/>
          <w:smallCaps w:val="false"/>
          <w:sz w:val="20"/>
        </w:rPr>
        <w:t>510</w:t>
      </w:r>
      <w:r>
        <w:rPr>
          <w:rFonts w:ascii="Times New Roman" w:hAnsi="Times New Roman"/>
          <w:caps w:val="false"/>
          <w:smallCaps w:val="false"/>
          <w:sz w:val="20"/>
        </w:rPr>
        <w:t>(k) clearance from the FDA for its proprietary CellFX System for dermatologic procedures requiring ablation and resurfacing of the skin. In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the Company received CE marking approval for the CellFX System, which allows for marketing of the system in the EU for treatment of general dermatologic conditions, including SH, SK, and cutaneous non-genital warts. Additionally,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 received Health Canada approval for the CellFX System, which allows for marketing of the system in Canada for use in dermatological procedures requiring ablation and resurfacing of the skin for the reduction, removal, and/or clearance of cellular-based benign lesions. In </w:t>
      </w:r>
      <w:r>
        <w:rPr>
          <w:rStyle w:val="Emphasis"/>
          <w:rFonts w:ascii="Times New Roman" w:hAnsi="Times New Roman"/>
          <w:caps w:val="false"/>
          <w:smallCaps w:val="false"/>
          <w:sz w:val="20"/>
        </w:rPr>
        <w:t xml:space="preserve"> February 2021, </w:t>
      </w:r>
      <w:r>
        <w:rPr>
          <w:rFonts w:ascii="Times New Roman" w:hAnsi="Times New Roman"/>
          <w:caps w:val="false"/>
          <w:smallCaps w:val="false"/>
          <w:sz w:val="20"/>
        </w:rPr>
        <w:t>the Company commenced a controlled launch of the CellFX System in the United States and European Union via its CellFX Expectations Excelled Program (the “Controlled Launch”). Subsequent to receiving Health Canada approval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 also commenced its Controlled Launch in Canada.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As part of the Controlled Launch, the Company selected 70 physicians and their practices to be the </w:t>
      </w:r>
      <w:r>
        <w:rPr>
          <w:rStyle w:val="Emphasis"/>
          <w:rFonts w:ascii="Times New Roman" w:hAnsi="Times New Roman"/>
          <w:caps w:val="false"/>
          <w:smallCaps w:val="false"/>
          <w:sz w:val="20"/>
        </w:rPr>
        <w:t>first</w:t>
      </w:r>
      <w:r>
        <w:rPr>
          <w:rFonts w:ascii="Times New Roman" w:hAnsi="Times New Roman"/>
          <w:caps w:val="false"/>
          <w:smallCaps w:val="false"/>
          <w:sz w:val="20"/>
        </w:rPr>
        <w:t> physician consultants to launch the CellFX System and the associated CellFX commercial procedures into their respective markets and geographies. In the Controlled Launch program, the Company provided and set up a CellFX System at each physician site and provided the physician with the necessary related products and components, free of charge, to complete the requirements of the Controlled Launch program. Each CellFX System and any unused component products remained the property of the Company throughout the Controlled Launch program. Under the Controlled Launch program, each physician was to identify and recruit up to 40 or 50 patients, depending on the contract, for participation in the Controlled Launch, performing a CellFX procedure on each of the appropriately selected patients. The physician and their patients completed evaluation surveys about their experiences with the CellFX System and provided other information helpful to the Company. Upon completion of the procedures and the survey feedback, the physician earned credits to be used towards the future purchase of the CellFX System or, in some jurisdictions, fair payment for their time and effort completing the paperwork required under the Controlled Launch program. Credits earned and, if applicable, any other payments earned were limited to a maximum amount dependent on the number of surveys received by the Company. Upon completion of the Controlled Launch program requirements, each physician could choose to enter into a purchase agreement with the Company, under which the physician could use the credits earned (or other payments earned, as applicable) towards the purchase of the already-delivered CellFX System, or the physician could return the CellFX System to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patient procedures and surveys were completed under the Controlled Launch program, the Company accrued the value of the credits earned, which were recorded in accrued expenses, with a corresponding charge to sales and marketing expense. The Company did not record any sales and marketing expense in relation to the Controlled Launch program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or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respectively,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rPr>
        <w:t xml:space="preserve">. The Company recorded an expense of $0.6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2022, </w:t>
      </w:r>
      <w:r>
        <w:rPr>
          <w:rFonts w:ascii="Times New Roman" w:hAnsi="Times New Roman"/>
          <w:caps w:val="false"/>
          <w:smallCaps w:val="false"/>
          <w:sz w:val="20"/>
        </w:rPr>
        <w:t>the Company concluded the Controlled Launch program and notified all remaining program participants. In accordance with the Controlled Launch program, physicians having completed the program requirements could elect to purchase their already delivered CellFX System, applying credits earned, or return the CellFX System to the Company. The Company concluded these efforts in the </w:t>
      </w:r>
      <w:r>
        <w:rPr>
          <w:rStyle w:val="Emphasis"/>
          <w:rFonts w:ascii="Times New Roman" w:hAnsi="Times New Roman"/>
          <w:caps w:val="false"/>
          <w:smallCaps w:val="false"/>
          <w:sz w:val="20"/>
        </w:rPr>
        <w:t>fourth</w:t>
      </w:r>
      <w:r>
        <w:rPr>
          <w:rFonts w:ascii="Times New Roman" w:hAnsi="Times New Roman"/>
          <w:caps w:val="false"/>
          <w:smallCaps w:val="false"/>
          <w:sz w:val="20"/>
        </w:rPr>
        <w:t>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and has discontinued sales of the CellFX System, although the Company continues to offer its disposable treatment tips to dermatologists who have chosen to retain their existing CellFX consoles.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the Company did not recognize any revenue in relation to the Controlled Launch program.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rPr>
        <w:t>, certain consultants completed the Controlled Launch program and entered into purchase agreements with the Company, whereby they used their credits or other earned payments towards the purchase of a CellFX System. Accordingly, approximately $0.4 million of the accrued liability related to the Controlled Launch program was relieved and recognized as revenue on a non-cash basis as a result of these purchases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rPr>
        <w:t xml:space="preserve">. There was no revenue recognized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September 30, 2022</w:t>
      </w:r>
      <w:r>
        <w:rPr>
          <w:rFonts w:ascii="Times New Roman" w:hAnsi="Times New Roman"/>
          <w:caps w:val="false"/>
          <w:smallCaps w:val="false"/>
          <w:sz w:val="20"/>
        </w:rPr>
        <w:t xml:space="preserve">. See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for additional detail of revenue transactions.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connection with its Controlled Launch program in dermatology, the Company recognized revenue at a point in time when it satisfied performance obligations by transferring control of promised goods to its customers. The amount of revenue recognized was equal to the consideration which the Company was entitled to in exchange for the promised goods, excluding any amounts assessed by government authorities for taxes which might be collected from a customer. This consideration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include non-cash services performed, as was the case with revenue recognized in connection with the Controlled Launch program. On </w:t>
      </w:r>
      <w:r>
        <w:rPr>
          <w:rStyle w:val="Emphasis"/>
          <w:rFonts w:ascii="Times New Roman" w:hAnsi="Times New Roman"/>
          <w:caps w:val="false"/>
          <w:smallCaps w:val="false"/>
          <w:sz w:val="20"/>
        </w:rPr>
        <w:t xml:space="preserve"> September 20, 2022, </w:t>
      </w:r>
      <w:r>
        <w:rPr>
          <w:rFonts w:ascii="Times New Roman" w:hAnsi="Times New Roman"/>
          <w:caps w:val="false"/>
          <w:smallCaps w:val="false"/>
          <w:sz w:val="20"/>
        </w:rPr>
        <w:t xml:space="preserve">the Company announced its shift in focus to advance its core NPS technology outside of dermatology and concluded its Controlled Launch program. The Company has not recognized any revenue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xml:space="preserve"> or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-month period ended </w:t>
      </w:r>
      <w:r>
        <w:rPr>
          <w:rStyle w:val="Emphasis"/>
          <w:rFonts w:ascii="Times New Roman" w:hAnsi="Times New Roman"/>
          <w:caps w:val="false"/>
          <w:smallCaps w:val="false"/>
          <w:sz w:val="20"/>
        </w:rPr>
        <w:t xml:space="preserve"> September 30, 2022</w:t>
      </w:r>
      <w:r>
        <w:rPr>
          <w:rFonts w:ascii="Times New Roman" w:hAnsi="Times New Roman"/>
          <w:caps w:val="false"/>
          <w:smallCaps w:val="false"/>
          <w:sz w:val="20"/>
        </w:rPr>
        <w:t xml:space="preserve">.  Total revenue recognized for the </w:t>
      </w:r>
      <w:r>
        <w:rPr>
          <w:rStyle w:val="Emphasis"/>
          <w:rFonts w:ascii="Times New Roman" w:hAnsi="Times New Roman"/>
          <w:caps w:val="false"/>
          <w:smallCaps w:val="false"/>
          <w:sz w:val="20"/>
        </w:rPr>
        <w:t>nine</w:t>
      </w:r>
      <w:r>
        <w:rPr>
          <w:rFonts w:ascii="Times New Roman" w:hAnsi="Times New Roman"/>
          <w:caps w:val="false"/>
          <w:smallCaps w:val="false"/>
          <w:sz w:val="20"/>
        </w:rPr>
        <w:t>-month period ended </w:t>
      </w:r>
      <w:r>
        <w:rPr>
          <w:rStyle w:val="Emphasis"/>
          <w:rFonts w:ascii="Times New Roman" w:hAnsi="Times New Roman"/>
          <w:caps w:val="false"/>
          <w:smallCaps w:val="false"/>
          <w:sz w:val="20"/>
        </w:rPr>
        <w:t xml:space="preserve"> September 30, 2022</w:t>
      </w:r>
      <w:r>
        <w:rPr>
          <w:rFonts w:ascii="Times New Roman" w:hAnsi="Times New Roman"/>
          <w:caps w:val="false"/>
          <w:smallCaps w:val="false"/>
          <w:sz w:val="20"/>
        </w:rPr>
        <w:t>, was $0.7 million of which approximately $0.4 million was driven by the redemption of non-cash credits earned as part of the Controlled Launch, with the balances driven by cash purchases of cycle units (“CUs”) and CellFX commercial consoles sold.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Dermatology sales contracts, several which are still outstanding, often involved the sale and delivery of multiple performance obligations in the contract.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Performance Obligations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the Controlled Launch, systems consisted of the CellFX console and its embedded software, handpieces, and disposable tips. The console was a physical piece of hardware used by the dermatology customer to perform patient procedures. Individually the console and software were </w:t>
      </w:r>
      <w:r>
        <w:rPr>
          <w:rStyle w:val="Emphasis"/>
          <w:rFonts w:ascii="Times New Roman" w:hAnsi="Times New Roman"/>
          <w:caps w:val="false"/>
          <w:smallCaps w:val="false"/>
          <w:sz w:val="20"/>
        </w:rPr>
        <w:t>not</w:t>
      </w:r>
      <w:r>
        <w:rPr>
          <w:rFonts w:ascii="Times New Roman" w:hAnsi="Times New Roman"/>
          <w:caps w:val="false"/>
          <w:smallCaps w:val="false"/>
          <w:sz w:val="20"/>
        </w:rPr>
        <w:t> distinct, therefore the Company combined the console and embedded software to form </w:t>
      </w:r>
      <w:r>
        <w:rPr>
          <w:rStyle w:val="Emphasis"/>
          <w:rFonts w:ascii="Times New Roman" w:hAnsi="Times New Roman"/>
          <w:caps w:val="false"/>
          <w:smallCaps w:val="false"/>
          <w:sz w:val="20"/>
        </w:rPr>
        <w:t>one</w:t>
      </w:r>
      <w:r>
        <w:rPr>
          <w:rFonts w:ascii="Times New Roman" w:hAnsi="Times New Roman"/>
          <w:caps w:val="false"/>
          <w:smallCaps w:val="false"/>
          <w:sz w:val="20"/>
        </w:rPr>
        <w:t> distinct system performance obligation. Payment for systems was generally due prior to shipment, and the system performance obligation was satisfied upon shipment of the system to the customer.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Handpieces were attached to the console and used in conjunction with tips to perform patient procedures. Generally, in the Controlled Launch, upon initial sale of a system to a customer, the Company included </w:t>
      </w:r>
      <w:r>
        <w:rPr>
          <w:rStyle w:val="Emphasis"/>
          <w:rFonts w:ascii="Times New Roman" w:hAnsi="Times New Roman"/>
          <w:caps w:val="false"/>
          <w:smallCaps w:val="false"/>
          <w:sz w:val="20"/>
        </w:rPr>
        <w:t>two</w:t>
      </w:r>
      <w:r>
        <w:rPr>
          <w:rFonts w:ascii="Times New Roman" w:hAnsi="Times New Roman"/>
          <w:caps w:val="false"/>
          <w:smallCaps w:val="false"/>
          <w:sz w:val="20"/>
        </w:rPr>
        <w:t> handpieces. The handpiece had a shorter expected useful life than the console, and a customer could purchase additional handpieces when needed, as they were available for sale on a stand-alone basis. Payment for handpieces was generally due prior to shipment, and handpieces represented a distinct performance obligation which was satisfied either upon shipment, or upon delivery of the handpiece to the customer, depending on the specific contract.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Disposable treatment tips are still available for sale. 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represent a distinct performance obligation which is satisfied either upon shipment, or upon delivery of the tips to the customer, depending on the specific contract.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CUs, which are also still available for existing customers, are credits that authorize the customer to perform a procedure, or cycle. Each procedure requires a specific number of CUs, dependent upon type of tip used and procedure level selected. As the procedure is performed, the applicable number of CUs are decremented. During part of the Controlled Launch, customers purchased CUs; when the customer’s balance of CUs on a specific system was depleted, the system would </w:t>
      </w:r>
      <w:r>
        <w:rPr>
          <w:rStyle w:val="Emphasis"/>
          <w:rFonts w:ascii="Times New Roman" w:hAnsi="Times New Roman"/>
          <w:caps w:val="false"/>
          <w:smallCaps w:val="false"/>
          <w:sz w:val="20"/>
        </w:rPr>
        <w:t>no</w:t>
      </w:r>
      <w:r>
        <w:rPr>
          <w:rFonts w:ascii="Times New Roman" w:hAnsi="Times New Roman"/>
          <w:caps w:val="false"/>
          <w:smallCaps w:val="false"/>
          <w:sz w:val="20"/>
        </w:rPr>
        <w:t> longer function until the customer purchased additional CUs. At that time, customers could purchase additional CUs via the Company’s CellFX Marketplace which was an online marketplace accessible directly from the CellFX System. Payment for CUs was due upon order placement and the CUs were immediately available for download to the console via CellFX CloudConnect. At that time, CUs represented a distinct performance obligation which was satisfied when CUs were made available for customers to download from the Company’s CellFX CloudConnect, as customers could use purchased CUs at any time at their discretion, and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any ongoing service or other forms of involvement after the sale occurred.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stopped charging existing customers for CUs, electing instead to charge for disposable treatment tips.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Shipping and handling activities are </w:t>
      </w:r>
      <w:r>
        <w:rPr>
          <w:rStyle w:val="Emphasis"/>
          <w:rFonts w:ascii="Times New Roman" w:hAnsi="Times New Roman"/>
          <w:caps w:val="false"/>
          <w:smallCaps w:val="false"/>
          <w:sz w:val="20"/>
        </w:rPr>
        <w:t>not</w:t>
      </w:r>
      <w:r>
        <w:rPr>
          <w:rFonts w:ascii="Times New Roman" w:hAnsi="Times New Roman"/>
          <w:caps w:val="false"/>
          <w:smallCaps w:val="false"/>
          <w:sz w:val="20"/>
        </w:rPr>
        <w:t>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Transaction Price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Controlled Launch, the transaction price was the consideration to which the Company expected to be entitled to in exchange for providing the promised goods to customers. Customer orders placed for cash contemplated a fixed amount of consideration. Customer orders placed by physicians participating in the Controlled Launch when they elected to purchase the CellFX System were paid for via conversion of accumulated earned credits for prior services provided by the physicians under the terms of their participation in the Controlled Launch. For these transactions, the transaction price included noncash consideration. The services rendered by the physicians in the Controlled Launch were accounted for separately from the subsequent sales of the CellFX Systems because they were distinct from the system sales. They were distinct because they provided the Company with treatment data that could also be procured, and historically had been procured by the Company, without the corresponding system sales. This data was used by the Company to enhance marketing and promotion of its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evaluated the possible impact of variable consideration in determining the transaction price, in particular the possibility of future returns or credits. Still outstanding sales agreements allow for a right of return only if the product does </w:t>
      </w:r>
      <w:r>
        <w:rPr>
          <w:rStyle w:val="Emphasis"/>
          <w:rFonts w:ascii="Times New Roman" w:hAnsi="Times New Roman"/>
          <w:caps w:val="false"/>
          <w:smallCaps w:val="false"/>
          <w:sz w:val="20"/>
        </w:rPr>
        <w:t>not</w:t>
      </w:r>
      <w:r>
        <w:rPr>
          <w:rFonts w:ascii="Times New Roman" w:hAnsi="Times New Roman"/>
          <w:caps w:val="false"/>
          <w:smallCaps w:val="false"/>
          <w:sz w:val="20"/>
        </w:rPr>
        <w:t> conform to the agreed upon quality standards or if the product was shipped due to Company error. The Company anticipates such returns will be minimal and has made </w:t>
      </w:r>
      <w:r>
        <w:rPr>
          <w:rStyle w:val="Emphasis"/>
          <w:rFonts w:ascii="Times New Roman" w:hAnsi="Times New Roman"/>
          <w:caps w:val="false"/>
          <w:smallCaps w:val="false"/>
          <w:sz w:val="20"/>
        </w:rPr>
        <w:t>no</w:t>
      </w:r>
      <w:r>
        <w:rPr>
          <w:rFonts w:ascii="Times New Roman" w:hAnsi="Times New Roman"/>
          <w:caps w:val="false"/>
          <w:smallCaps w:val="false"/>
          <w:sz w:val="20"/>
        </w:rPr>
        <w:t> adjustments to the transaction price for any estimated returns. The transaction price is determined at the time of the initial revenue recognition and updated each quarter for any changes in circumstances (e.g., changes in estimated return or credit rates).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made an accounting policy election to exclude from the measurement of the transaction price all taxes which are imposed on and concurrent with a specific revenue-producing transaction and collected by the entity from a customer.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w:t>
      </w:r>
      <w:r>
        <w:rPr>
          <w:rStyle w:val="Emphasis"/>
          <w:rFonts w:ascii="Times New Roman" w:hAnsi="Times New Roman"/>
          <w:caps w:val="false"/>
          <w:smallCaps w:val="false"/>
          <w:sz w:val="20"/>
        </w:rPr>
        <w:t>no</w:t>
      </w:r>
      <w:r>
        <w:rPr>
          <w:rFonts w:ascii="Times New Roman" w:hAnsi="Times New Roman"/>
          <w:caps w:val="false"/>
          <w:smallCaps w:val="false"/>
          <w:sz w:val="20"/>
        </w:rPr>
        <w:t> impact to revenue recognition timing, and the Company has determined allocations are </w:t>
      </w:r>
      <w:r>
        <w:rPr>
          <w:rStyle w:val="Emphasis"/>
          <w:rFonts w:ascii="Times New Roman" w:hAnsi="Times New Roman"/>
          <w:caps w:val="false"/>
          <w:smallCaps w:val="false"/>
          <w:sz w:val="20"/>
        </w:rPr>
        <w:t>not</w:t>
      </w:r>
      <w:r>
        <w:rPr>
          <w:rFonts w:ascii="Times New Roman" w:hAnsi="Times New Roman"/>
          <w:caps w:val="false"/>
          <w:smallCaps w:val="false"/>
          <w:sz w:val="20"/>
        </w:rPr>
        <w:t> necessary. Should the customer purchase additional CUs, handpieces, or tips at a later time, those purchases will be made under separate purchase agreements, with all promised goods generally transferred at the same time, therefore </w:t>
      </w:r>
      <w:r>
        <w:rPr>
          <w:rStyle w:val="Emphasis"/>
          <w:rFonts w:ascii="Times New Roman" w:hAnsi="Times New Roman"/>
          <w:caps w:val="false"/>
          <w:smallCaps w:val="false"/>
          <w:sz w:val="20"/>
        </w:rPr>
        <w:t>no</w:t>
      </w:r>
      <w:r>
        <w:rPr>
          <w:rFonts w:ascii="Times New Roman" w:hAnsi="Times New Roman"/>
          <w:caps w:val="false"/>
          <w:smallCaps w:val="false"/>
          <w:sz w:val="20"/>
        </w:rPr>
        <w:t> price allocation is necessary in that scenario either.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Controlled Launch Agreements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August 2021, </w:t>
      </w:r>
      <w:r>
        <w:rPr>
          <w:rFonts w:ascii="Times New Roman" w:hAnsi="Times New Roman"/>
          <w:caps w:val="false"/>
          <w:smallCaps w:val="false"/>
          <w:sz w:val="20"/>
        </w:rPr>
        <w:t xml:space="preserve">the Company began to recognize revenue in relation to the conversion of Controlled Launch Program participants into sales agreements (Note </w:t>
      </w:r>
      <w:r>
        <w:rPr>
          <w:rStyle w:val="Emphasis"/>
          <w:rFonts w:ascii="Times New Roman" w:hAnsi="Times New Roman"/>
          <w:caps w:val="false"/>
          <w:smallCaps w:val="false"/>
          <w:sz w:val="20"/>
        </w:rPr>
        <w:t>9</w:t>
      </w:r>
      <w:r>
        <w:rPr>
          <w:rFonts w:ascii="Times New Roman" w:hAnsi="Times New Roman"/>
          <w:caps w:val="false"/>
          <w:smallCaps w:val="false"/>
          <w:sz w:val="20"/>
        </w:rPr>
        <w:t>).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upon delivery of the CUs to CellFX CloudConnect.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operates and manages the business as one reportable and operating segment. The Company’s Chief Executive Officer acts as the chief operating decision maker (“CODM”) of the Company. The CODM reviews the results of the Company on a consolidated basis, however in making certain operating decisions and assessing performance, the CODM has additionally reviewed the disaggregated revenue results by product and geography. All of the Company’s long-lived assets are based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Revenue by product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334" w:type="dxa"/>
        <w:jc w:val="left"/>
        <w:tblInd w:w="0" w:type="dxa"/>
        <w:tblLayout w:type="fixed"/>
        <w:tblCellMar>
          <w:top w:w="0" w:type="dxa"/>
          <w:left w:w="0" w:type="dxa"/>
          <w:bottom w:w="0" w:type="dxa"/>
          <w:right w:w="0" w:type="dxa"/>
        </w:tblCellMar>
      </w:tblPr>
      <w:tblGrid>
        <w:gridCol w:w="2240"/>
        <w:gridCol w:w="60"/>
        <w:gridCol w:w="417"/>
        <w:gridCol w:w="869"/>
        <w:gridCol w:w="200"/>
        <w:gridCol w:w="200"/>
        <w:gridCol w:w="417"/>
        <w:gridCol w:w="869"/>
        <w:gridCol w:w="60"/>
        <w:gridCol w:w="60"/>
        <w:gridCol w:w="373"/>
        <w:gridCol w:w="777"/>
        <w:gridCol w:w="179"/>
        <w:gridCol w:w="179"/>
        <w:gridCol w:w="373"/>
        <w:gridCol w:w="1001"/>
        <w:gridCol w:w="60"/>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3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7" w:type="dxa"/>
            <w:tcBorders/>
            <w:shd w:fill="CCEEFF" w:val="clear"/>
            <w:vAlign w:val="center"/>
          </w:tcPr>
          <w:p>
            <w:pPr>
              <w:pStyle w:val="TableContents"/>
              <w:bidi w:val="0"/>
              <w:spacing w:before="0" w:after="283"/>
              <w:ind w:left="0" w:right="0" w:hanging="0"/>
              <w:jc w:val="right"/>
              <w:rPr/>
            </w:pPr>
            <w:r>
              <w:rPr/>
              <w:t>—</w:t>
            </w:r>
          </w:p>
        </w:tc>
        <w:tc>
          <w:tcPr>
            <w:tcW w:w="17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3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Cycle units</w:t>
            </w:r>
          </w:p>
        </w:tc>
        <w:tc>
          <w:tcPr>
            <w:tcW w:w="60" w:type="dxa"/>
            <w:tcBorders/>
            <w:shd w:fill="FFFFFF" w:val="clear"/>
            <w:vAlign w:val="center"/>
          </w:tcPr>
          <w:p>
            <w:pPr>
              <w:pStyle w:val="TableContents"/>
              <w:bidi w:val="0"/>
              <w:spacing w:before="0" w:after="283"/>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consolidated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7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Revenue by geography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334" w:type="dxa"/>
        <w:jc w:val="left"/>
        <w:tblInd w:w="0" w:type="dxa"/>
        <w:tblLayout w:type="fixed"/>
        <w:tblCellMar>
          <w:top w:w="0" w:type="dxa"/>
          <w:left w:w="0" w:type="dxa"/>
          <w:bottom w:w="0" w:type="dxa"/>
          <w:right w:w="0" w:type="dxa"/>
        </w:tblCellMar>
      </w:tblPr>
      <w:tblGrid>
        <w:gridCol w:w="2240"/>
        <w:gridCol w:w="60"/>
        <w:gridCol w:w="417"/>
        <w:gridCol w:w="869"/>
        <w:gridCol w:w="200"/>
        <w:gridCol w:w="200"/>
        <w:gridCol w:w="417"/>
        <w:gridCol w:w="869"/>
        <w:gridCol w:w="60"/>
        <w:gridCol w:w="60"/>
        <w:gridCol w:w="373"/>
        <w:gridCol w:w="777"/>
        <w:gridCol w:w="179"/>
        <w:gridCol w:w="179"/>
        <w:gridCol w:w="373"/>
        <w:gridCol w:w="1001"/>
        <w:gridCol w:w="60"/>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September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 September 30,</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2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3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7" w:type="dxa"/>
            <w:tcBorders/>
            <w:shd w:fill="CCEEFF" w:val="clear"/>
            <w:vAlign w:val="center"/>
          </w:tcPr>
          <w:p>
            <w:pPr>
              <w:pStyle w:val="TableContents"/>
              <w:bidi w:val="0"/>
              <w:spacing w:before="0" w:after="283"/>
              <w:ind w:left="0" w:right="0" w:hanging="0"/>
              <w:jc w:val="right"/>
              <w:rPr/>
            </w:pPr>
            <w:r>
              <w:rPr/>
              <w:t>—</w:t>
            </w:r>
          </w:p>
        </w:tc>
        <w:tc>
          <w:tcPr>
            <w:tcW w:w="17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37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3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consolidated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7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the Company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renew its annual director and officer liability insurance policy due to disproportionately high premiums quoted by insurance companies. Instead, on </w:t>
      </w:r>
      <w:r>
        <w:rPr>
          <w:rStyle w:val="Emphasis"/>
          <w:rFonts w:ascii="Times New Roman" w:hAnsi="Times New Roman"/>
          <w:caps w:val="false"/>
          <w:smallCaps w:val="false"/>
          <w:sz w:val="20"/>
        </w:rPr>
        <w:t xml:space="preserve">May 31, 2022, </w:t>
      </w:r>
      <w:r>
        <w:rPr>
          <w:rFonts w:ascii="Times New Roman" w:hAnsi="Times New Roman"/>
          <w:caps w:val="false"/>
          <w:smallCaps w:val="false"/>
          <w:sz w:val="20"/>
        </w:rPr>
        <w:t xml:space="preserve">the Company and Robert W. Duggan, majority stockholder and Executive Chairman, entered into a letter agreement (the “Letter Agreement”) pursuant to which Mr. Duggan agreed with the Company to personally provide indemnity coverage for a one-year period, and he agreed to deposit cash and/or marketable securities into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escrow, as security for these obligations, if requested by the Company. On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 xml:space="preserve">the last day of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the Company paid Mr. Duggan a fee of $1.0 million in consideration of the obligations set forth in the Letter Agreement. As of </w:t>
      </w:r>
      <w:r>
        <w:rPr>
          <w:rStyle w:val="Emphasis"/>
          <w:rFonts w:ascii="Times New Roman" w:hAnsi="Times New Roman"/>
          <w:caps w:val="false"/>
          <w:smallCaps w:val="false"/>
          <w:sz w:val="20"/>
        </w:rPr>
        <w:t>September 30, 2023</w:t>
      </w:r>
      <w:r>
        <w:rPr>
          <w:rFonts w:ascii="Times New Roman" w:hAnsi="Times New Roman"/>
          <w:caps w:val="false"/>
          <w:smallCaps w:val="false"/>
          <w:sz w:val="20"/>
        </w:rPr>
        <w:t>, there were no additional amounts owed to Mr. Duggan under the Letter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Robert W. Duggan, the Company's majority stockholder and Executive Chairman, entered into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in connection with Mr. Duggan lending the principal sum of $65.0 million to the Company. On </w:t>
      </w:r>
      <w:r>
        <w:rPr>
          <w:rStyle w:val="Emphasis"/>
          <w:rFonts w:ascii="Times New Roman" w:hAnsi="Times New Roman"/>
          <w:caps w:val="false"/>
          <w:smallCaps w:val="false"/>
          <w:sz w:val="20"/>
        </w:rPr>
        <w:t xml:space="preserve">April 30, 2023, </w:t>
      </w:r>
      <w:r>
        <w:rPr>
          <w:rFonts w:ascii="Times New Roman" w:hAnsi="Times New Roman"/>
          <w:caps w:val="false"/>
          <w:smallCaps w:val="false"/>
          <w:sz w:val="20"/>
        </w:rPr>
        <w:t xml:space="preserve">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the principal sum of $65.0 million and all accrued and unpaid interest outstanding, which totaled approximately $0.2 million as of </w:t>
      </w:r>
      <w:r>
        <w:rPr>
          <w:rStyle w:val="Emphasis"/>
          <w:rFonts w:ascii="Times New Roman" w:hAnsi="Times New Roman"/>
          <w:caps w:val="false"/>
          <w:smallCaps w:val="false"/>
          <w:sz w:val="20"/>
        </w:rPr>
        <w:t>April 30, 2023. </w:t>
      </w:r>
      <w:r>
        <w:rPr>
          <w:rFonts w:ascii="Times New Roman" w:hAnsi="Times New Roman"/>
          <w:caps w:val="false"/>
          <w:smallCaps w:val="false"/>
          <w:sz w:val="20"/>
        </w:rPr>
        <w:t xml:space="preserve">Upon closing of the Private Placement and satisfaction of the outstanding debt,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terminated, without early termination fees or penalties being owed by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amounts are owed to Mr. Duggan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 xml:space="preserve">Restructuring Charges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Company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The Company announced a reduction in force effective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affected employees were offered separation benefits, including severance payments along with temporary healthcare coverage assistance. The Company incurred a discrete restructuring related charge of $0.7 million which was fully recorded in </w:t>
      </w:r>
      <w:r>
        <w:rPr>
          <w:rStyle w:val="Emphasis"/>
          <w:rFonts w:ascii="Times New Roman" w:hAnsi="Times New Roman"/>
          <w:caps w:val="false"/>
          <w:smallCaps w:val="false"/>
          <w:sz w:val="20"/>
        </w:rPr>
        <w:t xml:space="preserve">March 2022 </w:t>
      </w:r>
      <w:r>
        <w:rPr>
          <w:rFonts w:ascii="Times New Roman" w:hAnsi="Times New Roman"/>
          <w:caps w:val="false"/>
          <w:smallCaps w:val="false"/>
          <w:sz w:val="20"/>
        </w:rPr>
        <w:t xml:space="preserve">and the related expenses are included within total cost and expenses on the condensed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2022. </w:t>
      </w:r>
      <w:r>
        <w:rPr>
          <w:rFonts w:ascii="Times New Roman" w:hAnsi="Times New Roman"/>
          <w:caps w:val="false"/>
          <w:smallCaps w:val="false"/>
          <w:sz w:val="20"/>
        </w:rPr>
        <w:t>This charge represents the total amount incurred in connection with the activity.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the Company eliminated an additional seven positions and incurred a discrete restructuring related charge of $0.1 million which was fully recorded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and the related expenses are included within total cost and expenses on the condensed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This charge represents the total amount incurred in connection with the activity.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Pulse Biosciences, Inc. is a novel bioelectric medicine company committed to health innovation using its patented Nano-pulse Stimulation™ technology, a revolutionary energy modality that delivers nanosecond-duration pulses of electrical energy, each less than a millionth of a second long, to non-thermally clear targeted cells while sparing adjacent noncellular tissue. NPS technology, also referred to as a Nanosecond Pulsed Field Ablation™ or nsPFA™ or CellFX nsPFA™ technology when used to ablate cellular tissue, can be used to treat a variety of medical conditions for which an optimal solution remains unfulfilled. We developed our proprietary CellFX System®, a novel nsPFA delivery platform, and commercialized the initial application of our nsPFA technology to treat benign lesions of the skin. In parallel, we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efforts on the use of CellFX nsPFA applicators and the CellFX platform in the treatment of atrial fibrillation ("AF").</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 is a type of heart arrythmia, or irregular heartbeat, caused by faulty electrical signals in the heart. AF is a highly prevalent condition and is growing significantly with an aging population. It is estimated that 43 million people worldwide are affected by AF. Treatment requires the precise and safe ablation of heart tissue to block or otherwise prevent these faulty electrical signals from causing the irregular heartbeat, and we believe CellFX nsPFA technology is uniquely suited to perform an integral role for this application and that it will prove to be highly differentiated from standard thermal energy modalities in use today. We have developed a cardiac ablation clamp for use in cardiac surgery and a cardiac ablation catheter for use in electrophysiology and we are currently testing both in preclinical models. While these devices serve different physicians, the application of the energy to safely and effectively ablate cardiac tissue and the treatment of AF are the same, and we believe there will be important synergies realized through their contemporaneous development. Our cardiac ablation clamp and cardiac ablation catheter both use the CellFX System to generate our proprietary pulses of electrical energy.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atrial fibrillation.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CellFX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nsPFA employs, which is not affected by heatsinks such as the blood in the heart. In preclinical studies, our CellFX nsPFA cardiac clamp has consistently achieved transmural ablations in 1.25 seconds, independent of tissue type or thickness. Moreover, thermal modalities are also known to have problems with char formation on electrode surfaces which can cause gaps in the ablation lines leading to treatment failure and require the char to be scraped off by the surgeon during the procedure. Again, this should not be an issue with CellFX nsPFA ablation given its nonthermal nature. Also,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In May 2023, we appointed Dr. Gan Dunnington as our Chief Medical Officer, Cardiac Surgery. Dr. Dunnington is a cardiothoracic surgeon and the Director of Cardiothoracic Surgery at St. Helena Hospital (Napa Valley). He specializes in minimally invasive complex cardiothoracic procedures for the treatment of AF. In October 2023, we appointed Dr. Niv Ad as our Chief Science Officer, Cardiac Surgery. Dr. Ad specializes in the surgical treatment of atrial fibrillation, minimally invasive heart surgery and other advanced heart surgery techniques and transcatheter therapies.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last several years, we have been developing the cardiac ablation clamp from proof-of-concept to prototype, and we now have what we believe is our initial commercial design. The device was designed with the input of key physicians in cardiac surgery, and we believe it will offer a highly differentiated option relative to the standard of care thermal modalities. Since 2023, we have been meeting with the U.S. Food and Drug Administration (the "FDA") to discuss the regulatory requirements for a potential 510(k) clearance or other approval to market our cardiac clamp in the United States. These meetings were done as part of the FDA’s standard Q-submission (or pre-submission) process. In 2023, with guidance from the FDA, we completed a preclinical study, known as a Good Laboratory Practices or “GLP” study. We expect this GLP study will serve as the foundational support for a regulatory clearance. We believe we are on track to file a 510(k) submission with the FDA for our cardiac clamp before the second quarter of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cardiac catheter ablation device will have many of the same advantages that the cardiac ablation clamp has relative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recent years, Pulsed Field Ablation ("PFA") has gained attention in electrophysiology for the treatment of AF as a result of its safety profile and potential to improve efficacy. PFA differs from CellFX nsPFA technology in that the pulse widths are longer, typically in the 10’s to 100’s of microseconds. We believe CellFX nsPFA can offer similar safety advantages as PFA and may provide improved efficacy advantages based on the circumferential design of our catheter and the potential that CellFX nsPFA technology can create deeper ablations. Another potential advantage of nsPFA ablation is a much shorter pulse duration which appears to stimulate less muscle contraction than does millisecond or microsecond PFA.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Similar to the cardiac ablation clamp, our proprietary catheter has been in development for several years and we have been working with leaders in the electrophysiology field to test the catheter in preclinical studies. We believe the design we have now will be suitable to pursue a first-in-human clinical safety study. Earlier in 2023, we completed additional safety and performance preclinical studies. We believe we will be in a position to begin a first-in-human feasibility study before the second quarter of 2024. In the United States, we believe the catheter will need to go through the FDA’s Pre-Market Approval ("PMA") process for FDA approval to market and sell our cardiac catheter in the United States.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supplemental point of validation of the Company’s engineering capabilities, and to demonstrate our technology’s unique mechanism of action on internal organs, in 2023 we continued feasibility work in the treatment of benign thyroid nodules and initiated a first-in-human study using a novel and proprietary nsPFA-enabled surgical end-effector. This study is being conducted by Professor Stefano Spiezia at the Ospedale del Mare in Naples, Italy, to help us better understand and confirm the mechanism of action and tissue response of nsPFA energy in internal organs as we advance into human cardiac tissue. Initially, ten subjects were treated and evaluated in the study. All of the initial patients in the study tolerated the procedure well with no reported pain or serious side effects. Ultrasound imaging 90 days post procedure showed that the treated portions of the nodules had been completely resorbed with no sign of scarring or fibrosis, which can be a side effect of other ablation modalities. Based on these positive initial results, we have amended the thyroid study protocol to expand enrollment with the next phase focused on optimizing treatment parameters in the fourth quarter of 2023.</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substantial operating losses and have used cash in our operating activities since inception. Based on our current operating plan, we believe we have sufficient cash and cash equivalents on hand to support current operations for the twelve months following the filing of this Quarterly Report. We plan to seek to raise capital from time to time, to fund our future operations through public or private equity offerings, debt financings, or by entering into collaborations with third parties, to fund our future operations.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past few years, Robert Duggan, our majority stockholder and Executive Director, has made significant investments in our Company to fund its operations. In June 2022, we completed a common stock rights offering to our existing stockholders of record, which raised $15 million in aggregate. Mr. Duggan purchased approximately 56% of the shares offered through this offering. Then, in September 2022, we entered into the 2022 Loan Agreement with Mr. Duggan pursuant to which he lent the Company $65 million to fund its product development operations. In April 2023, the 2022 Loan Agreement was terminated upon Mr. Duggan and the Company entering into a Securities Purchase Agreement whereby the shares were paid for through the cancellation of both the principal sum of $65.0 million and all accrued and unpaid interest owed at the time under the 2022 Loan Agreement, which totaled approximately $0.2 million. Mr. Duggan may or may not elect to participate in any number of our future fundraisings, as described above, and he may choose to invest more than his current pro rata share in any of these fundraisings, or alternatively he may offer to provide additional debt financing as may be needed in order to maintain the Company as a going concern.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conflicts in Ukraine and Israel and the current banking environment, together with the deterioration of the credit, banking and capital markets, could have an adverse impact on potential sources of future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critical accounting policies and estimates are described in our Annual Report on Form 10-K for the year ended December 31, 2022. We continually evaluate the accounting policies and estimates used in preparing our consolidated financial statements. During the nine-month period ended September 30, 2023, the Company issued stock options to certain employees which contain market conditions related to overall market capitalization. Additionally, the Company has issued stock options to certain employees which contain performance conditions related to certain financial measures and achievements of strategic/operational milestones. Due to the complex nature and use of estimates in the calculation to determine the fair value of market-based awards and estimates involved in the recognition of compensation expense for performance-based awards, the Company has concluded that stock-based compensation should be included in our critical accounting policies and estimates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stock-based compensation programs include stock options and an employee stock purchase program. We periodically issue stock options to officers, directors, employees, and consultants for their services to the Company.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requisite service period. We have granted stock options with time-based, performance-based, and market-based vesting conditions.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stock options with performance-based vesting conditions, we do not recognize compensation expense until it is probable that the performance-based vesting condition will be achieved. The analysis to determine such probability involves estimates and judgements from management. The estimate of expense may be revised periodically based on the probability of achieving the required performance targets.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vesting conditions for stock options with market-based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we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represent management’s best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Refer to “Recent Accounting Pronouncements” in Note 2 of Notes to Condensed Consolidated Financial Statements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and Geographical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operate and manage our business as one reportable and operating segment. Our CODM reviews financial information on an aggregate basis for purposes of allocating resources and evaluating financial performance. All of our long-lived assets are based in the United States. Refer to Note 11 of Notes to Condensed Consolidated Financial Statements of this Quarterly Report for disaggregated revenue results.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Comparison of the</w:t>
      </w:r>
      <w:r>
        <w:rPr>
          <w:rFonts w:ascii="Times New Roman" w:hAnsi="Times New Roman"/>
          <w:caps w:val="false"/>
          <w:smallCaps w:val="false"/>
          <w:sz w:val="20"/>
        </w:rPr>
        <w:t xml:space="preserve"> </w:t>
      </w:r>
      <w:r>
        <w:rPr>
          <w:rFonts w:ascii="Times New Roman" w:hAnsi="Times New Roman"/>
          <w:b/>
          <w:i/>
          <w:caps w:val="false"/>
          <w:smallCaps w:val="false"/>
          <w:sz w:val="20"/>
        </w:rPr>
        <w:t>three-month</w:t>
      </w:r>
      <w:r>
        <w:rPr>
          <w:rFonts w:ascii="Times New Roman" w:hAnsi="Times New Roman"/>
          <w:caps w:val="false"/>
          <w:smallCaps w:val="false"/>
          <w:sz w:val="20"/>
        </w:rPr>
        <w:t xml:space="preserve"> </w:t>
      </w:r>
      <w:r>
        <w:rPr>
          <w:rFonts w:ascii="Times New Roman" w:hAnsi="Times New Roman"/>
          <w:b/>
          <w:i/>
          <w:caps w:val="false"/>
          <w:smallCaps w:val="false"/>
          <w:sz w:val="20"/>
        </w:rPr>
        <w:t>periods</w:t>
      </w:r>
      <w:r>
        <w:rPr>
          <w:rFonts w:ascii="Times New Roman" w:hAnsi="Times New Roman"/>
          <w:caps w:val="false"/>
          <w:smallCaps w:val="false"/>
          <w:sz w:val="20"/>
        </w:rPr>
        <w:t xml:space="preserve"> </w:t>
      </w:r>
      <w:r>
        <w:rPr>
          <w:rFonts w:ascii="Times New Roman" w:hAnsi="Times New Roman"/>
          <w:b/>
          <w:i/>
          <w:caps w:val="false"/>
          <w:smallCaps w:val="false"/>
          <w:sz w:val="20"/>
        </w:rPr>
        <w:t>ended</w:t>
      </w:r>
      <w:r>
        <w:rPr>
          <w:rFonts w:ascii="Times New Roman" w:hAnsi="Times New Roman"/>
          <w:caps w:val="false"/>
          <w:smallCaps w:val="false"/>
          <w:sz w:val="20"/>
        </w:rPr>
        <w:t xml:space="preserve"> </w:t>
      </w:r>
      <w:r>
        <w:rPr>
          <w:rFonts w:ascii="Times New Roman" w:hAnsi="Times New Roman"/>
          <w:b/>
          <w:i/>
          <w:caps w:val="false"/>
          <w:smallCaps w:val="false"/>
          <w:sz w:val="20"/>
        </w:rPr>
        <w:t>September 30,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6307" w:type="dxa"/>
        <w:jc w:val="left"/>
        <w:tblInd w:w="0" w:type="dxa"/>
        <w:tblLayout w:type="fixed"/>
        <w:tblCellMar>
          <w:top w:w="0" w:type="dxa"/>
          <w:left w:w="0" w:type="dxa"/>
          <w:bottom w:w="0" w:type="dxa"/>
          <w:right w:w="0" w:type="dxa"/>
        </w:tblCellMar>
      </w:tblPr>
      <w:tblGrid>
        <w:gridCol w:w="3425"/>
        <w:gridCol w:w="60"/>
        <w:gridCol w:w="132"/>
        <w:gridCol w:w="688"/>
        <w:gridCol w:w="84"/>
        <w:gridCol w:w="63"/>
        <w:gridCol w:w="132"/>
        <w:gridCol w:w="688"/>
        <w:gridCol w:w="80"/>
        <w:gridCol w:w="60"/>
        <w:gridCol w:w="152"/>
        <w:gridCol w:w="663"/>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7,472</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2,955</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3,780</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11,252</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(11,252</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6,773</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686</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(10,566</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7,473</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(10,566</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were no revenues for the three-month periods ended September 30,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Cost of revenues decreased by $8.4 million to zero for the three-month period ended September 30, 2023, compared to the same period in 2022, driven by a $7.2 million charge for the write-off of excessive and obsolete inventory in September 2022 due to the decision to shift our strategic direction and advance our core NPS technology outside of dermatology. The Company has discontinued further sales in the dermatology market, which is currently the only market that the Company has regulatory clearance to market and sell into. As we are no longer selling the CellFX System, we are no longer incurring costs of revenues. Going forward, we will evaluate the classification of expenses as research and development or general and administrative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$3.0 million to $7.5 million for the three-month period ended September 30, 2023, compared to $4.5 million during the same period in 2022 primarily due to increases of $1.9 million in paid services, $0.7 million in stock-based compensation and $0.4 million in compensation and other employee-related expenses. As noted under the Cost of Revenues section, going forward we will evaluate the classification of expenses as research and development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Sales and marketing expenses consisted of compensation and other employee related expenses for sales and marketing personnel, expenses associated with advertising and training, and marketing studies including our Controlled Launch program. The Company has discontinued further sales in the dermatology market and is performing research and development activities to advance its core NPS technology outside of dermatology. Because we have no current sales activities and we cannot market any products outside of dermatology, we will therefore classify costs previously booked as sales and marketing within general and administrative expenses. Sales and marketing expenses decreased by $2.0 million to zero for the three-month period ended September 30, 2023, compared to $2.0 million during the same period in 2022 primarily due to decreases of $1.6 million in compensation and other employee related expenses and $0.2 million in paid services and promotional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$0.7 million to $3.8 million for the three-month period ended September 30, 2023, compared to $3.1 million during the same period in 2022 primarily due to increases of $0.4 million in stock-based compensation and $0.3 million in compensation and other employee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increased by $0.6 million to $0.7 million for the three-month period ended September 30, 2023, compared to $0.1 million during the same period in 2022 driven by increased returns on higher cash balances. Additionally, interest expense decreased by $0.1 million to zero for the three-month period ended September 30, 2023, compared to $0.1 million during the same period in 2022 driven by the extinguishment of the 2022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nine-month periods ended September 30,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3425"/>
        <w:gridCol w:w="60"/>
        <w:gridCol w:w="125"/>
        <w:gridCol w:w="650"/>
        <w:gridCol w:w="80"/>
        <w:gridCol w:w="60"/>
        <w:gridCol w:w="125"/>
        <w:gridCol w:w="650"/>
        <w:gridCol w:w="80"/>
        <w:gridCol w:w="60"/>
        <w:gridCol w:w="131"/>
        <w:gridCol w:w="684"/>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3,254</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(49,312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18,271</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19,031</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19,031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Revenues decreased by $0.7 million to zero for the nine-month period ended September 30, 2023, compared to the same period in 2022. The decrease in revenues was driven by the September 2022 announcement to shift our strategic direction and advance our core NPS technology outside of dermatology, discontinuing further sales in the dermatology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Cost of revenues decreased by $10.7 million to zero for the nine-month period ended September 30, 2023, compared to the same period in 2022, driven by a $7.4 million charge for the write-off of excessive and obsolete inventory in September 2022 due to the decision to shift our strategic direction and advance our core NPS technology outside of dermatology. The Company has discontinued further sales in the dermatology market, which is currently the only market that the Company has regulatory clearance to market and sell into. As we are no longer selling the CellFX System, we are no longer incurring costs of revenues. Going forward, we will evaluate the classification of expenses as research and development or general and administrative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$3.3 million to $20.0 million for the nine-month period ended September 30, 2023, compared to $16.7 million during the same period in 2022 primarily due to increases of $3.2 million in paid services, $0.5 million in stock-based compensation, and $0.5 million in supplies, partially offset by decreases of $0.6 million in compensation and other employee related expenses and $0.3 million in facilities and IT cost allocations driven by our shift in focus. As noted under the Cost of Revenues section, going forward, we will evaluate the classification of expenses as research and development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Sales and marketing expenses consisted of compensation and other employee related expenses for sales and marketing personnel, expenses associated with advertising and training, and marketing studies including our Controlled Launch program. The Company has discontinued further sales in the dermatology market and is performing research and development activities to advance its core NPS technology outside of dermatology. Because we have no current sales activities and we cannot market any products outside of dermatology, we will therefore classify costs previously booked as sales and marketing within general and administrative expenses. Sales and marketing expenses decreased by $11.3 million to zero for the nine-month period ended September 30, 2023, compared to $11.3 million during the same period in 2022 primarily due to decreases of $7.6 million in compensation and other employee related expenses, $1.9 million in paid services and promotional activities, $0.8 million in stock-based compensation, $0.8 million in facilities and IT cost allocations driven by our shift in focus, and $0.1 million in supplies.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$0.3 million to $11.0 million for the nine-month period ended September 30, 2023, compared to $11.4 million during the same period in 2022 primarily due to decreases of $1.4 million in paid services and administrative costs and $0.1 million in stock-based compensation. These were partially offset by increases of $1.2 million due to facilities and IT cost allocations driven by our shift in focus and $0.1 million in compensation and other employee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increased by $1.8 million to $1.9 million for the nine-month period ended September 30, 2023, compared to $0.1 million during the same period in 2022 driven by increased returns on higher cash balances. This is partially offset by an increase in interest expense of $1.0 million to $1.1 million for the nine-month period ended September 30, 2023, compared to $0.1 million during the same period in 2022 driven by interest on the 2022 Loan Agreement.</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June 9, 2022, we completed the 2022 Rights Offering resulting in the sale of 7,317,072 Units, at a price of $2.05 per Unit, with each Unit consisting of one share of the Company’s common stock, par value $0.001 per share, and one warrant to purchase one share of common stock at $2.05 per share.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Prior to the redemption date, warrants to purchase 7,250,897 shares were exercised, generating approximately $14.9 million of total gross proceeds to the Company. As of September 30, 2023, there were no 2022 Rights Offering Warrants outstanding. Robert W. Duggan, the Company’s majority stockholder and Executive Chairman, purchased approximately 56% of the shares offered through the 2022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September 2022, we entered into the 2022 Loan Agreement with Robert W. Duggan, our majority stockholder and Executive 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 $65.0 million. The 2022 Loan Agreement bore interest at a rate per annum equal to 5.0%, payable quarterly, commencing on January 1, 2023. On March 17, 2023, the Company and Mr. Duggan amended certain terms of the Loan Agreement. There were no changes to the interest rate, the principal sum repayment date was changed to September 30, 2024. However, on April 30, 2023, we entered into a Securities Purchase Agreement with Mr. Duggan, pursuant to which we agreed to issue and sell to Mr. Duggan 10,022,937 shares of our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cash flows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7272" w:type="dxa"/>
        <w:jc w:val="left"/>
        <w:tblInd w:w="0" w:type="dxa"/>
        <w:tblLayout w:type="fixed"/>
        <w:tblCellMar>
          <w:top w:w="0" w:type="dxa"/>
          <w:left w:w="0" w:type="dxa"/>
          <w:bottom w:w="0" w:type="dxa"/>
          <w:right w:w="0" w:type="dxa"/>
        </w:tblCellMar>
      </w:tblPr>
      <w:tblGrid>
        <w:gridCol w:w="4220"/>
        <w:gridCol w:w="60"/>
        <w:gridCol w:w="215"/>
        <w:gridCol w:w="1121"/>
        <w:gridCol w:w="137"/>
        <w:gridCol w:w="103"/>
        <w:gridCol w:w="215"/>
        <w:gridCol w:w="1121"/>
        <w:gridCol w:w="80"/>
      </w:tblGrid>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Nine Months Ended September 30,</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7"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(26,259</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(39,048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15,584</w:t>
            </w:r>
          </w:p>
        </w:tc>
        <w:tc>
          <w:tcPr>
            <w:tcW w:w="137"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79,956</w:t>
            </w:r>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(10,753</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40,548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generated limited revenue and used cash in our operating activities. As a result, we have incurred significant operating losses in each year since our inception and we may continue to incur additional losses for the next several years. As of September 30, 2023, we had cash and cash equivalents of $50.4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conflicts in Ukraine and Israel, together with the deterioration of the credit, banking and capital markets, could have an adverse impact on potential sources of future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Operating Activities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2023, we used cash in the amount of $26.3 million in operating activities. The difference between cash used in operating activities and net loss consisted primarily of stock-based compensation, depreciation and amortization, as well as increases in accrued expenses and right-of-use assets, offset by accrued interest on related party note payable and lease liabilities.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2022, we used cash in the amount of $39.0 million in operating activities. The difference between cash used in operating activities and net loss consisted primarily of stock-based compensation, depreciation and amortization, as well as decreases in inventory and accounts payable.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cs="Times New Roman"/>
          <w:bCs/>
          <w:iCs/>
          <w:caps w:val="false"/>
          <w:smallCaps w:val="false"/>
          <w:szCs w:val="20"/>
        </w:rPr>
        <w:t>﻿</w:t>
      </w:r>
      <w:r>
        <w:rPr>
          <w:rFonts w:ascii="Times New Roman" w:hAnsi="Times New Roman"/>
          <w:b/>
          <w:i/>
          <w:caps w:val="false"/>
          <w:smallCaps w:val="false"/>
          <w:sz w:val="20"/>
        </w:rPr>
        <w:t xml:space="preserve">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investing activities consist primarily of investment purchases, sales and maturities and capital expenditures.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2023, $0.1 million of cash used in investing activities was driven by the purchase of property and equipment.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2022, $0.4 million of cash used in investing activities was driven by the purchase of property and equipment.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2023, cash provided by financing activities was $15.6 million, primarily due to $14.8 million of proceeds from the exercise of warrants, $0.4 million of proceeds from issuance of common stock under employee stock purchase plan and $0.4 million of proceeds from the exercise of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2022, cash provided by financing activities was $80.0 million, primarily due to $65.0 million of proceeds from our 2022 Loan Agreement, $14.9 million of proceeds from the sale of common stock in our rights offering and $0.5 million from the sale of stock under our employee stock purchase plan, partially offset by payments made on the Insurance Loan Agreement.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Contractual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outside the ordinary course of our business to the contractual obligations disclosed in our Annual Report on Form 10-K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Off-Balance Sheet Arrangements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September 30, 2023, we did not have any transactions, obligations or relationships that constitute off-balance sheet arrangements.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Trends, Events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1" w:name="item3"/>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market risk from the information provided in our Annual Report on Form 10-K for the year ended December 31, 2022.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item4"/>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Chief Executive Officer, who is our principal executive officer and principal financial officer,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has concluded that, as of September 30, 2023,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identified in connection with the evaluation required by Rule 13a-15(d) and 15d-15(d) of the Exchange Act, as amended, that occurred during the quarter ended September 30, 2023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Inherent Limitations on Effectiveness of Controls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legal"/>
      <w:bookmarkEnd w:id="14"/>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 or cash flows and that a liability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5" w:name="risk"/>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Summary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business is subject to numerous risks and uncertainties that you should consider before investing in our common stock. These risks are described more fully below and include, but are not limited to, risks relating to the following:</w:t>
      </w:r>
    </w:p>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operating history and our limited revenue producing operations;</w:t>
            </w:r>
          </w:p>
        </w:tc>
      </w:tr>
    </w:tbl>
    <w:p>
      <w:pPr>
        <w:pStyle w:val="TextBody"/>
        <w:bidi w:val="0"/>
        <w:spacing w:before="0" w:after="0"/>
        <w:ind w:left="0" w:right="0" w:hanging="0"/>
        <w:jc w:val="left"/>
        <w:rPr/>
      </w:pPr>
      <w:r>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operate without additional fundraising;</w:t>
            </w:r>
          </w:p>
        </w:tc>
      </w:tr>
    </w:tbl>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lack of experience developing and manufacturing medical products for cardiologists;</w:t>
            </w:r>
          </w:p>
        </w:tc>
      </w:tr>
    </w:tbl>
    <w:p>
      <w:pPr>
        <w:pStyle w:val="TextBody"/>
        <w:bidi w:val="0"/>
        <w:spacing w:before="0" w:after="0"/>
        <w:ind w:left="0" w:right="0" w:hanging="0"/>
        <w:jc w:val="left"/>
        <w:rPr/>
      </w:pPr>
      <w:r>
        <w:rPr/>
        <w:t> </w:t>
      </w:r>
    </w:p>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within our industry and in the markets and market segments with choose to pursue, including cardiology;</w:t>
            </w:r>
          </w:p>
        </w:tc>
      </w:tr>
    </w:tbl>
    <w:p>
      <w:pPr>
        <w:pStyle w:val="TextBody"/>
        <w:bidi w:val="0"/>
        <w:spacing w:before="0" w:after="0"/>
        <w:ind w:left="0" w:right="0" w:hanging="0"/>
        <w:jc w:val="left"/>
        <w:rPr/>
      </w:pPr>
      <w:r>
        <w:rPr/>
        <w:t> </w:t>
      </w:r>
    </w:p>
    <w:tbl>
      <w:tblPr>
        <w:tblW w:w="1720" w:type="dxa"/>
        <w:jc w:val="left"/>
        <w:tblInd w:w="0" w:type="dxa"/>
        <w:tblLayout w:type="fixed"/>
        <w:tblCellMar>
          <w:top w:w="0" w:type="dxa"/>
          <w:left w:w="0" w:type="dxa"/>
          <w:bottom w:w="0" w:type="dxa"/>
          <w:right w:w="0" w:type="dxa"/>
        </w:tblCellMar>
      </w:tblPr>
      <w:tblGrid>
        <w:gridCol w:w="60"/>
        <w:gridCol w:w="170"/>
        <w:gridCol w:w="1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Health epidemics;</w:t>
            </w:r>
          </w:p>
        </w:tc>
      </w:tr>
    </w:tbl>
    <w:p>
      <w:pPr>
        <w:pStyle w:val="TextBody"/>
        <w:bidi w:val="0"/>
        <w:spacing w:before="0" w:after="0"/>
        <w:ind w:left="0" w:right="0" w:hanging="0"/>
        <w:jc w:val="left"/>
        <w:rPr/>
      </w:pPr>
      <w:r>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reliance on certain third parties such as key suppliers;</w:t>
            </w:r>
          </w:p>
        </w:tc>
      </w:tr>
    </w:tbl>
    <w:p>
      <w:pPr>
        <w:pStyle w:val="TextBody"/>
        <w:bidi w:val="0"/>
        <w:spacing w:before="0" w:after="0"/>
        <w:ind w:left="0" w:right="0" w:hanging="0"/>
        <w:jc w:val="left"/>
        <w:rPr/>
      </w:pPr>
      <w:r>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loss of key management personnel and high employee attrition;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security breaches, loss of data, and other disruptions to us or to our third-party service providers that could compromise sensitive information;</w:t>
            </w:r>
          </w:p>
        </w:tc>
      </w:tr>
    </w:tbl>
    <w:p>
      <w:pPr>
        <w:pStyle w:val="TextBody"/>
        <w:bidi w:val="0"/>
        <w:spacing w:before="0" w:after="0"/>
        <w:ind w:left="0" w:right="0" w:hanging="0"/>
        <w:jc w:val="left"/>
        <w:rPr/>
      </w:pPr>
      <w:r>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product liability lawsuits and other litigation;</w:t>
            </w:r>
          </w:p>
        </w:tc>
      </w:tr>
    </w:tbl>
    <w:p>
      <w:pPr>
        <w:pStyle w:val="TextBody"/>
        <w:bidi w:val="0"/>
        <w:spacing w:before="0" w:after="0"/>
        <w:ind w:left="0" w:right="0" w:hanging="0"/>
        <w:jc w:val="left"/>
        <w:rPr/>
      </w:pPr>
      <w:r>
        <w:rPr/>
        <w:t> </w:t>
      </w:r>
    </w:p>
    <w:tbl>
      <w:tblPr>
        <w:tblW w:w="7825" w:type="dxa"/>
        <w:jc w:val="left"/>
        <w:tblInd w:w="0" w:type="dxa"/>
        <w:tblLayout w:type="fixed"/>
        <w:tblCellMar>
          <w:top w:w="0" w:type="dxa"/>
          <w:left w:w="0" w:type="dxa"/>
          <w:bottom w:w="0" w:type="dxa"/>
          <w:right w:w="0" w:type="dxa"/>
        </w:tblCellMar>
      </w:tblPr>
      <w:tblGrid>
        <w:gridCol w:w="60"/>
        <w:gridCol w:w="170"/>
        <w:gridCol w:w="7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unpredictability, and expense of our clinical and product development activities;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of adverse trial results and unfavorable long-term trial data, especially given our limited preclinical experience using NPS technology in animal models of cardiac disease;</w:t>
            </w:r>
          </w:p>
        </w:tc>
      </w:tr>
    </w:tbl>
    <w:p>
      <w:pPr>
        <w:pStyle w:val="TextBody"/>
        <w:bidi w:val="0"/>
        <w:spacing w:before="0" w:after="0"/>
        <w:ind w:left="0" w:right="0" w:hanging="0"/>
        <w:jc w:val="left"/>
        <w:rPr/>
      </w:pPr>
      <w:r>
        <w:rPr/>
        <w:t> </w:t>
      </w:r>
    </w:p>
    <w:tbl>
      <w:tblPr>
        <w:tblW w:w="7150" w:type="dxa"/>
        <w:jc w:val="left"/>
        <w:tblInd w:w="0" w:type="dxa"/>
        <w:tblLayout w:type="fixed"/>
        <w:tblCellMar>
          <w:top w:w="0" w:type="dxa"/>
          <w:left w:w="0" w:type="dxa"/>
          <w:bottom w:w="0" w:type="dxa"/>
          <w:right w:w="0" w:type="dxa"/>
        </w:tblCellMar>
      </w:tblPr>
      <w:tblGrid>
        <w:gridCol w:w="60"/>
        <w:gridCol w:w="170"/>
        <w:gridCol w:w="6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failure to obtain and maintain necessary regulatory clearances or approvals;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concerning the long-term safety and effectiveness of our CellFX System and product candidates, and the potential for adverse side effects;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commercial uncertainties concerning whether there will be broad adoption of our CellFX System and NPS technology, especially in the cardiology market given our announced focus on cardiac care;</w:t>
            </w:r>
          </w:p>
        </w:tc>
      </w:tr>
    </w:tbl>
    <w:p>
      <w:pPr>
        <w:pStyle w:val="TextBody"/>
        <w:bidi w:val="0"/>
        <w:spacing w:before="0" w:after="0"/>
        <w:ind w:left="0" w:right="0" w:hanging="0"/>
        <w:jc w:val="left"/>
        <w:rPr/>
      </w:pPr>
      <w:r>
        <w:rPr/>
        <w:t> </w:t>
      </w:r>
    </w:p>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Possible challenges enrolling patients in our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concerning our ability to obtain an adequate level of reimbursement by Medicare and other third-party payers;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Protection of intellectual property, potential litigation related to intellectual property, and obligations under intellectual property agreements;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Stringent domestic and foreign regulation in respect of any potential devices and products, including healthcare laws and regulations;</w:t>
            </w:r>
          </w:p>
        </w:tc>
      </w:tr>
    </w:tbl>
    <w:p>
      <w:pPr>
        <w:pStyle w:val="TextBody"/>
        <w:bidi w:val="0"/>
        <w:spacing w:before="0" w:after="0"/>
        <w:ind w:left="0" w:right="0" w:hanging="0"/>
        <w:jc w:val="left"/>
        <w:rPr/>
      </w:pPr>
      <w:r>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Healthcare policy changes;</w:t>
            </w:r>
          </w:p>
        </w:tc>
      </w:tr>
    </w:tbl>
    <w:p>
      <w:pPr>
        <w:pStyle w:val="TextBody"/>
        <w:bidi w:val="0"/>
        <w:spacing w:before="0" w:after="0"/>
        <w:ind w:left="0" w:right="0" w:hanging="0"/>
        <w:jc w:val="left"/>
        <w:rPr/>
      </w:pPr>
      <w:r>
        <w:rPr/>
        <w:t> </w:t>
      </w:r>
    </w:p>
    <w:tbl>
      <w:tblPr>
        <w:tblW w:w="3820" w:type="dxa"/>
        <w:jc w:val="left"/>
        <w:tblInd w:w="0" w:type="dxa"/>
        <w:tblLayout w:type="fixed"/>
        <w:tblCellMar>
          <w:top w:w="0" w:type="dxa"/>
          <w:left w:w="0" w:type="dxa"/>
          <w:bottom w:w="0" w:type="dxa"/>
          <w:right w:w="0" w:type="dxa"/>
        </w:tblCellMar>
      </w:tblPr>
      <w:tblGrid>
        <w:gridCol w:w="60"/>
        <w:gridCol w:w="170"/>
        <w:gridCol w:w="3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 of the price of our common stock;</w:t>
            </w:r>
          </w:p>
        </w:tc>
      </w:tr>
    </w:tbl>
    <w:p>
      <w:pPr>
        <w:pStyle w:val="TextBody"/>
        <w:bidi w:val="0"/>
        <w:spacing w:before="0" w:after="0"/>
        <w:ind w:left="0" w:right="0" w:hanging="0"/>
        <w:jc w:val="left"/>
        <w:rPr/>
      </w:pPr>
      <w:r>
        <w:rPr/>
        <w:t> </w:t>
      </w:r>
    </w:p>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Concentration of ownership by our majority stockholder and Executive Chairman, Robert W. Duggan;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material weaknesses and uncertainties concerning our ability to maintain an effective system of internal control over financial reporting; and</w:t>
            </w:r>
          </w:p>
        </w:tc>
      </w:tr>
    </w:tbl>
    <w:p>
      <w:pPr>
        <w:pStyle w:val="TextBody"/>
        <w:bidi w:val="0"/>
        <w:spacing w:before="0" w:after="0"/>
        <w:ind w:left="0" w:right="0" w:hanging="0"/>
        <w:jc w:val="left"/>
        <w:rPr/>
      </w:pPr>
      <w:r>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Unfavorable global economic or political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 Industry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Because we have a limited operating history and no significant revenue stream, it is difficult to evaluate the future of our business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generated significant</w:t>
      </w:r>
      <w:r>
        <w:rPr>
          <w:rFonts w:ascii="Times New Roman" w:hAnsi="Times New Roman"/>
          <w:caps w:val="false"/>
          <w:smallCaps w:val="false"/>
          <w:sz w:val="20"/>
        </w:rPr>
        <w:t> </w:t>
      </w:r>
      <w:r>
        <w:rPr>
          <w:rFonts w:ascii="Times New Roman" w:hAnsi="Times New Roman"/>
          <w:b/>
          <w:i/>
          <w:caps w:val="false"/>
          <w:smallCaps w:val="false"/>
          <w:sz w:val="20"/>
        </w:rPr>
        <w:t>revenue and we may never become profitable.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Investors should evaluate an investment in us in light of the uncertainties typically encountered by developing medical technology companies in a competitive environment, especially given our limited preclinical experience using our NPS technology in animal models of cardiac disease.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can give no assurance that our internal and external sources of liquidity will be sufficient for our cash requirements.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sufficient funding, we may be unable to execute our business plan and fund operations. We may not be able to obtain additional financing on commercially reasonable terms, or at all.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experienced operating losses and we may continue to incur operating losses for the next several years as we implement our business plan. Currently, we have no significant revenue from operations and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need to raise additional capital in order to continue to execute our business plan. If we are unable to raise sufficient additional funds, we may need to scale back our future operations. Also, the ongoing armed conflicts in Ukraine and Israel resulting in a negative impact on the global macroeconomic environment and capital markets may make it more difficult for us to raise additional funds.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consequence of our corporate realignment, we experienced employee turnover in 2022 higher than industry norms, and in February 2023 we continued to reduce headcount by eliminating another seven positions at the Company. If we decide to further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revenues and future profitability are entirely dependent upon one family of products, the CellFX System, and one platform technology, Nano-pulse Stimulation.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revenue to date has been generated entirely from the CellFX System, which consists of a console, handpieces and tips, and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Aesthetic and medical dermatologists have been slow to adopt our products and they have used our products in only a small percentage of their eligible patients for a variety of reasons.  Even if we are able to develop a safe and effective treatment for atrial fibrillation using our proprietary NPS technology, we can give no assurance that cardiologists would adopt NPS technology into their medical practices faster than dermatologists have.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significantly greater name recognition;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established relationships with healthcare professionals, customers, and third-party payers;</w:t>
            </w:r>
          </w:p>
        </w:tc>
      </w:tr>
    </w:tbl>
    <w:p>
      <w:pPr>
        <w:pStyle w:val="TextBody"/>
        <w:bidi w:val="0"/>
        <w:spacing w:before="0" w:after="0"/>
        <w:ind w:left="0" w:right="0" w:hanging="0"/>
        <w:jc w:val="left"/>
        <w:rPr/>
      </w:pPr>
      <w:r>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competitive products with greater efficacy or better safety profiles;</w:t>
            </w:r>
          </w:p>
        </w:tc>
      </w:tr>
    </w:tbl>
    <w:p>
      <w:pPr>
        <w:pStyle w:val="TextBody"/>
        <w:bidi w:val="0"/>
        <w:spacing w:before="0" w:after="0"/>
        <w:ind w:left="0" w:right="0" w:hanging="0"/>
        <w:jc w:val="left"/>
        <w:rPr/>
      </w:pPr>
      <w:r>
        <w:rPr/>
        <w:t> </w:t>
      </w:r>
    </w:p>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established distribution networks;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lines of products and the ability to offer rebates, higher discounts, or incentives to gain a competitive advantage;</w:t>
            </w:r>
          </w:p>
        </w:tc>
      </w:tr>
    </w:tbl>
    <w:p>
      <w:pPr>
        <w:pStyle w:val="TextBody"/>
        <w:bidi w:val="0"/>
        <w:spacing w:before="0" w:after="0"/>
        <w:ind w:left="0" w:right="0" w:hanging="0"/>
        <w:jc w:val="left"/>
        <w:rPr/>
      </w:pPr>
      <w:r>
        <w:rPr/>
        <w:t> </w:t>
      </w:r>
    </w:p>
    <w:tbl>
      <w:tblPr>
        <w:tblW w:w="7405" w:type="dxa"/>
        <w:jc w:val="left"/>
        <w:tblInd w:w="0" w:type="dxa"/>
        <w:tblLayout w:type="fixed"/>
        <w:tblCellMar>
          <w:top w:w="0" w:type="dxa"/>
          <w:left w:w="0" w:type="dxa"/>
          <w:bottom w:w="0" w:type="dxa"/>
          <w:right w:w="0" w:type="dxa"/>
        </w:tblCellMar>
      </w:tblPr>
      <w:tblGrid>
        <w:gridCol w:w="60"/>
        <w:gridCol w:w="170"/>
        <w:gridCol w:w="71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greater experience in obtaining patents and regulatory approvals for product candidates;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greater experience conducting new product research and development, manufacturing therapies, conducting clinical trials, obtaining regulatory approval for products, and marketing approved products; and</w:t>
            </w:r>
          </w:p>
        </w:tc>
      </w:tr>
    </w:tbl>
    <w:p>
      <w:pPr>
        <w:pStyle w:val="TextBody"/>
        <w:bidi w:val="0"/>
        <w:spacing w:before="0" w:after="0"/>
        <w:ind w:left="0" w:right="0" w:hanging="0"/>
        <w:jc w:val="left"/>
        <w:rPr/>
      </w:pPr>
      <w:r>
        <w:rPr/>
        <w:t> </w:t>
      </w:r>
    </w:p>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greater financial and human resources for product development, sales and marketing.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atrial fibrillation is the use of thermal ablation modalities, primarily the use of radiofrequency ablation.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dermatology, we commenced revenue-producing operations in 2021; however, we were unsuccessful in earning significant revenues in the dermatology market and, on September 20, 2022, the Company announced it was discontinuing further sales in the dermatology market and it would instead seek development and marketing partners and license NPS technology to others in order to avoid having to provide marketing, manufacturing, and distribution capabilities within our organization. However, there can be no assurance that we will find any development and marketing partners or companies that are interested in licensing our technology for dermatologic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lose key management personnel, our ability to identify, develop and commercialize new or next generation product candidates will be impaired, could result in loss of markets or market share and could make us less competitive.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highly dependent upon the principal members of our management team, including our Chief Executive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There is a limited talent pool of experienced professionals in our industry. If we are not able to retain and recruit personnel with the requisite technical skills, we may be unable to successfully execute our business strategy.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very limited experience selling the CellFX System.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However, we have had limited experience marketing and selling the CellFX System in dermatology, no sales experience in cardiology, and our revenues and cash flows have been volatile and difficult to predict. As of March 1, 2023, following two reductions in force in 2022 and a third elimination of positions in February 2023, we no longer had any employees engaged in sales and marketing activities on a full-time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Rapidly changing technology in life sciences could make the products we are developing obsolete.</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environmental regulations and any failure to comply with applicable laws could subject us to significant liabilities and harm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against us could cause us to incur substantial liabilities and limit commercialization of our product or any future products that we may develop.</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decreased demand for our product or any planned products that we may develop;</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injury to our reputation and significant negative media attention;</w:t>
            </w:r>
          </w:p>
        </w:tc>
      </w:tr>
    </w:tbl>
    <w:p>
      <w:pPr>
        <w:pStyle w:val="TextBody"/>
        <w:bidi w:val="0"/>
        <w:spacing w:before="0" w:after="0"/>
        <w:ind w:left="0" w:right="0" w:hanging="0"/>
        <w:jc w:val="left"/>
        <w:rPr/>
      </w:pPr>
      <w:r>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 of patients from our clinical studies or cancellation of studies;</w:t>
            </w:r>
          </w:p>
        </w:tc>
      </w:tr>
    </w:tbl>
    <w:p>
      <w:pPr>
        <w:pStyle w:val="TextBody"/>
        <w:bidi w:val="0"/>
        <w:spacing w:before="0" w:after="0"/>
        <w:ind w:left="0" w:right="0" w:hanging="0"/>
        <w:jc w:val="left"/>
        <w:rPr/>
      </w:pPr>
      <w:r>
        <w:rPr/>
        <w:t> </w:t>
      </w:r>
    </w:p>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costs to defend the related litigation and distraction to our management team;</w:t>
            </w:r>
          </w:p>
        </w:tc>
      </w:tr>
    </w:tbl>
    <w:p>
      <w:pPr>
        <w:pStyle w:val="TextBody"/>
        <w:bidi w:val="0"/>
        <w:spacing w:before="0" w:after="0"/>
        <w:ind w:left="0" w:right="0" w:hanging="0"/>
        <w:jc w:val="left"/>
        <w:rPr/>
      </w:pPr>
      <w:r>
        <w:rPr/>
        <w:t> </w:t>
      </w:r>
    </w:p>
    <w:tbl>
      <w:tblPr>
        <w:tblW w:w="3505" w:type="dxa"/>
        <w:jc w:val="left"/>
        <w:tblInd w:w="0" w:type="dxa"/>
        <w:tblLayout w:type="fixed"/>
        <w:tblCellMar>
          <w:top w:w="0" w:type="dxa"/>
          <w:left w:w="0" w:type="dxa"/>
          <w:bottom w:w="0" w:type="dxa"/>
          <w:right w:w="0" w:type="dxa"/>
        </w:tblCellMar>
      </w:tblPr>
      <w:tblGrid>
        <w:gridCol w:w="60"/>
        <w:gridCol w:w="170"/>
        <w:gridCol w:w="3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substantial monetary awards to patients;</w:t>
            </w:r>
          </w:p>
        </w:tc>
      </w:tr>
    </w:tbl>
    <w:p>
      <w:pPr>
        <w:pStyle w:val="TextBody"/>
        <w:bidi w:val="0"/>
        <w:spacing w:before="0" w:after="0"/>
        <w:ind w:left="0" w:right="0" w:hanging="0"/>
        <w:jc w:val="left"/>
        <w:rPr/>
      </w:pPr>
      <w:r>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of revenue;</w:t>
            </w:r>
          </w:p>
        </w:tc>
      </w:tr>
    </w:tbl>
    <w:p>
      <w:pPr>
        <w:pStyle w:val="TextBody"/>
        <w:bidi w:val="0"/>
        <w:spacing w:before="0" w:after="0"/>
        <w:ind w:left="0" w:right="0" w:hanging="0"/>
        <w:jc w:val="left"/>
        <w:rPr/>
      </w:pPr>
      <w:r>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left"/>
              <w:rPr>
                <w:sz w:val="20"/>
              </w:rPr>
            </w:pPr>
            <w:r>
              <w:rPr>
                <w:sz w:val="20"/>
              </w:rPr>
              <w:t>government investigations or enforcement actions; and</w:t>
            </w:r>
          </w:p>
        </w:tc>
      </w:tr>
    </w:tbl>
    <w:p>
      <w:pPr>
        <w:pStyle w:val="TextBody"/>
        <w:bidi w:val="0"/>
        <w:spacing w:before="0" w:after="0"/>
        <w:ind w:left="0" w:right="0" w:hanging="0"/>
        <w:jc w:val="left"/>
        <w:rPr/>
      </w:pPr>
      <w:r>
        <w:rPr/>
        <w:t> </w:t>
      </w:r>
    </w:p>
    <w:tbl>
      <w:tblPr>
        <w:tblW w:w="6085" w:type="dxa"/>
        <w:jc w:val="left"/>
        <w:tblInd w:w="0" w:type="dxa"/>
        <w:tblLayout w:type="fixed"/>
        <w:tblCellMar>
          <w:top w:w="0" w:type="dxa"/>
          <w:left w:w="0" w:type="dxa"/>
          <w:bottom w:w="0" w:type="dxa"/>
          <w:right w:w="0" w:type="dxa"/>
        </w:tblCellMar>
      </w:tblPr>
      <w:tblGrid>
        <w:gridCol w:w="60"/>
        <w:gridCol w:w="170"/>
        <w:gridCol w:w="5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commercialize any future products that we may develop.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carryforwards and certain other tax attributes may be limited.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a substantial amount of goodwill and intangible assets which over time may have to be written down as we make the required periodic assessments as to their value as reflected in our financial statements.</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Product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results of earlier studies and trials may not be predictive of future trial results.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preclinical experience using NPS technology in animal models of cardiac disease; our past successes in dermatology may not translate into similar results in cardiology. In particular, the safety and efficacy data we have generated using NPS technology and the CellFX System to treat benign lesions in the skin and the preliminary feasibility results we have seen in benign thyroid nodules might not be replicated in other areas of medicine, including the use of CellFX nsPFA technology and the CellFX System to treat atrial fibrillation or other cardiac disease.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long-term growth depends on our ability to develop marketable products to treat AF through our research and development efforts, and if we fail to do so we may be unable to compete effectively or we may decide to scale back or eliminate some or all of our activities or otherwise curtail, suspend or discontinue our operations entirely.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might be unable to successfully commercialize our current products with domestic or international regulatory clearances or approvals or develop or obtain regulatory clearances or approvals to market new products, either with or without a corporate partner in cardiology, for example. Additionally, despite our best efforts and the best efforts of any corporate partners we may secure, these products and any future products might not be accepted by dermatologists, cardiologists, or other health care workers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pStyle w:val="TextBody"/>
        <w:bidi w:val="0"/>
        <w:spacing w:before="0" w:after="0"/>
        <w:ind w:left="16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properly identify and anticipate clinician and patient needs;</w:t>
            </w:r>
          </w:p>
        </w:tc>
      </w:tr>
    </w:tbl>
    <w:p>
      <w:pPr>
        <w:pStyle w:val="TextBody"/>
        <w:bidi w:val="0"/>
        <w:spacing w:before="0" w:after="0"/>
        <w:ind w:left="0" w:right="0" w:hanging="0"/>
        <w:jc w:val="left"/>
        <w:rPr/>
      </w:pPr>
      <w:r>
        <w:rPr/>
        <w:t> </w:t>
      </w:r>
    </w:p>
    <w:tbl>
      <w:tblPr>
        <w:tblW w:w="6910" w:type="dxa"/>
        <w:jc w:val="left"/>
        <w:tblInd w:w="0" w:type="dxa"/>
        <w:tblLayout w:type="fixed"/>
        <w:tblCellMar>
          <w:top w:w="0" w:type="dxa"/>
          <w:left w:w="0" w:type="dxa"/>
          <w:bottom w:w="0" w:type="dxa"/>
          <w:right w:w="0" w:type="dxa"/>
        </w:tblCellMar>
      </w:tblPr>
      <w:tblGrid>
        <w:gridCol w:w="60"/>
        <w:gridCol w:w="170"/>
        <w:gridCol w:w="6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 and introduce new products or product enhancements in a timely manner;</w:t>
            </w:r>
          </w:p>
        </w:tc>
      </w:tr>
    </w:tbl>
    <w:p>
      <w:pPr>
        <w:pStyle w:val="TextBody"/>
        <w:bidi w:val="0"/>
        <w:spacing w:before="0" w:after="0"/>
        <w:ind w:left="0" w:right="0" w:hanging="0"/>
        <w:jc w:val="left"/>
        <w:rPr/>
      </w:pPr>
      <w:r>
        <w:rPr/>
        <w:t> </w:t>
      </w:r>
    </w:p>
    <w:tbl>
      <w:tblPr>
        <w:tblW w:w="9790" w:type="dxa"/>
        <w:jc w:val="left"/>
        <w:tblInd w:w="0" w:type="dxa"/>
        <w:tblLayout w:type="fixed"/>
        <w:tblCellMar>
          <w:top w:w="0" w:type="dxa"/>
          <w:left w:w="0" w:type="dxa"/>
          <w:bottom w:w="0" w:type="dxa"/>
          <w:right w:w="0" w:type="dxa"/>
        </w:tblCellMar>
      </w:tblPr>
      <w:tblGrid>
        <w:gridCol w:w="60"/>
        <w:gridCol w:w="170"/>
        <w:gridCol w:w="9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adequately protect our intellectual property and avoid infringing upon the intellectual property rights of third parties;</w:t>
            </w:r>
          </w:p>
        </w:tc>
      </w:tr>
    </w:tbl>
    <w:p>
      <w:pPr>
        <w:pStyle w:val="TextBody"/>
        <w:bidi w:val="0"/>
        <w:spacing w:before="0" w:after="0"/>
        <w:ind w:left="0" w:right="0" w:hanging="0"/>
        <w:jc w:val="left"/>
        <w:rPr/>
      </w:pPr>
      <w:r>
        <w:rPr/>
        <w:t> </w:t>
      </w:r>
    </w:p>
    <w:tbl>
      <w:tblPr>
        <w:tblW w:w="4840" w:type="dxa"/>
        <w:jc w:val="left"/>
        <w:tblInd w:w="0" w:type="dxa"/>
        <w:tblLayout w:type="fixed"/>
        <w:tblCellMar>
          <w:top w:w="0" w:type="dxa"/>
          <w:left w:w="0" w:type="dxa"/>
          <w:bottom w:w="0" w:type="dxa"/>
          <w:right w:w="0" w:type="dxa"/>
        </w:tblCellMar>
      </w:tblPr>
      <w:tblGrid>
        <w:gridCol w:w="60"/>
        <w:gridCol w:w="170"/>
        <w:gridCol w:w="4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demonstrate the safety and efficacy of new products; and</w:t>
            </w:r>
          </w:p>
        </w:tc>
      </w:tr>
    </w:tbl>
    <w:p>
      <w:pPr>
        <w:pStyle w:val="TextBody"/>
        <w:bidi w:val="0"/>
        <w:spacing w:before="0" w:after="0"/>
        <w:ind w:left="0" w:right="0" w:hanging="0"/>
        <w:jc w:val="left"/>
        <w:rPr/>
      </w:pPr>
      <w:r>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the necessary regulatory clearances or approvals for new products or product enhancements.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Moreover, if our technology cannot be used to successfully treat AF,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Interim</w:t>
      </w:r>
      <w:r>
        <w:rPr>
          <w:rFonts w:ascii="Times New Roman" w:hAnsi="Times New Roman"/>
          <w:caps w:val="false"/>
          <w:smallCaps w:val="false"/>
          <w:sz w:val="20"/>
        </w:rPr>
        <w:t> “</w:t>
      </w:r>
      <w:r>
        <w:rPr>
          <w:rFonts w:ascii="Times New Roman" w:hAnsi="Times New Roman"/>
          <w:b/>
          <w:i/>
          <w:caps w:val="false"/>
          <w:smallCaps w:val="false"/>
          <w:sz w:val="20"/>
        </w:rPr>
        <w:t>top-line</w:t>
      </w:r>
      <w:r>
        <w:rPr>
          <w:rFonts w:ascii="Times New Roman" w:hAnsi="Times New Roman"/>
          <w:caps w:val="false"/>
          <w:smallCaps w:val="false"/>
          <w:sz w:val="20"/>
        </w:rPr>
        <w:t>” </w:t>
      </w:r>
      <w:r>
        <w:rPr>
          <w:rFonts w:ascii="Times New Roman" w:hAnsi="Times New Roman"/>
          <w:b/>
          <w:i/>
          <w:caps w:val="false"/>
          <w:smallCaps w:val="false"/>
          <w:sz w:val="20"/>
        </w:rPr>
        <w:t>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fail to maintain necessary regulatory clearance for our product, or if clearances or approvals for future devices and indications are delayed or not issued, the commercial prospects for our CellFX System and other NPS technologies would be harmed.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0"/>
        <w:gridCol w:w="170"/>
        <w:gridCol w:w="3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device design, development and manufacture;</w:t>
            </w:r>
          </w:p>
        </w:tc>
      </w:tr>
    </w:tbl>
    <w:p>
      <w:pPr>
        <w:pStyle w:val="TextBody"/>
        <w:bidi w:val="0"/>
        <w:spacing w:before="0" w:after="0"/>
        <w:ind w:left="0" w:right="0" w:hanging="0"/>
        <w:jc w:val="left"/>
        <w:rPr/>
      </w:pPr>
      <w:r>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preclinical and clinical testing, labeling, packaging, and storage;</w:t>
            </w:r>
          </w:p>
        </w:tc>
      </w:tr>
    </w:tbl>
    <w:p>
      <w:pPr>
        <w:pStyle w:val="TextBody"/>
        <w:bidi w:val="0"/>
        <w:spacing w:before="0" w:after="0"/>
        <w:ind w:left="0" w:right="0" w:hanging="0"/>
        <w:jc w:val="left"/>
        <w:rPr/>
      </w:pPr>
      <w:r>
        <w:rPr/>
        <w:t> </w:t>
      </w:r>
    </w:p>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premarketing clearance or approval;</w:t>
            </w:r>
          </w:p>
        </w:tc>
      </w:tr>
    </w:tbl>
    <w:p>
      <w:pPr>
        <w:pStyle w:val="TextBody"/>
        <w:bidi w:val="0"/>
        <w:spacing w:before="0" w:after="0"/>
        <w:ind w:left="0" w:right="0" w:hanging="0"/>
        <w:jc w:val="left"/>
        <w:rPr/>
      </w:pPr>
      <w:r>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record keeping;</w:t>
            </w:r>
          </w:p>
        </w:tc>
      </w:tr>
    </w:tbl>
    <w:p>
      <w:pPr>
        <w:pStyle w:val="TextBody"/>
        <w:bidi w:val="0"/>
        <w:spacing w:before="0" w:after="0"/>
        <w:ind w:left="0" w:right="0" w:hanging="0"/>
        <w:jc w:val="left"/>
        <w:rPr/>
      </w:pPr>
      <w:r>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device marketing, promotion and advertising, sales and distribution; and</w:t>
            </w:r>
          </w:p>
        </w:tc>
      </w:tr>
    </w:tbl>
    <w:p>
      <w:pPr>
        <w:pStyle w:val="TextBody"/>
        <w:bidi w:val="0"/>
        <w:spacing w:before="0" w:after="0"/>
        <w:ind w:left="0" w:right="0" w:hanging="0"/>
        <w:jc w:val="left"/>
        <w:rPr/>
      </w:pPr>
      <w:r>
        <w:rPr/>
        <w:t> </w:t>
      </w:r>
    </w:p>
    <w:tbl>
      <w:tblPr>
        <w:tblW w:w="9295" w:type="dxa"/>
        <w:jc w:val="left"/>
        <w:tblInd w:w="0" w:type="dxa"/>
        <w:tblLayout w:type="fixed"/>
        <w:tblCellMar>
          <w:top w:w="0" w:type="dxa"/>
          <w:left w:w="0" w:type="dxa"/>
          <w:bottom w:w="0" w:type="dxa"/>
          <w:right w:w="0" w:type="dxa"/>
        </w:tblCellMar>
      </w:tblPr>
      <w:tblGrid>
        <w:gridCol w:w="60"/>
        <w:gridCol w:w="170"/>
        <w:gridCol w:w="9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surveillance, including reporting of deaths and serious injuries, recalls, correction and removals.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FDA and state authorities have broad enforcement powers. Our failure to comply with applicable regulatory requirements could result in enforcement action by the FDA or state agencies, which may include any of the following sanctions, among others: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60"/>
        <w:gridCol w:w="170"/>
        <w:gridCol w:w="7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publicity, warning letters, fines, injunctions, consent decrees, and civil penalties;</w:t>
            </w:r>
          </w:p>
        </w:tc>
      </w:tr>
    </w:tbl>
    <w:p>
      <w:pPr>
        <w:pStyle w:val="TextBody"/>
        <w:bidi w:val="0"/>
        <w:spacing w:before="0" w:after="0"/>
        <w:ind w:left="0" w:right="0" w:hanging="0"/>
        <w:jc w:val="left"/>
        <w:rPr/>
      </w:pPr>
      <w:r>
        <w:rPr/>
        <w:t> </w:t>
      </w:r>
    </w:p>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to repair, replace, refund, or recall our marketed devices, or government seizure of them;</w:t>
            </w:r>
          </w:p>
        </w:tc>
      </w:tr>
    </w:tbl>
    <w:p>
      <w:pPr>
        <w:pStyle w:val="TextBody"/>
        <w:bidi w:val="0"/>
        <w:spacing w:before="0" w:after="0"/>
        <w:ind w:left="0" w:right="0" w:hanging="0"/>
        <w:jc w:val="left"/>
        <w:rPr/>
      </w:pPr>
      <w:r>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restrictions, partial suspension, or total shutdown of production;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refusing our requests for 510(k) clearance or premarket approval of new devices, new intended uses or modifications to existing devices;</w:t>
            </w:r>
          </w:p>
        </w:tc>
      </w:tr>
    </w:tbl>
    <w:p>
      <w:pPr>
        <w:pStyle w:val="TextBody"/>
        <w:bidi w:val="0"/>
        <w:spacing w:before="0" w:after="0"/>
        <w:ind w:left="0" w:right="0" w:hanging="0"/>
        <w:jc w:val="left"/>
        <w:rPr/>
      </w:pPr>
      <w:r>
        <w:rPr/>
        <w:t> </w:t>
      </w:r>
    </w:p>
    <w:tbl>
      <w:tblPr>
        <w:tblW w:w="7510" w:type="dxa"/>
        <w:jc w:val="left"/>
        <w:tblInd w:w="0" w:type="dxa"/>
        <w:tblLayout w:type="fixed"/>
        <w:tblCellMar>
          <w:top w:w="0" w:type="dxa"/>
          <w:left w:w="0" w:type="dxa"/>
          <w:bottom w:w="0" w:type="dxa"/>
          <w:right w:w="0" w:type="dxa"/>
        </w:tblCellMar>
      </w:tblPr>
      <w:tblGrid>
        <w:gridCol w:w="60"/>
        <w:gridCol w:w="170"/>
        <w:gridCol w:w="7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withdrawing 510(k) clearance or premarket approvals that have already been granted; and</w:t>
            </w:r>
          </w:p>
        </w:tc>
      </w:tr>
    </w:tbl>
    <w:p>
      <w:pPr>
        <w:pStyle w:val="TextBody"/>
        <w:bidi w:val="0"/>
        <w:spacing w:before="0" w:after="0"/>
        <w:ind w:left="0" w:right="0" w:hanging="0"/>
        <w:jc w:val="left"/>
        <w:rPr/>
      </w:pPr>
      <w:r>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criminal prosecution.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these events were to occur, our business and financial condition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mechanism of action of NPS technology platform has not been fully determined or validated.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exact mechanism(s) of action(s) of our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CellFX System and any future product candidates may cause serious adverse side effects or have other properties that could delay or prevent their regulatory approval, limit their commercial desirability or result in significant negative consequences.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risk of failure of clinical development is high. For example, the vast majority of our in vivo data has been a result of animal testing outside of cardiac animal models, and we have only completed a limited number of feasibility studies in humans, all of which have examined the use of our CellFX System in dermatologic conditions. Undesirable side effects caused by the CellFX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if we or others identify undesirable side effects caused by the CellFX System,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forced to recall such product and suspend the marketing of such product;</w:t>
            </w:r>
          </w:p>
        </w:tc>
      </w:tr>
    </w:tbl>
    <w:p>
      <w:pPr>
        <w:pStyle w:val="TextBody"/>
        <w:bidi w:val="0"/>
        <w:spacing w:before="0" w:after="0"/>
        <w:ind w:left="0" w:right="0" w:hanging="0"/>
        <w:jc w:val="left"/>
        <w:rPr/>
      </w:pPr>
      <w:r>
        <w:rPr/>
        <w:t> </w:t>
      </w:r>
    </w:p>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their approvals of such product;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additional warnings on the label and/or narrow the indication of use for the product which could diminish the usage or otherwise limit the commercial success of such product;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may issue safety alerts, “Dear Healthcare Provider” letters, press releases, or other communications containing warnings about such product;</w:t>
            </w:r>
          </w:p>
        </w:tc>
      </w:tr>
    </w:tbl>
    <w:p>
      <w:pPr>
        <w:pStyle w:val="TextBody"/>
        <w:bidi w:val="0"/>
        <w:spacing w:before="0" w:after="0"/>
        <w:ind w:left="0" w:right="0" w:hanging="0"/>
        <w:jc w:val="left"/>
        <w:rPr/>
      </w:pPr>
      <w:r>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may restrict distribution of our product and impose burdensome implementation requirements on us;</w:t>
            </w:r>
          </w:p>
        </w:tc>
      </w:tr>
    </w:tbl>
    <w:p>
      <w:pPr>
        <w:pStyle w:val="TextBody"/>
        <w:bidi w:val="0"/>
        <w:spacing w:before="0" w:after="0"/>
        <w:ind w:left="0" w:right="0" w:hanging="0"/>
        <w:jc w:val="left"/>
        <w:rPr/>
      </w:pPr>
      <w:r>
        <w:rPr/>
        <w:t> </w:t>
      </w:r>
    </w:p>
    <w:tbl>
      <w:tblPr>
        <w:tblW w:w="8560" w:type="dxa"/>
        <w:jc w:val="left"/>
        <w:tblInd w:w="0" w:type="dxa"/>
        <w:tblLayout w:type="fixed"/>
        <w:tblCellMar>
          <w:top w:w="0" w:type="dxa"/>
          <w:left w:w="0" w:type="dxa"/>
          <w:bottom w:w="0" w:type="dxa"/>
          <w:right w:w="0" w:type="dxa"/>
        </w:tblCellMar>
      </w:tblPr>
      <w:tblGrid>
        <w:gridCol w:w="60"/>
        <w:gridCol w:w="170"/>
        <w:gridCol w:w="8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the product is administered or conduct additional clinical trials;</w:t>
            </w:r>
          </w:p>
        </w:tc>
      </w:tr>
    </w:tbl>
    <w:p>
      <w:pPr>
        <w:pStyle w:val="TextBody"/>
        <w:bidi w:val="0"/>
        <w:spacing w:before="0" w:after="0"/>
        <w:ind w:left="0" w:right="0" w:hanging="0"/>
        <w:jc w:val="left"/>
        <w:rPr/>
      </w:pPr>
      <w:r>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 sued and held liable for harm caused to subjects or patients; and</w:t>
            </w:r>
          </w:p>
        </w:tc>
      </w:tr>
    </w:tbl>
    <w:p>
      <w:pPr>
        <w:pStyle w:val="TextBody"/>
        <w:bidi w:val="0"/>
        <w:spacing w:before="0" w:after="0"/>
        <w:ind w:left="0" w:right="0" w:hanging="0"/>
        <w:jc w:val="left"/>
        <w:rPr/>
      </w:pPr>
      <w:r>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could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from achieving or maintaining market acceptance of the CellFX System or of any future particular planned product, if approved.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Laboratory conditions differ from commercial conditions and field conditions, and the safety and effectiveness of our product candidates may depend on the technique of the user.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Issues with our firmware and software may negatively affect the function of our devices.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encounter manufacturing problems or delays that could result in lost revenue or slower than anticipated product development.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purchase components for our products under development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become commercially viable if our ultimate commercialized products or related treatments fail to obtain an adequate level of reimbursement by Medicare and other third-party payers.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intellectual property, then our financial condition, results of operations and the value of our technology and products could be adversely affected.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intellectual property rights will not necessarily provide us with competitive advantages.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be able to make products that are similar to our product candidates but that are not covered by the claims of the patents that we own or have exclusively licensed;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independently develop similar or alternative technologies without infringing on our intellectual property rights;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issued patents that we own or have exclusively licensed may not provide us with any competitive advantages, or may be held invalid or unenforceable, as a result of legal challenges by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spacing w:before="0" w:after="0"/>
        <w:ind w:left="0" w:right="0" w:hanging="0"/>
        <w:jc w:val="left"/>
        <w:rPr/>
      </w:pPr>
      <w:r>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fail to develop additional proprietary technologies that are patentable;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patents of others may have an adverse effect on our business, for example by preventing us from marketing one or more of our product candidates for one or more indications.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 aforementioned threats to our competitive advantage could harm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If we are unable to protect the confidentiality of our proprietary information and know-how, the value of our technology and products could be adversely affected.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intellectual property used in our products, others may be able to copy our innovations which may impair our ability to compete effectively in our markets.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stringent domestic and foreign regulation. Any unfavorable regulatory action or adverse change in law may materially and adversely affect our future financial condition and business operations and prospects.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take a significant indeterminate amount of time;</w:t>
            </w:r>
          </w:p>
        </w:tc>
      </w:tr>
    </w:tbl>
    <w:p>
      <w:pPr>
        <w:pStyle w:val="TextBody"/>
        <w:bidi w:val="0"/>
        <w:spacing w:before="0" w:after="0"/>
        <w:ind w:left="0" w:right="0" w:hanging="0"/>
        <w:jc w:val="left"/>
        <w:rPr/>
      </w:pPr>
      <w:r>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the expenditure of substantial resources;</w:t>
            </w:r>
          </w:p>
        </w:tc>
      </w:tr>
    </w:tbl>
    <w:p>
      <w:pPr>
        <w:pStyle w:val="TextBody"/>
        <w:bidi w:val="0"/>
        <w:spacing w:before="0" w:after="0"/>
        <w:ind w:left="0" w:right="0" w:hanging="0"/>
        <w:jc w:val="left"/>
        <w:rPr/>
      </w:pPr>
      <w:r>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involve rigorous preclinical and clinical testing, and possibly post-market surveillance;</w:t>
            </w:r>
          </w:p>
        </w:tc>
      </w:tr>
    </w:tbl>
    <w:p>
      <w:pPr>
        <w:pStyle w:val="TextBody"/>
        <w:bidi w:val="0"/>
        <w:spacing w:before="0" w:after="0"/>
        <w:ind w:left="0" w:right="0" w:hanging="0"/>
        <w:jc w:val="left"/>
        <w:rPr/>
      </w:pPr>
      <w:r>
        <w:rPr/>
        <w:t> </w:t>
      </w:r>
    </w:p>
    <w:tbl>
      <w:tblPr>
        <w:tblW w:w="5335" w:type="dxa"/>
        <w:jc w:val="left"/>
        <w:tblInd w:w="0" w:type="dxa"/>
        <w:tblLayout w:type="fixed"/>
        <w:tblCellMar>
          <w:top w:w="0" w:type="dxa"/>
          <w:left w:w="0" w:type="dxa"/>
          <w:bottom w:w="0" w:type="dxa"/>
          <w:right w:w="0" w:type="dxa"/>
        </w:tblCellMar>
      </w:tblPr>
      <w:tblGrid>
        <w:gridCol w:w="60"/>
        <w:gridCol w:w="170"/>
        <w:gridCol w:w="5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involve modifications, repairs or replacements of our products;</w:t>
            </w:r>
          </w:p>
        </w:tc>
      </w:tr>
    </w:tbl>
    <w:p>
      <w:pPr>
        <w:pStyle w:val="TextBody"/>
        <w:bidi w:val="0"/>
        <w:spacing w:before="0" w:after="0"/>
        <w:ind w:left="0" w:right="0" w:hanging="0"/>
        <w:jc w:val="left"/>
        <w:rPr/>
      </w:pPr>
      <w:r>
        <w:rPr/>
        <w:t> </w:t>
      </w:r>
    </w:p>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design changes of our products;</w:t>
            </w:r>
          </w:p>
        </w:tc>
      </w:tr>
    </w:tbl>
    <w:p>
      <w:pPr>
        <w:pStyle w:val="TextBody"/>
        <w:bidi w:val="0"/>
        <w:spacing w:before="0" w:after="0"/>
        <w:ind w:left="0" w:right="0" w:hanging="0"/>
        <w:jc w:val="left"/>
        <w:rPr/>
      </w:pPr>
      <w:r>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result in limitations on the indicated uses of our products; and</w:t>
            </w:r>
          </w:p>
        </w:tc>
      </w:tr>
    </w:tbl>
    <w:p>
      <w:pPr>
        <w:pStyle w:val="TextBody"/>
        <w:bidi w:val="0"/>
        <w:spacing w:before="0" w:after="0"/>
        <w:ind w:left="0" w:right="0" w:hanging="0"/>
        <w:jc w:val="left"/>
        <w:rPr/>
      </w:pPr>
      <w:r>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result in our never being granted the regulatory approval or clearance we seek.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experience any of these occurrences, our operations may suffer and we might experience harm to our competitive standing, which could adversely affect our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All our product development depends upon maintaining strong working relationships with physicians.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We are subject to healthcare and other laws and regulations relating to our business and could face substantial penalties if we are determined not to have fully complied with such laws, which could have an adverse impact on our business.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Also, any material change to any of the laws or regulations applicable to our business could harm our business, financial condition and results of operations.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To obtain the necessary device approvals or clearances from regulatory authorities for our future product candidates, we will have to conduct various preclinical and clinical tests, which may be costly and time consuming, and may</w:t>
      </w:r>
      <w:r>
        <w:rPr>
          <w:rFonts w:ascii="Times New Roman" w:hAnsi="Times New Roman"/>
          <w:caps w:val="false"/>
          <w:smallCaps w:val="false"/>
          <w:sz w:val="20"/>
        </w:rPr>
        <w:t> </w:t>
      </w:r>
      <w:r>
        <w:rPr>
          <w:rFonts w:ascii="Times New Roman" w:hAnsi="Times New Roman"/>
          <w:b/>
          <w:i/>
          <w:caps w:val="false"/>
          <w:smallCaps w:val="false"/>
          <w:sz w:val="20"/>
        </w:rPr>
        <w:t>not provide results that will allow us to seek regulatory approval or clearance.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not deem a technology or device to be reasonably safe or effective for any intended use or indication;</w:t>
            </w:r>
          </w:p>
        </w:tc>
      </w:tr>
    </w:tbl>
    <w:p>
      <w:pPr>
        <w:pStyle w:val="TextBody"/>
        <w:bidi w:val="0"/>
        <w:spacing w:before="0" w:after="0"/>
        <w:ind w:left="0" w:right="0" w:hanging="0"/>
        <w:jc w:val="left"/>
        <w:rPr/>
      </w:pPr>
      <w:r>
        <w:rPr/>
        <w:t>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interpret data from preclinical and clinical testing differently than we do;</w:t>
            </w:r>
          </w:p>
        </w:tc>
      </w:tr>
    </w:tbl>
    <w:p>
      <w:pPr>
        <w:pStyle w:val="TextBody"/>
        <w:bidi w:val="0"/>
        <w:spacing w:before="0" w:after="0"/>
        <w:ind w:left="0" w:right="0" w:hanging="0"/>
        <w:jc w:val="left"/>
        <w:rPr/>
      </w:pPr>
      <w:r>
        <w:rPr/>
        <w:t> </w:t>
      </w:r>
    </w:p>
    <w:tbl>
      <w:tblPr>
        <w:tblW w:w="8530" w:type="dxa"/>
        <w:jc w:val="left"/>
        <w:tblInd w:w="0" w:type="dxa"/>
        <w:tblLayout w:type="fixed"/>
        <w:tblCellMar>
          <w:top w:w="0" w:type="dxa"/>
          <w:left w:w="0" w:type="dxa"/>
          <w:bottom w:w="0" w:type="dxa"/>
          <w:right w:w="0" w:type="dxa"/>
        </w:tblCellMar>
      </w:tblPr>
      <w:tblGrid>
        <w:gridCol w:w="60"/>
        <w:gridCol w:w="170"/>
        <w:gridCol w:w="8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determine our manufacturing facility or processes do not comply with quality system regulations;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conclude that our products do not meet quality standards for durability, long-term reliability, biocompatibility, electromagnetic compatibility, or electrical safety; or</w:t>
            </w:r>
          </w:p>
        </w:tc>
      </w:tr>
    </w:tbl>
    <w:p>
      <w:pPr>
        <w:pStyle w:val="TextBody"/>
        <w:bidi w:val="0"/>
        <w:spacing w:before="0" w:after="0"/>
        <w:ind w:left="0" w:right="0" w:hanging="0"/>
        <w:jc w:val="left"/>
        <w:rPr/>
      </w:pPr>
      <w:r>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change their approval or clearance policies or adopt new regulations in a manner that is adverse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Even if a potential device or product ultimately is cleared or approved by regulatory authorities, it may be cleared or approved only for narrow indications which may render it commercially less viable.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will be subject to ongoing requirements and inspections that could lead to the restriction, suspension or revocation of our clearance.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employees, collaborators and other personnel may engage in misconduct or other improper activities, including noncompliance with regulatory standards and requirements and insider trading.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Healthcare policy changes, including recent federal legislation to reform the U.S. healthcare system, may have a material adverse effect on us.</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has been, and we expect it to continue to be, highly volatile, and you may be unable to sell your shares at or above the price you paid to acquire them.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been highly volatile, and we expect it to continue to be highly volatile for the foreseeable future in response to many risk factors listed in this section, and others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results of clinical trials of our planned products or those of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actions by regulatory bodies, such as the FDA, that affect our business or have the effect of delaying or rejecting approval or clearance of our planned products;</w:t>
            </w:r>
          </w:p>
        </w:tc>
      </w:tr>
    </w:tbl>
    <w:p>
      <w:pPr>
        <w:pStyle w:val="TextBody"/>
        <w:bidi w:val="0"/>
        <w:spacing w:before="0" w:after="0"/>
        <w:ind w:left="0" w:right="0" w:hanging="0"/>
        <w:jc w:val="left"/>
        <w:rPr/>
      </w:pPr>
      <w:r>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fluctuations in our financial condition and operating results;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by our customers, partners or suppliers relating directly or indirectly to our products, services or technologies;</w:t>
            </w:r>
          </w:p>
        </w:tc>
      </w:tr>
    </w:tbl>
    <w:p>
      <w:pPr>
        <w:pStyle w:val="TextBody"/>
        <w:bidi w:val="0"/>
        <w:spacing w:before="0" w:after="0"/>
        <w:ind w:left="0" w:right="0" w:hanging="0"/>
        <w:jc w:val="left"/>
        <w:rPr/>
      </w:pPr>
      <w:r>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by us or our competitors;</w:t>
            </w:r>
          </w:p>
        </w:tc>
      </w:tr>
    </w:tbl>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60"/>
        <w:gridCol w:w="170"/>
        <w:gridCol w:w="7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laws or regulations applicable to the CellFX System or to our planned products;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by us or our competitors of significant acquisitions, strategic partnerships, joint ventures, capital commitments, or achievement of significant milestones;</w:t>
            </w:r>
          </w:p>
        </w:tc>
      </w:tr>
    </w:tbl>
    <w:p>
      <w:pPr>
        <w:pStyle w:val="TextBody"/>
        <w:bidi w:val="0"/>
        <w:spacing w:before="0" w:after="0"/>
        <w:ind w:left="0" w:right="0" w:hanging="0"/>
        <w:jc w:val="left"/>
        <w:rPr/>
      </w:pPr>
      <w:r>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or departures of key personnel;</w:t>
            </w:r>
          </w:p>
        </w:tc>
      </w:tr>
    </w:tbl>
    <w:p>
      <w:pPr>
        <w:pStyle w:val="TextBody"/>
        <w:bidi w:val="0"/>
        <w:spacing w:before="0" w:after="0"/>
        <w:ind w:left="0" w:right="0" w:hanging="0"/>
        <w:jc w:val="left"/>
        <w:rPr/>
      </w:pPr>
      <w:r>
        <w:rPr/>
        <w:t> </w:t>
      </w:r>
    </w:p>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from existing products or new products that may emerge;</w:t>
            </w:r>
          </w:p>
        </w:tc>
      </w:tr>
    </w:tbl>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the valuation of companies perceived by investors to be comparable to us;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disputes or other developments related to proprietary rights, including patents, litigation matters or our ability to obtain intellectual property protection for our technologies;</w:t>
            </w:r>
          </w:p>
        </w:tc>
      </w:tr>
    </w:tbl>
    <w:p>
      <w:pPr>
        <w:pStyle w:val="TextBody"/>
        <w:bidi w:val="0"/>
        <w:spacing w:before="0" w:after="0"/>
        <w:ind w:left="0" w:right="0" w:hanging="0"/>
        <w:jc w:val="left"/>
        <w:rPr/>
      </w:pPr>
      <w:r>
        <w:rPr/>
        <w:t> </w:t>
      </w:r>
    </w:p>
    <w:tbl>
      <w:tblPr>
        <w:tblW w:w="3100" w:type="dxa"/>
        <w:jc w:val="left"/>
        <w:tblInd w:w="0" w:type="dxa"/>
        <w:tblLayout w:type="fixed"/>
        <w:tblCellMar>
          <w:top w:w="0" w:type="dxa"/>
          <w:left w:w="0" w:type="dxa"/>
          <w:bottom w:w="0" w:type="dxa"/>
          <w:right w:w="0" w:type="dxa"/>
        </w:tblCellMar>
      </w:tblPr>
      <w:tblGrid>
        <w:gridCol w:w="60"/>
        <w:gridCol w:w="170"/>
        <w:gridCol w:w="2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alleged security breaches;</w:t>
            </w:r>
          </w:p>
        </w:tc>
      </w:tr>
    </w:tbl>
    <w:p>
      <w:pPr>
        <w:pStyle w:val="TextBody"/>
        <w:bidi w:val="0"/>
        <w:spacing w:before="0" w:after="0"/>
        <w:ind w:left="0" w:right="0" w:hanging="0"/>
        <w:jc w:val="left"/>
        <w:rPr/>
      </w:pPr>
      <w:r>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or expectations of additional financing efforts;</w:t>
            </w:r>
          </w:p>
        </w:tc>
      </w:tr>
    </w:tbl>
    <w:p>
      <w:pPr>
        <w:pStyle w:val="TextBody"/>
        <w:bidi w:val="0"/>
        <w:spacing w:before="0" w:after="0"/>
        <w:ind w:left="0" w:right="0" w:hanging="0"/>
        <w:jc w:val="left"/>
        <w:rPr/>
      </w:pPr>
      <w:r>
        <w:rPr/>
        <w:t> </w:t>
      </w:r>
    </w:p>
    <w:tbl>
      <w:tblPr>
        <w:tblW w:w="4540" w:type="dxa"/>
        <w:jc w:val="left"/>
        <w:tblInd w:w="0" w:type="dxa"/>
        <w:tblLayout w:type="fixed"/>
        <w:tblCellMar>
          <w:top w:w="0" w:type="dxa"/>
          <w:left w:w="0" w:type="dxa"/>
          <w:bottom w:w="0" w:type="dxa"/>
          <w:right w:w="0" w:type="dxa"/>
        </w:tblCellMar>
      </w:tblPr>
      <w:tblGrid>
        <w:gridCol w:w="60"/>
        <w:gridCol w:w="170"/>
        <w:gridCol w:w="4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3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our common stock by us or our stockholders;</w:t>
            </w:r>
          </w:p>
        </w:tc>
      </w:tr>
    </w:tbl>
    <w:p>
      <w:pPr>
        <w:pStyle w:val="TextBody"/>
        <w:bidi w:val="0"/>
        <w:spacing w:before="0" w:after="0"/>
        <w:ind w:left="0" w:right="0" w:hanging="0"/>
        <w:jc w:val="left"/>
        <w:rPr/>
      </w:pPr>
      <w:r>
        <w:rPr/>
        <w:t> </w:t>
      </w:r>
    </w:p>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and volume fluctuations attributable to inconsistent trading volume levels of our shares;</w:t>
            </w:r>
          </w:p>
        </w:tc>
      </w:tr>
    </w:tbl>
    <w:p>
      <w:pPr>
        <w:pStyle w:val="TextBody"/>
        <w:bidi w:val="0"/>
        <w:spacing w:before="0" w:after="0"/>
        <w:ind w:left="0" w:right="0" w:hanging="0"/>
        <w:jc w:val="left"/>
        <w:rPr/>
      </w:pPr>
      <w:r>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reports, guidance and ratings issued by securities or industry analysts;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overall conditions in our industry and market, including the negative impact of armed conflicts, health epidemics and climate change on the global economy and markets; and</w:t>
            </w:r>
          </w:p>
        </w:tc>
      </w:tr>
    </w:tbl>
    <w:p>
      <w:pPr>
        <w:pStyle w:val="TextBody"/>
        <w:bidi w:val="0"/>
        <w:spacing w:before="0" w:after="0"/>
        <w:ind w:left="0" w:right="0" w:hanging="0"/>
        <w:jc w:val="left"/>
        <w:rPr/>
      </w:pPr>
      <w:r>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and market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Executive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Sales or purchases of shares of our common stock may adversely affect the market for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Executive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we maintain a shelf registration statement on Form S-3 pursuant to which we may, from time to time, sell up to an aggregate of $212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do not know whether an active, liquid and orderly trading market will exist for our common stock and as a result it may be difficult for you to sell your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Concentration of ownership by our principal stockholder limits the ability of others to influence the outcome of director elections and other transactions requiring stockholder approval, or create the potential for conflicts of interest.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majority percentage of our outstanding stock is held by Robert W. Duggan, Executive Chairman of our Board, who beneficially owns approximately 67% of our common stock outstanding as of the date of this Quarterly Report. As a result, Mr. Duggan has control over corporate actions requiring stockholder approval, including the following actions:</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or defeat the election of our directors;</w:t>
            </w:r>
          </w:p>
        </w:tc>
      </w:tr>
    </w:tbl>
    <w:p>
      <w:pPr>
        <w:pStyle w:val="TextBody"/>
        <w:bidi w:val="0"/>
        <w:spacing w:before="0" w:after="0"/>
        <w:ind w:left="0" w:right="0" w:hanging="0"/>
        <w:jc w:val="left"/>
        <w:rPr/>
      </w:pPr>
      <w:r>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amend or prevent amendment of our certificate of incorporation or bylaws;</w:t>
            </w:r>
          </w:p>
        </w:tc>
      </w:tr>
    </w:tbl>
    <w:p>
      <w:pPr>
        <w:pStyle w:val="TextBody"/>
        <w:bidi w:val="0"/>
        <w:spacing w:before="0" w:after="0"/>
        <w:ind w:left="0" w:right="0" w:hanging="0"/>
        <w:jc w:val="left"/>
        <w:rPr/>
      </w:pPr>
      <w:r>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effect or prevent a merger, sale of assets or other corporate transaction; and</w:t>
            </w:r>
          </w:p>
        </w:tc>
      </w:tr>
    </w:tbl>
    <w:p>
      <w:pPr>
        <w:pStyle w:val="TextBody"/>
        <w:bidi w:val="0"/>
        <w:spacing w:before="0" w:after="0"/>
        <w:ind w:left="0" w:right="0" w:hanging="0"/>
        <w:jc w:val="left"/>
        <w:rPr/>
      </w:pPr>
      <w:r>
        <w:rPr/>
        <w:t> </w:t>
      </w:r>
    </w:p>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control the outcome of any other matter submitted to our stockholders for vote.</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Four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Robert W. Duggan</w:t>
      </w:r>
      <w:r>
        <w:rPr>
          <w:rFonts w:ascii="Times New Roman" w:hAnsi="Times New Roman"/>
          <w:caps w:val="false"/>
          <w:smallCaps w:val="false"/>
          <w:sz w:val="20"/>
        </w:rPr>
        <w:t>’</w:t>
      </w:r>
      <w:r>
        <w:rPr>
          <w:rFonts w:ascii="Times New Roman" w:hAnsi="Times New Roman"/>
          <w:b/>
          <w:i/>
          <w:caps w:val="false"/>
          <w:smallCaps w:val="false"/>
          <w:sz w:val="20"/>
        </w:rPr>
        <w:t>s controlling ownership position may impact our stock price and may deter or prevent efforts by others to acquire us, which could prevent our stockholders from realizing a control premium.</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Robert W. Duggan is our Executive Chairman, and he beneficially owns approximately 67%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Executive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incurred and will continue to incur costs as a result of operating as a public company and our management has been and will be required to devote substantial time to public company compliance initiatives.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are a</w:t>
      </w:r>
      <w:r>
        <w:rPr>
          <w:rFonts w:ascii="Times New Roman" w:hAnsi="Times New Roman"/>
          <w:caps w:val="false"/>
          <w:smallCaps w:val="false"/>
          <w:sz w:val="20"/>
        </w:rPr>
        <w:t> “</w:t>
      </w:r>
      <w:r>
        <w:rPr>
          <w:rFonts w:ascii="Times New Roman" w:hAnsi="Times New Roman"/>
          <w:b/>
          <w:i/>
          <w:caps w:val="false"/>
          <w:smallCaps w:val="false"/>
          <w:sz w:val="20"/>
        </w:rPr>
        <w:t>smaller reporting company</w:t>
      </w:r>
      <w:r>
        <w:rPr>
          <w:rFonts w:ascii="Times New Roman" w:hAnsi="Times New Roman"/>
          <w:caps w:val="false"/>
          <w:smallCaps w:val="false"/>
          <w:sz w:val="20"/>
        </w:rPr>
        <w:t>”</w:t>
      </w:r>
      <w:r>
        <w:rPr>
          <w:rFonts w:ascii="Times New Roman" w:hAnsi="Times New Roman"/>
          <w:b/>
          <w:i/>
          <w:caps w:val="false"/>
          <w:smallCaps w:val="false"/>
          <w:sz w:val="20"/>
        </w:rPr>
        <w:t>; we cannot be certain if the applicable reduced disclosure requirements will make our common stock less attractive to investors.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Through the end of 2021, we were an “emerging growth company,” as defined in the JOBS Act, and we took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While we are no longer an emerging growth company, we still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market price and trading volume could decline.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paid dividends in the past and have no plans to pay dividends</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 our board of directors to issue, without further action by the stockholders, up to 50,000,000 shares of preferred stock and up to approximately 500,000,000 shares of authorized but unissued shares of common stock;</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that any action to be taken by our stockholders be effected at a duly called annual or special meeting and not by written consent;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an advance notice procedure for stockholder approvals to be brought before an annual meeting of our stockholders, including proposed nominations of persons for election to our board of directors;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the affirmative vote of holders of at least 66 2/3% of the voting power of all the then outstanding shares of our voting stock, voting together as a single class, to amend provisions of our certificate of incorporation or our bylaws;</w:t>
            </w:r>
          </w:p>
        </w:tc>
      </w:tr>
    </w:tbl>
    <w:p>
      <w:pPr>
        <w:pStyle w:val="TextBody"/>
        <w:bidi w:val="0"/>
        <w:spacing w:before="0" w:after="0"/>
        <w:ind w:left="0" w:right="0" w:hanging="0"/>
        <w:jc w:val="left"/>
        <w:rPr/>
      </w:pPr>
      <w:r>
        <w:rPr/>
        <w:t> </w:t>
      </w:r>
    </w:p>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give our board of directors the ability to amend our bylaws by majority vote;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including the negative impact of armed conflicts, health epidemics and global warming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litigation that may materially adversely affect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facilities in California are located near known earthquake faults, and the occurrence of an earthquake or other catastrophic disaster could cause damage to our facilities and equipment, which could require us to cease or curtail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three-month period ended September 30, 2023, we completed no unregistered sale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default"/>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Default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9" w:name="otherinfo"/>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exhibi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3"/>
        <w:gridCol w:w="60"/>
        <w:gridCol w:w="9382"/>
      </w:tblGrid>
      <w:tr>
        <w:trPr/>
        <w:tc>
          <w:tcPr>
            <w:tcW w:w="76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Exhibit </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382"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 Description</w:t>
            </w:r>
            <w:r>
              <w:rPr>
                <w:rFonts w:ascii="Times New Roman" w:hAnsi="Times New Roman"/>
                <w:caps w:val="false"/>
                <w:smallCaps w:val="false"/>
                <w:sz w:val="20"/>
              </w:rPr>
              <w:t> </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pPr>
            <w:hyperlink w:anchor="ex_565466.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pPr>
            <w:hyperlink w:anchor="ex_565467.htm">
              <w:r>
                <w:rPr>
                  <w:rStyle w:val="InternetLink"/>
                  <w:rFonts w:ascii="Times New Roman" w:hAnsi="Times New Roman"/>
                  <w:caps w:val="false"/>
                  <w:smallCaps w:val="false"/>
                  <w:sz w:val="20"/>
                </w:rPr>
                <w:t>Certification of the Chief Executive Officer pursuant to Section 906 of the Sarbanes-Oxley Act of 2002 (18 U.S.C. Section 1350).</w:t>
              </w:r>
            </w:hyperlink>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1" w:name="signature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1934, the registrant has duly caused this report to be signed on its behalf by the undersigned thereunto duly authorized.         </w:t>
      </w:r>
    </w:p>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2105"/>
        <w:gridCol w:w="320"/>
        <w:gridCol w:w="4415"/>
        <w:gridCol w:w="60"/>
      </w:tblGrid>
      <w:tr>
        <w:trPr/>
        <w:tc>
          <w:tcPr>
            <w:tcW w:w="2105" w:type="dxa"/>
            <w:tcBorders/>
            <w:vAlign w:val="center"/>
          </w:tcPr>
          <w:p>
            <w:pPr>
              <w:pStyle w:val="TableContents"/>
              <w:bidi w:val="0"/>
              <w:spacing w:before="0" w:after="283"/>
              <w:jc w:val="left"/>
              <w:rPr/>
            </w:pPr>
            <w:r>
              <w:rPr/>
              <w:t> </w:t>
            </w:r>
          </w:p>
        </w:tc>
        <w:tc>
          <w:tcPr>
            <w:tcW w:w="473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PULSE</w:t>
            </w:r>
            <w:r>
              <w:rPr>
                <w:rFonts w:ascii="Times New Roman" w:hAnsi="Times New Roman"/>
                <w:caps w:val="false"/>
                <w:smallCaps w:val="false"/>
                <w:sz w:val="20"/>
              </w:rPr>
              <w:t> </w:t>
            </w:r>
            <w:r>
              <w:rPr>
                <w:rFonts w:ascii="Times New Roman" w:hAnsi="Times New Roman"/>
                <w:b/>
                <w:caps w:val="false"/>
                <w:smallCaps w:val="false"/>
                <w:sz w:val="20"/>
              </w:rPr>
              <w:t>BIOSCIENCES,</w:t>
            </w:r>
            <w:r>
              <w:rPr>
                <w:rFonts w:ascii="Times New Roman" w:hAnsi="Times New Roman"/>
                <w:caps w:val="false"/>
                <w:smallCaps w:val="false"/>
                <w:sz w:val="20"/>
              </w:rPr>
              <w:t> </w:t>
            </w:r>
            <w:r>
              <w:rPr>
                <w:rFonts w:ascii="Times New Roman" w:hAnsi="Times New Roman"/>
                <w:b/>
                <w:caps w:val="false"/>
                <w:smallCaps w:val="false"/>
                <w:sz w:val="20"/>
              </w:rPr>
              <w:t>INC.</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13,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4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Kevin P. Danahy</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President and Chief</w:t>
            </w:r>
            <w:r>
              <w:rPr>
                <w:rFonts w:ascii="Times New Roman" w:hAnsi="Times New Roman"/>
                <w:caps w:val="false"/>
                <w:smallCaps w:val="false"/>
                <w:sz w:val="20"/>
              </w:rPr>
              <w:t> </w:t>
            </w:r>
            <w:r>
              <w:rPr>
                <w:rFonts w:ascii="Times New Roman" w:hAnsi="Times New Roman"/>
                <w:b/>
                <w:caps w:val="false"/>
                <w:smallCaps w:val="false"/>
                <w:sz w:val="20"/>
              </w:rPr>
              <w:t>Executive</w:t>
            </w:r>
            <w:r>
              <w:rPr>
                <w:rFonts w:ascii="Times New Roman" w:hAnsi="Times New Roman"/>
                <w:caps w:val="false"/>
                <w:smallCaps w:val="false"/>
                <w:sz w:val="20"/>
              </w:rPr>
              <w:t> </w:t>
            </w:r>
            <w:r>
              <w:rPr>
                <w:rFonts w:ascii="Times New Roman" w:hAnsi="Times New Roman"/>
                <w:b/>
                <w:caps w:val="false"/>
                <w:smallCaps w:val="false"/>
                <w:sz w:val="20"/>
              </w:rPr>
              <w:t>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63 </w:t>
      </w:r>
    </w:p>
    <w:p>
      <w:pPr>
        <w:pStyle w:val="TextBody"/>
        <w:bidi w:val="0"/>
        <w:spacing w:before="0" w:after="0"/>
        <w:ind w:left="0" w:right="0" w:hanging="0"/>
        <w:jc w:val="right"/>
        <w:rPr>
          <w:rFonts w:ascii="Times New Roman" w:hAnsi="Times New Roman"/>
          <w:b/>
          <w:caps w:val="false"/>
          <w:smallCaps w:val="false"/>
          <w:sz w:val="20"/>
        </w:rPr>
      </w:pPr>
      <w:bookmarkStart w:id="22" w:name="ex_565466.htm"/>
      <w:bookmarkStart w:id="23" w:name="ksex_565466"/>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Kevin Danahy, certify that:</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170"/>
        <w:gridCol w:w="97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for the quarter ended </w:t>
            </w:r>
            <w:bookmarkStart w:id="24" w:name="led395676F20233241682357414418"/>
            <w:bookmarkEnd w:id="24"/>
            <w:r>
              <w:rPr>
                <w:rFonts w:ascii="Times New Roman;Times;serif" w:hAnsi="Times New Roman;Times;serif"/>
                <w:caps w:val="false"/>
                <w:smallCaps w:val="false"/>
                <w:sz w:val="20"/>
              </w:rPr>
              <w:t>September 30, 2023 of Pulse Biosciences,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2105"/>
        <w:gridCol w:w="320"/>
        <w:gridCol w:w="4280"/>
        <w:gridCol w:w="60"/>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395676F20233241682357428123"/>
            <w:bookmarkEnd w:id="25"/>
            <w:r>
              <w:rPr>
                <w:rFonts w:ascii="Times New Roman" w:hAnsi="Times New Roman"/>
                <w:caps w:val="false"/>
                <w:smallCaps w:val="false"/>
                <w:sz w:val="20"/>
              </w:rPr>
              <w:t>November 13,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Danahy</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565467.htm"/>
      <w:bookmarkStart w:id="27" w:name="ksex_565467"/>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18 U.S.C. SECTION 1350, AS ADOPTED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Pulse Biosciences, Inc. (the “Company”) on Form 10-Q for the period ended </w:t>
      </w:r>
      <w:bookmarkStart w:id="28" w:name="led395676F20233241682357328176"/>
      <w:bookmarkEnd w:id="28"/>
      <w:r>
        <w:rPr>
          <w:rFonts w:ascii="Times New Roman" w:hAnsi="Times New Roman"/>
          <w:caps w:val="false"/>
          <w:smallCaps w:val="false"/>
          <w:sz w:val="20"/>
        </w:rPr>
        <w:t>September 30, 2023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2150"/>
        <w:gridCol w:w="60"/>
        <w:gridCol w:w="4280"/>
        <w:gridCol w:w="60"/>
      </w:tblGrid>
      <w:tr>
        <w:trPr/>
        <w:tc>
          <w:tcPr>
            <w:tcW w:w="2150" w:type="dxa"/>
            <w:tcBorders/>
            <w:vAlign w:val="center"/>
          </w:tcPr>
          <w:p>
            <w:pPr>
              <w:pStyle w:val="TableContents"/>
              <w:bidi w:val="0"/>
              <w:spacing w:before="0" w:after="0"/>
              <w:ind w:left="0" w:right="0" w:hanging="0"/>
              <w:jc w:val="left"/>
              <w:rPr>
                <w:caps w:val="false"/>
                <w:smallCaps w:val="false"/>
              </w:rPr>
            </w:pPr>
            <w:r>
              <w:rPr>
                <w:rFonts w:cs="Times New Roman"/>
                <w:caps w:val="false"/>
                <w:smallCaps w:val="false"/>
                <w:szCs w:val="20"/>
              </w:rPr>
              <w:t>﻿</w:t>
            </w:r>
            <w:r>
              <w:rPr>
                <w:rFonts w:ascii="Times New Roman" w:hAnsi="Times New Roman"/>
                <w:caps w:val="false"/>
                <w:smallCaps w:val="false"/>
                <w:sz w:val="20"/>
              </w:rPr>
              <w:t>Date:  November 13, 2023</w:t>
            </w:r>
          </w:p>
        </w:tc>
        <w:tc>
          <w:tcPr>
            <w:tcW w:w="60" w:type="dxa"/>
            <w:tcBorders/>
            <w:vAlign w:val="center"/>
          </w:tcPr>
          <w:p>
            <w:pPr>
              <w:pStyle w:val="TableContents"/>
              <w:bidi w:val="0"/>
              <w:spacing w:before="0" w:after="283"/>
              <w:jc w:val="left"/>
              <w:rPr/>
            </w:pPr>
            <w:r>
              <w:rPr/>
              <w:t> </w:t>
            </w:r>
          </w:p>
        </w:tc>
        <w:tc>
          <w:tcPr>
            <w:tcW w:w="4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Danahy</w:t>
            </w:r>
          </w:p>
        </w:tc>
        <w:tc>
          <w:tcPr>
            <w:tcW w:w="6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36831</Words>
  <Characters>204317</Characters>
  <CharactersWithSpaces>242884</CharactersWithSpaces>
  <Paragraphs>6023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