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October 30, 2024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601 Brickell Key Drive, Suite 1000</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Miami, Florida 33131</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30, 2024, Pulse Biosciences, Inc. (the “Company”) announced certain financial and operational results for the fiscal quarter ended September 30, 2024. A copy of the Company’s press release is attached hereto as Exhibit 99.1 and is incorporated herein by this reference.</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information, as well as Exhibit 99.1, is intended to be furnished and shall not be deemed “filed” for purposes of Section 18 of the Securities Exchange Act of 1934, as amended (the “Exchange Act”), nor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October 30, 2024, the Company announced the appointment of David Kenigsberg, M.D. as Chief Medical Officer of Electrophysiology. Andrea Natale, M.D. will become a medical advisor for the company, joining existing advisors Vivek Reddy, M.D. and Jacob Koruth, M.D., who altogether will continue to support the development and clinical efforts for the Pulse Biosciences nano-PFA 360 Cardiac Catheter. A copy of the Company’s press release is attached hereto as Exhibit 99.2 and is incorporated herein by this reference.</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This information, as well as Exhibit 99.2, is intended to be furnished and shall not be deemed “filed” for purposes of Section 18 of the Securities Exchange Act of 1934, as amended (the “Exchange Act”), nor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7"/>
                <w:szCs w:val="17"/>
                <w:color w:val="auto"/>
              </w:rPr>
            </w:pPr>
          </w:p>
        </w:tc>
        <w:tc>
          <w:tcPr>
            <w:tcW w:w="5160" w:type="dxa"/>
            <w:vAlign w:val="bottom"/>
            <w:gridSpan w:val="2"/>
            <w:vMerge w:val="continue"/>
          </w:tcPr>
          <w:p>
            <w:pPr>
              <w:spacing w:after="0"/>
              <w:rPr>
                <w:sz w:val="17"/>
                <w:szCs w:val="17"/>
                <w:color w:val="auto"/>
              </w:rPr>
            </w:pPr>
          </w:p>
        </w:tc>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issued by Pulse Biosciences, Inc. dated October 30, 2024</w:t>
            </w:r>
          </w:p>
        </w:tc>
        <w:tc>
          <w:tcPr>
            <w:tcW w:w="2960" w:type="dxa"/>
            <w:vAlign w:val="bottom"/>
            <w:tcBorders>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99"/>
              </w:rPr>
              <w:t>- Business Update and Quarterly Results</w:t>
            </w: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issued by Pulse Biosciences, Inc. dated October 30, 2024</w:t>
            </w:r>
          </w:p>
        </w:tc>
        <w:tc>
          <w:tcPr>
            <w:tcW w:w="47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EE"/>
              </w:rPr>
              <w:t>- Appointment of Chief Medical Officer of Electrophysiology</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Burke T. Barrett</w:t>
            </w:r>
          </w:p>
        </w:tc>
      </w:tr>
      <w:tr>
        <w:trPr>
          <w:trHeight w:val="191"/>
        </w:trPr>
        <w:tc>
          <w:tcPr>
            <w:tcW w:w="3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4"/>
        </w:trPr>
        <w:tc>
          <w:tcPr>
            <w:tcW w:w="3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Pulse Biosciences Reports Business Updates and Third Quarter 2024 Financial Results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MIAMI, Florida. [Business Wire] </w:t>
      </w:r>
      <w:r>
        <w:rPr>
          <w:rFonts w:ascii="Calibri" w:cs="Calibri" w:eastAsia="Calibri" w:hAnsi="Calibri"/>
          <w:sz w:val="18"/>
          <w:szCs w:val="18"/>
          <w:color w:val="auto"/>
        </w:rPr>
        <w:t>– October 30, 2024. Pulse Biosciences, Inc. (Nasdaq: PLSE) (the “Company” or “Pulse Biosciences”), a company leveraging its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novel and proprietary Nanosecond Pulsed Field Ablaton™ (nsPFA or nano-PFA) technology, today announced business updates and fnancial results for the third quarter ended September 30,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Business Highlights</w:t>
      </w:r>
    </w:p>
    <w:p>
      <w:pPr>
        <w:spacing w:after="0" w:line="235" w:lineRule="auto"/>
        <w:rPr>
          <w:sz w:val="20"/>
          <w:szCs w:val="20"/>
          <w:color w:val="auto"/>
        </w:rPr>
      </w:pPr>
      <w:r>
        <w:rPr>
          <w:rFonts w:ascii="Calibri" w:cs="Calibri" w:eastAsia="Calibri" w:hAnsi="Calibri"/>
          <w:sz w:val="18"/>
          <w:szCs w:val="18"/>
          <w:b w:val="1"/>
          <w:bCs w:val="1"/>
          <w:color w:val="auto"/>
        </w:rPr>
        <w:t>Sof Tissue Ablaton</w:t>
      </w:r>
    </w:p>
    <w:p>
      <w:pPr>
        <w:spacing w:after="0" w:line="2" w:lineRule="exact"/>
        <w:rPr>
          <w:sz w:val="20"/>
          <w:szCs w:val="20"/>
          <w:color w:val="auto"/>
        </w:rPr>
      </w:pPr>
    </w:p>
    <w:p>
      <w:pPr>
        <w:ind w:left="460" w:hanging="115"/>
        <w:spacing w:after="0" w:line="235" w:lineRule="auto"/>
        <w:tabs>
          <w:tab w:leader="none" w:pos="460" w:val="left"/>
        </w:tabs>
        <w:numPr>
          <w:ilvl w:val="0"/>
          <w:numId w:val="2"/>
        </w:numPr>
        <w:rPr>
          <w:rFonts w:ascii="Arial" w:cs="Arial" w:eastAsia="Arial" w:hAnsi="Arial"/>
          <w:sz w:val="18"/>
          <w:szCs w:val="18"/>
          <w:color w:val="auto"/>
        </w:rPr>
      </w:pPr>
      <w:r>
        <w:rPr>
          <w:rFonts w:ascii="Calibri" w:cs="Calibri" w:eastAsia="Calibri" w:hAnsi="Calibri"/>
          <w:sz w:val="18"/>
          <w:szCs w:val="18"/>
          <w:color w:val="auto"/>
        </w:rPr>
        <w:t>Placed nsPFA Percutaneous Electrode Systems with seven sites in the U.S. as part of a pilot program for clinical assessment with commercial use expected to begin in the coming quarters.</w:t>
      </w:r>
    </w:p>
    <w:p>
      <w:pPr>
        <w:spacing w:after="0" w:line="1" w:lineRule="exact"/>
        <w:rPr>
          <w:rFonts w:ascii="Arial" w:cs="Arial" w:eastAsia="Arial" w:hAnsi="Arial"/>
          <w:sz w:val="18"/>
          <w:szCs w:val="18"/>
          <w:color w:val="auto"/>
        </w:rPr>
      </w:pPr>
    </w:p>
    <w:p>
      <w:pPr>
        <w:ind w:left="460" w:hanging="115"/>
        <w:spacing w:after="0" w:line="235" w:lineRule="auto"/>
        <w:tabs>
          <w:tab w:leader="none" w:pos="460" w:val="left"/>
        </w:tabs>
        <w:numPr>
          <w:ilvl w:val="0"/>
          <w:numId w:val="2"/>
        </w:numPr>
        <w:rPr>
          <w:rFonts w:ascii="Arial" w:cs="Arial" w:eastAsia="Arial" w:hAnsi="Arial"/>
          <w:sz w:val="18"/>
          <w:szCs w:val="18"/>
          <w:color w:val="auto"/>
        </w:rPr>
      </w:pPr>
      <w:r>
        <w:rPr>
          <w:rFonts w:ascii="Calibri" w:cs="Calibri" w:eastAsia="Calibri" w:hAnsi="Calibri"/>
          <w:sz w:val="18"/>
          <w:szCs w:val="18"/>
          <w:color w:val="auto"/>
        </w:rPr>
        <w:t>The Company expects to commence a pivotal clinical trial in mid-2025 to support a specifc labeling indicaton to commercialize the Percutaneous Electrode System in the United States as a treatment for benign thyroid nodules.</w:t>
      </w:r>
    </w:p>
    <w:p>
      <w:pPr>
        <w:spacing w:after="0" w:line="1" w:lineRule="exact"/>
        <w:rPr>
          <w:rFonts w:ascii="Arial" w:cs="Arial" w:eastAsia="Arial" w:hAnsi="Arial"/>
          <w:sz w:val="18"/>
          <w:szCs w:val="18"/>
          <w:color w:val="auto"/>
        </w:rPr>
      </w:pPr>
    </w:p>
    <w:p>
      <w:pPr>
        <w:ind w:left="460" w:hanging="115"/>
        <w:spacing w:after="0" w:line="235" w:lineRule="auto"/>
        <w:tabs>
          <w:tab w:leader="none" w:pos="460" w:val="left"/>
        </w:tabs>
        <w:numPr>
          <w:ilvl w:val="0"/>
          <w:numId w:val="2"/>
        </w:numPr>
        <w:rPr>
          <w:rFonts w:ascii="Arial" w:cs="Arial" w:eastAsia="Arial" w:hAnsi="Arial"/>
          <w:sz w:val="18"/>
          <w:szCs w:val="18"/>
          <w:color w:val="auto"/>
        </w:rPr>
      </w:pPr>
      <w:r>
        <w:rPr>
          <w:rFonts w:ascii="Calibri" w:cs="Calibri" w:eastAsia="Calibri" w:hAnsi="Calibri"/>
          <w:sz w:val="18"/>
          <w:szCs w:val="18"/>
          <w:color w:val="auto"/>
        </w:rPr>
        <w:t>Clinical data from the European feasibility study on using nano-PFA to treat benign thyroid nodules will be presented at the American Thyroid Associaton Conference as an oral abstract on October 31,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Surgical AF Ablaton</w:t>
      </w:r>
    </w:p>
    <w:p>
      <w:pPr>
        <w:spacing w:after="0" w:line="1" w:lineRule="exact"/>
        <w:rPr>
          <w:sz w:val="20"/>
          <w:szCs w:val="20"/>
          <w:color w:val="auto"/>
        </w:rPr>
      </w:pPr>
    </w:p>
    <w:p>
      <w:pPr>
        <w:ind w:left="460" w:hanging="115"/>
        <w:spacing w:after="0"/>
        <w:tabs>
          <w:tab w:leader="none" w:pos="460" w:val="left"/>
        </w:tabs>
        <w:numPr>
          <w:ilvl w:val="0"/>
          <w:numId w:val="3"/>
        </w:numPr>
        <w:rPr>
          <w:rFonts w:ascii="Arial" w:cs="Arial" w:eastAsia="Arial" w:hAnsi="Arial"/>
          <w:sz w:val="17"/>
          <w:szCs w:val="17"/>
          <w:color w:val="auto"/>
        </w:rPr>
      </w:pPr>
      <w:r>
        <w:rPr>
          <w:rFonts w:ascii="Calibri" w:cs="Calibri" w:eastAsia="Calibri" w:hAnsi="Calibri"/>
          <w:sz w:val="17"/>
          <w:szCs w:val="17"/>
          <w:color w:val="auto"/>
        </w:rPr>
        <w:t>Treated 9 patents and opened a second study site as part of the mult-center, frst-in-human atrial fbrillaton (AF) feasibility study underway in Europe.</w:t>
      </w:r>
    </w:p>
    <w:p>
      <w:pPr>
        <w:spacing w:after="0" w:line="34" w:lineRule="exact"/>
        <w:rPr>
          <w:rFonts w:ascii="Arial" w:cs="Arial" w:eastAsia="Arial" w:hAnsi="Arial"/>
          <w:sz w:val="17"/>
          <w:szCs w:val="17"/>
          <w:color w:val="auto"/>
        </w:rPr>
      </w:pPr>
    </w:p>
    <w:p>
      <w:pPr>
        <w:ind w:left="460" w:hanging="115"/>
        <w:spacing w:after="0" w:line="228" w:lineRule="auto"/>
        <w:tabs>
          <w:tab w:leader="none" w:pos="460" w:val="left"/>
        </w:tabs>
        <w:numPr>
          <w:ilvl w:val="0"/>
          <w:numId w:val="3"/>
        </w:numPr>
        <w:rPr>
          <w:rFonts w:ascii="Arial" w:cs="Arial" w:eastAsia="Arial" w:hAnsi="Arial"/>
          <w:sz w:val="18"/>
          <w:szCs w:val="18"/>
          <w:color w:val="auto"/>
        </w:rPr>
      </w:pPr>
      <w:r>
        <w:rPr>
          <w:rFonts w:ascii="Calibri" w:cs="Calibri" w:eastAsia="Calibri" w:hAnsi="Calibri"/>
          <w:sz w:val="18"/>
          <w:szCs w:val="18"/>
          <w:color w:val="auto"/>
        </w:rPr>
        <w:t>The Company expects to submit an IDE, enabling it to commence its pivotal clinical trial in mid-2025 to support a premarket approval (PMA) applicaton for FDA approval to commercialize the nano-PFA Cardiac Surgical System in the United States as a treatment for AF.</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Endocardial Catheter Ablaton</w:t>
      </w:r>
    </w:p>
    <w:p>
      <w:pPr>
        <w:spacing w:after="0" w:line="1" w:lineRule="exact"/>
        <w:rPr>
          <w:sz w:val="20"/>
          <w:szCs w:val="20"/>
          <w:color w:val="auto"/>
        </w:rPr>
      </w:pPr>
    </w:p>
    <w:p>
      <w:pPr>
        <w:ind w:left="460" w:hanging="115"/>
        <w:spacing w:after="0" w:line="235" w:lineRule="auto"/>
        <w:tabs>
          <w:tab w:leader="none" w:pos="460" w:val="left"/>
        </w:tabs>
        <w:numPr>
          <w:ilvl w:val="0"/>
          <w:numId w:val="4"/>
        </w:numPr>
        <w:rPr>
          <w:rFonts w:ascii="Arial" w:cs="Arial" w:eastAsia="Arial" w:hAnsi="Arial"/>
          <w:sz w:val="18"/>
          <w:szCs w:val="18"/>
          <w:color w:val="auto"/>
        </w:rPr>
      </w:pPr>
      <w:r>
        <w:rPr>
          <w:rFonts w:ascii="Calibri" w:cs="Calibri" w:eastAsia="Calibri" w:hAnsi="Calibri"/>
          <w:sz w:val="18"/>
          <w:szCs w:val="18"/>
          <w:color w:val="auto"/>
        </w:rPr>
        <w:t>Treated over 50 patents with the nano-PFA 360° Cardiac Catheter and engaged two additonal European clinical study sites in the frst-in-human feasibility study for the treatment of AF.</w:t>
      </w:r>
    </w:p>
    <w:p>
      <w:pPr>
        <w:spacing w:after="0" w:line="1" w:lineRule="exact"/>
        <w:rPr>
          <w:rFonts w:ascii="Arial" w:cs="Arial" w:eastAsia="Arial" w:hAnsi="Arial"/>
          <w:sz w:val="18"/>
          <w:szCs w:val="18"/>
          <w:color w:val="auto"/>
        </w:rPr>
      </w:pPr>
    </w:p>
    <w:p>
      <w:pPr>
        <w:ind w:left="460" w:hanging="115"/>
        <w:spacing w:after="0" w:line="235" w:lineRule="auto"/>
        <w:tabs>
          <w:tab w:leader="none" w:pos="460" w:val="left"/>
        </w:tabs>
        <w:numPr>
          <w:ilvl w:val="0"/>
          <w:numId w:val="4"/>
        </w:numPr>
        <w:rPr>
          <w:rFonts w:ascii="Arial" w:cs="Arial" w:eastAsia="Arial" w:hAnsi="Arial"/>
          <w:sz w:val="18"/>
          <w:szCs w:val="18"/>
          <w:color w:val="auto"/>
        </w:rPr>
      </w:pPr>
      <w:r>
        <w:rPr>
          <w:rFonts w:ascii="Calibri" w:cs="Calibri" w:eastAsia="Calibri" w:hAnsi="Calibri"/>
          <w:sz w:val="18"/>
          <w:szCs w:val="18"/>
          <w:color w:val="auto"/>
        </w:rPr>
        <w:t>Announced the appointment of Dr. David Kenigsberg as Chief Medical Ofcer for Electrophysiology and the additon of Dr. Andrea Natale to its electrophysiology medical advisory board, joining existng advisors Dr. Vivek Reddy and Dr. Jacob Koruth.</w:t>
      </w:r>
    </w:p>
    <w:p>
      <w:pPr>
        <w:ind w:left="460" w:hanging="115"/>
        <w:spacing w:after="0" w:line="235" w:lineRule="auto"/>
        <w:tabs>
          <w:tab w:leader="none" w:pos="460" w:val="left"/>
        </w:tabs>
        <w:numPr>
          <w:ilvl w:val="0"/>
          <w:numId w:val="4"/>
        </w:numPr>
        <w:rPr>
          <w:rFonts w:ascii="Arial" w:cs="Arial" w:eastAsia="Arial" w:hAnsi="Arial"/>
          <w:sz w:val="18"/>
          <w:szCs w:val="18"/>
          <w:color w:val="auto"/>
        </w:rPr>
      </w:pPr>
      <w:r>
        <w:rPr>
          <w:rFonts w:ascii="Calibri" w:cs="Calibri" w:eastAsia="Calibri" w:hAnsi="Calibri"/>
          <w:sz w:val="18"/>
          <w:szCs w:val="18"/>
          <w:color w:val="auto"/>
        </w:rPr>
        <w:t>The Company expects to commence a U.S. IDE pivotal clinical study sometme in the middle of 2025.</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third quarter we made signifcant progress toward delivering the benefts of nano-PFA to patents and providers around the world. Our clinical work with each of our three devices contnues to suggest that our diferentated nano-PFA technology has the potental to improve treatments for several disease states by eradicatng cells in a beter way than currently available modalites,” said Burke T. Barret, President and Chief Executve Ofcer of Pulse Biosciences. “The work we have done to date positons us to begin pivotal clinical trials in the U.S. for each device next year and to also share select European trial data at medical conferences in the future. We are building our team and the infrastructure required to support our clinical and regulatory initatves and antcipated growth, startng with commercial use of the nsPFA Percutaneous Electrode System in the coming quarters.”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Third Quarter 2024 Financial Results</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GAAP costs and expenses, representng research and development and general and administratve expenses, for the three months ended September 30, 2024, were $13.7 million, an increase of $2.4 million, compared to $11.3 million in the prior year period. The increase was primarily driven by stock-based compensaton and other compensaton and administratve expenses to support the expanding organizaton and the advancement of our nano-PFA devices. Non-GAAP costs and expenses for the three months ended September 30, 2024, were $10.4 million, an increase of $1.2 million compared to $9.2 million in the prior year period.</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GAAP net loss for the three months ended September 30, 2024 was ($12.7) million compared to ($10.6) million for the three months ended September 30, 2023. Non-GAAP net loss for the three months ended September 30, 2024 was ($9.4) million compared to ($8.5) million for the three months ended September 30, 2023.</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and cash equivalents totaled $79.0 million as of September 30, 2024. The cash balance as of September 30, 2024 includes $60 million in gross proceeds received from the rights ofering that closed in July of 2024. The Company has the potental to raise an additonal up to $66 million through the exercise of warrants associated with this rights ofering. Each warrant is exercisable for $11 per share, which equals 110% of the subscripton price for the Units. Warrants are exercisable immediately. Half of the warrants are redeemable by the Company if the Company’s stock trading price exceeds $16.50 for twenty consecutve trading days and the other half of the warrants are redeemable by the Company if its stock trading price exceeds $22.00 for twenty consecutve trading days. Holders of the warrants have the right to exercise them at any tme untl they are redeemed or expire.</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used in the third quarter of 2024 was $8.5 million, excluding fnancing actvity, compared to $8.7 million used in the second quarter of 2024 and $8.7 million in the third quarter of 2023.</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Reconciliatons of GAAP to non-GAAP cost and expenses and net loss have been provided in the tables following the fnancial statements in this press release. An explanaton of these measures is also included below under the heading “Non-GAAP Financial Measures.”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Webcast and Conference Call Informaton</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Pulse Biosciences’ management will host a conference call today, October 30, 2024, beginning at 1:30pm PT. Investors interested in listening to the conference call may do so by dialing 1-877-407-0752 for domestc callers or 1-201-389-0912 for internatonal callers. A live and recorded webcast of the event will be available at htps://investors.pulsebiosciences.com/.</w:t>
      </w:r>
    </w:p>
    <w:p>
      <w:pPr>
        <w:spacing w:after="0" w:line="1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Pulse Biosciences</w:t>
      </w:r>
      <w:r>
        <w:rPr>
          <w:rFonts w:ascii="Calibri" w:cs="Calibri" w:eastAsia="Calibri" w:hAnsi="Calibri"/>
          <w:sz w:val="29"/>
          <w:szCs w:val="29"/>
          <w:color w:val="auto"/>
          <w:vertAlign w:val="superscript"/>
        </w:rPr>
        <w:t>®</w:t>
      </w:r>
    </w:p>
    <w:p>
      <w:pPr>
        <w:jc w:val="both"/>
        <w:spacing w:after="0" w:line="227" w:lineRule="auto"/>
        <w:rPr>
          <w:sz w:val="20"/>
          <w:szCs w:val="20"/>
          <w:color w:val="auto"/>
        </w:rPr>
      </w:pPr>
      <w:r>
        <w:rPr>
          <w:rFonts w:ascii="Calibri" w:cs="Calibri" w:eastAsia="Calibri" w:hAnsi="Calibri"/>
          <w:sz w:val="18"/>
          <w:szCs w:val="18"/>
          <w:color w:val="auto"/>
        </w:rPr>
        <w:t>Pulse Biosciences is a novel bioelectric medicine company commited to health innovaton that has the potental to improve the quality of life for patents. The Company’s proprietary CellFX® nsPFA™ technology delivers nanosecond pulses of electrical energy to non-thermally clear cells while sparing adjacent noncellular tssue. The Company is actvely pursuing the development of its CellFX nsPFA technology for use in the treatment of atrial fbrillaton and in a select few other markets where it could have a profound positve impact on healthcare for both patents and providers. Pulse Biosciences is now headquartered in Miami, Florida and maintains its ofce in Hayward, California.</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Pulse Biosciences, CellFX, Nano-Pulse Stmulaton, NPS, nsPFA, CellFX nsPFA and the stylized logos are among the trademarks and/or registered trademarks of Pulse Biosciences, Inc. in the United States and other countries.</w:t>
      </w:r>
    </w:p>
    <w:p>
      <w:pPr>
        <w:sectPr>
          <w:pgSz w:w="11900" w:h="16838" w:orient="portrait"/>
          <w:cols w:equalWidth="0" w:num="1">
            <w:col w:w="11240"/>
          </w:cols>
          <w:pgMar w:left="320" w:top="117" w:right="339" w:bottom="147" w:gutter="0" w:footer="0" w:header="0"/>
        </w:sectPr>
      </w:pPr>
    </w:p>
    <w:bookmarkStart w:id="4" w:name="page5"/>
    <w:bookmarkEnd w:id="4"/>
    <w:p>
      <w:pPr>
        <w:jc w:val="both"/>
        <w:spacing w:after="0" w:line="23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line="235" w:lineRule="auto"/>
        <w:rPr>
          <w:sz w:val="20"/>
          <w:szCs w:val="20"/>
          <w:color w:val="auto"/>
        </w:rPr>
      </w:pPr>
      <w:r>
        <w:rPr>
          <w:rFonts w:ascii="Calibri" w:cs="Calibri" w:eastAsia="Calibri" w:hAnsi="Calibri"/>
          <w:sz w:val="18"/>
          <w:szCs w:val="18"/>
          <w:color w:val="auto"/>
        </w:rPr>
        <w:t>In this press release, in order to supplement the Company’s condensed consolidated fnancial statements presented in accordance with Generally Accepted Accountng Principles, or GAAP, management has disclosed certain non-GAAP fnancial measures for the statement of operatons. The Company believes that an evaluaton of its ongoing operatons (and comparisons of its current operatons with historical and future operatons) would be difcult if the disclosure of its fnancial results were limited to fnancial measures prepared in accordance with GAAP. As a result, the Company is disclosing certain non-GAAP results in order to supplement investors’ and other readers’ understanding and assessment of the Company’s fnancial performance. Company management uses these measurements as aids in monitoring the Company’s ongoing fnancial performance from quarter to quarter, and year to year, on a regular basis and for fnancial and operatonal decision-making. Non-GAAP adjustments include stock-based compensaton, depreciaton and amortzaton and restructuring charges. From tme to tme in the future, there may be other items that the Company may exclude if the Company believes that doing so is consistent with the goal of providing useful informaton to management and investors. The Company has provided a reconciliaton of each non-GAAP fnancial measure used in this earnings release to the most directly comparable GAAP fnancial measure. Investors are cautoned that there are a number of limitatons associated with the use of non-GAAP fnancial measures as analytcal tools. Investors are encouraged to review these reconciliatons, and not to rely on any single fnancial measure to evaluate the Company’s business.</w:t>
      </w:r>
    </w:p>
    <w:p>
      <w:pPr>
        <w:spacing w:after="0" w:line="2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Non-GAAP fnancial measures used by the Company may be calculated diferently from, and therefore may not be comparable to, similarly ttled measures used by other companies, which could reduce the usefulness of the Company’s non-GAAP fnancial measures as tools for comparison. Investors and other readers are encouraged to review the related GAAP fnancial measures and the reconciliaton of non-GAAP measures to their most directly comparable GAAP measures set forth below and should consider non-GAAP measures only as a supplement to, not as a substtute for or as a superior measure to, measures of fnancial performance prepared in accordance with GAAP. Non-GAAP fnancial measures in this earnings release exclude the following:</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Non-cash expenses for stock-based compensaton</w:t>
      </w:r>
      <w:r>
        <w:rPr>
          <w:rFonts w:ascii="Calibri" w:cs="Calibri" w:eastAsia="Calibri" w:hAnsi="Calibri"/>
          <w:sz w:val="18"/>
          <w:szCs w:val="18"/>
          <w:color w:val="auto"/>
        </w:rPr>
        <w:t>. The Company has excluded the efect of stock-based compensaton expenses in calculatng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Company’s non-GAAP cost and expenses and net loss measures. Although stock-based compensaton is a key incentve ofered to employees, the Company contnues to evaluate its business performance excluding stock-based compensaton expenses. The Company records stock-based compensaton expense related to grants of tme-based and performance-based optons, such as optons that vest as a result of the Company’s market capitalizaton. Depending upon the size, tming and terms of the grants, as well as the probability of achievement of performance-based awards, this expense may vary signifcantly but will recur in future periods. The Company believes that excluding stock-based compensaton beter allows for comparisons from period to period.</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Depreciaton and amortzaton</w:t>
      </w:r>
      <w:r>
        <w:rPr>
          <w:rFonts w:ascii="Calibri" w:cs="Calibri" w:eastAsia="Calibri" w:hAnsi="Calibri"/>
          <w:sz w:val="18"/>
          <w:szCs w:val="18"/>
          <w:color w:val="auto"/>
        </w:rPr>
        <w:t>. The Company has excluded depreciaton and amortzaton expense in calculatng its non-GAAP cost and expenses and net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loss measures. Depreciaton and amortzaton are non-cash charges to current operatons.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Restructuring charges</w:t>
      </w:r>
      <w:r>
        <w:rPr>
          <w:rFonts w:ascii="Calibri" w:cs="Calibri" w:eastAsia="Calibri" w:hAnsi="Calibri"/>
          <w:sz w:val="18"/>
          <w:szCs w:val="18"/>
          <w:color w:val="auto"/>
        </w:rPr>
        <w:t>. The Company has excluded restructuring charges in calculatng its non-GAAP cost and expenses and net loss measures. Restructuring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programs involve discrete initatves designed to improve operatng efciencies and include employee terminaton, contract terminaton, and other exit costs associated with the restructuring program. The Company believes that excluding discrete restructuring charges allows for beter comparisons from period to period.</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statements in this press release that are not historical are forward-looking statements, including, among other things, statements relatng to the efectveness of the Company’s CellFX nsPFA technology and CellFX System to non-thermally clear cells while sparing adjacent non-cellular tssue, statements concerning the Company’s future fundraising eforts and whether those eforts will be successful or allow the Company to contnue current operatons as planned, and statements concerning the Company’s future clinical and regulatory initatves anywhere in the world, and other future events. These statements are not historical facts but rather are based on Pulse Biosciences’ current expectatons, estmates, and projectons regarding Pulse Biosciences’ business, operatons and other similar or related factors. Words such as “may,” “will,” “could,” “would,” “should,” “antcipate,” “predict,” “potental,” “contnue,” “expects,” “intends,” “plans,” “projects,” “believes,” “estmates,” and other similar or related expressions are used to identfy these forward-looking statements, although not all forward-looking statements contain these words. You should not place undue reliance on forward-looking statements because they involve known and unknown risks, uncertaintes, and assumptons that are difcult or impossible to predict and, in some cases, beyond Pulse Biosciences’ control. Actual results may difer materially from those in the forward-looking statements as a result of a number of factors, including those described in Pulse Biosciences’ flings with the Securites and Exchange Commission. Pulse Biosciences undertakes no obligaton to revise or update informaton in this release to refect events or circumstances in the future, even if new informaton becomes available.</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 Contacts:</w:t>
      </w:r>
    </w:p>
    <w:p>
      <w:pPr>
        <w:spacing w:after="0" w:line="235" w:lineRule="auto"/>
        <w:rPr>
          <w:sz w:val="20"/>
          <w:szCs w:val="20"/>
          <w:color w:val="auto"/>
        </w:rPr>
      </w:pPr>
      <w:r>
        <w:rPr>
          <w:rFonts w:ascii="Calibri" w:cs="Calibri" w:eastAsia="Calibri" w:hAnsi="Calibri"/>
          <w:sz w:val="18"/>
          <w:szCs w:val="18"/>
          <w:color w:val="auto"/>
        </w:rPr>
        <w:t>Pulse Biosciences</w:t>
      </w:r>
    </w:p>
    <w:p>
      <w:pPr>
        <w:spacing w:after="0" w:line="236" w:lineRule="auto"/>
        <w:rPr>
          <w:sz w:val="20"/>
          <w:szCs w:val="20"/>
          <w:color w:val="auto"/>
        </w:rPr>
      </w:pPr>
      <w:r>
        <w:rPr>
          <w:rFonts w:ascii="Calibri" w:cs="Calibri" w:eastAsia="Calibri" w:hAnsi="Calibri"/>
          <w:sz w:val="18"/>
          <w:szCs w:val="18"/>
          <w:color w:val="auto"/>
        </w:rPr>
        <w:t>Burke T. Barret, President and CEO</w:t>
      </w:r>
    </w:p>
    <w:p>
      <w:pPr>
        <w:spacing w:after="0" w:line="236" w:lineRule="auto"/>
        <w:rPr>
          <w:sz w:val="20"/>
          <w:szCs w:val="20"/>
          <w:color w:val="auto"/>
        </w:rPr>
      </w:pPr>
      <w:r>
        <w:rPr>
          <w:rFonts w:ascii="Calibri" w:cs="Calibri" w:eastAsia="Calibri" w:hAnsi="Calibri"/>
          <w:sz w:val="18"/>
          <w:szCs w:val="18"/>
          <w:color w:val="auto"/>
        </w:rPr>
        <w:t>IR@pulsebiosciences.com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or</w:t>
      </w:r>
    </w:p>
    <w:p>
      <w:pPr>
        <w:spacing w:after="0" w:line="235" w:lineRule="auto"/>
        <w:rPr>
          <w:sz w:val="20"/>
          <w:szCs w:val="20"/>
          <w:color w:val="auto"/>
        </w:rPr>
      </w:pPr>
      <w:r>
        <w:rPr>
          <w:rFonts w:ascii="Calibri" w:cs="Calibri" w:eastAsia="Calibri" w:hAnsi="Calibri"/>
          <w:sz w:val="18"/>
          <w:szCs w:val="18"/>
          <w:color w:val="auto"/>
        </w:rPr>
        <w:t>Gilmartn Group</w:t>
      </w:r>
    </w:p>
    <w:p>
      <w:pPr>
        <w:spacing w:after="0" w:line="236" w:lineRule="auto"/>
        <w:rPr>
          <w:sz w:val="20"/>
          <w:szCs w:val="20"/>
          <w:color w:val="auto"/>
        </w:rPr>
      </w:pPr>
      <w:r>
        <w:rPr>
          <w:rFonts w:ascii="Calibri" w:cs="Calibri" w:eastAsia="Calibri" w:hAnsi="Calibri"/>
          <w:sz w:val="18"/>
          <w:szCs w:val="18"/>
          <w:color w:val="auto"/>
        </w:rPr>
        <w:t>Philip Trip Taylor</w:t>
      </w:r>
    </w:p>
    <w:p>
      <w:pPr>
        <w:spacing w:after="0" w:line="236" w:lineRule="auto"/>
        <w:rPr>
          <w:sz w:val="20"/>
          <w:szCs w:val="20"/>
          <w:color w:val="auto"/>
        </w:rPr>
      </w:pPr>
      <w:r>
        <w:rPr>
          <w:rFonts w:ascii="Calibri" w:cs="Calibri" w:eastAsia="Calibri" w:hAnsi="Calibri"/>
          <w:sz w:val="18"/>
          <w:szCs w:val="18"/>
          <w:color w:val="auto"/>
        </w:rPr>
        <w:t>415.937.5406</w:t>
      </w:r>
    </w:p>
    <w:p>
      <w:pPr>
        <w:spacing w:after="0" w:line="236" w:lineRule="auto"/>
        <w:rPr>
          <w:sz w:val="20"/>
          <w:szCs w:val="20"/>
          <w:color w:val="auto"/>
        </w:rPr>
      </w:pPr>
      <w:r>
        <w:rPr>
          <w:rFonts w:ascii="Calibri" w:cs="Calibri" w:eastAsia="Calibri" w:hAnsi="Calibri"/>
          <w:sz w:val="18"/>
          <w:szCs w:val="18"/>
          <w:color w:val="auto"/>
        </w:rPr>
        <w:t>philip@gilmartnir.com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44,365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93,046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59,154</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less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14,794</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61,516 shares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55,144 shares at September 30, 2024 and December 31, 2023, respectively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381,220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(336,915)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59,154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expenses:</w:t>
      </w:r>
    </w:p>
    <w:p>
      <w:pPr>
        <w:spacing w:after="0" w:line="9" w:lineRule="exact"/>
        <w:rPr>
          <w:sz w:val="20"/>
          <w:szCs w:val="20"/>
          <w:color w:val="auto"/>
        </w:rPr>
      </w:pPr>
    </w:p>
    <w:p>
      <w:pPr>
        <w:ind w:left="180"/>
        <w:spacing w:after="0" w:line="273" w:lineRule="auto"/>
        <w:rPr>
          <w:sz w:val="20"/>
          <w:szCs w:val="20"/>
          <w:color w:val="auto"/>
        </w:rPr>
      </w:pPr>
      <w:r>
        <w:rPr>
          <w:rFonts w:ascii="Times New Roman" w:cs="Times New Roman" w:eastAsia="Times New Roman" w:hAnsi="Times New Roman"/>
          <w:sz w:val="17"/>
          <w:szCs w:val="17"/>
          <w:color w:val="auto"/>
        </w:rPr>
        <w:t>Research and development General and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and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4879"/>
        <w:spacing w:after="0"/>
        <w:rPr>
          <w:sz w:val="20"/>
          <w:szCs w:val="20"/>
          <w:color w:val="auto"/>
        </w:rPr>
      </w:pPr>
      <w:r>
        <w:rPr>
          <w:rFonts w:ascii="Times New Roman" w:cs="Times New Roman" w:eastAsia="Times New Roman" w:hAnsi="Times New Roman"/>
          <w:sz w:val="18"/>
          <w:szCs w:val="18"/>
          <w:b w:val="1"/>
          <w:bCs w:val="1"/>
          <w:color w:val="auto"/>
        </w:rPr>
        <w:t>Three-Month Periods Ended</w:t>
      </w:r>
    </w:p>
    <w:p>
      <w:pPr>
        <w:spacing w:after="0" w:line="31" w:lineRule="exact"/>
        <w:rPr>
          <w:sz w:val="20"/>
          <w:szCs w:val="20"/>
          <w:color w:val="auto"/>
        </w:rPr>
      </w:pPr>
    </w:p>
    <w:p>
      <w:pPr>
        <w:jc w:val="center"/>
        <w:ind w:left="-487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532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5"/>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3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r>
      <w:tr>
        <w:trPr>
          <w:trHeight w:val="210"/>
        </w:trPr>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11,252</w:t>
            </w:r>
          </w:p>
        </w:tc>
      </w:tr>
      <w:tr>
        <w:trPr>
          <w:trHeight w:val="228"/>
        </w:trPr>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r>
      <w:tr>
        <w:trPr>
          <w:trHeight w:val="414"/>
        </w:trPr>
        <w:tc>
          <w:tcPr>
            <w:tcW w:w="3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-1397000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-1113790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-839470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-556895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-273685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20" w:space="560"/>
            <w:col w:w="8560"/>
          </w:cols>
          <w:pgMar w:left="320" w:top="576"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net loss per common share — basic and diluted</w:t>
            </w: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61,066</w:t>
            </w: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56,866</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606"/>
        </w:trPr>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Three-Month Periods Ended</w:t>
            </w:r>
          </w:p>
        </w:tc>
      </w:tr>
      <w:tr>
        <w:trPr>
          <w:trHeight w:val="238"/>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Based Compensation Expense: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following table presents the reconciliation of non-GAAP financial measures to the most directly comparable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Three-Month Periods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Research and development: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7,703</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 expense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Restructuring</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General and administrative:</w:t>
            </w:r>
          </w:p>
        </w:tc>
        <w:tc>
          <w:tcPr>
            <w:tcW w:w="9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5,952</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 expense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Restructuring</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3,832</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Cost and expenses:</w:t>
            </w:r>
          </w:p>
        </w:tc>
        <w:tc>
          <w:tcPr>
            <w:tcW w:w="9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Cost and expenses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13,655</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 expense</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Restructuring</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Cost and expenses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10,380</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Net loss:</w:t>
            </w:r>
          </w:p>
        </w:tc>
        <w:tc>
          <w:tcPr>
            <w:tcW w:w="9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(12,680)</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Restructuring</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ind w:left="10380"/>
        <w:spacing w:after="0"/>
        <w:rPr>
          <w:sz w:val="20"/>
          <w:szCs w:val="20"/>
          <w:color w:val="auto"/>
        </w:rPr>
      </w:pPr>
      <w:r>
        <w:rPr>
          <w:rFonts w:ascii="Calibri" w:cs="Calibri" w:eastAsia="Calibri" w:hAnsi="Calibri"/>
          <w:sz w:val="17"/>
          <w:szCs w:val="17"/>
          <w:b w:val="1"/>
          <w:bCs w:val="1"/>
          <w:color w:val="auto"/>
        </w:rPr>
        <w:t>Exhibit 99.2</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Pulse Biosciences Announces Appointment of David Kenigsberg, M.D. as Chief Medical Ofcer of Electrophysiology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Adds Andrea Natale, M.D. as a medical advisor, joining existng advisors Vivek Reddy, M.D. and Jacob Koruth, M.D.</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MIAMI, Florida. [Business Wire] </w:t>
      </w:r>
      <w:r>
        <w:rPr>
          <w:rFonts w:ascii="Calibri" w:cs="Calibri" w:eastAsia="Calibri" w:hAnsi="Calibri"/>
          <w:sz w:val="18"/>
          <w:szCs w:val="18"/>
          <w:color w:val="auto"/>
        </w:rPr>
        <w:t>– October 30, 2024. Pulse Biosciences, Inc. (Nasdaq: PLSE), a company leveraging its novel and proprietary Nanosecond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Pulsed Field Ablaton™ (nsPFA™) technology, today announced the appointment of David Kenigsberg, M.D. as Chief Medical Ofcer of Electrophysiology. Andrea Natale, M.D. will become a medical advisor for the company, joining existng advisors Vivek Reddy, M.D. and Jacob Koruth, M.D., who altogether will contnue to support the development and clinical eforts for the Pulse Biosciences nano-PFA 360 Cardiac Catheter.</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 am inspired by the potental of nano-PFA and the unique catheter design of the 360 catheter that is already demonstratng the ability to isolate pulmonary veins with ease and speed,” said Dr. David Kenigsberg, Chief Medical Ofcer of Electrophysiology of Pulse Biosciences. “I was impressed when I saw the 360 catheter in use and am excited to work with Pulse to deliver robust clinical data with the 360, which I believe will substantally advance the treatment of atrial fbrillaton. I look forward to supportng this team through its next phase of clinical development.”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Dr. Kenigsberg is a practcing cardiac electrophysiologist with a passion for treatng atrial fbrillaton over his career. He is the founder of Florida Heart Rhythm Specialists and Ft. Lauderdale Heart &amp; Rhythm Surgical Center. He has been the Medical Director of the Electrophysiology Lab at HCA Westside Medical Center in Plantaton, Florida, since 2007. He has published numerous scholarly artcles in peer-reviewed medical journals. He has advised in the development and has been the primary investgator/co-investgator in a myriad of clinical trials involving ablaton tools. Dr. Kenigsberg is a fellow of the American College of Cardiology and the Heart Rhythm Society. He is the President of the Florida Chapter of the American College of Cardiology and sits on the American College of Cardiology Board of Governors.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is an excitng tme in electrophysiology as pulsed feld ablaton technologies are becoming widely adopted and advancing the standard of care. I am excited to support the Pulse team in the clinical eforts for the 360 catheter,” added Dr. Andrea Natale.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Dr. Andrea Natale is the Executve Medical Director of the Texas Cardiac Arrhythmia Insttute at St. David’s Medical Center in Austn, Texas, and the Natonal Medical Director of Cardiac Electrophysiology for HCA Healthcare. A dedicated researcher and pioneer, Dr. Andrea Natale focuses on innovatve advances in the treatment of atrial fbrillaton. He has been, and contnues to be, involved in many frst-in-human trials to test investgatonal devices, recently performing the frst pre-clinical and clinical studies to develop and perfect ablaton catheters utlizing a novel, groundbreaking ablaton energy source known as irreversible electroporaton.</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Burke T. Barret, President and Chief Executve Ofcer of Pulse Biosciences concluded, “We are signifcantly strengthening our team with the additon of these renowned physicians who will contribute to generatng high quality clinical data that demonstrates the clinical performance profle of the 360 catheter. I want to thank Drs. Reddy and Koruth for their signifcant contributons in the pre-clinical and clinical evaluatons of the 360 catheter to date.”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Pulse Biosciences</w:t>
      </w:r>
      <w:r>
        <w:rPr>
          <w:rFonts w:ascii="Calibri" w:cs="Calibri" w:eastAsia="Calibri" w:hAnsi="Calibri"/>
          <w:sz w:val="18"/>
          <w:szCs w:val="18"/>
          <w:color w:val="auto"/>
        </w:rPr>
        <w:t>®</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Pulse Biosciences is a novel bioelectric medicine company commited to health innovaton that has the potental to improve the quality of life for patents. The Company’s proprietary CellFX® nsPFA™ technology delivers nanosecond pulses of electrical energy to non-thermally clear cells while sparing adjacent noncellular tssue. The Company is actvely pursuing the development of its CellFX nsPFA technology for use in the treatment of atrial fbrillaton and in a select few other markets where it could have a profound positve impact on healthcare for both patents and providers. Pulse Biosciences is now headquartered in Miami, Florida and maintains its ofce in Hayward, California.</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Pulse Biosciences, CellFX, Nano-Pulse Stmulaton, NPS, nsPFA, CellFX nsPFA and the stylized logos are among the trademarks and/or registered trademarks of Pulse Biosciences, Inc. in the United States and other countries.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Contacts: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Investors:</w:t>
      </w:r>
    </w:p>
    <w:p>
      <w:pPr>
        <w:spacing w:after="0" w:line="235" w:lineRule="auto"/>
        <w:rPr>
          <w:sz w:val="20"/>
          <w:szCs w:val="20"/>
          <w:color w:val="auto"/>
        </w:rPr>
      </w:pPr>
      <w:r>
        <w:rPr>
          <w:rFonts w:ascii="Calibri" w:cs="Calibri" w:eastAsia="Calibri" w:hAnsi="Calibri"/>
          <w:sz w:val="18"/>
          <w:szCs w:val="18"/>
          <w:color w:val="auto"/>
        </w:rPr>
        <w:t>Pulse Biosciences, Inc.</w:t>
      </w:r>
    </w:p>
    <w:p>
      <w:pPr>
        <w:spacing w:after="0" w:line="236" w:lineRule="auto"/>
        <w:rPr>
          <w:sz w:val="20"/>
          <w:szCs w:val="20"/>
          <w:color w:val="auto"/>
        </w:rPr>
      </w:pPr>
      <w:r>
        <w:rPr>
          <w:rFonts w:ascii="Calibri" w:cs="Calibri" w:eastAsia="Calibri" w:hAnsi="Calibri"/>
          <w:sz w:val="18"/>
          <w:szCs w:val="18"/>
          <w:color w:val="auto"/>
        </w:rPr>
        <w:t>Burke T. Barret, President and CEO</w:t>
      </w:r>
    </w:p>
    <w:p>
      <w:pPr>
        <w:spacing w:after="0" w:line="236" w:lineRule="auto"/>
        <w:rPr>
          <w:sz w:val="20"/>
          <w:szCs w:val="20"/>
          <w:color w:val="auto"/>
        </w:rPr>
      </w:pPr>
      <w:r>
        <w:rPr>
          <w:rFonts w:ascii="Calibri" w:cs="Calibri" w:eastAsia="Calibri" w:hAnsi="Calibri"/>
          <w:sz w:val="18"/>
          <w:szCs w:val="18"/>
          <w:color w:val="auto"/>
        </w:rPr>
        <w:t>IR@pulsebiosciences.com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Or</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Gilmartn Group</w:t>
      </w:r>
    </w:p>
    <w:p>
      <w:pPr>
        <w:spacing w:after="0" w:line="235" w:lineRule="auto"/>
        <w:rPr>
          <w:sz w:val="20"/>
          <w:szCs w:val="20"/>
          <w:color w:val="auto"/>
        </w:rPr>
      </w:pPr>
      <w:r>
        <w:rPr>
          <w:rFonts w:ascii="Calibri" w:cs="Calibri" w:eastAsia="Calibri" w:hAnsi="Calibri"/>
          <w:sz w:val="18"/>
          <w:szCs w:val="18"/>
          <w:color w:val="auto"/>
        </w:rPr>
        <w:t>Philip Trip Taylor</w:t>
      </w:r>
    </w:p>
    <w:p>
      <w:pPr>
        <w:spacing w:after="0" w:line="236" w:lineRule="auto"/>
        <w:rPr>
          <w:sz w:val="20"/>
          <w:szCs w:val="20"/>
          <w:color w:val="auto"/>
        </w:rPr>
      </w:pPr>
      <w:r>
        <w:rPr>
          <w:rFonts w:ascii="Calibri" w:cs="Calibri" w:eastAsia="Calibri" w:hAnsi="Calibri"/>
          <w:sz w:val="18"/>
          <w:szCs w:val="18"/>
          <w:color w:val="auto"/>
        </w:rPr>
        <w:t>415.937.5406</w:t>
      </w:r>
    </w:p>
    <w:p>
      <w:pPr>
        <w:spacing w:after="0" w:line="236" w:lineRule="auto"/>
        <w:rPr>
          <w:sz w:val="20"/>
          <w:szCs w:val="20"/>
          <w:color w:val="auto"/>
        </w:rPr>
      </w:pPr>
      <w:r>
        <w:rPr>
          <w:rFonts w:ascii="Calibri" w:cs="Calibri" w:eastAsia="Calibri" w:hAnsi="Calibri"/>
          <w:sz w:val="18"/>
          <w:szCs w:val="18"/>
          <w:color w:val="auto"/>
        </w:rPr>
        <w:t>philip@gilmartnir.com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2024-10-30T15:24:24Z</dcterms:created>
  <dcterms:modified xsi:type="dcterms:W3CDTF">2024-10-30T15:24:24Z</dcterms:modified>
</cp:coreProperties>
</file>