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36"/>
        </w:rPr>
      </w:pPr>
      <w:bookmarkStart w:id="0" w:name="plse20260806_8k.htm"/>
      <w:bookmarkStart w:id="1" w:name="ksplse20260806_8k"/>
      <w:bookmarkEnd w:id="0"/>
      <w:bookmarkEnd w:id="1"/>
      <w:r>
        <w:rPr>
          <w:rFonts w:ascii="Times New Roman" w:hAnsi="Times New Roman"/>
          <w:b/>
          <w:caps w:val="false"/>
          <w:smallCaps w:val="false"/>
          <w:sz w:val="28"/>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28"/>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2"/>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28"/>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2"/>
        </w:rPr>
        <w:t>CURRENT REPORT</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2"/>
        </w:rPr>
        <w:t>Pursuant to Section 13 or 15(d) of The 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u w:val="single"/>
        </w:rPr>
        <w:t>August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195"/>
        <w:gridCol w:w="1100"/>
        <w:gridCol w:w="1520"/>
      </w:tblGrid>
      <w:tr>
        <w:trPr/>
        <w:tc>
          <w:tcPr>
            <w:tcW w:w="481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Inc.</w:t>
            </w:r>
          </w:p>
        </w:tc>
      </w:tr>
      <w:tr>
        <w:trPr/>
        <w:tc>
          <w:tcPr>
            <w:tcW w:w="48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195"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21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001-37744</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46-5696597</w:t>
            </w:r>
          </w:p>
        </w:tc>
      </w:tr>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4815" w:type="dxa"/>
            <w:gridSpan w:val="3"/>
            <w:tcBorders/>
            <w:vAlign w:val="center"/>
          </w:tcPr>
          <w:p>
            <w:pPr>
              <w:pStyle w:val="TableContents"/>
              <w:bidi w:val="0"/>
              <w:spacing w:before="0" w:after="0"/>
              <w:ind w:left="0" w:right="0" w:hanging="0"/>
              <w:jc w:val="left"/>
              <w:rPr/>
            </w:pPr>
            <w:r>
              <w:rPr/>
              <w:t> </w:t>
            </w:r>
          </w:p>
        </w:tc>
      </w:tr>
      <w:tr>
        <w:trPr/>
        <w:tc>
          <w:tcPr>
            <w:tcW w:w="481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3957 Point Eden Way</w:t>
            </w:r>
          </w:p>
        </w:tc>
      </w:tr>
      <w:tr>
        <w:trPr/>
        <w:tc>
          <w:tcPr>
            <w:tcW w:w="481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Hayward, California</w:t>
            </w:r>
            <w:r>
              <w:rPr>
                <w:rFonts w:ascii="Times New Roman" w:hAnsi="Times New Roman"/>
                <w:caps w:val="false"/>
                <w:smallCaps w:val="false"/>
                <w:sz w:val="20"/>
              </w:rPr>
              <w:t> </w:t>
            </w:r>
            <w:r>
              <w:rPr>
                <w:rFonts w:ascii="Times New Roman" w:hAnsi="Times New Roman"/>
                <w:b/>
                <w:caps w:val="false"/>
                <w:smallCaps w:val="false"/>
                <w:sz w:val="20"/>
              </w:rPr>
              <w:t>94545</w:t>
            </w:r>
          </w:p>
        </w:tc>
      </w:tr>
      <w:tr>
        <w:trPr/>
        <w:tc>
          <w:tcPr>
            <w:tcW w:w="481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r>
        <w:trPr/>
        <w:tc>
          <w:tcPr>
            <w:tcW w:w="481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510-906-4600</w:t>
            </w:r>
          </w:p>
        </w:tc>
      </w:tr>
      <w:tr>
        <w:trPr/>
        <w:tc>
          <w:tcPr>
            <w:tcW w:w="481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tc>
      </w:tr>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28" w:type="dxa"/>
          <w:left w:w="28" w:type="dxa"/>
          <w:bottom w:w="28" w:type="dxa"/>
          <w:right w:w="0" w:type="dxa"/>
        </w:tblCellMar>
      </w:tblPr>
      <w:tblGrid>
        <w:gridCol w:w="3470"/>
        <w:gridCol w:w="1535"/>
        <w:gridCol w:w="3755"/>
      </w:tblGrid>
      <w:tr>
        <w:trPr/>
        <w:tc>
          <w:tcPr>
            <w:tcW w:w="34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815"/>
        <w:gridCol w:w="372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1.01</w:t>
            </w:r>
          </w:p>
        </w:tc>
        <w:tc>
          <w:tcPr>
            <w:tcW w:w="37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August 6, 2026, Pulse Biosciences, Inc. (the “Company”) entered into an equity distribution agreement (the “Sales Agreement”) with Mizuho Securities USA LLC (“Mizuho”) as sales agent, pursuant to which the Company may offer and sell, from time to time, through Mizuho shares of the Company’s common stock, par value $0.001 per share (the “Common Stock”), having an aggregate offering price of up to $75,000,000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is not obligated to sell any Shares under the Sales Agreement. Subject to the terms and conditions of the Sales Agreement, Mizuho will use commercially reasonable efforts, consistent with its normal trading and sales practices, to sell Shares from time to time based upon the Company’s instructions, including any price, time or size limits or other customary parameters or conditions specified by the Company. Under the Sales Agreement, Mizuho may sell Shares in transactions that are deemed to be “at the market” offerings as defined in Rule 415 under the Securities Act of 1933, as amended (the “Securities Act”), including sales made by means of ordinary brokers’ transactions, including directly on The Nasdaq Capital Market or into any other existing trading market for the Shares, or sales made to or through a market maker, including block trades or block sales, or by any other method permitted by law, including negotiated transactions. Sales may be made at market prices prevailing at the time of a sale or at prices related to prevailing market prices or at negotiated prices. The Company will pay Mizuho compensation at a commission rate of up to 3.0% of the gross sales price of any Shares sold under the Sales Agreement. The Company also will reimburse Mizuho for certain specified expenses in connection with entering into the Sales Agreement. The Company has no obligation to sell any of the Shares under the Sales Agreement and may at any time suspend solicitations and offers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issuance and sale, if any, of the Shares by the Company under the Sales Agreement will be made pursuant to the Company’s effective registration statement on Form S-3 (File No. 333-293596) filed with the U.S. Securities and Exchange Commission (the “SEC”) on February 19, 2026, and declared effective as of February 27, 2026. The Company filed a prospectus supplement with the SEC on August 6, 2026 in connection with the offer and sale of the Shares pursuant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description of the Sales Agreement does not purport to be complete and is qualified in its entirety by reference to the full text of the Sales Agreement, a copy of which is filed as Exhibit 1.1 to this Current Report on Form 8-K and is incorporated herein by reference. The legal opinion of Baker &amp; Hostetler LLP, counsel to the Company, relating to the validity of the issuance and sale of the Shares being offered pursuant to the Sales Agreement, is filed as Exhibit 5.1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Current Report on Form 8-K shall not constitute an offer to sell or the solicitation of an offer to buy any Shares under the Sales Agreement nor shall there be any sale of such Shares in any state in which such offer, solicitation or sale would be unlawful prior to registration or qualification under the securities laws of any such state.</w:t>
      </w:r>
    </w:p>
    <w:p>
      <w:pPr>
        <w:pStyle w:val="TextBody"/>
        <w:bidi w:val="0"/>
        <w:spacing w:before="0" w:after="0"/>
        <w:ind w:left="0" w:right="0" w:hanging="0"/>
        <w:jc w:val="left"/>
        <w:rPr/>
      </w:pPr>
      <w:r>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vAlign w:val="center"/>
          </w:tcPr>
          <w:p>
            <w:pPr>
              <w:pStyle w:val="TableContents"/>
              <w:bidi w:val="0"/>
              <w:spacing w:before="0" w:after="0"/>
              <w:ind w:left="0" w:right="0" w:hanging="0"/>
              <w:jc w:val="left"/>
              <w:rPr/>
            </w:pPr>
            <w:r>
              <w:rPr/>
              <w:t> </w:t>
            </w:r>
          </w:p>
        </w:tc>
        <w:tc>
          <w:tcPr>
            <w:tcW w:w="949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495" w:type="dxa"/>
            <w:tcBorders/>
            <w:vAlign w:val="center"/>
          </w:tcPr>
          <w:p>
            <w:pPr>
              <w:pStyle w:val="TableContents"/>
              <w:bidi w:val="0"/>
              <w:spacing w:before="0" w:after="0"/>
              <w:ind w:left="0" w:right="0" w:hanging="0"/>
              <w:jc w:val="left"/>
              <w:rPr/>
            </w:pPr>
            <w:hyperlink w:anchor="ex_1000004.htm">
              <w:r>
                <w:rPr>
                  <w:rStyle w:val="InternetLink"/>
                  <w:rFonts w:ascii="Times New Roman" w:hAnsi="Times New Roman"/>
                  <w:caps w:val="false"/>
                  <w:smallCaps w:val="false"/>
                  <w:sz w:val="20"/>
                </w:rPr>
                <w:t xml:space="preserve">Equity Distribution Agreement, dated </w:t>
              </w:r>
            </w:hyperlink>
            <w:hyperlink w:anchor="ex_1000004.htm">
              <w:r>
                <w:rPr>
                  <w:rStyle w:val="InternetLink"/>
                  <w:rFonts w:ascii="Times New Roman" w:hAnsi="Times New Roman"/>
                  <w:caps w:val="false"/>
                  <w:smallCaps w:val="false"/>
                  <w:sz w:val="20"/>
                  <w:u w:val="single"/>
                </w:rPr>
                <w:t>August 6, 2026, by and between Pulse Biosciences, Inc. and Mizuho Securities USA LLC.</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9495" w:type="dxa"/>
            <w:tcBorders/>
            <w:vAlign w:val="center"/>
          </w:tcPr>
          <w:p>
            <w:pPr>
              <w:pStyle w:val="TableContents"/>
              <w:bidi w:val="0"/>
              <w:spacing w:before="0" w:after="0"/>
              <w:ind w:left="0" w:right="0" w:hanging="0"/>
              <w:jc w:val="left"/>
              <w:rPr/>
            </w:pPr>
            <w:hyperlink w:anchor="ex_1000005.htm">
              <w:r>
                <w:rPr>
                  <w:rStyle w:val="InternetLink"/>
                  <w:rFonts w:ascii="Times New Roman" w:hAnsi="Times New Roman"/>
                  <w:caps w:val="false"/>
                  <w:smallCaps w:val="false"/>
                  <w:sz w:val="20"/>
                </w:rPr>
                <w:t>Opinion of Baker &amp; Hostetler LLP</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9495" w:type="dxa"/>
            <w:tcBorders/>
            <w:vAlign w:val="center"/>
          </w:tcPr>
          <w:p>
            <w:pPr>
              <w:pStyle w:val="TableContents"/>
              <w:bidi w:val="0"/>
              <w:spacing w:before="0" w:after="0"/>
              <w:ind w:left="0" w:right="0" w:hanging="0"/>
              <w:jc w:val="left"/>
              <w:rPr/>
            </w:pPr>
            <w:hyperlink w:anchor="ex_1000005.htm">
              <w:r>
                <w:rPr>
                  <w:rStyle w:val="InternetLink"/>
                  <w:rFonts w:ascii="Times New Roman" w:hAnsi="Times New Roman"/>
                  <w:caps w:val="false"/>
                  <w:smallCaps w:val="false"/>
                  <w:sz w:val="20"/>
                </w:rPr>
                <w:t>Consent of Baker &amp; Hostetler LLP (included in Exhibit 5.1)</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1745"/>
        <w:gridCol w:w="320"/>
        <w:gridCol w:w="2375"/>
        <w:gridCol w:w="60"/>
      </w:tblGrid>
      <w:tr>
        <w:trPr/>
        <w:tc>
          <w:tcPr>
            <w:tcW w:w="1745"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Paul A. LaViolette</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br/>
            </w: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00004.htm"/>
      <w:bookmarkStart w:id="3" w:name="ksex_1000004"/>
      <w:bookmarkEnd w:id="2"/>
      <w:bookmarkEnd w:id="3"/>
      <w:r>
        <w:rPr>
          <w:rFonts w:ascii="Times New Roman;Times;serif" w:hAnsi="Times New Roman;Times;serif"/>
          <w:b/>
          <w:sz w:val="20"/>
        </w:rPr>
        <w:t>Exhibit 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PULSE BIOSCIENCES, INC.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($0.001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EQUITY DISTRIBUTION AGREEMENT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August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MIZUHO SECURITIES USA LLC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1271 Avenue of the Americas,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Floor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Pulse Biosciences,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proposes, subject to the terms and conditions stated herein, to issue and sell from time to time to or through Mizuho Securities USA LLC (the “</w:t>
      </w:r>
      <w:r>
        <w:rPr>
          <w:rFonts w:ascii="Times New Roman" w:hAnsi="Times New Roman"/>
          <w:caps w:val="false"/>
          <w:smallCaps w:val="false"/>
          <w:sz w:val="20"/>
          <w:u w:val="single"/>
        </w:rPr>
        <w:t>Agent</w:t>
      </w:r>
      <w:r>
        <w:rPr>
          <w:rFonts w:ascii="Times New Roman" w:hAnsi="Times New Roman"/>
          <w:caps w:val="false"/>
          <w:smallCaps w:val="false"/>
          <w:sz w:val="20"/>
        </w:rPr>
        <w:t>”), as sales agent, shares (the “</w:t>
      </w:r>
      <w:r>
        <w:rPr>
          <w:rFonts w:ascii="Times New Roman" w:hAnsi="Times New Roman"/>
          <w:caps w:val="false"/>
          <w:smallCaps w:val="false"/>
          <w:sz w:val="20"/>
          <w:u w:val="single"/>
        </w:rPr>
        <w:t>Shares</w:t>
      </w:r>
      <w:r>
        <w:rPr>
          <w:rFonts w:ascii="Times New Roman" w:hAnsi="Times New Roman"/>
          <w:caps w:val="false"/>
          <w:smallCaps w:val="false"/>
          <w:sz w:val="20"/>
        </w:rPr>
        <w:t>”) of the Company’s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having an aggregate offering price of up to $75,000,000 on the terms set forth in Section 2 of this Equity Distribution Agreement (the “</w:t>
      </w:r>
      <w:r>
        <w:rPr>
          <w:rFonts w:ascii="Times New Roman" w:hAnsi="Times New Roman"/>
          <w:caps w:val="false"/>
          <w:smallCaps w:val="false"/>
          <w:sz w:val="20"/>
          <w:u w:val="single"/>
        </w:rPr>
        <w:t>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The Company represents and warrants to the Agent that, unless such representation or warranty specifies otherwise, as of the date of this Agreement, any applicable Registration Statement Amendment Date (as defined in Section 3 below), each Company Periodic Report Date (as defined in Section 3 below), each Applicable Time (as defined in Section 1(a) below) and each Settlement Date (as defined in Section 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Compliance with Registration Requirements</w:t>
      </w:r>
      <w:r>
        <w:rPr>
          <w:rFonts w:ascii="Times New Roman" w:hAnsi="Times New Roman"/>
          <w:caps w:val="false"/>
          <w:smallCaps w:val="false"/>
          <w:sz w:val="20"/>
        </w:rPr>
        <w:t>. The Company has filed with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a registration statement under the Securities Act of 1933, as amended (the “</w:t>
      </w:r>
      <w:r>
        <w:rPr>
          <w:rFonts w:ascii="Times New Roman" w:hAnsi="Times New Roman"/>
          <w:caps w:val="false"/>
          <w:smallCaps w:val="false"/>
          <w:sz w:val="20"/>
          <w:u w:val="single"/>
        </w:rPr>
        <w:t>1933 Act</w:t>
      </w:r>
      <w:r>
        <w:rPr>
          <w:rFonts w:ascii="Times New Roman" w:hAnsi="Times New Roman"/>
          <w:caps w:val="false"/>
          <w:smallCaps w:val="false"/>
          <w:sz w:val="20"/>
        </w:rPr>
        <w:t>”), on Form S-3 (File No. 333-293596), in respect of the Company’s Common Stock (including the Shares) (collectively, the “</w:t>
      </w:r>
      <w:r>
        <w:rPr>
          <w:rFonts w:ascii="Times New Roman" w:hAnsi="Times New Roman"/>
          <w:caps w:val="false"/>
          <w:smallCaps w:val="false"/>
          <w:sz w:val="20"/>
          <w:u w:val="single"/>
        </w:rPr>
        <w:t>Securities</w:t>
      </w:r>
      <w:r>
        <w:rPr>
          <w:rFonts w:ascii="Times New Roman" w:hAnsi="Times New Roman"/>
          <w:caps w:val="false"/>
          <w:smallCaps w:val="false"/>
          <w:sz w:val="20"/>
        </w:rPr>
        <w:t>”) not declared effective by the Commission earlier than three years prior to the date hereof; such registration statement, and any post-effective amendment thereto has become effective; and no stop order suspending the effectiveness of such registration statement or any part thereof has been issued and no proceeding for that purpose has been initiated or, to the knowledge of the Company, threatened by the Commission; the base prospectus filed as part of such registration statement, in the form in which it has most recently been filed with the Commission on or prior to the date of this Agreement, is hereinafter called the “</w:t>
      </w:r>
      <w:r>
        <w:rPr>
          <w:rFonts w:ascii="Times New Roman" w:hAnsi="Times New Roman"/>
          <w:caps w:val="false"/>
          <w:smallCaps w:val="false"/>
          <w:sz w:val="20"/>
          <w:u w:val="single"/>
        </w:rPr>
        <w:t>Basic Prospectus</w:t>
      </w:r>
      <w:r>
        <w:rPr>
          <w:rFonts w:ascii="Times New Roman" w:hAnsi="Times New Roman"/>
          <w:caps w:val="false"/>
          <w:smallCaps w:val="false"/>
          <w:sz w:val="20"/>
        </w:rPr>
        <w:t>”; the various parts of such registration statement, including all exhibits thereto and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the prospectus supplement specifically relating to the Shares prepared and filed with the Commission pursuant to Rule 424(b) under the 1933 Act is hereinafter called the “</w:t>
      </w:r>
      <w:r>
        <w:rPr>
          <w:rFonts w:ascii="Times New Roman" w:hAnsi="Times New Roman"/>
          <w:caps w:val="false"/>
          <w:smallCaps w:val="false"/>
          <w:sz w:val="20"/>
          <w:u w:val="single"/>
        </w:rPr>
        <w:t>Prospectus Supplement</w:t>
      </w:r>
      <w:r>
        <w:rPr>
          <w:rFonts w:ascii="Times New Roman" w:hAnsi="Times New Roman"/>
          <w:caps w:val="false"/>
          <w:smallCaps w:val="false"/>
          <w:sz w:val="20"/>
        </w:rPr>
        <w:t>”; the Basic Prospectus, as amended and supplemented by the Prospectus Supplement, is hereinafter called the “</w:t>
      </w:r>
      <w:r>
        <w:rPr>
          <w:rFonts w:ascii="Times New Roman" w:hAnsi="Times New Roman"/>
          <w:caps w:val="false"/>
          <w:smallCaps w:val="false"/>
          <w:sz w:val="20"/>
          <w:u w:val="single"/>
        </w:rPr>
        <w:t>Prospectus</w:t>
      </w:r>
      <w:r>
        <w:rPr>
          <w:rFonts w:ascii="Times New Roman" w:hAnsi="Times New Roman"/>
          <w:caps w:val="false"/>
          <w:smallCaps w:val="false"/>
          <w:sz w:val="20"/>
        </w:rPr>
        <w:t>”; any reference herein to the Basic Prospectus, the Prospectus Supplement or the Prospectus shall be deemed to refer to and include the documents incorporated by reference therein pursuant to Item 12 of Form S-3 under the 1933 Act; any reference to any amendment or supplement to the Basic Prospectus, the Prospectus Supplement or the Prospectus shall be deemed to refer to and include any post-effective amendment to the Registration Statement, any prospectus supplement relating to the Shares filed with the Commission pursuant to Rule 424(b) under the 1933 Act and any documents filed under the Securities Exchange Act of 1934, as amended (the “</w:t>
      </w:r>
      <w:r>
        <w:rPr>
          <w:rFonts w:ascii="Times New Roman" w:hAnsi="Times New Roman"/>
          <w:caps w:val="false"/>
          <w:smallCaps w:val="false"/>
          <w:sz w:val="20"/>
          <w:u w:val="single"/>
        </w:rPr>
        <w:t>1934 Act</w:t>
      </w:r>
      <w:r>
        <w:rPr>
          <w:rFonts w:ascii="Times New Roman" w:hAnsi="Times New Roman"/>
          <w:caps w:val="false"/>
          <w:smallCaps w:val="false"/>
          <w:sz w:val="20"/>
        </w:rPr>
        <w:t>”), and the rules and regulations of the Commission thereunder (the “</w:t>
      </w:r>
      <w:r>
        <w:rPr>
          <w:rFonts w:ascii="Times New Roman" w:hAnsi="Times New Roman"/>
          <w:caps w:val="false"/>
          <w:smallCaps w:val="false"/>
          <w:sz w:val="20"/>
          <w:u w:val="single"/>
        </w:rPr>
        <w:t>1934 Act Regulations</w:t>
      </w:r>
      <w:r>
        <w:rPr>
          <w:rFonts w:ascii="Times New Roman" w:hAnsi="Times New Roman"/>
          <w:caps w:val="false"/>
          <w:smallCaps w:val="false"/>
          <w:sz w:val="20"/>
        </w:rPr>
        <w:t>”), and incorporated therein, in each case after the date of the Basic Prospectus, the Prospectus 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and any “issuer free writing prospectus” as defined in Rule 433 under the 1933 Act relating to the Shares is (hereinafter called an “</w:t>
      </w:r>
      <w:r>
        <w:rPr>
          <w:rFonts w:ascii="Times New Roman" w:hAnsi="Times New Roman"/>
          <w:caps w:val="false"/>
          <w:smallCaps w:val="false"/>
          <w:sz w:val="20"/>
          <w:u w:val="single"/>
        </w:rPr>
        <w:t>Issuer Free Writing Prospectus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 order preventing or suspending the use of the Basic Prospectus, the Prospectus Supplement, the Prospectus or any Issuer Free Writing Prospectus has been issued by the Commission, and the Basic Prospectus and the Prospectus Supplement, at the time of filing thereof, conformed in all material respects to the requirements of the 1933 Act and the rules and regulations of the Commission thereunder (the “</w:t>
      </w:r>
      <w:r>
        <w:rPr>
          <w:rFonts w:ascii="Times New Roman" w:hAnsi="Times New Roman"/>
          <w:caps w:val="false"/>
          <w:smallCaps w:val="false"/>
          <w:sz w:val="20"/>
          <w:u w:val="single"/>
        </w:rPr>
        <w:t>1933 Act Regulations</w:t>
      </w:r>
      <w:r>
        <w:rPr>
          <w:rFonts w:ascii="Times New Roman" w:hAnsi="Times New Roman"/>
          <w:caps w:val="false"/>
          <w:smallCaps w:val="false"/>
          <w:sz w:val="20"/>
        </w:rPr>
        <w:t>”) and did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purposes of this Agreement, the “</w:t>
      </w:r>
      <w:r>
        <w:rPr>
          <w:rFonts w:ascii="Times New Roman" w:hAnsi="Times New Roman"/>
          <w:caps w:val="false"/>
          <w:smallCaps w:val="false"/>
          <w:sz w:val="20"/>
          <w:u w:val="single"/>
        </w:rPr>
        <w:t>Applicable Time</w:t>
      </w:r>
      <w:r>
        <w:rPr>
          <w:rFonts w:ascii="Times New Roman" w:hAnsi="Times New Roman"/>
          <w:caps w:val="false"/>
          <w:smallCaps w:val="false"/>
          <w:sz w:val="20"/>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Times New Roman" w:hAnsi="Times New Roman"/>
          <w:caps w:val="false"/>
          <w:smallCaps w:val="false"/>
          <w:sz w:val="20"/>
          <w:u w:val="single"/>
        </w:rPr>
        <w:t>General Disclosure Package</w:t>
      </w:r>
      <w:r>
        <w:rPr>
          <w:rFonts w:ascii="Times New Roman" w:hAnsi="Times New Roman"/>
          <w:caps w:val="false"/>
          <w:smallCaps w:val="false"/>
          <w:sz w:val="20"/>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Prospectus Supplement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Incorporation of Documents by Reference</w:t>
      </w:r>
      <w:r>
        <w:rPr>
          <w:rFonts w:ascii="Times New Roman" w:hAnsi="Times New Roman"/>
          <w:caps w:val="false"/>
          <w:smallCaps w:val="false"/>
          <w:sz w:val="20"/>
        </w:rPr>
        <w:t>. The documents incorporated or deemed to be incorporated by reference in the Registration Statement and the Prospectus, when they became effective or were filed with the Commission, as the case may be, complied in all material respects with the requirements of the 1934 Act and the 1934 Act Regulations, and, when read together with the other information in the Prospectus, (a) at the time the Registration Statement became effective, (b) at the time the Prospectus was issued and (c) on the date of this Agreement, did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Independent Accountants</w:t>
      </w:r>
      <w:r>
        <w:rPr>
          <w:rFonts w:ascii="Times New Roman" w:hAnsi="Times New Roman"/>
          <w:caps w:val="false"/>
          <w:smallCaps w:val="false"/>
          <w:sz w:val="20"/>
        </w:rPr>
        <w:t>. The accountants who certified the financial statements and supporting schedules included in the Registration Statement are independent public accountants as required by the 1933 Act and the 1933 Act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Financial Statements</w:t>
      </w:r>
      <w:r>
        <w:rPr>
          <w:rFonts w:ascii="Times New Roman" w:hAnsi="Times New Roman"/>
          <w:caps w:val="false"/>
          <w:smallCaps w:val="false"/>
          <w:sz w:val="20"/>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(as defined below) at the dates indicated and the statement of operations, stockholders’ equity and cash flows of the Company and its consolidated Subsidiaries for the periods specified; said financial statements have been prepared in conformity with generally accepted accounting principles in the United States (“</w:t>
      </w:r>
      <w:r>
        <w:rPr>
          <w:rFonts w:ascii="Times New Roman" w:hAnsi="Times New Roman"/>
          <w:caps w:val="false"/>
          <w:smallCaps w:val="false"/>
          <w:sz w:val="20"/>
          <w:u w:val="single"/>
        </w:rPr>
        <w:t>GAAP</w:t>
      </w:r>
      <w:r>
        <w:rPr>
          <w:rFonts w:ascii="Times New Roman" w:hAnsi="Times New Roman"/>
          <w:caps w:val="false"/>
          <w:smallCaps w:val="false"/>
          <w:sz w:val="20"/>
        </w:rPr>
        <w:t>”) applied on a consistent basis throughout the periods involved, except as may be set forth in the notes included or incorporated by reference and except that unaudited financial statements may not contain footnotes required by GAAP. The supporting schedules, if any, present fairly, in all material respects, in accordance with GAAP the information required to be stated therein. The selected financial data and the summary financial information included in the Prospectus present fairly, in all material respects, the information shown therein and have been compiled on a basis consistent with that of the financial statements included or incorporated by reference in the Registration Statement. All disclosures contained in the Registration Statement, the General Disclosure Package or the Prospectus, or incorporated by reference therein, regarding “non-GAAP financial measures” (as such term is defined by the rules and regulations of the Commission) comply in all material respects with Regulation G of the 1934 Act and Item 10 of Regulation S-K of the 1933 Act, to the extent applicable.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No Material Adverse Change in Business</w:t>
      </w:r>
      <w:r>
        <w:rPr>
          <w:rFonts w:ascii="Times New Roman" w:hAnsi="Times New Roman"/>
          <w:caps w:val="false"/>
          <w:smallCaps w:val="false"/>
          <w:sz w:val="20"/>
        </w:rPr>
        <w:t>. Since the respective dates as of which information is given in the Registration Statement, the General Disclosure Package or the Prospectus, except as otherwise stated therein, (A) there has been no material adverse change, or any development that could reasonably be expected to result in a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Good Standing of the Company</w:t>
      </w:r>
      <w:r>
        <w:rPr>
          <w:rFonts w:ascii="Times New Roman" w:hAnsi="Times New Roman"/>
          <w:caps w:val="false"/>
          <w:smallCaps w:val="false"/>
          <w:sz w:val="20"/>
        </w:rPr>
        <w:t>. The Company has been duly organized and is validly existing as a corporation in good standing under the laws of the jurisdiction of its organization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Good Standing of Subsidiaries</w:t>
      </w:r>
      <w:r>
        <w:rPr>
          <w:rFonts w:ascii="Times New Roman" w:hAnsi="Times New Roman"/>
          <w:caps w:val="false"/>
          <w:smallCaps w:val="false"/>
          <w:sz w:val="20"/>
        </w:rPr>
        <w:t>. Each subsidiary listed in Exhibit 21.1 to the Company’s Annual Report on Form 10-K for the most recently ended fiscal year (each a “</w:t>
      </w:r>
      <w:r>
        <w:rPr>
          <w:rFonts w:ascii="Times New Roman" w:hAnsi="Times New Roman"/>
          <w:caps w:val="false"/>
          <w:smallCaps w:val="false"/>
          <w:sz w:val="20"/>
          <w:u w:val="single"/>
        </w:rPr>
        <w:t>Subsidiary</w:t>
      </w:r>
      <w:r>
        <w:rPr>
          <w:rFonts w:ascii="Times New Roman" w:hAnsi="Times New Roman"/>
          <w:caps w:val="false"/>
          <w:smallCaps w:val="false"/>
          <w:sz w:val="20"/>
        </w:rPr>
        <w:t>” and, collectively, the “</w:t>
      </w:r>
      <w:r>
        <w:rPr>
          <w:rFonts w:ascii="Times New Roman" w:hAnsi="Times New Roman"/>
          <w:caps w:val="false"/>
          <w:smallCaps w:val="false"/>
          <w:sz w:val="20"/>
          <w:u w:val="single"/>
        </w:rPr>
        <w:t>Subsidiaries</w:t>
      </w:r>
      <w:r>
        <w:rPr>
          <w:rFonts w:ascii="Times New Roman" w:hAnsi="Times New Roman"/>
          <w:caps w:val="false"/>
          <w:smallCaps w:val="false"/>
          <w:sz w:val="20"/>
        </w:rPr>
        <w:t>”)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Registration Statement,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claim or equity. The only subsidiaries, direct and indirect, of the Company are the subsidiaries listed in Exhibit 21.1 to the Company’s Annual Report on Form 10-K for the most recently ended fiscal year, other than (i) those subsidiaries not required to be listed on Exhibit 21.1 by Item 601 of Regulation S-K under the 1934 Act or (ii) those subsidiaries formed since the last day of the most recently ended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Capitalization</w:t>
      </w:r>
      <w:r>
        <w:rPr>
          <w:rFonts w:ascii="Times New Roman" w:hAnsi="Times New Roman"/>
          <w:caps w:val="false"/>
          <w:smallCaps w:val="false"/>
          <w:sz w:val="20"/>
        </w:rPr>
        <w:t>. The shares of issued and outstanding Common Stock have been duly authorized and validly issued and are fully paid and non-assessable; none of the outstanding shares of capital stock was issued in violation of the preemptive or other similar rights of any securityholder of the Company. The Company’s Common Stock has been registered pursuant to Section 12(b) of the 1934 Act and is listed on the Nasdaq Capital Market (“</w:t>
      </w:r>
      <w:r>
        <w:rPr>
          <w:rFonts w:ascii="Times New Roman" w:hAnsi="Times New Roman"/>
          <w:caps w:val="false"/>
          <w:smallCaps w:val="false"/>
          <w:sz w:val="20"/>
          <w:u w:val="single"/>
        </w:rPr>
        <w:t>Nasdaq</w:t>
      </w:r>
      <w:r>
        <w:rPr>
          <w:rFonts w:ascii="Times New Roman" w:hAnsi="Times New Roman"/>
          <w:caps w:val="false"/>
          <w:smallCaps w:val="false"/>
          <w:sz w:val="20"/>
        </w:rPr>
        <w:t>”), and the Company has taken no action designed to, or likely to have the effect of, terminating the registration or listing of the Common Stock from the Nasdaq, nor has the Company received any notification that the Commission or the Nasdaq is contemplating terminating such registration 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Authorization of Agreements</w:t>
      </w:r>
      <w:r>
        <w:rPr>
          <w:rFonts w:ascii="Times New Roman" w:hAnsi="Times New Roman"/>
          <w:caps w:val="false"/>
          <w:smallCaps w:val="false"/>
          <w:sz w:val="20"/>
        </w:rPr>
        <w:t>. This Agreement has been duly authorized by the Company. This Agreement has been executed and delivered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Authorization and Description of Securities</w:t>
      </w:r>
      <w:r>
        <w:rPr>
          <w:rFonts w:ascii="Times New Roman" w:hAnsi="Times New Roman"/>
          <w:caps w:val="false"/>
          <w:smallCaps w:val="false"/>
          <w:sz w:val="20"/>
        </w:rPr>
        <w:t>. The Shares have been duly authorized and reserved for issuance and sale pursuant to this Agreement and, when issued and delivered by the Company pursuant to this Agreement against payment of the consideration set forth herein, will be validly issued and fully paid and non-assessable; the Common Stock conforms to all statements relating thereto contained in the Prospectus and such description conforms to the rights set forth in the instruments defining the same; no holder of the Shares will be subject to personal liability by reason of being such a holder; and the issuance of the Shares is not subject to the preemptive or other similar rights of any securityholder of the Company except such as have been complied with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Absence of Defaults and Conflicts</w:t>
      </w:r>
      <w:r>
        <w:rPr>
          <w:rFonts w:ascii="Times New Roman" w:hAnsi="Times New Roman"/>
          <w:caps w:val="false"/>
          <w:smallCaps w:val="false"/>
          <w:sz w:val="20"/>
        </w:rPr>
        <w:t>. (a) Neither the Company nor any of its Subsidiaries is in violation of its charter or by-laws (the “</w:t>
      </w:r>
      <w:r>
        <w:rPr>
          <w:rFonts w:ascii="Times New Roman" w:hAnsi="Times New Roman"/>
          <w:caps w:val="false"/>
          <w:smallCaps w:val="false"/>
          <w:sz w:val="20"/>
          <w:u w:val="single"/>
        </w:rPr>
        <w:t>Organizational Documents</w:t>
      </w:r>
      <w:r>
        <w:rPr>
          <w:rFonts w:ascii="Times New Roman" w:hAnsi="Times New Roman"/>
          <w:caps w:val="false"/>
          <w:smallCaps w:val="false"/>
          <w:sz w:val="20"/>
        </w:rPr>
        <w:t>”)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Times New Roman" w:hAnsi="Times New Roman"/>
          <w:caps w:val="false"/>
          <w:smallCaps w:val="false"/>
          <w:sz w:val="20"/>
          <w:u w:val="single"/>
        </w:rPr>
        <w:t>Agreements and Instrument</w:t>
      </w:r>
      <w:r>
        <w:rPr>
          <w:rFonts w:ascii="Times New Roman" w:hAnsi="Times New Roman"/>
          <w:caps w:val="false"/>
          <w:smallCaps w:val="false"/>
          <w:sz w:val="20"/>
        </w:rPr>
        <w:t>s”), except, in the case of the Agreements and Instruments, for such violations and defaults as would not have a Material Adverse Effect; and (b)(i) the execution, delivery and performance of this Agreement and the consummation of the transactions contemplated herein and in the Registration Statement (including the issuance and sale of the Shares and the use of the proceeds from the sale of the Shares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(ii) nor will such action result in any violation of the provisions of the charter or by-laws of the Company or any Subsidiary, (iii)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(each, a “</w:t>
      </w:r>
      <w:r>
        <w:rPr>
          <w:rFonts w:ascii="Times New Roman" w:hAnsi="Times New Roman"/>
          <w:caps w:val="false"/>
          <w:smallCaps w:val="false"/>
          <w:sz w:val="20"/>
          <w:u w:val="single"/>
        </w:rPr>
        <w:t>Governmental Entity</w:t>
      </w:r>
      <w:r>
        <w:rPr>
          <w:rFonts w:ascii="Times New Roman" w:hAnsi="Times New Roman"/>
          <w:caps w:val="false"/>
          <w:smallCaps w:val="false"/>
          <w:sz w:val="20"/>
        </w:rPr>
        <w:t>”), except in the case of clauses (b)(i) and (b)(iii) above, such violation or default as would not reasonably be expected to result in a Material Adverse Effect. As used herein, a “</w:t>
      </w:r>
      <w:r>
        <w:rPr>
          <w:rFonts w:ascii="Times New Roman" w:hAnsi="Times New Roman"/>
          <w:caps w:val="false"/>
          <w:smallCaps w:val="false"/>
          <w:sz w:val="20"/>
          <w:u w:val="single"/>
        </w:rPr>
        <w:t>Repayment Event</w:t>
      </w:r>
      <w:r>
        <w:rPr>
          <w:rFonts w:ascii="Times New Roman" w:hAnsi="Times New Roman"/>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Absence of Labor Dispute</w:t>
      </w:r>
      <w:r>
        <w:rPr>
          <w:rFonts w:ascii="Times New Roman" w:hAnsi="Times New Roman"/>
          <w:caps w:val="false"/>
          <w:smallCaps w:val="false"/>
          <w:sz w:val="20"/>
        </w:rPr>
        <w:t>. No labor dispute with the employees of the Company or any Subsidiary that would reasonably be expected to result in a Material Adverse Effect exists or, to the knowledge of the Company, is imminent, and the Company is not aware of any existing or imminent labor disturbance by the employees of any of its principal suppliers, manufacturers, customers or contractors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Absence of Proceedings</w:t>
      </w:r>
      <w:r>
        <w:rPr>
          <w:rFonts w:ascii="Times New Roman" w:hAnsi="Times New Roman"/>
          <w:caps w:val="false"/>
          <w:smallCaps w:val="false"/>
          <w:sz w:val="20"/>
        </w:rPr>
        <w:t>. There is no action, suit, proceeding, inquiry or investigation before or brought by any Governmental Entity, now pending, or, to the knowledge of the Company, threatened, against or affecting the Company or any Subsidiary, which is required to be disclosed in the Registration Statement or the Prospectus (other than as disclosed therein), or which would reasonably be expected to result in a Material Adverse Effect, or which might materially and adversely affect the properties or assets thereof or the consummation of the transactions contemplated in this Agreement or the performance by the Company of its obligations hereunder or thereunder;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Accuracy of Exhibits</w:t>
      </w:r>
      <w:r>
        <w:rPr>
          <w:rFonts w:ascii="Times New Roman" w:hAnsi="Times New Roman"/>
          <w:caps w:val="false"/>
          <w:smallCaps w:val="false"/>
          <w:sz w:val="20"/>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Possession of Intellectual Property</w:t>
      </w:r>
      <w:r>
        <w:rPr>
          <w:rFonts w:ascii="Times New Roman" w:hAnsi="Times New Roman"/>
          <w:caps w:val="false"/>
          <w:smallCaps w:val="false"/>
          <w:sz w:val="20"/>
        </w:rPr>
        <w:t>. Except where the failure thereof would not reasonably be expected to have a Material Adverse Effect,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hAnsi="Times New Roman"/>
          <w:caps w:val="false"/>
          <w:smallCaps w:val="false"/>
          <w:sz w:val="20"/>
          <w:u w:val="single"/>
        </w:rPr>
        <w:t>Intellectual Property</w:t>
      </w:r>
      <w:r>
        <w:rPr>
          <w:rFonts w:ascii="Times New Roman" w:hAnsi="Times New Roman"/>
          <w:caps w:val="false"/>
          <w:smallCaps w:val="false"/>
          <w:sz w:val="20"/>
        </w:rPr>
        <w:t>”)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Absence of Further Requirements</w:t>
      </w:r>
      <w:r>
        <w:rPr>
          <w:rFonts w:ascii="Times New Roman" w:hAnsi="Times New Roman"/>
          <w:caps w:val="false"/>
          <w:smallCaps w:val="false"/>
          <w:sz w:val="20"/>
        </w:rPr>
        <w:t>.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Regulations or state securities laws or, for the avoidance of doubt, by the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Absence of Manipulation</w:t>
      </w:r>
      <w:r>
        <w:rPr>
          <w:rFonts w:ascii="Times New Roman" w:hAnsi="Times New Roman"/>
          <w:caps w:val="false"/>
          <w:smallCaps w:val="false"/>
          <w:sz w:val="20"/>
        </w:rPr>
        <w:t>. Neither the Company nor any affiliate of the Company has taken, nor will the Company take, directly or indirectly, any action which is designed to or which has constituted or which would be expected to cause or result in stabilization or manipulation of the price of any security of the Company to facilitate the sale or resale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Possession of Licenses and Permits</w:t>
      </w:r>
      <w:r>
        <w:rPr>
          <w:rFonts w:ascii="Times New Roman" w:hAnsi="Times New Roman"/>
          <w:caps w:val="false"/>
          <w:smallCaps w:val="false"/>
          <w:sz w:val="20"/>
        </w:rPr>
        <w:t>. The Company and its Subsidiaries possess such permits, licenses, approvals, consents and other authorizations (collectively, “</w:t>
      </w:r>
      <w:r>
        <w:rPr>
          <w:rFonts w:ascii="Times New Roman" w:hAnsi="Times New Roman"/>
          <w:caps w:val="false"/>
          <w:smallCaps w:val="false"/>
          <w:sz w:val="20"/>
          <w:u w:val="single"/>
        </w:rPr>
        <w:t>Governmental Licenses</w:t>
      </w:r>
      <w:r>
        <w:rPr>
          <w:rFonts w:ascii="Times New Roman" w:hAnsi="Times New Roman"/>
          <w:caps w:val="false"/>
          <w:smallCaps w:val="false"/>
          <w:sz w:val="20"/>
        </w:rPr>
        <w:t>”) issued by the appropriate federal, state, local or foreign regulatory agencies or bodies necessary to conduct the business now operated by them; the Company and its Subsidiaries are in compliance with the terms and conditions of all such Governmental Licenses; all of the Governmental Licenses are valid and in full force and effect; and neither the Company nor any of its Subsidiaries has received any notice of proceedings relating to the revocation or modification of any such Governmental Licenses, except, in each case, for such failures, noncompliance or invalidity as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Title to Property</w:t>
      </w:r>
      <w:r>
        <w:rPr>
          <w:rFonts w:ascii="Times New Roman" w:hAnsi="Times New Roman"/>
          <w:caps w:val="false"/>
          <w:smallCaps w:val="false"/>
          <w:sz w:val="20"/>
        </w:rPr>
        <w:t>.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Prospectus, (b) do not, singly or in the aggregate, materially affect the value of such property and do not interfere with the use made and proposed to be made of such property by the Company or any of its Subsidiaries, or (c) would not reasonably be expected to have a Material Adverse Effect; and all of the leases and subleases material to the business of the Company and its Subsidiaries, considered as one enterprise, and under which the Company or any of its Subsidiaries holds properties described in the Prospectus, are in full force and effect, and neither the Company nor any Subsidiary has received any written notice of any material claim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is not required, and upon the issuance and sale of the Shares as herein contemplated and the immediate application of the net proceeds therefrom as described in the Prospectus will not be required, to register as an “investment company” within the meaning of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Environmental Laws</w:t>
      </w:r>
      <w:r>
        <w:rPr>
          <w:rFonts w:ascii="Times New Roman" w:hAnsi="Times New Roman"/>
          <w:caps w:val="false"/>
          <w:smallCaps w:val="false"/>
          <w:sz w:val="20"/>
        </w:rPr>
        <w:t>. Except as described in the Prospectus,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caps w:val="false"/>
          <w:smallCaps w:val="false"/>
          <w:sz w:val="20"/>
          <w:u w:val="single"/>
        </w:rPr>
        <w:t>Hazardous Materials</w:t>
      </w:r>
      <w:r>
        <w:rPr>
          <w:rFonts w:ascii="Times New Roman" w:hAnsi="Times New Roman"/>
          <w:caps w:val="false"/>
          <w:smallCaps w:val="false"/>
          <w:sz w:val="20"/>
        </w:rPr>
        <w:t>”) or to the manufacture, processing, distribution, use, treatment, storage, disposal, transport or handling of Hazardous Materials (collectively, “</w:t>
      </w:r>
      <w:r>
        <w:rPr>
          <w:rFonts w:ascii="Times New Roman" w:hAnsi="Times New Roman"/>
          <w:caps w:val="false"/>
          <w:smallCaps w:val="false"/>
          <w:sz w:val="20"/>
          <w:u w:val="single"/>
        </w:rPr>
        <w:t>Environmental Laws</w:t>
      </w:r>
      <w:r>
        <w:rPr>
          <w:rFonts w:ascii="Times New Roman" w:hAnsi="Times New Roman"/>
          <w:caps w:val="false"/>
          <w:smallCaps w:val="false"/>
          <w:sz w:val="20"/>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except in the case of any of clauses (A), (B), (C) or (D) above, for any violation, failure to have permits, authorization and approvals, events or circumstances that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Registration Rights</w:t>
      </w:r>
      <w:r>
        <w:rPr>
          <w:rFonts w:ascii="Times New Roman" w:hAnsi="Times New Roman"/>
          <w:caps w:val="false"/>
          <w:smallCaps w:val="false"/>
          <w:sz w:val="20"/>
        </w:rPr>
        <w:t>. There are no persons with registration rights or other similar rights to have any securities registered pursuant to the Registration Statement or otherwise registered by the Company under the 1933 Act, except such as have been waived or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Accounting Controls and Disclosure Controls</w:t>
      </w:r>
      <w:r>
        <w:rPr>
          <w:rFonts w:ascii="Times New Roman" w:hAnsi="Times New Roman"/>
          <w:caps w:val="false"/>
          <w:smallCaps w:val="false"/>
          <w:sz w:val="20"/>
        </w:rPr>
        <w:t>. The Company and each of its Subsidiaries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The Company and its consolidated Subsidiaries employ disclosure controls and procedures that are reasonably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S-3 Eligibility</w:t>
      </w:r>
      <w:r>
        <w:rPr>
          <w:rFonts w:ascii="Times New Roman" w:hAnsi="Times New Roman"/>
          <w:caps w:val="false"/>
          <w:smallCaps w:val="false"/>
          <w:sz w:val="20"/>
        </w:rPr>
        <w:t>. (A)(i) At the time of filing the Registration Statement and (ii) at the time of the most recent amendment thereto for the purposes of complying with Section 10(a)(3) of the 1933 Act (whether such amendment was by post-effective amendment, incorporated report filed pursuant to Section 13 or 15(d) of the 1934 Act or form of prospectus), the Company met the then applicable requirements for use of Form S-3 under the 1933 Act and (B) at the earliest time after the filing of the Registration Statement that the Company or another offering participant made a bona fide offer (within the meaning of Rule 164(h)(2) under the 1933 Act) of the Shares, the Company was not an “ineligible issuer” as defined in Rule 405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No Commissions</w:t>
      </w:r>
      <w:r>
        <w:rPr>
          <w:rFonts w:ascii="Times New Roman" w:hAnsi="Times New Roman"/>
          <w:caps w:val="false"/>
          <w:smallCaps w:val="false"/>
          <w:sz w:val="20"/>
        </w:rPr>
        <w:t>. Neither the Company nor any of its Subsidiaries is a party to any contract, agreement or understanding with any person (other than as contemplated by this Agreement) that would give rise to a valid claim against the Company or any of its Subsidiaries or the Agent for a brokerage commission, finder’s fee or like payment in connection with the offering and 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caps w:val="false"/>
          <w:smallCaps w:val="false"/>
          <w:sz w:val="20"/>
          <w:u w:val="single"/>
        </w:rPr>
        <w:t>Deemed Representation</w:t>
      </w:r>
      <w:r>
        <w:rPr>
          <w:rFonts w:ascii="Times New Roman" w:hAnsi="Times New Roman"/>
          <w:caps w:val="false"/>
          <w:smallCaps w:val="false"/>
          <w:sz w:val="20"/>
        </w:rPr>
        <w:t>. Any certificate signed by any officer of the Company delivered to the Agent or to counsel for the Agent pursuant to or in connection with this Agreement shall be deemed a representation and warranty hereunder by the Company to the Agent as to the matters covered thereby as of the date or dates indicated in such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caps w:val="false"/>
          <w:smallCaps w:val="false"/>
          <w:sz w:val="20"/>
          <w:u w:val="single"/>
        </w:rPr>
        <w:t>Compliance with the Sarbanes-Oxley Act</w:t>
      </w:r>
      <w:r>
        <w:rPr>
          <w:rFonts w:ascii="Times New Roman" w:hAnsi="Times New Roman"/>
          <w:caps w:val="false"/>
          <w:smallCaps w:val="false"/>
          <w:sz w:val="20"/>
        </w:rPr>
        <w:t>.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hAnsi="Times New Roman"/>
          <w:caps w:val="false"/>
          <w:smallCaps w:val="false"/>
          <w:sz w:val="20"/>
          <w:u w:val="single"/>
        </w:rPr>
        <w:t>Sarbanes-Oxley Act</w:t>
      </w:r>
      <w:r>
        <w:rPr>
          <w:rFonts w:ascii="Times New Roman" w:hAnsi="Times New Roman"/>
          <w:caps w:val="false"/>
          <w:smallCaps w:val="false"/>
          <w:sz w:val="20"/>
        </w:rPr>
        <w:t>”), including Section 402 related to loans and Sections 302 and 906 related to 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caps w:val="false"/>
          <w:smallCaps w:val="false"/>
          <w:sz w:val="20"/>
          <w:u w:val="single"/>
        </w:rPr>
        <w:t>FINRA Exemption</w:t>
      </w:r>
      <w:r>
        <w:rPr>
          <w:rFonts w:ascii="Times New Roman" w:hAnsi="Times New Roman"/>
          <w:caps w:val="false"/>
          <w:smallCaps w:val="false"/>
          <w:sz w:val="20"/>
        </w:rPr>
        <w:t>. To enable the Agent to rely on Rule 5110(h)(1)(C) of FINRA, the Company represents that the Company is an “experienced issuer,” as defined in FINRA Rule 5110.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caps w:val="false"/>
          <w:smallCaps w:val="false"/>
          <w:sz w:val="20"/>
          <w:u w:val="single"/>
        </w:rPr>
        <w:t>Payment of Taxes</w:t>
      </w:r>
      <w:r>
        <w:rPr>
          <w:rFonts w:ascii="Times New Roman" w:hAnsi="Times New Roman"/>
          <w:caps w:val="false"/>
          <w:smallCaps w:val="false"/>
          <w:sz w:val="20"/>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do so would not reasonably be expected to have a Material Adverse Effect. The United States federal income tax returns of the Company through the fiscal year ended December 31, 2025 have been filed and no assessment in connection therewith has been made against the Company. The Company and its Subsidiaries have filed all other tax returns that are required to have been filed by them pursuant to applicable foreign, state, local or other law and have paid all taxes due pursuant to such returns or pursuant to any assessment received by the Company and its Subsidiaries, except for such taxes, if any, as are being contested in good faith and as to which adequate reserves have been provided and except where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caps w:val="false"/>
          <w:smallCaps w:val="false"/>
          <w:sz w:val="20"/>
          <w:u w:val="single"/>
        </w:rPr>
        <w:t>Insurance</w:t>
      </w:r>
      <w:r>
        <w:rPr>
          <w:rFonts w:ascii="Times New Roman" w:hAnsi="Times New Roman"/>
          <w:caps w:val="false"/>
          <w:smallCaps w:val="false"/>
          <w:sz w:val="20"/>
        </w:rPr>
        <w:t>. The Company carries or is entitled to the benefits of insurance in such amounts and covering such risks as is generally maintained by companies of established repute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as may be necessary or appropriate to conduct its business as now conducted and at a cost that would not result in a Material Adverse Effect. Neither the Company or its Subsidiaries has been denied any insurance coverage which it has sought or for which it has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(ff) </w:t>
      </w:r>
      <w:r>
        <w:rPr>
          <w:rFonts w:ascii="Times New Roman" w:hAnsi="Times New Roman"/>
          <w:caps w:val="false"/>
          <w:smallCaps w:val="false"/>
          <w:sz w:val="20"/>
          <w:u w:val="single"/>
        </w:rPr>
        <w:t>Statistical and Market-Related Data</w:t>
      </w:r>
      <w:r>
        <w:rPr>
          <w:rFonts w:ascii="Times New Roman" w:hAnsi="Times New Roman"/>
          <w:caps w:val="false"/>
          <w:smallCaps w:val="false"/>
          <w:sz w:val="20"/>
        </w:rPr>
        <w:t>. Any statistical and market-related data included in the Registration Statement, the General Disclosure Package and the Prospectus are based on or derived from sources that the Company reasonably believes to be reliable and accurate, and, where required, the Company has obtained the written consent to the use of such data from such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(gg) </w:t>
      </w:r>
      <w:r>
        <w:rPr>
          <w:rFonts w:ascii="Times New Roman" w:hAnsi="Times New Roman"/>
          <w:caps w:val="false"/>
          <w:smallCaps w:val="false"/>
          <w:sz w:val="20"/>
          <w:u w:val="single"/>
        </w:rPr>
        <w:t>Foreign Corrupt Practices Act</w:t>
      </w:r>
      <w:r>
        <w:rPr>
          <w:rFonts w:ascii="Times New Roman" w:hAnsi="Times New Roman"/>
          <w:caps w:val="false"/>
          <w:smallCaps w:val="false"/>
          <w:sz w:val="20"/>
        </w:rPr>
        <w:t>. Neither the Company nor,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caps w:val="false"/>
          <w:smallCaps w:val="false"/>
          <w:sz w:val="20"/>
          <w:u w:val="single"/>
        </w:rPr>
        <w:t>FCPA</w:t>
      </w:r>
      <w:r>
        <w:rPr>
          <w:rFonts w:ascii="Times New Roman" w:hAnsi="Times New Roman"/>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reasonably designed to ensure continued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(hh) </w:t>
      </w:r>
      <w:r>
        <w:rPr>
          <w:rFonts w:ascii="Times New Roman" w:hAnsi="Times New Roman"/>
          <w:caps w:val="false"/>
          <w:smallCaps w:val="false"/>
          <w:sz w:val="20"/>
          <w:u w:val="single"/>
        </w:rPr>
        <w:t>Money Laundering Laws</w:t>
      </w:r>
      <w:r>
        <w:rPr>
          <w:rFonts w:ascii="Times New Roman" w:hAnsi="Times New Roman"/>
          <w:caps w:val="false"/>
          <w:smallCaps w:val="false"/>
          <w:sz w:val="20"/>
        </w:rPr>
        <w:t>. The operations of the Company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hAnsi="Times New Roman"/>
          <w:caps w:val="false"/>
          <w:smallCaps w:val="false"/>
          <w:sz w:val="20"/>
          <w:u w:val="single"/>
        </w:rPr>
        <w:t>Money Laundering Laws</w:t>
      </w:r>
      <w:r>
        <w:rPr>
          <w:rFonts w:ascii="Times New Roman" w:hAnsi="Times New Roman"/>
          <w:caps w:val="false"/>
          <w:smallCaps w:val="false"/>
          <w:sz w:val="20"/>
        </w:rPr>
        <w:t>”) and no action, suit or proceeding by or before any court or governmental agency, authority or body or any arbitrator involving the Company with respect to the Money Laundering Laws is pending or, to the best knowledge of the Company,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Compliance with OFAC.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(A) 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hAnsi="Times New Roman"/>
          <w:caps w:val="false"/>
          <w:smallCaps w:val="false"/>
          <w:sz w:val="20"/>
          <w:u w:val="single"/>
        </w:rPr>
        <w:t>Person</w:t>
      </w:r>
      <w:r>
        <w:rPr>
          <w:rFonts w:ascii="Times New Roman" w:hAnsi="Times New Roman"/>
          <w:caps w:val="false"/>
          <w:smallCaps w:val="false"/>
          <w:sz w:val="20"/>
        </w:rPr>
        <w:t>”) that is, or is owned fifty percent or more or controlled by a Person that is: (i) the subject of any applicable economic, financial or trade sanctions administered or enforced by the U.S. Department of Treasury’s Office of Foreign Assets Control (“</w:t>
      </w:r>
      <w:r>
        <w:rPr>
          <w:rFonts w:ascii="Times New Roman" w:hAnsi="Times New Roman"/>
          <w:caps w:val="false"/>
          <w:smallCaps w:val="false"/>
          <w:sz w:val="20"/>
          <w:u w:val="single"/>
        </w:rPr>
        <w:t>OFAC</w:t>
      </w:r>
      <w:r>
        <w:rPr>
          <w:rFonts w:ascii="Times New Roman" w:hAnsi="Times New Roman"/>
          <w:caps w:val="false"/>
          <w:smallCaps w:val="false"/>
          <w:sz w:val="20"/>
        </w:rPr>
        <w:t>”), the United Nations Security Council, the European Union (“</w:t>
      </w:r>
      <w:r>
        <w:rPr>
          <w:rFonts w:ascii="Times New Roman" w:hAnsi="Times New Roman"/>
          <w:caps w:val="false"/>
          <w:smallCaps w:val="false"/>
          <w:sz w:val="20"/>
          <w:u w:val="single"/>
        </w:rPr>
        <w:t>EU</w:t>
      </w:r>
      <w:r>
        <w:rPr>
          <w:rFonts w:ascii="Times New Roman" w:hAnsi="Times New Roman"/>
          <w:caps w:val="false"/>
          <w:smallCaps w:val="false"/>
          <w:sz w:val="20"/>
        </w:rPr>
        <w:t>”), His Majesty’s Treasury, the Swiss Secretariat of Economic Affairs, or other relevant sanctions authority (collectively, “</w:t>
      </w:r>
      <w:r>
        <w:rPr>
          <w:rFonts w:ascii="Times New Roman" w:hAnsi="Times New Roman"/>
          <w:caps w:val="false"/>
          <w:smallCaps w:val="false"/>
          <w:sz w:val="20"/>
          <w:u w:val="single"/>
        </w:rPr>
        <w:t>Sanctions</w:t>
      </w:r>
      <w:r>
        <w:rPr>
          <w:rFonts w:ascii="Times New Roman" w:hAnsi="Times New Roman"/>
          <w:caps w:val="false"/>
          <w:smallCaps w:val="false"/>
          <w:sz w:val="20"/>
        </w:rPr>
        <w:t>”),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 (before July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to the extent it would violate any applicable Sanctions or other applicable law, or in any country or territory that, at the time of such funding or facilitation, is the subject of a U.S. government embargo; or (ii) in any other manner that will result in a violation of Sanctions by any Person (including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(C) Since April 24, 2019, the Company and its subsidiaries have not knowingly engaged in, are not now knowingly engaged in, any direct or indirect dealings or transactions with any Person that at the time of the dealing or transaction is or was the subject of Sanctions or any country or territory that, at the time of the dealing or transaction is or was the subject of a U.S. government embargo to the extent it would violate any applicable Sanctions or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(jj) </w:t>
      </w:r>
      <w:r>
        <w:rPr>
          <w:rFonts w:ascii="Times New Roman" w:hAnsi="Times New Roman"/>
          <w:caps w:val="false"/>
          <w:smallCaps w:val="false"/>
          <w:sz w:val="20"/>
          <w:u w:val="single"/>
        </w:rPr>
        <w:t>Compliance with Health Care Laws</w:t>
      </w:r>
      <w:r>
        <w:rPr>
          <w:rFonts w:ascii="Times New Roman" w:hAnsi="Times New Roman"/>
          <w:caps w:val="false"/>
          <w:smallCaps w:val="false"/>
          <w:sz w:val="20"/>
        </w:rPr>
        <w:t>. Except as described in the Prospectus, the Company: (i) is in compliance with applicable Health Care Laws (as defined below), except for such noncompliance as would not reasonably be expected to result in a Material Adverse Effect; (ii) has not received any FDA Form 483, notice of adverse finding, warning letter, untitled letter or other written correspondence or notice from any Governmental Entity alleging or asserting noncompliance with any Health Care Laws which has not been remedied by the Company, except for such noncompliance as would not reasonably be expected to result in a Material Adverse Effect; (iii) possesses all licenses, certificates, approvals, clearances, authorizations, registrations, permits (and supplements or amendments thereto) required by any Health Care Laws (“</w:t>
      </w:r>
      <w:r>
        <w:rPr>
          <w:rFonts w:ascii="Times New Roman" w:hAnsi="Times New Roman"/>
          <w:caps w:val="false"/>
          <w:smallCaps w:val="false"/>
          <w:sz w:val="20"/>
          <w:u w:val="single"/>
        </w:rPr>
        <w:t>Authorizations</w:t>
      </w:r>
      <w:r>
        <w:rPr>
          <w:rFonts w:ascii="Times New Roman" w:hAnsi="Times New Roman"/>
          <w:caps w:val="false"/>
          <w:smallCaps w:val="false"/>
          <w:sz w:val="20"/>
        </w:rPr>
        <w:t>”), such Authorizations are valid and in full force and effect, and the Company is not in violation of any term of any such Authorizations, except for such failure invalidity or violation as would not reasonably be expected to result in a Material Adverse Effect; (iv) has not received written notice of any claim, action, suit, proceeding, hearing, enforcement, investigation, arbitration or other action from any Governmental Entity or third party alleging that any product, operation or activity is in violation of any Health Care Laws or Authorizations, and does not have knowledge that any such Governmental Entity or third party is considering any such claim, litigation, arbitration, action, suit, investigation or proceeding, except for such violations as would not reasonably be expected to result in a Material Adverse Effect; (v) has not received written notice that any Governmental Entity has taken, is taking or intends to take action to suspend or revoke any Authorizations and the Company has no knowledge that any such Governmental Entity is considering such action, except for such limitations, suspensions, modifications or revocations as would not reasonably be expected to result in a Material Adverse Effect; and (vi) has filed, obtained, maintained or submitted all reports, documents, forms, notices, applications, records, claims, submissions (and supplements or amendments thereto) as required by any Health Care Laws or Authorizations, and all such reports, documents, forms, notices, applications, records, claims, submissions (and supplements or amendments thereto) were complete and correct in all material respects on the date filed (or were corrected or supplemented by a subsequent submission), except where the failure to file, obtain, maintain or submit such documents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used herein, “</w:t>
      </w:r>
      <w:r>
        <w:rPr>
          <w:rFonts w:ascii="Times New Roman" w:hAnsi="Times New Roman"/>
          <w:caps w:val="false"/>
          <w:smallCaps w:val="false"/>
          <w:sz w:val="20"/>
          <w:u w:val="single"/>
        </w:rPr>
        <w:t>Health Care Laws</w:t>
      </w:r>
      <w:r>
        <w:rPr>
          <w:rFonts w:ascii="Times New Roman" w:hAnsi="Times New Roman"/>
          <w:caps w:val="false"/>
          <w:smallCaps w:val="false"/>
          <w:sz w:val="20"/>
        </w:rPr>
        <w:t>” means: (i) the Federal Food, Drug and Cosmetic Act and the regulations promulgated thereunder; (ii) all applicable federal, state, local and all applicable foreign health care related fraud and abuse law, including the U.S. Anti-Kickback Statute (42 U.S.C. Section 1320a-7b(b)), the Physician Self-Referral Law (commonly known as the Stark law) (42 U.S.C. Section 1395nn), the civil False Claims Act (31 U.S.C. Section 3729 et seq.), the administrative False Claims Law (42 U.S.C. Section 1320a-7b(a)), the Civil Monetary Penalties Law (42 U.S.C. Section 1320a-7a), the Health Insurance Portability and Accountability Act of 1996 (42 U.S.C. Section 1320d et seq.), as amended by the Health Information Technology for Economic and Clinical Health Act of 2009 (collectively, “</w:t>
      </w:r>
      <w:r>
        <w:rPr>
          <w:rFonts w:ascii="Times New Roman" w:hAnsi="Times New Roman"/>
          <w:caps w:val="false"/>
          <w:smallCaps w:val="false"/>
          <w:sz w:val="20"/>
          <w:u w:val="single"/>
        </w:rPr>
        <w:t>HIPAA</w:t>
      </w:r>
      <w:r>
        <w:rPr>
          <w:rFonts w:ascii="Times New Roman" w:hAnsi="Times New Roman"/>
          <w:caps w:val="false"/>
          <w:smallCaps w:val="false"/>
          <w:sz w:val="20"/>
        </w:rPr>
        <w:t>”), the exclusion laws (42 U.S.C. Section 1320a-7), and the Physician Payments Sunshine Act (42 U.S.C. Section 1320a-7h); (iii) all criminal laws relating to health care fraud and abuse, including 18 U.S.C. Sections 286 and 287, and the health care fraud criminal provisions under HIPAA, Medicare (Title XVIII of the Social Security Act), and Medicaid (Title XIX of the Social Security Act); and (iv) the regulations promulgated pursuant to such laws, and comparable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(kk) </w:t>
      </w:r>
      <w:r>
        <w:rPr>
          <w:rFonts w:ascii="Times New Roman" w:hAnsi="Times New Roman"/>
          <w:caps w:val="false"/>
          <w:smallCaps w:val="false"/>
          <w:sz w:val="20"/>
          <w:u w:val="single"/>
        </w:rPr>
        <w:t>Clinical Studies</w:t>
      </w:r>
      <w:r>
        <w:rPr>
          <w:rFonts w:ascii="Times New Roman" w:hAnsi="Times New Roman"/>
          <w:caps w:val="false"/>
          <w:smallCaps w:val="false"/>
          <w:sz w:val="20"/>
        </w:rPr>
        <w:t>. The studies, tests and preclinical and clinical trials conducted by or on behalf of the Company as described in the Prospectus (the “</w:t>
      </w:r>
      <w:r>
        <w:rPr>
          <w:rFonts w:ascii="Times New Roman" w:hAnsi="Times New Roman"/>
          <w:caps w:val="false"/>
          <w:smallCaps w:val="false"/>
          <w:sz w:val="20"/>
          <w:u w:val="single"/>
        </w:rPr>
        <w:t>Clinical Studies</w:t>
      </w:r>
      <w:r>
        <w:rPr>
          <w:rFonts w:ascii="Times New Roman" w:hAnsi="Times New Roman"/>
          <w:caps w:val="false"/>
          <w:smallCaps w:val="false"/>
          <w:sz w:val="20"/>
        </w:rPr>
        <w:t>”), were, and if still pending are, in all material respects, being conducted in accordance with experimental protocols, procedures and controls pursuant to accepted professional and scientific standards and all applicable Health Care Laws and Authorizations; the descriptions of the results of such studies, tests and trials contained in the Registration Statement, the General Disclosure Package and the Prospectus are accurate and complete in all material respects and fairly present the data derived from such studies, tests and trials; except to the extent disclosed in the Registration Statement, the General Disclosure Package and the Prospectus, and the Company has not received any written notices or correspondence from any Governmental Entity requiring the termination or suspension.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(ll) </w:t>
      </w:r>
      <w:r>
        <w:rPr>
          <w:rFonts w:ascii="Times New Roman" w:hAnsi="Times New Roman"/>
          <w:caps w:val="false"/>
          <w:smallCaps w:val="false"/>
          <w:sz w:val="20"/>
          <w:u w:val="single"/>
        </w:rPr>
        <w:t>IT Systems</w:t>
      </w:r>
      <w:r>
        <w:rPr>
          <w:rFonts w:ascii="Times New Roman" w:hAnsi="Times New Roman"/>
          <w:caps w:val="false"/>
          <w:smallCaps w:val="false"/>
          <w:sz w:val="20"/>
        </w:rPr>
        <w:t>. (i)(x) To the knowledge of Company, there has been no security breach or other compromise of any of the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caps w:val="false"/>
          <w:smallCaps w:val="false"/>
          <w:sz w:val="20"/>
          <w:u w:val="single"/>
        </w:rPr>
        <w:t>IT Systems and Data</w:t>
      </w:r>
      <w:r>
        <w:rPr>
          <w:rFonts w:ascii="Times New Roman" w:hAnsi="Times New Roman"/>
          <w:caps w:val="false"/>
          <w:smallCaps w:val="false"/>
          <w:sz w:val="20"/>
        </w:rPr>
        <w:t>”) and (y) the Company has not been notified of, and has no knowledge of any event or condition that would reasonably be expected to result in, any security breach or other compromise to their IT Systems and Data, except as would not, in the case of this clause (i), individually or in the aggregate, reasonably be expected to have a Material Adverse Effect;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(mm) </w:t>
      </w:r>
      <w:r>
        <w:rPr>
          <w:rFonts w:ascii="Times New Roman" w:hAnsi="Times New Roman"/>
          <w:caps w:val="false"/>
          <w:smallCaps w:val="false"/>
          <w:sz w:val="20"/>
          <w:u w:val="single"/>
        </w:rPr>
        <w:t>Outbound Investment Security Program</w:t>
      </w:r>
      <w:r>
        <w:rPr>
          <w:rFonts w:ascii="Times New Roman" w:hAnsi="Times New Roman"/>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hAnsi="Times New Roman"/>
          <w:caps w:val="false"/>
          <w:smallCaps w:val="false"/>
          <w:sz w:val="20"/>
          <w:u w:val="single"/>
        </w:rPr>
        <w:t>Covered Activity</w:t>
      </w:r>
      <w:r>
        <w:rPr>
          <w:rFonts w:ascii="Times New Roman" w:hAnsi="Times New Roman"/>
          <w:caps w:val="false"/>
          <w:smallCaps w:val="false"/>
          <w:sz w:val="20"/>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2. </w:t>
      </w:r>
      <w:r>
        <w:rPr>
          <w:rFonts w:ascii="Times New Roman" w:hAnsi="Times New Roman"/>
          <w:caps w:val="false"/>
          <w:smallCaps w:val="false"/>
          <w:sz w:val="20"/>
          <w:u w:val="single"/>
        </w:rPr>
        <w:t>Sale and Delivery of Shares; Suspension of Sales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Subject to the terms and conditions set forth herein, the Company agrees to issue and sell exclusively through the Agent acting as sales agent from time to time, and the Agent agrees to use its commercially reasonable efforts consistent with its normal trading and sales practices and applicable state and federal laws, rules and regulations and the rules of Nasdaq to sell as sales agent for the Company, the Shares. Nothing contained herein restricts, nor may be deemed to restrict, the Company from undertaking another offering of its securities pursuant to a separate registration under the 1933 Act (or any exemption from such registration), or another offering under the Registration Statement, provided the Company complies with Section 3(o) hereof. Sales of the Shares, if any, through the Agent acting as sales agent may be made in transactions that are deemed to be “at the market offerings” as defined in Rule 415 under the 1933 Act. The Agent will provide written confirmation to the Company (including by email correspondence to each of the individuals of the Company set forth on Schedule 1 hereto, if receipt of such correspondence is actually acknowledged by any of the individuals to whom the notice is sent, other than via auto-reply) no later than the opening of the Trading Day (as defined below) immediately following the Trading Day on which it has made sales of Shares hereunder setting forth the number of Shares sold on such day, the volume-weighted average price of the Shares sold, and the Net Proceeds (as defined below) payable to the Company. The Company acknowledges and agrees that sales of the Shares under this Agreement may be made through affiliates of the Agent, and that the Agent may otherwise fulfill its obligations pursuant to this Agreement to or through an affiliated broker-dealer. In the event the Company engages the Agent for a sale of Shares that would constitute a “block” within the meaning of Rule 10b-18(a)(5) under the 1934 Act (a “</w:t>
      </w:r>
      <w:r>
        <w:rPr>
          <w:rFonts w:ascii="Times New Roman" w:hAnsi="Times New Roman"/>
          <w:caps w:val="false"/>
          <w:smallCaps w:val="false"/>
          <w:sz w:val="20"/>
          <w:u w:val="single"/>
        </w:rPr>
        <w:t>Block Sale</w:t>
      </w:r>
      <w:r>
        <w:rPr>
          <w:rFonts w:ascii="Times New Roman" w:hAnsi="Times New Roman"/>
          <w:caps w:val="false"/>
          <w:smallCaps w:val="false"/>
          <w:sz w:val="20"/>
        </w:rPr>
        <w:t>”), the Company will provide Agent, at Agent’s request and upon reasonable advance notice to the Company, on or prior to the Settlement Date (as defined below), the opinions of counsel, accountant’s letter and officers’ certificates set forth in Section 6 hereof, each dated the Settlement Date, and such other documents and information as Agent shall reasonably request. Further, Agent may sell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Shares are to be sold on a daily basis or otherwise as shall be agreed to by the Company and the Agent on that trading day (other than a day on which Nasdaq is scheduled to close prior to its regular weekday closing time, each, a “</w:t>
      </w:r>
      <w:r>
        <w:rPr>
          <w:rFonts w:ascii="Times New Roman" w:hAnsi="Times New Roman"/>
          <w:caps w:val="false"/>
          <w:smallCaps w:val="false"/>
          <w:sz w:val="20"/>
          <w:u w:val="single"/>
        </w:rPr>
        <w:t>Trading Day</w:t>
      </w:r>
      <w:r>
        <w:rPr>
          <w:rFonts w:ascii="Times New Roman" w:hAnsi="Times New Roman"/>
          <w:caps w:val="false"/>
          <w:smallCaps w:val="false"/>
          <w:sz w:val="20"/>
        </w:rPr>
        <w:t>”) that the Company has satisfied its obligations under Section 6 of this Agreement and that the Company has instructed the Agent to make such sales. For the avoidance of doubt, the foregoing limitation shall not apply to sales solely to employees or security holders of the Company or its Subsidiaries, or to a trustee or other person acquiring such securities for the accounts of such persons in which the Agent is acting for the Company in a capacity other than as Agent under this Agreement. On any Trading Day, the Company may instruct the Agent by telephone (confirmed promptly by telecopy or email by any of the individuals from the Company set forth on Schedule 1 and shall be addressed to each of the individuals from the Agent set forth on Schedule 1, which confirmation will be promptly acknowledged by the Agent) as to the maximum number of Shares to be sold by the Agent on such day (in any event not in excess of the number available for issuance under the Prospectus and the currently effective Registration Statement) and the minimum price per Share at which such Shares may be sold. Subject to the terms and conditions hereof, the Agent shall use its commercially reasonable efforts to sell as sales agent all of the Shares so designated by the Company. The Company and the Agent each acknowledge and agree that (A) there can be no assurance that the Agent will be successful in selling the Shares, (B) the Agent will incur no liability or obligation to the Company or any other person or entity if it does not sell Shares for any reason other than a failure by the Agent to use its commercially reasonable efforts consistent with its normal trading and sales practices and applicable law and regulations to sell such Shares as required by this Agreement, and (C) the Agent shall be under no obligation to purchase Shares on a principal basis except as otherwise specifically agreed by each of the Agent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Notwithstanding the foregoing, the Company shall not authorize the issuance and sale of, and the Agent as sales agent shall not be obligated to use its commercially reasonable efforts to sell, any Shares (i) at a price lower than the minimum price therefor authorized from time to time, or (ii) in a number in excess of the number of Shares authorized from time to time to be issued and sold under this Agreement, in each case, by the Company’s board of directors, or a duly authorized committee thereof, and notified to the Agent in writing. In addition, the Company may, upon notice to the Agent, suspend the offering of the Shares or the Agent may, upon notice to the Company, suspend the offering of the Shares with respect to which the Agent is acting as sales agent for any reason and at any time; provided, however, that such suspension or termination shall not affect or impair the parties’ respective obligations with respect to the Shares sold hereunder prior to the giving of such notice. Any notice given pursuant to the preceding sentence may be given by telephone by any of the individuals from the Company set forth on Schedule 1 (confirmed promptly by telecopy or email and shall be addressed to each of the individuals from the Agent set forth on Schedule 1, which confirmation will be promptly acknowledged).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gross sales price of any Shares sold pursuant to this Agreement by the Agent acting as sales agent of the Company shall be the market price prevailing at the time of sale for shares of the Company’s Common Stock sold by the Agent on Nasdaq or otherwise, at prices relating to prevailing market prices or at negotiated prices. The compensation payable to the Agent for sales of Shares with respect to which the Agent acts as sales agent shall be up to 3.0% of the gross sales price of the Shares for amounts of Shares sold pursuant to this Agreement. The remaining proceeds, after further deduction for any transaction fees imposed by any governmental, regulatory or self-regulatory organization in respect of such sales, shall constitute the net proceeds to the Company for such Shares (the “</w:t>
      </w:r>
      <w:r>
        <w:rPr>
          <w:rFonts w:ascii="Times New Roman" w:hAnsi="Times New Roman"/>
          <w:caps w:val="false"/>
          <w:smallCaps w:val="false"/>
          <w:sz w:val="20"/>
          <w:u w:val="single"/>
        </w:rPr>
        <w:t>Net Proceeds</w:t>
      </w:r>
      <w:r>
        <w:rPr>
          <w:rFonts w:ascii="Times New Roman" w:hAnsi="Times New Roman"/>
          <w:caps w:val="false"/>
          <w:smallCaps w:val="false"/>
          <w:sz w:val="20"/>
        </w:rPr>
        <w:t>”). The Agent shall notify the Company as promptly as practicable if any deduction referenced in the preceding sentence will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If acting as a sales agent hereunder, the Agent shall provide written confirmation to the Company following the close of trading on Nasdaq, each day in which Shares are sold under this Agreement setting forth the number of Shares sold on such day, the aggregate gross sales proceeds of the Shares, the Net Proceeds to the Company and the compensation payable by the Company to the Agent with respect to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Under no circumstances shall the aggregate offering price or number, as the case may be, of Shares sold pursuant to this Agreement exceed the aggregate offering price or number, as the case may be, of Shares of Common Stock (i) set forth in the preamble paragraph of this Agreement, (ii) available for issuance under the Prospectus and the then currently effective Registration Statement or (iii) authorized from time to time to be issued and sold under this Agreement by the Company’s board of directors, or a duly authorized committee thereof, and notified to the Agent in writing. In addition, under no circumstances shall any Shares with respect to which the Agent acts as sales agent be sold at a price lower than the minimum price therefor authorized from time to time by the Company’s board of directors, or a duly authorized committee thereof, and notified to the Agent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Settlement for sales of Shares pursuant to this Section 2 will occur on the first business day that is also a Trading Day following the trade date on which such sales are made, unless another date shall be agreed to by the Company and the Agent (each such day, a “</w:t>
      </w:r>
      <w:r>
        <w:rPr>
          <w:rFonts w:ascii="Times New Roman" w:hAnsi="Times New Roman"/>
          <w:caps w:val="false"/>
          <w:smallCaps w:val="false"/>
          <w:sz w:val="20"/>
          <w:u w:val="single"/>
        </w:rPr>
        <w:t>Settlement Date</w:t>
      </w:r>
      <w:r>
        <w:rPr>
          <w:rFonts w:ascii="Times New Roman" w:hAnsi="Times New Roman"/>
          <w:caps w:val="false"/>
          <w:smallCaps w:val="false"/>
          <w:sz w:val="20"/>
        </w:rPr>
        <w:t>”). On each Settlement Date, the Shares sold through the Agent for settlement on such date shall be delivered by the Company to the Agent against payment of the Net Proceeds from the sale of such Shares. Settlement for all Shares shall be effected by book-entry delivery of Shares to the Agent’s account at The Depository Trust Company against payments by the Agent of the Net Proceeds from the sale of such Shares in same day funds delivered to an account designated by the Company. If the Company shall default on its obligation to deliver Shares on any Settlement Date, the Company shall (i) indemnify and hold the Agent harmless against any loss, claim or damage arising from or as a result of such default by the Company and (ii) pay the Agent any commission to which it would otherwise be entitled absent such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Notwithstanding any other provision of this Agreement, the Company and the Agent agree that no sales of Shares shall take place, and the Company shall not request the sale of any Shares that would be sold, and the Agent shall not be obligated to sell,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caps w:val="false"/>
          <w:smallCaps w:val="false"/>
          <w:sz w:val="20"/>
          <w:u w:val="single"/>
        </w:rPr>
        <w:t>Earnings Announcement</w:t>
      </w:r>
      <w:r>
        <w:rPr>
          <w:rFonts w:ascii="Times New Roman" w:hAnsi="Times New Roman"/>
          <w:caps w:val="false"/>
          <w:smallCaps w:val="false"/>
          <w:sz w:val="20"/>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At each Applicable Time, Settlement Date, Registration Statement Amendment Date and each Company Periodic Report Date, the Company shall be deemed to have affirmed each representation and warranty contained in this Agreement. Any obligation of the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If either Agent or the Company has reason to believe that the exemptive provisions set forth in Rule 101(c)(1) of Regulation M under the 1934 Act are not satisfied with respect to the Common Stock, it shall promptly notify the other party, and Agent may, at its sole discretion, suspend sales of the Shares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3. </w:t>
      </w:r>
      <w:r>
        <w:rPr>
          <w:rFonts w:ascii="Times New Roman" w:hAnsi="Times New Roman"/>
          <w:caps w:val="false"/>
          <w:smallCaps w:val="false"/>
          <w:sz w:val="20"/>
          <w:u w:val="single"/>
        </w:rPr>
        <w:t>Covenants</w:t>
      </w:r>
      <w:r>
        <w:rPr>
          <w:rFonts w:ascii="Times New Roman" w:hAnsi="Times New Roman"/>
          <w:caps w:val="false"/>
          <w:smallCaps w:val="false"/>
          <w:sz w:val="20"/>
        </w:rPr>
        <w:t>. The Company agrees with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During any period when the delivery of a prospectus is required in connection with the offering or sale of Shares pursuant to this Agreement (whether physically or through compliance with Rule 153 or 172, or in lieu thereof, a notice referred to in Rule 173(a) under the 1933 Act), (i) to make no further amendment or any supplement to the Registration Statement or the Prospectus prior to any Settlement Date which shall be reasonably disapproved by the Agent promptly after reasonable notice thereof and to advise the Agent, promptly after it receives notice thereof, of the time when any amendment to the Registration Statement has been filed or becomes effective or any amendment or supplement to the Prospectus has been filed and to furnish the Agent with copies thereof, (ii) to file promptly all other material required to be filed by the Company with the Commission pursuant to Rule 433(d) under the 1933 Act, (iii) to file promptly all reports and any definitive proxy or information statements required to be filed by the Company with the Commission pursuant to Section 13(a), 13(c), 14 or 15(d) of the 1934 Act, (iv) to advise the Agent, promptly after it receives notice thereof, of the issuance by the Commission of any stop order or of any order preventing or suspending the use of the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Shares by the Agent,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required to furnish any document to the extent such document is available on the Commission’s Electronic Data-Gathering, Analysis, and Retrieval System (“</w:t>
      </w:r>
      <w:r>
        <w:rPr>
          <w:rFonts w:ascii="Times New Roman" w:hAnsi="Times New Roman"/>
          <w:caps w:val="false"/>
          <w:smallCaps w:val="false"/>
          <w:sz w:val="20"/>
          <w:u w:val="single"/>
        </w:rPr>
        <w:t>EDGAR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Promptly from time to time to take such action as the Agent may reasonably request to qualify the Shares for offering and sale under the securities laws of such jurisdictions as the Agent may request and to comply with such laws so as to permit the continuance of sales and dealings therein in such jurisdictions for as long as may be necessary to complete the sale of the Shares, provided that in connection therewith the Company shall not be required to qualify as a foreign corporation or to file a general consent to service of process in any jurisdiction; and to promptly advise the Agent of the receipt by the Company of any notification with respect to the suspension of the qualification of the Shares for offer or sale in any jurisdiction or the initiation or threatening of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During any period when the delivery of a prospectus is required (whether physically or through compliance with Rules 153 or 172, or in lieu thereof, a notice referred to in Rule 173(a) under the 1933 Act) in connection with the offering or sale of Shares pursuant to this Agreement, the Company will make available to the Agent, as soon as practicable after the execution of this Agreement, and thereafter from time to time furnish to the Agent, copies of the most recent Prospectus in such quantities and at such locations as the Agent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pursuant to this Agreement,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 and to file such document and to prepare and furnish without charge to the Agent as many written and electronic copies as the Agent may from time to time reasonably request of an amended Prospectus or a supplement to the Prospectus which will correct such statement or omission or effect such compliance. Notwithstanding the foregoing, the Company shall not be required to furnish any document other than the Prospectus to the extent such document is available on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To pay the required Commission filing fees relating to the Shares within the time required by Rule 456(b)(1) under the 1933 Act without regard to the proviso therein and otherwise in accordance with Rules 456(b) and 457(r)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To use the Net Proceeds received by it from the sale of the Shares pursuant to this Agreement in the manner specified in the General Disclosure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To not take, directly or indirectly, and to use commercially reasonable efforts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At each Applicable Time, each Settlement Date, each Registration Statement Amendment Date (as defined below), and each Company Periodic Report Date (as defined below), the Company shall be deemed to have affirmed each representation, warranty, covenant and other agreement contained in this Agreement. In each Annual Report on Form 10-K or Quarterly Report on Form 10-Q filed by the Company in respect of any quarter in which sales of Shares were made by or through the Agent under this Agreement (each date on which any such document is filed, and any date on which an amendment to any such document is filed, a “</w:t>
      </w:r>
      <w:r>
        <w:rPr>
          <w:rFonts w:ascii="Times New Roman" w:hAnsi="Times New Roman"/>
          <w:caps w:val="false"/>
          <w:smallCaps w:val="false"/>
          <w:sz w:val="20"/>
          <w:u w:val="single"/>
        </w:rPr>
        <w:t>Company Periodic Report Date</w:t>
      </w:r>
      <w:r>
        <w:rPr>
          <w:rFonts w:ascii="Times New Roman" w:hAnsi="Times New Roman"/>
          <w:caps w:val="false"/>
          <w:smallCaps w:val="false"/>
          <w:sz w:val="20"/>
        </w:rPr>
        <w:t>”), the Company shall set forth with regard to such quarter the number of Shares sold through the Agent under this Agreement and the Net Proceeds received by the Company with respect to sales of Shares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Upon commencement of the offering of Shares under this Agreement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3(h), (3) in connection with the filing of any current reports on Form 8-K (other than any current reports on Form 8-K which contain financial statements, supporting schedules or other financial data, including any current report on Form 8-K under Item 2.02 of such form that is considered “filed” under the 1934 Act) or (4) by a prospectus supplement relating to the offering of other securities (including, without limitation, other shares of Common Stock)) (each such date, a “</w:t>
      </w:r>
      <w:r>
        <w:rPr>
          <w:rFonts w:ascii="Times New Roman" w:hAnsi="Times New Roman"/>
          <w:caps w:val="false"/>
          <w:smallCaps w:val="false"/>
          <w:sz w:val="20"/>
          <w:u w:val="single"/>
        </w:rPr>
        <w:t>Registration Statement Amendment Date</w:t>
      </w:r>
      <w:r>
        <w:rPr>
          <w:rFonts w:ascii="Times New Roman" w:hAnsi="Times New Roman"/>
          <w:caps w:val="false"/>
          <w:smallCaps w:val="false"/>
          <w:sz w:val="20"/>
        </w:rPr>
        <w:t>”) and (ii) Company Periodic Report Date, the Company will furnish or cause to be furnished forthwith to the Agent a certificate dated the date of effectiveness of such amendment or the date of filing with the Commission of such supplement or other document, as the case may be, in a form reasonably satisfactory to the Agent to the effect that the statements contained in the certificate referred to in Section 6(e) of this Agreement which were last furnished to the Agent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deliver any such certificate at any time there is no instruction to sell Shares delivered pursuant to Section 2(b) then in effect; provided however, that such a certificate shall then be required to be delivered to the Agent prior to any further sales of Shares under this Agreement covering the period which would most recently have been required but for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Upon commencement of the offering of Shares under this Agreement and promptly after each (i) Registration Statement Amendment Date or (ii) Company Periodic Report Date, the Company will furnish or cause to be furnished to the Agent and to counsel to the Agent the written opinion and negative assurance letter of Baker &amp; Hostetler LLP, corporate counsel to the Company and a written certificate of in-house counsel for the Company (“</w:t>
      </w:r>
      <w:r>
        <w:rPr>
          <w:rFonts w:ascii="Times New Roman" w:hAnsi="Times New Roman"/>
          <w:caps w:val="false"/>
          <w:smallCaps w:val="false"/>
          <w:sz w:val="20"/>
          <w:u w:val="single"/>
        </w:rPr>
        <w:t>In-House Counsel</w:t>
      </w:r>
      <w:r>
        <w:rPr>
          <w:rFonts w:ascii="Times New Roman" w:hAnsi="Times New Roman"/>
          <w:caps w:val="false"/>
          <w:smallCaps w:val="false"/>
          <w:sz w:val="20"/>
        </w:rPr>
        <w:t>”) attesting to intellectual property matters of the Company and its subsidiaries, or other counsel reasonably satisfactory to the Agent, dated the date of effectiveness of such amendment or the date of filing with the Commission of such supplement or other document, as the case may be, in a form and substance reasonably satisfactory to the Agent and its counsel,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 shall furnish the Agent with a letter substantially to the effect that the Agent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provided, however, that the requirement to deliver a written certificate from In-House Counsel shall only apply in respect of a Company Periodic Report Date which corresponds to the Company’s Annual Report on Form 10-K filing. As used in this paragraph, to the extent there shall be an Applicable Time on or following the date referred to in clause (i) or (ii) above, promptly shall be deemed to be on or prior to the next succeeding Applicable Time. Notwithstanding the foregoing, and (y) the Company shall not be required to furnish or cause to be furnished any such opinion or statement at any time there are no instructions to sell Shares delivered pursuant to Section 2(b) then in effect; provided, however, that such an opinion or letter shall then be required to be furnished to the Agent prior to any further sales of Shares under this Agreement covering the period which would most recently have been required but for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Upon commencement of the offering of Shares under this Agreement and promptly after each (i) Registration Statement Amendment Date and (ii) Company Periodic Report Date, the Company will cause Deloitte &amp; Touche LLP, or other independent accountants reasonably satisfactory to the Agent, to furnish to the Agent a letter, dated the date of effectiveness of such amendment or the date of filing of such supplement or other document with the Commission, as the case may be, in form reasonably satisfactory to the Agent and its counsel,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furnish or cause to be furnished any such letter at any time there are no instructions to sell shares delivered pursuant to Section 2(b) then in effect; provided, however, that such a letter shall then be required to be furnished to the Agent prior to any further sales of Shares under this Agreement covering the period which would most recently have been required but for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The Company consents to the Agent trading in the Company’s Common Stock for the Agent’s own account and for the account of its clients at the same time as sales of Shares occur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The Company shall disclose in its quarterly reports on Form 10-Q and in its annual report on Form 10-K, the number of Shares sold through the Agent under this Agreement and the Net Proceeds to the Company from the sale of the Shares pursuant to this Agreement during the relevant quarter or, in the case of an Annual Report on Form 10-K, during the fiscal year covered by such Annual Report on Form 10-K and the fourth quarter of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The Company will cooperate timely with any reasonable due diligence review conducted by the Agent or its counsel from time to time in connection with the transactions contemplated hereby, including, without limitation, and upon reasonable notice providing information and making available documents and appropriate corporate officers, during regular business hours and at the Company’s principal offices, as the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During each period commencing on the date on which the Company has given an instruction pursuant to Section 2(b) and ending on the close of business of the Settlement Date of the last Shares sold pursuant to such instruction, the Company will not, without (i) giving the Agent at least three business days’ prior written notice specifying the nature of the proposed sale and the date of such proposed sale and (ii) the Agent suspending activity under this program for such period of time as requested by the Company or as deemed appropriate by the Agent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shares of Common Stock or securities convertible into or exchangeable or exercisable for or repayable with Common Stock, or file any registration statement under the 1933 Act with respect to any of the foregoing (other than a shelf registration statement under Rule 415 under the 1933 Act, a registration statement on Form S-8 or post-effective amendment to the Registration Statement) or (B) enter into any swap or other agreement or any transaction that transfers in whole or in part, directly or indirectly, any of the economic consequence of ownership of the Common 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(u) Common Stock or securities convertible into or exchangeable for shares of Common Stock as consideration for mergers, acquisitions, other business combinations or strategic alliances occurring after the date of this Agreement which are not issued for capital raising purposes, (v) Common Stock, options or other rights to purchase Common Stock or Common Stock issuable upon the exercise of options or upon the lapse of forfeiture restrictions on awards made pursuant to any employee or director stock incentive or benefits plan, stock ownership plan (including shares of Common Stock withheld by the Company for the purpose of paying on behalf of the holder thereof the exercise price of stock options or for paying taxes due as a result of such exercise or lapse of forfeiture restrictions) or dividend reinvestment plan (but not Common Stock subject to a waiver to exceed plan limits in its dividend reinvestment plan) of the Company whether now in effect or hereafter implemented, (w) any securities issuable upon the exercise or conversion of warrants, options, convertible securities or other rights either in existence prior to the date of this Agreement or issued thereafter in compliance with this Section 3(o), (x) shares of Common Stock related to the filing by the Company of any registration statement on Form S-8 or a successor form thereto relating to shares of Common Stock granted under any equity compensation plan or employee stock purchase plan, (y) the Shares to be offered and sold through the Agent pursuant to this Agreement and (z) equity incentive awards approved by the board of directors of the Company or the compensation committee thereof or the issuance of Common Stock upon exercise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4. </w:t>
      </w:r>
      <w:r>
        <w:rPr>
          <w:rFonts w:ascii="Times New Roman" w:hAnsi="Times New Roman"/>
          <w:caps w:val="false"/>
          <w:smallCaps w:val="false"/>
          <w:sz w:val="20"/>
          <w:u w:val="single"/>
        </w:rPr>
        <w:t>Free Writing Prospectus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 The Company represents and agrees that without the prior consent of the Agent, it has not made and will not make any offer relating to the Shares that would constitute a “free writing prospectus” as defined in Rule 405 under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The Agent represents and agrees that, without the prior consent of the Company, it has not made and will not make any offer relating to the Shares that would constitute a free writing prospectus required to be filed with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5. </w:t>
      </w:r>
      <w:r>
        <w:rPr>
          <w:rFonts w:ascii="Times New Roman" w:hAnsi="Times New Roman"/>
          <w:caps w:val="false"/>
          <w:smallCaps w:val="false"/>
          <w:sz w:val="20"/>
          <w:u w:val="single"/>
        </w:rPr>
        <w:t>Payment of Expenses</w:t>
      </w:r>
      <w:r>
        <w:rPr>
          <w:rFonts w:ascii="Times New Roman" w:hAnsi="Times New Roman"/>
          <w:caps w:val="false"/>
          <w:smallCaps w:val="false"/>
          <w:sz w:val="20"/>
        </w:rPr>
        <w:t>. The Company covenants and agrees with the Agent that the Company will pay or cause to be paid the following: (i) the fees, disbursements and expenses of the Company’s counsel and accountants in connection with the registration of the Shares under the 1933 Act and all other expenses in connection with the preparation, printing and filing of the Registration Statement, the Basic Prospectus, Prospectus Supplement, any Issuer Free Writing Prospectus and the Prospectus and amendments and supplements thereto and the mailing and delivering of copies thereof to the Agent; (ii) the cost of printing or producing this Agreement, any Blue Sky and Legal Investment Memoranda, closing documents (including any compilations thereof) and any other documents in connection with the offering, purchase, sale and delivery of the Shares; (iii) all actual, reasonable and documented expenses in connection with the qualification of the Shares for offering and sale under state securities laws as provided in Section 3(b) hereof, including the actual, reasonable and documented fees and disbursements of counsel for the Agent in connection with such qualification and in connection with the Blue Sky and Legal Investment Surveys; (iv) any filing fees incident to, and the actual, reasonable and documented fees and disbursements of counsel for the Agent in connection with, any required review by the Financial Industry Regulatory Authority, Inc. (“</w:t>
      </w:r>
      <w:r>
        <w:rPr>
          <w:rFonts w:ascii="Times New Roman" w:hAnsi="Times New Roman"/>
          <w:caps w:val="false"/>
          <w:smallCaps w:val="false"/>
          <w:sz w:val="20"/>
          <w:u w:val="single"/>
        </w:rPr>
        <w:t>FINRA</w:t>
      </w:r>
      <w:r>
        <w:rPr>
          <w:rFonts w:ascii="Times New Roman" w:hAnsi="Times New Roman"/>
          <w:caps w:val="false"/>
          <w:smallCaps w:val="false"/>
          <w:sz w:val="20"/>
        </w:rPr>
        <w:t>”) of the terms of the sale of the Shares; (v) all fees and expenses in connection with listing or quoting the Shares on the Nasdaq; (vi) the cost of preparing the Shares; (vii) the costs and charges of any transfer agent or registrar or any dividend distribution agent; (viii) the reasonable fees and disbursements of counsel to the Agent in an aggregate amount not to exceed $85,000 (which amount shall include all fees and disbursements of such counsel described in clauses (iii) and (iv) above) and (ix) all other costs and expenses incident to the performance of its obligations hereunder which are not otherwise specifically provided for in this Section. It is understood, however, that, except as provided in this Section, and Section 7 hereof, the Agent will pay all of its own costs and expenses, including the fees of its counsel, transfer taxes on resale of any of the Shares by it, and any advertising expenses connected with any offers it may make.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6. </w:t>
      </w:r>
      <w:r>
        <w:rPr>
          <w:rFonts w:ascii="Times New Roman" w:hAnsi="Times New Roman"/>
          <w:caps w:val="false"/>
          <w:smallCaps w:val="false"/>
          <w:sz w:val="20"/>
          <w:u w:val="single"/>
        </w:rPr>
        <w:t>Conditions of the Agent’s Obligation</w:t>
      </w:r>
      <w:r>
        <w:rPr>
          <w:rFonts w:ascii="Times New Roman" w:hAnsi="Times New Roman"/>
          <w:caps w:val="false"/>
          <w:smallCaps w:val="false"/>
          <w:sz w:val="20"/>
        </w:rPr>
        <w:t>. The obligations of the Agent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Prospectus Supplement shall have been filed with the Commission pursuant to Rule 424(b) under the 1933 Act on or prior to the date hereof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On every date specified in Section 3(j) hereof, DLA Piper LLP (US), counsel for the Agent, shall have furnished to the Agent such written opinion or opinions, dated as of such date, with respect to such matters as the Agent may reasonably request, and such counsel shall have received such papers and information as they may reasonably request to enable them to pass upon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On every date specified in Section 3(j) hereof, Baker &amp; Hostetler LLP, counsel for the Company, and In-House Counsel, as applicable, shall have furnished to the Agent written opinion or opinions, negative assurance letter, and certificate, as applicable, dated as of such date, in form and substance reasonably satisfactory to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At the dates specified in Section 3(k) hereof, the independent accountants of the Company who have certified the financial statements of the Company and its Subsidiaries included or incorporated by reference in the Registration Statement, the General Disclosure Package and the Prospectus shall have furnished to the Agent a letter dated as of the date of delivery thereof and addressed to the Agent in form and substance reasonably satisfactory to the Agent and its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Prior to commencement of the offering of Shares under this Agreement, the Agent shall have received a certificate, signed on behalf of the Company by its corporate Secretary, in form and substance reasonably satisfactory to the Agent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Upon commencement of the offering of Shares under this Agreement and on such other dates as reasonably requested by Agent, the Company will furnish or cause to be furnished promptly to the Agent a certificate of an officer in a form satisfactory to the Agent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 (ii) on each date specified in Section 3(i), the Agent shall have received a certificate of executive officers of the Company, one of whom shall be the Chief Financial Officer, Principal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Since the date of the latest audited financial statements then included or incorporated by reference in the General Disclosure Package and the Prospectus, no Material Adverse Effect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The Company shall have complied with the provisions of Section 3(c) hereof with respect to the timely furnishing of prospectuses.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On such dates as reasonably requested by the Agent, the Company shall have conducted due diligence sessions, in form and substance reasonably satisfactory to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The Shares shall have received approval for listing or quotation on the Nasdaq prior to the first Settlement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Prior to any Settlement Date, the Company shall have furnished to the Agent such further information, documents or certificates as the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7. </w:t>
      </w:r>
      <w:r>
        <w:rPr>
          <w:rFonts w:ascii="Times New Roman" w:hAnsi="Times New Roman"/>
          <w:caps w:val="false"/>
          <w:smallCaps w:val="false"/>
          <w:sz w:val="20"/>
          <w:u w:val="single"/>
        </w:rPr>
        <w:t>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will indemnify and hold harmless the Agent, its affiliates and each of their respective directors, officers, partners, employees and agents of the Agent and each person, if any, who (i) controls the Agent within the meaning of Section 15 of the Securities Act or Section 20 of the 1934 Act, or (ii) is controlled by or is under common control with the Agent, against any losses, claims, damages or liabilities, joint or several, to which the Agent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 for any actual, reasonable and documented legal or other expenses reasonably incurred by the Agent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Prospectus Supplement or the Prospectus, or any amendment or supplement thereto, or any Issuer Free Writing Prospectus, in reliance upon and in strict conformity with written Agent’s Information (as defined herein) furnished to the Company by the Agent expressly for use therein. For purpose of this Agreement, “</w:t>
      </w:r>
      <w:r>
        <w:rPr>
          <w:rFonts w:ascii="Times New Roman" w:hAnsi="Times New Roman"/>
          <w:caps w:val="false"/>
          <w:smallCaps w:val="false"/>
          <w:sz w:val="20"/>
          <w:u w:val="single"/>
        </w:rPr>
        <w:t>Agent’s Information</w:t>
      </w:r>
      <w:r>
        <w:rPr>
          <w:rFonts w:ascii="Times New Roman" w:hAnsi="Times New Roman"/>
          <w:caps w:val="false"/>
          <w:smallCaps w:val="false"/>
          <w:sz w:val="20"/>
        </w:rPr>
        <w:t>” means, solely, the following information in the Prospectus: the third sentence of the eighth paragraph under the heading “Plan of Distribution”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Agent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Prospectus Supplement or the Prospectus, or any such amendment or supplement thereto, or any Issuer Free Writing Prospectus, in reliance upon and in strict conformity with written Agent’s Information furnished to the Company by the Agent expressly for use therein; and will reimburse the Company for any actual, reasonable and documented legal or other expenses reasonably incurred by the Company in connection with investigating or defending any such action or claim as such expenses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or liabilities (or actions in respect thereof),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The relative fault shall be determined by reference to, among other things, whether the untrue or alleged untrue statement of a material fact or the omission or alleged omission to state a material fact relates to information supplied by the Company on the one hand or the Agent on the other and the parties’ relative intent, knowledge, access to information and opportunity to correct or prevent such statement or omission. The Company and the Agent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Agent shall not be required to contribute any amount in excess of the amount by which the total compensation received by the Agent with respect to sales of the Shares sold by it to the public exceeds the amount of any damages which the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obligations of the Company under this Section 7 shall be in addition to any liability which the Company may otherwise have and shall extend, upon the same terms and conditions, to the respective directors, officers, employees, attorneys and agents of the Agent and to each person, if any, who controls the Agent within the meaning of the 1933 Act and each broker dealer affiliate of the Agent; and the obligations of the Agent under this Section 7 shall be in addition to any liability which the Agent may otherwise have and shall extend, upon the same terms and conditions, to each director, officer, employee, attorney and agent of the Company and to each person, if any, who controls the Company within the meaning of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8. </w:t>
      </w:r>
      <w:r>
        <w:rPr>
          <w:rFonts w:ascii="Times New Roman" w:hAnsi="Times New Roman"/>
          <w:caps w:val="false"/>
          <w:smallCaps w:val="false"/>
          <w:sz w:val="20"/>
          <w:u w:val="single"/>
        </w:rPr>
        <w:t>Representations, Warranties and Agreements to Survive Delivery</w:t>
      </w:r>
      <w:r>
        <w:rPr>
          <w:rFonts w:ascii="Times New Roman" w:hAnsi="Times New Roman"/>
          <w:caps w:val="false"/>
          <w:smallCaps w:val="false"/>
          <w:sz w:val="20"/>
        </w:rPr>
        <w:t>. The respective indemnities, agreements, representations, warranties and other statements of the Company and the Agent, as set forth in this Agreement or made by or on behalf of them, respectively, pursuant to this Agreement, shall remain in full force and effect, regardless of any investigation (or any statement as to the results thereof) made by or on behalf of the Agent or any controlling person of the Agent, or the Company, or any officer or director or controlling person of the Company, and shall survive delivery of and payment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9. </w:t>
      </w:r>
      <w:r>
        <w:rPr>
          <w:rFonts w:ascii="Times New Roman" w:hAnsi="Times New Roman"/>
          <w:caps w:val="false"/>
          <w:smallCaps w:val="false"/>
          <w:sz w:val="20"/>
          <w:u w:val="single"/>
        </w:rPr>
        <w:t>No Advisory or Fiduciary Relationship</w:t>
      </w:r>
      <w:r>
        <w:rPr>
          <w:rFonts w:ascii="Times New Roman" w:hAnsi="Times New Roman"/>
          <w:caps w:val="false"/>
          <w:smallCaps w:val="false"/>
          <w:sz w:val="20"/>
        </w:rPr>
        <w:t>. The Company acknowledges and agrees that (i) the Agent is acting solely in the capacity of an arm’s length contractual counterparty to the Company with respect to the offering of Shares contemplated hereby (including in connection with determining the terms of such offering) and (ii) the Agent has not assumed an advisory or fiduciary responsibility in favor of the Company with respect to the offering contemplated hereby or the process leading thereto (irrespective of whether the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 has rendered advisory services of any nature or respect, or owe a fiduciary or similar duty to the Company, in connection with such transaction or the process leading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10. </w:t>
      </w:r>
      <w:r>
        <w:rPr>
          <w:rFonts w:ascii="Times New Roman" w:hAnsi="Times New Roman"/>
          <w:caps w:val="false"/>
          <w:smallCaps w:val="false"/>
          <w:sz w:val="20"/>
          <w:u w:val="single"/>
        </w:rPr>
        <w:t>Termination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such termination; and (ii) the provisions of Section 1, Section 5, Section 7, Section 8, Section 14 and Section 15 of this Agreement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Agent shall have the right, by giving written notice as hereinafter specified, to terminate this Agreement in its sole discretion at any time with respect to itself.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Unless earlier terminated pursuant to this Section 10, this Agreement shall automatically terminate upon the issuance and sale of all of the Shares by the Agent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This Agreement shall remain in full force and effect until and unless terminated pursuant to Section 10(a), (b) or (c) above or otherwise by mutual agreement of the parties; provided that any such termination by mutual agreement or pursuant to this clause (d) shall in all cases be deemed to provide that Section 1, Section 5, Section 7, Section 8, Section 14 and Section 15 of this Agreement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Shares, such sale shall settle in accordance with the provisions of Section 2(g)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11. </w:t>
      </w:r>
      <w:r>
        <w:rPr>
          <w:rFonts w:ascii="Times New Roman" w:hAnsi="Times New Roman"/>
          <w:caps w:val="false"/>
          <w:smallCaps w:val="false"/>
          <w:sz w:val="20"/>
          <w:u w:val="single"/>
        </w:rPr>
        <w:t>Notices</w:t>
      </w:r>
      <w:r>
        <w:rPr>
          <w:rFonts w:ascii="Times New Roman" w:hAnsi="Times New Roman"/>
          <w:caps w:val="false"/>
          <w:smallCaps w:val="false"/>
          <w:sz w:val="20"/>
        </w:rPr>
        <w:t>. All statements, requests, notices and agreements hereunder shall be in writing, and if to the Agent shall be hand delivered, sent by nationally recognized overnight carrier or by email transmission (with confirmation of receipt)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MIZUHO SECURITIES USA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1271 Avenue of the Americas, 3rd Floor</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10020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Stephen Roney; Steven Tuch; Timothy Hogan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[________]</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 a copy to: [________]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and 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601 Brickell Key Drive, Suite 1080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Miami, Florida 33131</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General Counsel</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Any such statements, requests, notices or agreements shall take effect upon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12. </w:t>
      </w:r>
      <w:r>
        <w:rPr>
          <w:rFonts w:ascii="Times New Roman" w:hAnsi="Times New Roman"/>
          <w:caps w:val="false"/>
          <w:smallCaps w:val="false"/>
          <w:sz w:val="20"/>
          <w:u w:val="single"/>
        </w:rPr>
        <w:t>Parties</w:t>
      </w:r>
      <w:r>
        <w:rPr>
          <w:rFonts w:ascii="Times New Roman" w:hAnsi="Times New Roman"/>
          <w:caps w:val="false"/>
          <w:smallCaps w:val="false"/>
          <w:sz w:val="20"/>
        </w:rPr>
        <w:t>. This Agreement shall be binding upon, and inure solely to the benefit of, the Agent and the Company and, to the extent provided in Sections 7 and Section 8 hereof, the officers, directors, employees, attorneys and agents of the Company and the Agent and each person who controls the Company or the Agent, and their respective heirs, executors, administrators, successors and assigns, and no other person shall acquire or have any right under or by virtue of this Agreement. No purchaser of Shares through the Agent shall be deemed a successor or assign by reason merely of such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13. </w:t>
      </w:r>
      <w:r>
        <w:rPr>
          <w:rFonts w:ascii="Times New Roman" w:hAnsi="Times New Roman"/>
          <w:caps w:val="false"/>
          <w:smallCaps w:val="false"/>
          <w:sz w:val="20"/>
          <w:u w:val="single"/>
        </w:rPr>
        <w:t>Time of the Essence</w:t>
      </w:r>
      <w:r>
        <w:rPr>
          <w:rFonts w:ascii="Times New Roman" w:hAnsi="Times New Roman"/>
          <w:caps w:val="false"/>
          <w:smallCaps w:val="false"/>
          <w:sz w:val="20"/>
        </w:rPr>
        <w:t>. Time shall be of the essence of this Agreement. As used herein, the term “business day” shall mean any day when the Commission’s office in Washington, D.C. is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14. </w:t>
      </w:r>
      <w:r>
        <w:rPr>
          <w:rFonts w:ascii="Times New Roman" w:hAnsi="Times New Roman"/>
          <w:caps w:val="false"/>
          <w:smallCaps w:val="false"/>
          <w:sz w:val="20"/>
          <w:u w:val="single"/>
        </w:rPr>
        <w:t>Waiver of Jury Trial</w:t>
      </w:r>
      <w:r>
        <w:rPr>
          <w:rFonts w:ascii="Times New Roman" w:hAnsi="Times New Roman"/>
          <w:caps w:val="false"/>
          <w:smallCaps w:val="false"/>
          <w:sz w:val="20"/>
        </w:rPr>
        <w:t>. The Company and the Agent hereby irrevocably waive,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15.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IN ACCORDANCE WITH THE LAWS OF THE STATE OF NEW YORK WITHOUT REFERENCE TO ITS PRINCIPLES OF CONFLICTS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16.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by any one or more of the parties hereto and thereto in any number of counterparts, each of which shall be deemed to be an original, but all such respective counterparts shall together constitute one and the same instrument. This Agreement may be delivered by any party by facsimile or other electronic transmission.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17. </w:t>
      </w:r>
      <w:r>
        <w:rPr>
          <w:rFonts w:ascii="Times New Roman" w:hAnsi="Times New Roman"/>
          <w:caps w:val="false"/>
          <w:smallCaps w:val="false"/>
          <w:sz w:val="20"/>
          <w:u w:val="single"/>
        </w:rPr>
        <w:t>Severability</w:t>
      </w:r>
      <w:r>
        <w:rPr>
          <w:rFonts w:ascii="Times New Roman" w:hAnsi="Times New Roman"/>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18. </w:t>
      </w:r>
      <w:r>
        <w:rPr>
          <w:rFonts w:ascii="Times New Roman" w:hAnsi="Times New Roman"/>
          <w:caps w:val="false"/>
          <w:smallCaps w:val="false"/>
          <w:sz w:val="20"/>
          <w:u w:val="single"/>
        </w:rPr>
        <w:t>Recognition of the U.S. Special Resolution Regimes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For purposes of this Section 18; (a) “</w:t>
      </w:r>
      <w:r>
        <w:rPr>
          <w:rFonts w:ascii="Times New Roman" w:hAnsi="Times New Roman"/>
          <w:caps w:val="false"/>
          <w:smallCaps w:val="false"/>
          <w:sz w:val="20"/>
          <w:u w:val="single"/>
        </w:rPr>
        <w:t>BHC Act Affiliate</w:t>
      </w:r>
      <w:r>
        <w:rPr>
          <w:rFonts w:ascii="Times New Roman" w:hAnsi="Times New Roman"/>
          <w:caps w:val="false"/>
          <w:smallCaps w:val="false"/>
          <w:sz w:val="20"/>
        </w:rPr>
        <w:t>” has the meaning assigned to the term “affiliate” in, and shall be interpreted in accordance with, 12 U.S.C. § 1841(k), (b) “</w:t>
      </w:r>
      <w:r>
        <w:rPr>
          <w:rFonts w:ascii="Times New Roman" w:hAnsi="Times New Roman"/>
          <w:caps w:val="false"/>
          <w:smallCaps w:val="false"/>
          <w:sz w:val="20"/>
          <w:u w:val="single"/>
        </w:rPr>
        <w:t>Covered Entity</w:t>
      </w:r>
      <w:r>
        <w:rPr>
          <w:rFonts w:ascii="Times New Roman" w:hAnsi="Times New Roman"/>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caps w:val="false"/>
          <w:smallCaps w:val="false"/>
          <w:sz w:val="20"/>
          <w:u w:val="single"/>
        </w:rPr>
        <w:t>Default Right</w:t>
      </w:r>
      <w:r>
        <w:rPr>
          <w:rFonts w:ascii="Times New Roman" w:hAnsi="Times New Roman"/>
          <w:caps w:val="false"/>
          <w:smallCaps w:val="false"/>
          <w:sz w:val="20"/>
        </w:rPr>
        <w:t>” has the meaning assigned to that term in, and shall be interpreted in accordance with, 12 C.F.R. §§ 252.81, 47.2 or 382.1, as applicable, and (d) “</w:t>
      </w:r>
      <w:r>
        <w:rPr>
          <w:rFonts w:ascii="Times New Roman" w:hAnsi="Times New Roman"/>
          <w:caps w:val="false"/>
          <w:smallCaps w:val="false"/>
          <w:sz w:val="20"/>
          <w:u w:val="single"/>
        </w:rPr>
        <w:t>U.S. Special Resolution Regime</w:t>
      </w:r>
      <w:r>
        <w:rPr>
          <w:rFonts w:ascii="Times New Roman" w:hAnsi="Times New Roman"/>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pStyle w:val="TextBody"/>
        <w:bidi w:val="0"/>
        <w:spacing w:before="0" w:after="0"/>
        <w:ind w:left="0" w:right="0" w:hanging="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596"/>
        <w:gridCol w:w="2866"/>
        <w:gridCol w:w="111"/>
      </w:tblGrid>
      <w:tr>
        <w:trPr/>
        <w:tc>
          <w:tcPr>
            <w:tcW w:w="357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tc>
      </w:tr>
      <w:tr>
        <w:trPr/>
        <w:tc>
          <w:tcPr>
            <w:tcW w:w="3573" w:type="dxa"/>
            <w:gridSpan w:val="3"/>
            <w:tcBorders/>
            <w:vAlign w:val="center"/>
          </w:tcPr>
          <w:p>
            <w:pPr>
              <w:pStyle w:val="TableContents"/>
              <w:bidi w:val="0"/>
              <w:spacing w:before="0" w:after="0"/>
              <w:ind w:left="0" w:right="0" w:hanging="0"/>
              <w:jc w:val="left"/>
              <w:rPr/>
            </w:pPr>
            <w:r>
              <w:rPr/>
              <w:t> </w:t>
            </w:r>
          </w:p>
        </w:tc>
      </w:tr>
      <w:tr>
        <w:trPr/>
        <w:tc>
          <w:tcPr>
            <w:tcW w:w="3573"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r>
      <w:tr>
        <w:trPr/>
        <w:tc>
          <w:tcPr>
            <w:tcW w:w="3573" w:type="dxa"/>
            <w:gridSpan w:val="3"/>
            <w:tcBorders/>
            <w:vAlign w:val="center"/>
          </w:tcPr>
          <w:p>
            <w:pPr>
              <w:pStyle w:val="TableContents"/>
              <w:bidi w:val="0"/>
              <w:spacing w:before="0" w:after="0"/>
              <w:ind w:left="0" w:right="0" w:hanging="0"/>
              <w:jc w:val="left"/>
              <w:rPr/>
            </w:pPr>
            <w:r>
              <w:rPr/>
              <w:t> </w:t>
            </w:r>
          </w:p>
        </w:tc>
      </w:tr>
      <w:tr>
        <w:trPr/>
        <w:tc>
          <w:tcPr>
            <w:tcW w:w="596" w:type="dxa"/>
            <w:tcBorders/>
            <w:vAlign w:val="center"/>
          </w:tcPr>
          <w:p>
            <w:pPr>
              <w:pStyle w:val="TableContents"/>
              <w:bidi w:val="0"/>
              <w:spacing w:before="0" w:after="0"/>
              <w:ind w:left="0" w:right="0" w:hanging="0"/>
              <w:jc w:val="left"/>
              <w:rPr/>
            </w:pPr>
            <w:r>
              <w:rPr/>
              <w:t> </w:t>
            </w:r>
          </w:p>
        </w:tc>
        <w:tc>
          <w:tcPr>
            <w:tcW w:w="2977" w:type="dxa"/>
            <w:gridSpan w:val="2"/>
            <w:tcBorders/>
            <w:vAlign w:val="center"/>
          </w:tcPr>
          <w:p>
            <w:pPr>
              <w:pStyle w:val="TableContents"/>
              <w:bidi w:val="0"/>
              <w:spacing w:before="0" w:after="0"/>
              <w:ind w:left="0" w:right="0" w:hanging="0"/>
              <w:jc w:val="left"/>
              <w:rPr/>
            </w:pPr>
            <w:r>
              <w:rPr/>
              <w:t> </w:t>
            </w:r>
          </w:p>
        </w:tc>
      </w:tr>
      <w:tr>
        <w:trPr/>
        <w:tc>
          <w:tcPr>
            <w:tcW w:w="596"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By:</w:t>
            </w:r>
          </w:p>
        </w:tc>
        <w:tc>
          <w:tcPr>
            <w:tcW w:w="2866"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Paul LaViolette</w:t>
            </w:r>
          </w:p>
        </w:tc>
        <w:tc>
          <w:tcPr>
            <w:tcW w:w="111" w:type="dxa"/>
            <w:tcBorders/>
            <w:vAlign w:val="center"/>
          </w:tcPr>
          <w:p>
            <w:pPr>
              <w:pStyle w:val="TableContents"/>
              <w:bidi w:val="0"/>
              <w:spacing w:before="0" w:after="0"/>
              <w:ind w:left="0" w:right="0" w:hanging="0"/>
              <w:jc w:val="left"/>
              <w:rPr/>
            </w:pPr>
            <w:r>
              <w:rPr/>
              <w:t> </w:t>
            </w:r>
          </w:p>
        </w:tc>
      </w:tr>
      <w:tr>
        <w:trPr/>
        <w:tc>
          <w:tcPr>
            <w:tcW w:w="3573"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Name: Paul LaViolette</w:t>
            </w:r>
          </w:p>
        </w:tc>
      </w:tr>
      <w:tr>
        <w:trPr/>
        <w:tc>
          <w:tcPr>
            <w:tcW w:w="3573"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Title: 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497"/>
        <w:gridCol w:w="2340"/>
        <w:gridCol w:w="92"/>
      </w:tblGrid>
      <w:tr>
        <w:trPr/>
        <w:tc>
          <w:tcPr>
            <w:tcW w:w="2929"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Accepted as of the date hereof:</w:t>
            </w:r>
          </w:p>
        </w:tc>
      </w:tr>
      <w:tr>
        <w:trPr/>
        <w:tc>
          <w:tcPr>
            <w:tcW w:w="2929" w:type="dxa"/>
            <w:gridSpan w:val="3"/>
            <w:tcBorders/>
            <w:vAlign w:val="center"/>
          </w:tcPr>
          <w:p>
            <w:pPr>
              <w:pStyle w:val="TableContents"/>
              <w:bidi w:val="0"/>
              <w:spacing w:before="0" w:after="0"/>
              <w:ind w:left="0" w:right="0" w:hanging="0"/>
              <w:jc w:val="left"/>
              <w:rPr/>
            </w:pPr>
            <w:r>
              <w:rPr/>
              <w:t> </w:t>
            </w:r>
          </w:p>
        </w:tc>
      </w:tr>
      <w:tr>
        <w:trPr/>
        <w:tc>
          <w:tcPr>
            <w:tcW w:w="2929"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MIZUHO SECURITIES USA LLC</w:t>
            </w:r>
          </w:p>
        </w:tc>
      </w:tr>
      <w:tr>
        <w:trPr/>
        <w:tc>
          <w:tcPr>
            <w:tcW w:w="497" w:type="dxa"/>
            <w:tcBorders/>
            <w:vAlign w:val="center"/>
          </w:tcPr>
          <w:p>
            <w:pPr>
              <w:pStyle w:val="TableContents"/>
              <w:bidi w:val="0"/>
              <w:spacing w:before="0" w:after="0"/>
              <w:ind w:left="0" w:right="0" w:hanging="0"/>
              <w:jc w:val="left"/>
              <w:rPr/>
            </w:pPr>
            <w:r>
              <w:rPr/>
              <w:t> </w:t>
            </w:r>
          </w:p>
        </w:tc>
        <w:tc>
          <w:tcPr>
            <w:tcW w:w="2432" w:type="dxa"/>
            <w:gridSpan w:val="2"/>
            <w:tcBorders/>
            <w:vAlign w:val="center"/>
          </w:tcPr>
          <w:p>
            <w:pPr>
              <w:pStyle w:val="TableContents"/>
              <w:bidi w:val="0"/>
              <w:spacing w:before="0" w:after="0"/>
              <w:ind w:left="0" w:right="0" w:hanging="0"/>
              <w:jc w:val="left"/>
              <w:rPr/>
            </w:pPr>
            <w:r>
              <w:rPr/>
              <w:t> </w:t>
            </w:r>
          </w:p>
        </w:tc>
      </w:tr>
      <w:tr>
        <w:trPr/>
        <w:tc>
          <w:tcPr>
            <w:tcW w:w="497" w:type="dxa"/>
            <w:tcBorders/>
            <w:vAlign w:val="center"/>
          </w:tcPr>
          <w:p>
            <w:pPr>
              <w:pStyle w:val="TableContents"/>
              <w:bidi w:val="0"/>
              <w:spacing w:before="0" w:after="0"/>
              <w:ind w:left="0" w:right="0" w:hanging="0"/>
              <w:jc w:val="left"/>
              <w:rPr/>
            </w:pPr>
            <w:r>
              <w:rPr/>
              <w:t> </w:t>
            </w:r>
          </w:p>
        </w:tc>
        <w:tc>
          <w:tcPr>
            <w:tcW w:w="2432" w:type="dxa"/>
            <w:gridSpan w:val="2"/>
            <w:tcBorders/>
            <w:vAlign w:val="center"/>
          </w:tcPr>
          <w:p>
            <w:pPr>
              <w:pStyle w:val="TableContents"/>
              <w:bidi w:val="0"/>
              <w:spacing w:before="0" w:after="0"/>
              <w:ind w:left="0" w:right="0" w:hanging="0"/>
              <w:jc w:val="left"/>
              <w:rPr/>
            </w:pPr>
            <w:r>
              <w:rPr/>
              <w:t> </w:t>
            </w:r>
          </w:p>
        </w:tc>
      </w:tr>
      <w:tr>
        <w:trPr/>
        <w:tc>
          <w:tcPr>
            <w:tcW w:w="49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By:</w:t>
            </w:r>
          </w:p>
        </w:tc>
        <w:tc>
          <w:tcPr>
            <w:tcW w:w="23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Stephen Roney</w:t>
            </w:r>
          </w:p>
        </w:tc>
        <w:tc>
          <w:tcPr>
            <w:tcW w:w="92" w:type="dxa"/>
            <w:tcBorders/>
            <w:vAlign w:val="center"/>
          </w:tcPr>
          <w:p>
            <w:pPr>
              <w:pStyle w:val="TableContents"/>
              <w:bidi w:val="0"/>
              <w:spacing w:before="0" w:after="0"/>
              <w:ind w:left="0" w:right="0" w:hanging="0"/>
              <w:jc w:val="left"/>
              <w:rPr/>
            </w:pPr>
            <w:r>
              <w:rPr/>
              <w:t> </w:t>
            </w:r>
          </w:p>
        </w:tc>
      </w:tr>
      <w:tr>
        <w:trPr/>
        <w:tc>
          <w:tcPr>
            <w:tcW w:w="2929"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Name: Stephen Roney</w:t>
            </w:r>
          </w:p>
        </w:tc>
      </w:tr>
      <w:tr>
        <w:trPr/>
        <w:tc>
          <w:tcPr>
            <w:tcW w:w="2929"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Title: Managing Director</w:t>
            </w:r>
          </w:p>
        </w:tc>
      </w:tr>
      <w:tr>
        <w:trPr/>
        <w:tc>
          <w:tcPr>
            <w:tcW w:w="2929" w:type="dxa"/>
            <w:gridSpan w:val="3"/>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to Equity Distribution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Schedule 1</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Company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Agent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bookmarkStart w:id="4" w:name="ex_1000005.htm"/>
      <w:bookmarkStart w:id="5" w:name="ksex_1000005"/>
      <w:bookmarkEnd w:id="4"/>
      <w:bookmarkEnd w:id="5"/>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9621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24765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right"/>
        <w:rPr/>
      </w:pPr>
      <w:r>
        <w:rPr/>
        <w:drawing>
          <wp:inline distT="0" distB="0" distL="0" distR="0">
            <wp:extent cx="1352550"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933450"/>
                    </a:xfrm>
                    <a:prstGeom prst="rect">
                      <a:avLst/>
                    </a:prstGeom>
                  </pic:spPr>
                </pic:pic>
              </a:graphicData>
            </a:graphic>
          </wp:inline>
        </w:drawing>
      </w: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3957 Point Eden Way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Hayward, California 94545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Pulse Biosciences,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in connection with the preparation and filing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of a Prospectus Supplement, dated August 6, 2026 (the “</w:t>
      </w:r>
      <w:r>
        <w:rPr>
          <w:rFonts w:ascii="Times New Roman" w:hAnsi="Times New Roman"/>
          <w:b/>
          <w:i/>
          <w:caps w:val="false"/>
          <w:smallCaps w:val="false"/>
          <w:sz w:val="20"/>
        </w:rPr>
        <w:t>Prospectus Supplement</w:t>
      </w:r>
      <w:r>
        <w:rPr>
          <w:rFonts w:ascii="Times New Roman" w:hAnsi="Times New Roman"/>
          <w:caps w:val="false"/>
          <w:smallCaps w:val="false"/>
          <w:sz w:val="20"/>
        </w:rPr>
        <w:t>”), to a prospectus filed as part of a Registration Statement on Form S-3 (File No. 333-293596) (the “</w:t>
      </w:r>
      <w:r>
        <w:rPr>
          <w:rFonts w:ascii="Times New Roman" w:hAnsi="Times New Roman"/>
          <w:b/>
          <w:i/>
          <w:caps w:val="false"/>
          <w:smallCaps w:val="false"/>
          <w:sz w:val="20"/>
        </w:rPr>
        <w:t>Registration Statement</w:t>
      </w:r>
      <w:r>
        <w:rPr>
          <w:rFonts w:ascii="Times New Roman" w:hAnsi="Times New Roman"/>
          <w:caps w:val="false"/>
          <w:smallCaps w:val="false"/>
          <w:sz w:val="20"/>
        </w:rPr>
        <w:t>”) filed on February 19, 2026 and declared effective as of February 27, 2026. The Prospectus Supplement relates to the offer and sale from time to time of additional shares of the Company’s common stock, par value $0.001 per share (the “</w:t>
      </w:r>
      <w:r>
        <w:rPr>
          <w:rFonts w:ascii="Times New Roman" w:hAnsi="Times New Roman"/>
          <w:b/>
          <w:i/>
          <w:caps w:val="false"/>
          <w:smallCaps w:val="false"/>
          <w:sz w:val="20"/>
        </w:rPr>
        <w:t>Common Stock</w:t>
      </w:r>
      <w:r>
        <w:rPr>
          <w:rFonts w:ascii="Times New Roman" w:hAnsi="Times New Roman"/>
          <w:caps w:val="false"/>
          <w:smallCaps w:val="false"/>
          <w:sz w:val="20"/>
        </w:rPr>
        <w:t>”), up to a maximum aggregate amount of $75,000,000 (the “</w:t>
      </w:r>
      <w:r>
        <w:rPr>
          <w:rFonts w:ascii="Times New Roman" w:hAnsi="Times New Roman"/>
          <w:b/>
          <w:i/>
          <w:caps w:val="false"/>
          <w:smallCaps w:val="false"/>
          <w:sz w:val="20"/>
        </w:rPr>
        <w:t>Shares</w:t>
      </w:r>
      <w:r>
        <w:rPr>
          <w:rFonts w:ascii="Times New Roman" w:hAnsi="Times New Roman"/>
          <w:caps w:val="false"/>
          <w:smallCaps w:val="false"/>
          <w:sz w:val="20"/>
        </w:rPr>
        <w:t>”), pursuant to a Sales Agreement, dated August 6, 2026, between the Company and Mizuho Securities USA LLC (the “</w:t>
      </w:r>
      <w:r>
        <w:rPr>
          <w:rFonts w:ascii="Times New Roman" w:hAnsi="Times New Roman"/>
          <w:b/>
          <w:i/>
          <w:caps w:val="false"/>
          <w:smallCaps w:val="false"/>
          <w:sz w:val="20"/>
        </w:rPr>
        <w:t>Sales Agreement</w:t>
      </w:r>
      <w:r>
        <w:rPr>
          <w:rFonts w:ascii="Times New Roman" w:hAnsi="Times New Roman"/>
          <w:caps w:val="false"/>
          <w:smallCaps w:val="false"/>
          <w:sz w:val="20"/>
        </w:rPr>
        <w:t>”). This opinion is being rendered in connection with the filing of the Prospectus Supplement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examined such documents and such matters of fact and law as we deem necessary to render the opinions contained herein. In our examination, we have assumed, but have not independently verified, the genuineness of all signatures, the conformity to original documents of all documents submitted to us as certified, facsimile or other copies, and the authenticity of all such documents. As to questions of fact material to this opinion, we have relied on certificates or comparable documents of public officials and of officers and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opinion, we have assumed that:</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230"/>
        <w:gridCol w:w="75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5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Registration Statement will remain effective at the time of issuance and sale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will be sold at prices and other terms authorized by the Company’s Board of Directors or another duly authorized committee thereof;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time of the issuance and sale of the Shares, a sufficient number of shares of Common Stock will remain authorized and available for issuance pursuant to the Company’s Amended and Restated Certificate of Incorporation, as it then may be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17207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72075" cy="238125"/>
                    </a:xfrm>
                    <a:prstGeom prst="rect">
                      <a:avLst/>
                    </a:prstGeom>
                  </pic:spPr>
                </pic:pic>
              </a:graphicData>
            </a:graphic>
          </wp:inline>
        </w:drawing>
      </w:r>
      <w:r>
        <w:rPr>
          <w:caps w:val="false"/>
          <w:smallCaps w:val="false"/>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foregoing, and subject to the qualifications stated herein, we are of the opinion that the Shares offered pursuant to the Registration Statement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opinions expressed herein are limited to the General Corporation Law of the State of Delaware and we express no opinion as to the effect on the matters covered by this letter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letter as Exhibit 5.1 to a Current Report on Form 8-K that will be filed by the Company and incorporated by reference into the Registration Statement and to the reference to our firm in the Prospectus Supplement under the heading “Legal Matters.” In giving such consent, we do not hereby admit that we are in the category of persons whose consent is required under Section 7 of the Securities Act of 1933, as amended,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57" w:type="dxa"/>
        <w:jc w:val="left"/>
        <w:tblInd w:w="0" w:type="dxa"/>
        <w:tblLayout w:type="fixed"/>
        <w:tblCellMar>
          <w:top w:w="28" w:type="dxa"/>
          <w:left w:w="28" w:type="dxa"/>
          <w:bottom w:w="28" w:type="dxa"/>
          <w:right w:w="28" w:type="dxa"/>
        </w:tblCellMar>
      </w:tblPr>
      <w:tblGrid>
        <w:gridCol w:w="161"/>
        <w:gridCol w:w="2596"/>
      </w:tblGrid>
      <w:tr>
        <w:trPr/>
        <w:tc>
          <w:tcPr>
            <w:tcW w:w="161"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Very truly yours,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/s/ Baker &amp; Hostetler LLP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BAKER &amp; HOSTETLER LLP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18239</Words>
  <Characters>94137</Characters>
  <CharactersWithSpaces>112496</CharactersWithSpaces>
  <Paragraphs>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