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825500</wp:posOffset>
            </wp:positionH>
            <wp:positionV relativeFrom="page">
              <wp:posOffset>200660</wp:posOffset>
            </wp:positionV>
            <wp:extent cx="589788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97880" cy="25400"/>
                    </a:xfrm>
                    <a:prstGeom prst="rect">
                      <a:avLst/>
                    </a:prstGeom>
                    <a:noFill/>
                  </pic:spPr>
                </pic:pic>
              </a:graphicData>
            </a:graphic>
          </wp:anchor>
        </w:drawing>
        <w:t>UNITED STATES</w:t>
      </w:r>
    </w:p>
    <w:p>
      <w:pPr>
        <w:jc w:val="center"/>
        <w:spacing w:after="0" w:line="215"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line="19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0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ind w:left="30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20" w:hanging="420"/>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420" w:hanging="420"/>
        <w:spacing w:after="0" w:line="215" w:lineRule="auto"/>
        <w:tabs>
          <w:tab w:leader="none" w:pos="4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120"/>
        <w:spacing w:after="0"/>
        <w:tabs>
          <w:tab w:leader="none" w:pos="6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001-34899</w:t>
      </w:r>
    </w:p>
    <w:p>
      <w:pPr>
        <w:ind w:left="3060"/>
        <w:spacing w:after="0"/>
        <w:rPr>
          <w:sz w:val="20"/>
          <w:szCs w:val="20"/>
          <w:color w:val="auto"/>
        </w:rPr>
      </w:pPr>
      <w:r>
        <w:rPr>
          <w:rFonts w:ascii="Arial" w:cs="Arial" w:eastAsia="Arial" w:hAnsi="Arial"/>
          <w:sz w:val="14"/>
          <w:szCs w:val="14"/>
          <w:b w:val="1"/>
          <w:bCs w:val="1"/>
          <w:color w:val="auto"/>
        </w:rPr>
        <w:t>____________________________________________</w:t>
      </w:r>
    </w:p>
    <w:p>
      <w:pPr>
        <w:jc w:val="center"/>
        <w:spacing w:after="0" w:line="232" w:lineRule="auto"/>
        <w:rPr>
          <w:sz w:val="20"/>
          <w:szCs w:val="20"/>
          <w:color w:val="auto"/>
        </w:rPr>
      </w:pPr>
      <w:r>
        <w:rPr>
          <w:rFonts w:ascii="Arial" w:cs="Arial" w:eastAsia="Arial" w:hAnsi="Arial"/>
          <w:sz w:val="40"/>
          <w:szCs w:val="40"/>
          <w:b w:val="1"/>
          <w:bCs w:val="1"/>
          <w:color w:val="auto"/>
        </w:rPr>
        <w:t>Pulse Biosciences, Inc.</w:t>
      </w:r>
    </w:p>
    <w:p>
      <w:pPr>
        <w:jc w:val="center"/>
        <w:spacing w:after="0" w:line="204" w:lineRule="auto"/>
        <w:rPr>
          <w:sz w:val="20"/>
          <w:szCs w:val="20"/>
          <w:color w:val="auto"/>
        </w:rPr>
      </w:pPr>
      <w:r>
        <w:rPr>
          <w:rFonts w:ascii="Arial" w:cs="Arial" w:eastAsia="Arial" w:hAnsi="Arial"/>
          <w:sz w:val="14"/>
          <w:szCs w:val="14"/>
          <w:b w:val="1"/>
          <w:bCs w:val="1"/>
          <w:color w:val="auto"/>
        </w:rPr>
        <w:t>(Exact name of registrant as specified in its charter)</w:t>
      </w:r>
    </w:p>
    <w:p>
      <w:pPr>
        <w:ind w:left="30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57"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38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41"/>
              <w:spacing w:after="0"/>
              <w:rPr>
                <w:sz w:val="20"/>
                <w:szCs w:val="20"/>
                <w:color w:val="auto"/>
              </w:rPr>
            </w:pPr>
            <w:r>
              <w:rPr>
                <w:rFonts w:ascii="Arial" w:cs="Arial" w:eastAsia="Arial" w:hAnsi="Arial"/>
                <w:sz w:val="18"/>
                <w:szCs w:val="18"/>
                <w:b w:val="1"/>
                <w:bCs w:val="1"/>
                <w:color w:val="auto"/>
              </w:rPr>
              <w:t>46-5696597</w:t>
            </w:r>
          </w:p>
        </w:tc>
        <w:tc>
          <w:tcPr>
            <w:tcW w:w="0" w:type="dxa"/>
            <w:vAlign w:val="bottom"/>
          </w:tcPr>
          <w:p>
            <w:pPr>
              <w:spacing w:after="0"/>
              <w:rPr>
                <w:sz w:val="1"/>
                <w:szCs w:val="1"/>
                <w:color w:val="auto"/>
              </w:rPr>
            </w:pPr>
          </w:p>
        </w:tc>
      </w:tr>
      <w:tr>
        <w:trPr>
          <w:trHeight w:val="135"/>
        </w:trPr>
        <w:tc>
          <w:tcPr>
            <w:tcW w:w="3820" w:type="dxa"/>
            <w:vAlign w:val="bottom"/>
          </w:tcPr>
          <w:p>
            <w:pPr>
              <w:jc w:val="center"/>
              <w:ind w:right="1379"/>
              <w:spacing w:after="0" w:line="135" w:lineRule="exact"/>
              <w:rPr>
                <w:sz w:val="20"/>
                <w:szCs w:val="20"/>
                <w:color w:val="auto"/>
              </w:rPr>
            </w:pPr>
            <w:r>
              <w:rPr>
                <w:rFonts w:ascii="Arial" w:cs="Arial" w:eastAsia="Arial" w:hAnsi="Arial"/>
                <w:sz w:val="14"/>
                <w:szCs w:val="14"/>
                <w:b w:val="1"/>
                <w:bCs w:val="1"/>
                <w:color w:val="auto"/>
                <w:w w:val="93"/>
              </w:rPr>
              <w:t>(State or other jurisdiction of</w:t>
            </w:r>
          </w:p>
        </w:tc>
        <w:tc>
          <w:tcPr>
            <w:tcW w:w="2560" w:type="dxa"/>
            <w:vAlign w:val="bottom"/>
          </w:tcPr>
          <w:p>
            <w:pPr>
              <w:jc w:val="center"/>
              <w:ind w:left="1361"/>
              <w:spacing w:after="0" w:line="13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4"/>
              </w:rPr>
              <w:t>incorporation or organization)</w:t>
            </w:r>
          </w:p>
        </w:tc>
        <w:tc>
          <w:tcPr>
            <w:tcW w:w="2560" w:type="dxa"/>
            <w:vAlign w:val="bottom"/>
          </w:tcPr>
          <w:p>
            <w:pPr>
              <w:jc w:val="center"/>
              <w:ind w:left="136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0"/>
        </w:trPr>
        <w:tc>
          <w:tcPr>
            <w:tcW w:w="38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0"/>
              </w:rPr>
              <w:t>3957 Point Eden Way</w:t>
            </w:r>
          </w:p>
        </w:tc>
        <w:tc>
          <w:tcPr>
            <w:tcW w:w="2560" w:type="dxa"/>
            <w:vAlign w:val="bottom"/>
            <w:vMerge w:val="restart"/>
          </w:tcPr>
          <w:p>
            <w:pPr>
              <w:jc w:val="right"/>
              <w:ind w:right="241"/>
              <w:spacing w:after="0"/>
              <w:rPr>
                <w:sz w:val="20"/>
                <w:szCs w:val="20"/>
                <w:color w:val="auto"/>
              </w:rPr>
            </w:pPr>
            <w:r>
              <w:rPr>
                <w:rFonts w:ascii="Arial" w:cs="Arial" w:eastAsia="Arial" w:hAnsi="Arial"/>
                <w:sz w:val="18"/>
                <w:szCs w:val="18"/>
                <w:b w:val="1"/>
                <w:bCs w:val="1"/>
                <w:color w:val="auto"/>
              </w:rPr>
              <w:t>94545</w:t>
            </w:r>
          </w:p>
        </w:tc>
        <w:tc>
          <w:tcPr>
            <w:tcW w:w="0" w:type="dxa"/>
            <w:vAlign w:val="bottom"/>
          </w:tcPr>
          <w:p>
            <w:pPr>
              <w:spacing w:after="0"/>
              <w:rPr>
                <w:sz w:val="1"/>
                <w:szCs w:val="1"/>
                <w:color w:val="auto"/>
              </w:rPr>
            </w:pPr>
          </w:p>
        </w:tc>
      </w:tr>
      <w:tr>
        <w:trPr>
          <w:trHeight w:val="176"/>
        </w:trPr>
        <w:tc>
          <w:tcPr>
            <w:tcW w:w="3820" w:type="dxa"/>
            <w:vAlign w:val="bottom"/>
          </w:tcPr>
          <w:p>
            <w:pPr>
              <w:jc w:val="center"/>
              <w:ind w:right="1379"/>
              <w:spacing w:after="0" w:line="176" w:lineRule="exact"/>
              <w:rPr>
                <w:sz w:val="20"/>
                <w:szCs w:val="20"/>
                <w:color w:val="auto"/>
              </w:rPr>
            </w:pPr>
            <w:r>
              <w:rPr>
                <w:rFonts w:ascii="Arial" w:cs="Arial" w:eastAsia="Arial" w:hAnsi="Arial"/>
                <w:sz w:val="18"/>
                <w:szCs w:val="18"/>
                <w:b w:val="1"/>
                <w:bCs w:val="1"/>
                <w:color w:val="auto"/>
              </w:rPr>
              <w:t>Hayward, CA</w:t>
            </w: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20" w:type="dxa"/>
            <w:vAlign w:val="bottom"/>
          </w:tcPr>
          <w:p>
            <w:pPr>
              <w:jc w:val="center"/>
              <w:ind w:right="1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6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(510) 906-4600</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280"/>
          </w:cols>
          <w:pgMar w:left="1300" w:top="369" w:right="1319" w:bottom="1440" w:gutter="0" w:footer="0" w:header="0"/>
        </w:sectPr>
      </w:pPr>
    </w:p>
    <w:p>
      <w:pPr>
        <w:spacing w:after="0" w:line="177"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Title of Each Class</w:t>
      </w:r>
    </w:p>
    <w:p>
      <w:pPr>
        <w:spacing w:after="0" w:line="17" w:lineRule="exact"/>
        <w:rPr>
          <w:sz w:val="24"/>
          <w:szCs w:val="24"/>
          <w:color w:val="auto"/>
        </w:rPr>
      </w:pPr>
    </w:p>
    <w:p>
      <w:pPr>
        <w:jc w:val="center"/>
        <w:ind w:right="240"/>
        <w:spacing w:after="0"/>
        <w:rPr>
          <w:sz w:val="20"/>
          <w:szCs w:val="20"/>
          <w:color w:val="auto"/>
        </w:rPr>
      </w:pPr>
      <w:r>
        <w:rPr>
          <w:rFonts w:ascii="Arial" w:cs="Arial" w:eastAsia="Arial" w:hAnsi="Arial"/>
          <w:sz w:val="12"/>
          <w:szCs w:val="12"/>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400"/>
        <w:spacing w:after="0"/>
        <w:rPr>
          <w:sz w:val="20"/>
          <w:szCs w:val="20"/>
          <w:color w:val="auto"/>
        </w:rPr>
      </w:pPr>
      <w:r>
        <w:rPr>
          <w:rFonts w:ascii="Arial" w:cs="Arial" w:eastAsia="Arial" w:hAnsi="Arial"/>
          <w:sz w:val="12"/>
          <w:szCs w:val="12"/>
          <w:b w:val="1"/>
          <w:bCs w:val="1"/>
          <w:color w:val="auto"/>
        </w:rPr>
        <w:t>Trading Symbol(s)</w:t>
      </w:r>
    </w:p>
    <w:p>
      <w:pPr>
        <w:spacing w:after="0" w:line="40"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color w:val="auto"/>
        </w:rPr>
        <w:t>PLSE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2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0"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The Nasdaq Stock Market LLC</w:t>
      </w:r>
    </w:p>
    <w:p>
      <w:pPr>
        <w:spacing w:after="0" w:line="200" w:lineRule="exact"/>
        <w:rPr>
          <w:sz w:val="24"/>
          <w:szCs w:val="24"/>
          <w:color w:val="auto"/>
        </w:rPr>
      </w:pPr>
    </w:p>
    <w:p>
      <w:pPr>
        <w:sectPr>
          <w:pgSz w:w="11900" w:h="16838" w:orient="portrait"/>
          <w:cols w:equalWidth="0" w:num="3">
            <w:col w:w="3360" w:space="720"/>
            <w:col w:w="1540" w:space="720"/>
            <w:col w:w="2940"/>
          </w:cols>
          <w:pgMar w:left="1300" w:top="369" w:right="1319" w:bottom="1440" w:gutter="0" w:footer="0" w:header="0"/>
          <w:type w:val="continuous"/>
        </w:sectPr>
      </w:pP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ectPr>
          <w:pgSz w:w="11900" w:h="16838" w:orient="portrait"/>
          <w:cols w:equalWidth="0" w:num="1">
            <w:col w:w="9280"/>
          </w:cols>
          <w:pgMar w:left="1300" w:top="369" w:right="1319" w:bottom="1440" w:gutter="0" w:footer="0" w:header="0"/>
          <w:type w:val="continuous"/>
        </w:sectPr>
      </w:pPr>
    </w:p>
    <w:p>
      <w:pPr>
        <w:spacing w:after="0" w:line="8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3">
            <w:col w:w="6760" w:space="180"/>
            <w:col w:w="360" w:space="120"/>
            <w:col w:w="1860"/>
          </w:cols>
          <w:pgMar w:left="1300" w:top="369" w:right="13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3">
            <w:col w:w="6420" w:space="180"/>
            <w:col w:w="360" w:space="120"/>
            <w:col w:w="2200"/>
          </w:cols>
          <w:pgMar w:left="1300" w:top="369" w:right="1319" w:bottom="1440" w:gutter="0" w:footer="0" w:header="0"/>
          <w:type w:val="continuous"/>
        </w:sectPr>
      </w:pPr>
    </w:p>
    <w:p>
      <w:pPr>
        <w:jc w:val="both"/>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22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161" w:lineRule="exact"/>
        <w:tabs>
          <w:tab w:leader="none" w:pos="6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6"/>
        </w:trPr>
        <w:tc>
          <w:tcPr>
            <w:tcW w:w="1860" w:type="dxa"/>
            <w:vAlign w:val="bottom"/>
          </w:tcPr>
          <w:p>
            <w:pPr>
              <w:spacing w:after="0" w:line="157" w:lineRule="exact"/>
              <w:rPr>
                <w:sz w:val="20"/>
                <w:szCs w:val="20"/>
                <w:color w:val="auto"/>
              </w:rPr>
            </w:pPr>
            <w:r>
              <w:rPr>
                <w:rFonts w:ascii="Arial" w:cs="Arial" w:eastAsia="Arial" w:hAnsi="Arial"/>
                <w:sz w:val="14"/>
                <w:szCs w:val="14"/>
                <w:color w:val="auto"/>
              </w:rPr>
              <w:t>Non-accelerated filer</w:t>
            </w:r>
          </w:p>
        </w:tc>
        <w:tc>
          <w:tcPr>
            <w:tcW w:w="26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960"/>
              <w:spacing w:after="0" w:line="157" w:lineRule="exact"/>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4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22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8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6" w:lineRule="exact"/>
        <w:rPr>
          <w:sz w:val="24"/>
          <w:szCs w:val="24"/>
          <w:color w:val="auto"/>
        </w:rPr>
      </w:pPr>
    </w:p>
    <w:p>
      <w:pPr>
        <w:jc w:val="both"/>
        <w:spacing w:after="0" w:line="218" w:lineRule="auto"/>
        <w:rPr>
          <w:sz w:val="20"/>
          <w:szCs w:val="20"/>
          <w:color w:val="auto"/>
        </w:rPr>
      </w:pPr>
      <w:r>
        <w:rPr>
          <w:rFonts w:ascii="Arial" w:cs="Arial" w:eastAsia="Arial" w:hAnsi="Arial"/>
          <w:sz w:val="14"/>
          <w:szCs w:val="14"/>
          <w:color w:val="auto"/>
        </w:rPr>
        <w:t>Aggregate market value of registrant’s common stock held by non-affiliates of the registrant on June 28, 2019, the last business day of the registrant’s most recently completed second fiscal quarter, based upon the closing price of the registrant’s common stock on such date as reported by Nasdaq Capital Market, was approximately $154,277,812. Shares of voting stock held by each officer and director have been excluded in that such persons may be deemed to be affiliates. This assumption regarding affiliate status is not necessarily a conclusive determination for other purposes.</w:t>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outstanding of the registrant’s common stock as of February 28, 2020: 20,825,469</w:t>
      </w:r>
    </w:p>
    <w:p>
      <w:pPr>
        <w:ind w:left="2960"/>
        <w:spacing w:after="0" w:line="201" w:lineRule="auto"/>
        <w:rPr>
          <w:sz w:val="20"/>
          <w:szCs w:val="20"/>
          <w:color w:val="auto"/>
        </w:rPr>
      </w:pPr>
      <w:r>
        <w:rPr>
          <w:rFonts w:ascii="Arial" w:cs="Arial" w:eastAsia="Arial" w:hAnsi="Arial"/>
          <w:sz w:val="14"/>
          <w:szCs w:val="14"/>
          <w:b w:val="1"/>
          <w:bCs w:val="1"/>
          <w:color w:val="auto"/>
        </w:rPr>
        <w:t>DOCUMENTS INCORPORATED BY REFERENCE:</w:t>
      </w:r>
    </w:p>
    <w:p>
      <w:pPr>
        <w:jc w:val="both"/>
        <w:spacing w:after="0" w:line="250" w:lineRule="auto"/>
        <w:rPr>
          <w:sz w:val="20"/>
          <w:szCs w:val="20"/>
          <w:color w:val="auto"/>
        </w:rPr>
      </w:pPr>
      <w:r>
        <w:rPr>
          <w:rFonts w:ascii="Arial" w:cs="Arial" w:eastAsia="Arial" w:hAnsi="Arial"/>
          <w:sz w:val="13"/>
          <w:szCs w:val="13"/>
          <w:color w:val="auto"/>
        </w:rPr>
        <w:t>Portions of the registrant’s definitive Proxy Statement relating to its 2020 Annual Meeting of Stockholders are incorporated by reference into Part III of this Form 10-K where indicated. The Proxy Statement will be filed with the U.S. Securities and Exchange Commission within 120 days after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239395</wp:posOffset>
            </wp:positionV>
            <wp:extent cx="5940425"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369" w:right="1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2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line="190"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70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6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Unresolved Staff Comments</w:t>
              </w:r>
            </w:hyperlink>
          </w:p>
        </w:tc>
        <w:tc>
          <w:tcPr>
            <w:tcW w:w="5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73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73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73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PART II</w:t>
            </w: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vMerge w:val="continue"/>
          </w:tcPr>
          <w:p>
            <w:pPr>
              <w:spacing w:after="0"/>
              <w:rPr>
                <w:sz w:val="24"/>
                <w:szCs w:val="24"/>
                <w:color w:val="auto"/>
              </w:rPr>
            </w:pPr>
          </w:p>
        </w:tc>
        <w:tc>
          <w:tcPr>
            <w:tcW w:w="7340" w:type="dxa"/>
            <w:vAlign w:val="bottom"/>
            <w:gridSpan w:val="21"/>
            <w:vMerge w:val="restart"/>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 of Equity</w:t>
              </w:r>
            </w:hyperlink>
          </w:p>
        </w:tc>
        <w:tc>
          <w:tcPr>
            <w:tcW w:w="0" w:type="dxa"/>
            <w:vAlign w:val="bottom"/>
          </w:tcPr>
          <w:p>
            <w:pPr>
              <w:spacing w:after="0"/>
              <w:rPr>
                <w:sz w:val="1"/>
                <w:szCs w:val="1"/>
                <w:color w:val="auto"/>
              </w:rPr>
            </w:pPr>
          </w:p>
        </w:tc>
      </w:tr>
      <w:tr>
        <w:trPr>
          <w:trHeight w:val="189"/>
        </w:trPr>
        <w:tc>
          <w:tcPr>
            <w:tcW w:w="102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Item 5.</w:t>
            </w:r>
          </w:p>
        </w:tc>
        <w:tc>
          <w:tcPr>
            <w:tcW w:w="73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gridSpan w:val="2"/>
            <w:vMerge w:val="restart"/>
          </w:tcPr>
          <w:p>
            <w:pPr>
              <w:ind w:left="180"/>
              <w:spacing w:after="0"/>
              <w:rPr>
                <w:sz w:val="20"/>
                <w:szCs w:val="20"/>
                <w:color w:val="auto"/>
              </w:rPr>
            </w:pPr>
            <w:r>
              <w:rPr>
                <w:rFonts w:ascii="Arial" w:cs="Arial" w:eastAsia="Arial" w:hAnsi="Arial"/>
                <w:sz w:val="18"/>
                <w:szCs w:val="18"/>
                <w:color w:val="auto"/>
              </w:rPr>
              <w:t>Item 6.</w:t>
            </w:r>
          </w:p>
        </w:tc>
        <w:tc>
          <w:tcPr>
            <w:tcW w:w="180" w:type="dxa"/>
            <w:vAlign w:val="bottom"/>
            <w:tcBorders>
              <w:top w:val="single" w:sz="8" w:color="0000EE"/>
            </w:tcBorders>
          </w:tcPr>
          <w:p>
            <w:pPr>
              <w:spacing w:after="0"/>
              <w:rPr>
                <w:sz w:val="13"/>
                <w:szCs w:val="13"/>
                <w:color w:val="auto"/>
              </w:rPr>
            </w:pPr>
          </w:p>
        </w:tc>
        <w:tc>
          <w:tcPr>
            <w:tcW w:w="714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w:anchor="page45">
              <w:r>
                <w:rPr>
                  <w:rFonts w:ascii="Arial" w:cs="Arial" w:eastAsia="Arial" w:hAnsi="Arial"/>
                  <w:sz w:val="18"/>
                  <w:szCs w:val="18"/>
                  <w:color w:val="0000EE"/>
                </w:rPr>
                <w:t>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gridSpan w:val="2"/>
            <w:vMerge w:val="continue"/>
          </w:tcPr>
          <w:p>
            <w:pPr>
              <w:spacing w:after="0"/>
              <w:rPr>
                <w:sz w:val="13"/>
                <w:szCs w:val="13"/>
                <w:color w:val="auto"/>
              </w:rPr>
            </w:pPr>
          </w:p>
        </w:tc>
        <w:tc>
          <w:tcPr>
            <w:tcW w:w="7340" w:type="dxa"/>
            <w:vAlign w:val="bottom"/>
            <w:gridSpan w:val="21"/>
          </w:tcPr>
          <w:p>
            <w:pPr>
              <w:spacing w:after="0" w:line="15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734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73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734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8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5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PART III</w:t>
            </w: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vMerge w:val="continue"/>
          </w:tcPr>
          <w:p>
            <w:pPr>
              <w:spacing w:after="0"/>
              <w:rPr>
                <w:sz w:val="24"/>
                <w:szCs w:val="24"/>
                <w:color w:val="auto"/>
              </w:rPr>
            </w:pPr>
          </w:p>
        </w:tc>
        <w:tc>
          <w:tcPr>
            <w:tcW w:w="7340" w:type="dxa"/>
            <w:vAlign w:val="bottom"/>
            <w:gridSpan w:val="21"/>
            <w:vMerge w:val="restart"/>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89"/>
        </w:trPr>
        <w:tc>
          <w:tcPr>
            <w:tcW w:w="102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Item 10.</w:t>
            </w:r>
          </w:p>
        </w:tc>
        <w:tc>
          <w:tcPr>
            <w:tcW w:w="73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7340" w:type="dxa"/>
            <w:vAlign w:val="bottom"/>
            <w:gridSpan w:val="21"/>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Security Ownership of Certain Beneficial Owners and Management and Related Stockholder Matters</w:t>
              </w:r>
            </w:hyperlink>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1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PART IV</w:t>
            </w: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vMerge w:val="continue"/>
          </w:tcPr>
          <w:p>
            <w:pPr>
              <w:spacing w:after="0"/>
              <w:rPr>
                <w:sz w:val="24"/>
                <w:szCs w:val="24"/>
                <w:color w:val="auto"/>
              </w:rPr>
            </w:pPr>
          </w:p>
        </w:tc>
        <w:tc>
          <w:tcPr>
            <w:tcW w:w="2900" w:type="dxa"/>
            <w:vAlign w:val="bottom"/>
            <w:gridSpan w:val="12"/>
            <w:vMerge w:val="restart"/>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Financial Statement Schedules</w:t>
              </w:r>
            </w:hyperlink>
          </w:p>
        </w:tc>
        <w:tc>
          <w:tcPr>
            <w:tcW w:w="444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vMerge w:val="continue"/>
          </w:tcPr>
          <w:p>
            <w:pPr>
              <w:spacing w:after="0"/>
              <w:rPr>
                <w:sz w:val="16"/>
                <w:szCs w:val="16"/>
                <w:color w:val="auto"/>
              </w:rPr>
            </w:pPr>
          </w:p>
        </w:tc>
        <w:tc>
          <w:tcPr>
            <w:tcW w:w="444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16.</w:t>
            </w:r>
          </w:p>
        </w:tc>
        <w:tc>
          <w:tcPr>
            <w:tcW w:w="7340" w:type="dxa"/>
            <w:vAlign w:val="bottom"/>
            <w:gridSpan w:val="2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372"/>
        </w:trPr>
        <w:tc>
          <w:tcPr>
            <w:tcW w:w="1020" w:type="dxa"/>
            <w:vAlign w:val="bottom"/>
            <w:gridSpan w:val="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80" w:type="dxa"/>
            <w:vAlign w:val="bottom"/>
            <w:gridSpan w:val="14"/>
          </w:tcPr>
          <w:p>
            <w:pPr>
              <w:ind w:left="35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-4345305</wp:posOffset>
            </wp:positionV>
            <wp:extent cx="589788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-4071620</wp:posOffset>
            </wp:positionV>
            <wp:extent cx="589788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-3796665</wp:posOffset>
            </wp:positionV>
            <wp:extent cx="589788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-3548380</wp:posOffset>
            </wp:positionV>
            <wp:extent cx="5897880"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880" cy="1117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-3214370</wp:posOffset>
            </wp:positionV>
            <wp:extent cx="589788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-2940050</wp:posOffset>
            </wp:positionV>
            <wp:extent cx="589788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-2665095</wp:posOffset>
            </wp:positionV>
            <wp:extent cx="589788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-2391410</wp:posOffset>
            </wp:positionV>
            <wp:extent cx="589788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-2142490</wp:posOffset>
            </wp:positionV>
            <wp:extent cx="589788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97880" cy="1117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-1893570</wp:posOffset>
            </wp:positionV>
            <wp:extent cx="589788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-1619885</wp:posOffset>
            </wp:positionV>
            <wp:extent cx="589788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-1345565</wp:posOffset>
            </wp:positionV>
            <wp:extent cx="589788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1117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-1122680</wp:posOffset>
            </wp:positionV>
            <wp:extent cx="58978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-848360</wp:posOffset>
            </wp:positionV>
            <wp:extent cx="589788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1111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-4602480</wp:posOffset>
            </wp:positionV>
            <wp:extent cx="58978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1200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38735</wp:posOffset>
            </wp:positionV>
            <wp:extent cx="594042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Page</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47</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56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78</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78</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79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79</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80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83</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8340" w:space="660"/>
            <w:col w:w="280"/>
          </w:cols>
          <w:pgMar w:left="1300" w:top="108" w:right="1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This Annual Report on Form 10-K, or Annual Report, contains certain “forward-looking statements” that involve substantial risks and uncertainties.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relate to future events or our future financial performance or condition and involve known and unknown risks, uncertainties and other factors that could cause our actual results, levels of activity, performance or achievement to differ materially from those expressed or implied by these forward-looking statements.</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You should read this Annual Report and the documents that we reference elsewhere in this Annual Report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and uncertainties in greater detail in this Annual Report, particularly in Part I. Item 1A. “Risk Factors.” These forward-looking statements represent our estimates and assumptions only as of the date of this Annual Report regardless of the time of delivery of this Annual Report. Except as required by law, we undertake no obligation to update or revise publicly any forward-looking statements, whether as a result of new information, future events or otherwise after the date of this Annual Report.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this Annual Report on Form 10-K, references to “Pulse,” “Pulse Biosciences,” “we,” “us,” “our” and the “Company” refer to Pulse Biosciences, Inc. and its wholly owned subsidiaries, unless expressly indicated or the context otherwise requires. Pulse Biosciences, Pulse TX, CellFX, Nano-Pulse Stimulation, NPS and the stylized logos are among the trademarks and/or registered trademarks of Pulse Biosciences, Inc. in the United States (U.S.) and other countries.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Pulse Biosciences, Inc. is a novel bioelectric medicine company committed to developing innovative health products that improve and potentially extend the lives of patients. We are pursuing regulatory clearance from the U.S. Food and Drug Administration (FDA) to market our first product, our proprietary CellFX™ System (CellFX). The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Company is working to validate the cell-specific effects of NPS technology in a series of completed and ongoing clinical studies.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We intend to commercialize novel, proprietary, and differentiated products that have the potential to significantly improve patient outcomes in the markets we intend to serve. To achieve this plan, we intend to:</w:t>
      </w:r>
    </w:p>
    <w:p>
      <w:pPr>
        <w:spacing w:after="0" w:line="117" w:lineRule="exact"/>
        <w:rPr>
          <w:sz w:val="20"/>
          <w:szCs w:val="20"/>
          <w:color w:val="auto"/>
        </w:rPr>
      </w:pPr>
    </w:p>
    <w:p>
      <w:pPr>
        <w:jc w:val="both"/>
        <w:ind w:left="640" w:hanging="316"/>
        <w:spacing w:after="0" w:line="22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Demonstrate the unique benefits of our proprietary CellFX System and its unique mechanism of action across a number of compelling indications. </w:t>
      </w:r>
      <w:r>
        <w:rPr>
          <w:rFonts w:ascii="Arial" w:cs="Arial" w:eastAsia="Arial" w:hAnsi="Arial"/>
          <w:sz w:val="17"/>
          <w:szCs w:val="17"/>
          <w:color w:val="auto"/>
        </w:rPr>
        <w:t>The CellFX System is a tunable nanosecond pulsed energy system designed for</w:t>
      </w:r>
      <w:r>
        <w:rPr>
          <w:rFonts w:ascii="Arial" w:cs="Arial" w:eastAsia="Arial" w:hAnsi="Arial"/>
          <w:sz w:val="17"/>
          <w:szCs w:val="17"/>
          <w:b w:val="1"/>
          <w:bCs w:val="1"/>
          <w:color w:val="auto"/>
        </w:rPr>
        <w:t xml:space="preserve"> </w:t>
      </w:r>
      <w:r>
        <w:rPr>
          <w:rFonts w:ascii="Arial" w:cs="Arial" w:eastAsia="Arial" w:hAnsi="Arial"/>
          <w:sz w:val="17"/>
          <w:szCs w:val="17"/>
          <w:color w:val="auto"/>
        </w:rPr>
        <w:t>use in human medicine. Our proprietary CellFX System allows for the adjustment of four key pulsing parameters: pulse duration, pulse amplitude, pulse frequency, and the number of pulses, depending on the tissue and desired treatment outcome. We have conducted and are conducting several clinical studies, including studies in Seborrheic Keratosis, the most common benign raised pigmented lesion, Sebaceous Hyperplasia, a common but difficult to treat facial lesion, Basal Cell Carcinoma, the most common form of skin cancer, cutaneous non-genital warts, and acne. We expect to conduct clinical studies on an ongoing basis to continue to demonstrate the value of our CellFX System across a growing list of valuable applications.</w:t>
      </w:r>
    </w:p>
    <w:p>
      <w:pPr>
        <w:spacing w:after="0" w:line="120" w:lineRule="exact"/>
        <w:rPr>
          <w:rFonts w:ascii="Arial" w:cs="Arial" w:eastAsia="Arial" w:hAnsi="Arial"/>
          <w:sz w:val="17"/>
          <w:szCs w:val="17"/>
          <w:color w:val="auto"/>
        </w:rPr>
      </w:pPr>
    </w:p>
    <w:p>
      <w:pPr>
        <w:jc w:val="both"/>
        <w:ind w:left="640" w:hanging="316"/>
        <w:spacing w:after="0" w:line="21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Commercialize our proprietary CellFX System and applications for its use across clinical indications cleared or approved by the FDA. </w:t>
      </w:r>
      <w:r>
        <w:rPr>
          <w:rFonts w:ascii="Arial" w:cs="Arial" w:eastAsia="Arial" w:hAnsi="Arial"/>
          <w:sz w:val="18"/>
          <w:szCs w:val="18"/>
          <w:color w:val="auto"/>
        </w:rPr>
        <w:t>During February 2019 we submitted a Pre-Market Notification 510(k) to the FDA seeking</w:t>
      </w:r>
      <w:r>
        <w:rPr>
          <w:rFonts w:ascii="Arial" w:cs="Arial" w:eastAsia="Arial" w:hAnsi="Arial"/>
          <w:sz w:val="18"/>
          <w:szCs w:val="18"/>
          <w:b w:val="1"/>
          <w:bCs w:val="1"/>
          <w:color w:val="auto"/>
        </w:rPr>
        <w:t xml:space="preserve"> </w:t>
      </w:r>
      <w:r>
        <w:rPr>
          <w:rFonts w:ascii="Arial" w:cs="Arial" w:eastAsia="Arial" w:hAnsi="Arial"/>
          <w:sz w:val="18"/>
          <w:szCs w:val="18"/>
          <w:color w:val="auto"/>
        </w:rPr>
        <w:t>clearance to commercialize our CellFX System. However, in February 2020, we received a Not Substantially Equivalent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Pending regulatory clearance, we plan to launch our CellFX System in the U.S.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Nano-Pulse Stimulation Technology Platform</w:t>
      </w:r>
    </w:p>
    <w:p>
      <w:pPr>
        <w:spacing w:after="0" w:line="148"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Our proprietary CellFX System leverages our patented NPS technology platform. NPS technology is characterized by ultrafast electrical energy pulses, with pulse durations from billionths up to a millionth of a second. When applied to targeted tissue, our NPS technology is designed to send energy pulses to cells in order to alter the function of the internal cellular organelles, including the mitochondria and endoplasmic reticulum, without disrupting extracellular tissue, leading to regulated cell death (RCD), a process exhibited by cells in the human body when they undergo stress and are unable to restore cellular homeostasis.</w:t>
      </w:r>
    </w:p>
    <w:p>
      <w:pPr>
        <w:spacing w:after="0" w:line="121"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Our proprietary CellFX System is designed to function on the basis of a unique non-toxic and non-thermal mechanism of action that likely results in a biophysical disruption brought about by the tunable speed and amplitude of our NPS pulses interacting with the physical structure of cells. While our CellFX System delivers pulses that directly affect the internal organelles of cells, these pulses should not have significant functional effect on non-cellular tissue, such as collagen, a protein that forms the structural foundation of the skin. In short, with our proprietary CellFX System, we can deliver a more selective, cell-focused effect that we believe leads to RCD while preserving surrounding non-cellular tissue, a combination that may potentially lead to highly differentiated treatment applications. Additionally, in the case of cancer this regulated cell death process may result in immunogenic cell death that stimulates the immune system to mount a systemic immune response against antigens, or markers, in those cancer cells.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Aesthetic Dermatology Procedure Market</w:t>
      </w:r>
    </w:p>
    <w:p>
      <w:pPr>
        <w:spacing w:after="0" w:line="148"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We believe our CellFX System has high potential to offer improved clinical outcomes for a broad range of dermatology conditions and aesthetic skin applications for which targeted clearance of cellular lesions or structures is medically or cosmetically desirable. Current dermatology procedures to remove lesions or undesired skin tissue typically involve either excision (e.g. surgery) or the use of heat (e.g. lasers or radiofrequency energy) or cold (e.g. cryoablation). These thermal methods of tissue destruction affect both cellular and non-cellular tissue components indiscriminately, which can lead to collateral damage of the dermal foundation in the skin.</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Based on our clinical data demonstrating the unique, non-thermal, cell targeting NPS mechanism, we believe there is a significant opportunity for our CellFX System in aesthetic and medical dermatology in the U.S. According to the 2017 Consumer Survey by the American Society for Dermatologic Surgery the number of consumers considering a cash-pay cosmetic procedure has more than doubled, from 30% in 2013 to 70% in 2017. The survey also highlighted that consumers ranked their dermatologist as the #1 influencer of skin procedure decisions. We have worked closely with top key opinion leaders (KOLs) in the aesthetic and medical dermatology field to identify those procedures and skin conditions in which our CellFX System and its unique NPS mechanism of action would offer a high value proposition.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Aesthetic Dermatology Applications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Sebaceous Hyperplasia</w:t>
      </w:r>
    </w:p>
    <w:p>
      <w:pPr>
        <w:spacing w:after="0" w:line="144" w:lineRule="exact"/>
        <w:rPr>
          <w:sz w:val="20"/>
          <w:szCs w:val="20"/>
          <w:color w:val="auto"/>
        </w:rPr>
      </w:pPr>
    </w:p>
    <w:p>
      <w:pPr>
        <w:jc w:val="both"/>
        <w:ind w:firstLine="405"/>
        <w:spacing w:after="0" w:line="214" w:lineRule="auto"/>
        <w:rPr>
          <w:sz w:val="20"/>
          <w:szCs w:val="20"/>
          <w:color w:val="auto"/>
        </w:rPr>
      </w:pPr>
      <w:r>
        <w:rPr>
          <w:rFonts w:ascii="Arial" w:cs="Arial" w:eastAsia="Arial" w:hAnsi="Arial"/>
          <w:sz w:val="18"/>
          <w:szCs w:val="18"/>
          <w:color w:val="231F20"/>
        </w:rPr>
        <w:t>Sebaceous Hyperplasia (SH) is a common, benign condition of sebaceous glands in adults of middle age or older. SH occurs when the sebaceous glands become enlarged, creating small, shiny, yellowish lesions or bumps, usually 2-4 millimeters in diameter and typically on the face. Results from our research have demonstrated that NPS has a unique ability to target cellular structures located within the dermis of the skin, such as the sebaceous gland, without damaging the dermis, making it a potentially unique and highly effective treatment modality for SH lesions and similar targets residing deeper within the dermis of the skin.</w:t>
      </w:r>
    </w:p>
    <w:p>
      <w:pPr>
        <w:spacing w:after="0" w:line="121"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6"/>
          <w:szCs w:val="16"/>
          <w:color w:val="231F20"/>
        </w:rPr>
        <w:t xml:space="preserve">During 2018 we conducted a multi-center clinical study evaluating the safety and efficacy of our NPS platform for the treatment of SH. Results from our clinical study, including 73 patients and 222 treated SH lesions, indicate that NPS technology is effective for the treatment of SH. Over 99% of treated SH lesions (221 of 222) were rated clear or mostly clear by investigators at the 60-day post treatment follow-up evaluation. Approximately 92% (n=203) </w:t>
      </w:r>
      <w:r>
        <w:rPr>
          <w:rFonts w:ascii="Arial" w:cs="Arial" w:eastAsia="Arial" w:hAnsi="Arial"/>
          <w:sz w:val="16"/>
          <w:szCs w:val="16"/>
          <w:color w:val="000000"/>
        </w:rPr>
        <w:t>of treated lesions were assessed as</w:t>
      </w:r>
      <w:r>
        <w:rPr>
          <w:rFonts w:ascii="Arial" w:cs="Arial" w:eastAsia="Arial" w:hAnsi="Arial"/>
          <w:sz w:val="16"/>
          <w:szCs w:val="16"/>
          <w:color w:val="231F20"/>
        </w:rPr>
        <w:t xml:space="preserve"> </w:t>
      </w:r>
      <w:r>
        <w:rPr>
          <w:rFonts w:ascii="Arial" w:cs="Arial" w:eastAsia="Arial" w:hAnsi="Arial"/>
          <w:sz w:val="16"/>
          <w:szCs w:val="16"/>
          <w:color w:val="000000"/>
        </w:rPr>
        <w:t>clear or mostly clear after a single treatment</w:t>
      </w:r>
      <w:r>
        <w:rPr>
          <w:rFonts w:ascii="Arial" w:cs="Arial" w:eastAsia="Arial" w:hAnsi="Arial"/>
          <w:sz w:val="16"/>
          <w:szCs w:val="16"/>
          <w:color w:val="231F20"/>
        </w:rPr>
        <w:t>. Patients in the study rated 77% of lesion outcomes as satisfied or mostly satisfied.</w:t>
      </w:r>
    </w:p>
    <w:p>
      <w:pPr>
        <w:spacing w:after="0" w:line="118"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231F20"/>
        </w:rPr>
        <w:t>We believe that the successful treatment of SH lesions reflects a valuable commercial opportunity for our CellFX System in an area of unmet need and substantiates the unique ability of NPS pulses to penetrate the dermis and target deeper cellular structures without damaging the surrounding dermis.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Seborrheic Keratosis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6"/>
          <w:szCs w:val="16"/>
          <w:color w:val="231F20"/>
        </w:rPr>
        <w:t>Seborrheic Keratosis (SK) is one of the most common non-cancerous skin growths in older adults. SK usually appear as a brown, black or light tan growth on the face, chest, shoulders or back and has a waxy, scaly, slightly elevated appearance. SK are normally painless, and patients often seek to have them removed if they become irritated by clothing or for cosmetic reasons.</w:t>
      </w:r>
    </w:p>
    <w:p>
      <w:pPr>
        <w:spacing w:after="0" w:line="106"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231F20"/>
        </w:rPr>
        <w:t>During 2017 and 2018 we conducted a multi-center clinical study evaluating the safety and efficacy of NPS technology for the treatment of SK. Results from our clinical study, including 58 patients and 174 treated SK lesions, indicate that a single NPS treatment is effective for the treatment of SK. 82% of treated SK lesions (143 of 174) were rated clear or mostly clear by investigators at the 106-day post treatment follow-up evaluation. Patients in the study rated 78% of treatment outcomes as satisfied or mostly satisfied.</w:t>
      </w:r>
    </w:p>
    <w:p>
      <w:pPr>
        <w:spacing w:after="0" w:line="122"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We believe that the results of this clinical study provide support to pursue commercial opportunities for the CellFX System in the treatment of 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Dermatology Application Feasibility Studies</w:t>
      </w:r>
    </w:p>
    <w:p>
      <w:pPr>
        <w:spacing w:after="0" w:line="144"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8"/>
          <w:szCs w:val="18"/>
          <w:color w:val="auto"/>
        </w:rPr>
        <w:t>We expect to conduct clinical studies on an ongoing basis to continue to evaluate clinical opportunities for and demonstrate the value of our CellFX System across a growing list of valuable indications, including: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Cutaneous Warts</w:t>
      </w:r>
    </w:p>
    <w:p>
      <w:pPr>
        <w:spacing w:after="0" w:line="144" w:lineRule="exact"/>
        <w:rPr>
          <w:sz w:val="20"/>
          <w:szCs w:val="20"/>
          <w:color w:val="auto"/>
        </w:rPr>
      </w:pPr>
    </w:p>
    <w:p>
      <w:pPr>
        <w:jc w:val="both"/>
        <w:ind w:firstLine="405"/>
        <w:spacing w:after="0" w:line="219" w:lineRule="auto"/>
        <w:rPr>
          <w:sz w:val="20"/>
          <w:szCs w:val="20"/>
          <w:color w:val="auto"/>
        </w:rPr>
      </w:pPr>
      <w:r>
        <w:rPr>
          <w:rFonts w:ascii="Arial" w:cs="Arial" w:eastAsia="Arial" w:hAnsi="Arial"/>
          <w:sz w:val="18"/>
          <w:szCs w:val="18"/>
          <w:color w:val="auto"/>
        </w:rPr>
        <w:t>During 2018 we initiated a 20-patient, multi-center clinical feasibility study evaluating the safety and effectiveness of our CellFX System for the treatment of non-genital cutaneous warts. Non-genital cutaneous warts are benign grainy skin growths that are typically caused by the human papillomavirus. Results from this study will inform decisions regarding opportunities for future clinical studies for the treatment of warts.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Acne</w:t>
      </w:r>
    </w:p>
    <w:p>
      <w:pPr>
        <w:spacing w:after="0" w:line="14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6"/>
          <w:szCs w:val="16"/>
          <w:color w:val="auto"/>
        </w:rPr>
        <w:t>During early 2019 we initiated a multi-center clinical feasibility study evaluating the safety and effectiveness of our CellFX System for the treatment of acne on the back. Back acne is characterized by eruptions of pimples, pustules, blackheads and/or cysts, often on the upper back, and is generally caused by the same factors that trigger facial acne, namely overactive sebaceous glands that lead to the proliferation of acne related bacteria. Our unique ability to target the sebaceous gland, as evidenced by the impressive results from our sebaceous hyperplasia study, led our dermatology advisory board to encourage us to pursue a feasibility study in acne, based on the role of the sebaceous glands in chronic acne eruptions.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Nano-Pulse Stimulation Initiated Immunogenic Cell Death</w:t>
      </w:r>
    </w:p>
    <w:p>
      <w:pPr>
        <w:spacing w:after="0" w:line="148" w:lineRule="exact"/>
        <w:rPr>
          <w:sz w:val="20"/>
          <w:szCs w:val="20"/>
          <w:color w:val="auto"/>
        </w:rPr>
      </w:pPr>
    </w:p>
    <w:p>
      <w:pPr>
        <w:jc w:val="both"/>
        <w:ind w:firstLine="405"/>
        <w:spacing w:after="0" w:line="212" w:lineRule="auto"/>
        <w:rPr>
          <w:sz w:val="20"/>
          <w:szCs w:val="20"/>
          <w:color w:val="auto"/>
        </w:rPr>
      </w:pPr>
      <w:r>
        <w:rPr>
          <w:rFonts w:ascii="Arial" w:cs="Arial" w:eastAsia="Arial" w:hAnsi="Arial"/>
          <w:sz w:val="18"/>
          <w:szCs w:val="18"/>
          <w:color w:val="auto"/>
        </w:rPr>
        <w:t>In previously published pre-clinical models of cancerous lesions, NPS treatment has been shown to induce immunogenic cell death, a process that leads to the exposure of the unique cancer cell antigens to the immune system, resulting in the generation of cytotoxic T-cells and the mounting of an adaptive immune response targeted against those cells, without any observed toxic side effects. Based on this foundation of pre-clinical evidence, we believe NPS technology has the potential to play a role in immuno-oncology. Applications in immuno-oncology are a longer-term potential opportunity and may require the use of adjuvants or other agents in combination with NPS. We continue to evaluate NPS technology and our CellFX System in clinical and pre-clinical studies.</w:t>
      </w:r>
    </w:p>
    <w:p>
      <w:pPr>
        <w:spacing w:after="0" w:line="124"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7"/>
          <w:szCs w:val="17"/>
          <w:color w:val="231F20"/>
        </w:rPr>
        <w:t>During 2018 we commenced a clinical biomarker study to evaluate the CellFX System and NPS technology in Basal Cell Carcinoma (BCC), the most prevalent form of skin cancer. We believe BCC represents a bridge between our developments in dermatology and those in oncology. This is our first human study in cancer and it will allow us to look at both the ability of CellFX System and NPS pulses to treat BCC lesion cells and the immune response changes as a result of treatment. This is not a therapeutic endpoint study, but it is an important first step that enables us to move quickly to demonstrate safety and NPS technology effect in treating skin cancer while providing necessary information to inform decisions relative to next steps towards a follow-on study aimed at a therapeutic endpoint.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CellFX System</w:t>
      </w:r>
    </w:p>
    <w:p>
      <w:pPr>
        <w:spacing w:after="0" w:line="14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We have developed and plan to commercialize our proprietary CellFX System into the large and growing aesthetic procedure market as our first commercial market. The CellFX System is a platform, designed to support a wide array 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applications in aesthetic dermatology and potentially in other medical disciplines. We believe our CellFX System is an ideal tunable nanosecond pulsed energy delivery system designed and used in human medicine. Our CellFX System allows for the adjustment of four key treatment parameters: pulse duration, pulse amplitude, pulse frequency, and the number of pulses, depending on the target tissue, application and desired treatment outcome.</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CellFX System currently includes a multi-use handpiece and an initial family of five (5) single-patient use dermatology treatment tips. The system is designed to operate in a variety of medical environments, including a physician’s office or clinic, as well as outpatient surgery centers or hospitals. The system is a mobile cart-based system that can easily be transported from room to room and plugs into a standard wall outlet adaptable to either U.S. or international power sources.</w:t>
      </w:r>
    </w:p>
    <w:p>
      <w:pPr>
        <w:spacing w:after="0" w:line="11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treatment tips enable treatment of a variety of lesion sizes, from 1.5mm to 10mm square, and wirelessly connect to our CellFX System when they are plugged into the handpiece. This enables the use of automated treatment settings based on the treatment tip being utilized.</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CellFX System and its component parts are engineered for volume manufacturing and the use of outsourced contract manufacturing partners to ensure our ability to meet anticipated demand while effectively managing underlying system costs that support a profitable sale of the CellFX System at competitive price points.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Profile of Our NPS Technology Platform</w:t>
      </w:r>
    </w:p>
    <w:p>
      <w:pPr>
        <w:spacing w:after="0" w:line="144"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During the course of conducting human clinical studies in dermatology with the NPS platform to support an FDA filing at leading dermatology research centers across the U.S., no serious adverse events have been reported and patient tolerance to the procedure has been very high. A histological study of treated human tissue examined by experts in dermatopathology revealed a unique and consistent cell-specific mechanism of action and a predictable healing response that spared non-cellular dermal tissue across a wide range of skin types and patient demographics.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48" w:lineRule="exact"/>
        <w:rPr>
          <w:sz w:val="20"/>
          <w:szCs w:val="20"/>
          <w:color w:val="auto"/>
        </w:rPr>
      </w:pPr>
    </w:p>
    <w:p>
      <w:pPr>
        <w:jc w:val="both"/>
        <w:ind w:firstLine="486"/>
        <w:spacing w:after="0" w:line="214" w:lineRule="auto"/>
        <w:rPr>
          <w:sz w:val="20"/>
          <w:szCs w:val="20"/>
          <w:color w:val="auto"/>
        </w:rPr>
      </w:pPr>
      <w:r>
        <w:rPr>
          <w:rFonts w:ascii="Arial" w:cs="Arial" w:eastAsia="Arial" w:hAnsi="Arial"/>
          <w:sz w:val="18"/>
          <w:szCs w:val="18"/>
          <w:color w:val="auto"/>
        </w:rPr>
        <w:t>During February 2019, we submitted a Pre-Market Notification 510(k) to the FDA seeking clearance to commercialize our CellFX System. However,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Pending regulatory clearance, we plan to launch our CellFX System in the U.S. The commercialization strategy for our CellFX System is comprised of three primary elements:</w:t>
      </w:r>
    </w:p>
    <w:p>
      <w:pPr>
        <w:spacing w:after="0" w:line="121" w:lineRule="exact"/>
        <w:rPr>
          <w:sz w:val="20"/>
          <w:szCs w:val="20"/>
          <w:color w:val="auto"/>
        </w:rPr>
      </w:pPr>
    </w:p>
    <w:p>
      <w:pPr>
        <w:jc w:val="both"/>
        <w:ind w:left="640" w:hanging="316"/>
        <w:spacing w:after="0" w:line="21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 the process of building a sales and marketing team comprised of professionals with experience in delivering products and applications into the aesthetic dermatology market and have long-standing relationships with the key opinion leaders, clinics and customers. We plan to scale our sales and marketing infrastructure along with the growth of the business;</w:t>
      </w:r>
    </w:p>
    <w:p>
      <w:pPr>
        <w:spacing w:after="0" w:line="122"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leverage and expand our existing relationships with our KOL advisors. These opinion leaders have significant influence on their peers and on the adoption of new technologies and treatment modalities through podium presentations at major meetings and media exposure in major markets; and</w:t>
      </w:r>
    </w:p>
    <w:p>
      <w:pPr>
        <w:spacing w:after="0" w:line="122" w:lineRule="exact"/>
        <w:rPr>
          <w:rFonts w:ascii="Arial" w:cs="Arial" w:eastAsia="Arial" w:hAnsi="Arial"/>
          <w:sz w:val="18"/>
          <w:szCs w:val="18"/>
          <w:color w:val="auto"/>
        </w:rPr>
      </w:pPr>
    </w:p>
    <w:p>
      <w:pPr>
        <w:jc w:val="both"/>
        <w:ind w:left="640" w:hanging="316"/>
        <w:spacing w:after="0" w:line="21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conduct clinical studies and work with our KOLs to pursue additional applications for which our cell specific mechanism of action is enabling. We have already started our evaluation for the treatment of warts, acne and basal cell carcinoma. Our application development pipeline continues to reveal additional targets that have potential to add to the utilization potential of our future growing installed base.</w:t>
      </w:r>
    </w:p>
    <w:p>
      <w:pPr>
        <w:spacing w:after="0" w:line="12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We believe knowledgeable salespersons who can convey and assist the clinician in delivering the value of our CellFX System to patients, success of early adopter KOLs, and the increasing utility of our CellFX System with meaningful clinical data greatly enhances our ability to attract customers and promote ongoing utilization of installed systems.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16"/>
          <w:szCs w:val="16"/>
          <w:color w:val="auto"/>
        </w:rPr>
        <w:t>We maintain a portfolio of intellectual property surrounding our CellFX System and our NPS technology platform. As a medical technology company our current patents and ongoing intellectual property development are, and will continue to be, a priority for our business. We believe our intellectual property is an important competitive advantage for us. We also rely on trade secrets, know-how, continuing technological innovations and licensing opportunities to further develop, maintain and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strengthen our competitive position. We actively protect our intellectual property through a combination of patent registrations, trademarks, and copyright protections; confidentiality agreements with our employees, consultants and other parties; and access control to sensitive information.</w:t>
      </w:r>
    </w:p>
    <w:p>
      <w:pPr>
        <w:spacing w:after="0" w:line="12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We own or have a license to 95 issued patents worldwide and have 94 patent applications pending worldwide, with the earliest expiration of nine U.S.-issued licensed patents in 2020 and the latest in 2037. As in the past, we plan to continue to file new patent applications to protect our systems, algorithms, applicators, methods, and designs of our technologies and products as they evolve. Medical technologies such as ours may be utilized in many different applications and incorporate several patentable features, and our strategy will be to always strive to protect our products and technologies with multiple patents directed to the variety of features and applications, in order to establish a strong defense against competitors and such that an expiration of a single patent does not lessen our overall comprehensive coverage. We believe our NPS platform and current CellFX System are protected by several issued patents covered, as well as pending applications.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Since inception, the majority of our business has focused on the development of our CellFX System and earlier clinical versions of the system, conducting clinical studies, including dermatology studies in SK, SH, warts, acne and BCC, and pre-clinical and basic research into the unique mechanism of action of our NPS technology platform. We continue to conduct research and development activities in pursuit of commercial applications for our CellFX System but have not yet commercialized or recognized revenue from our technology.</w:t>
      </w:r>
    </w:p>
    <w:p>
      <w:pPr>
        <w:spacing w:after="0" w:line="122"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development of our proprietary CellFX System has involved a multi-disciplinary effort including; electrical, mechanical, biomedical, and software engineers to design and integrate the various elements of our CellFX System and its predecessors; clinical research specialists to plan and conduct clinical studies; and research scientists to assess and interpret the focal and systemic biological effects of our technology. We believe we can expand the potential of our CellFX System through ongoing innovation and additional clinical studies demonstrating safety and efficacy in additional dermatologic conditions and additional therapeutic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The applications we intend to target are subject to intense competition from rapidly evolving companies and new scientific discoveries. We compete against well-established incumbent technologies offering products in oncology, dermatology and aesthetics, minimally invasive procedures, and veterinary applications. Given the broad scope of our technology, we face competition ranging from large manufacturers with multiple business lines to small companies with focused products, as well as providers of other medical therapies and therapeutics for conditions that our products are intended to treat. Some of these companies currently have greater financial, technical, research and/or other resources than we do and have larger and more established manufacturing capabilities and marketing, sales and support functions. Our future success will depend on our ability to establish and maintain a competitive position in current and future technologies. Our technology is unique and differentiated in that NPS technology stimulates primarily intracellular cell death which we believe would be less traumatic to treated tissue and would result in less scarring or collateral damage to surrounding tissues.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The CellFX System is a medical device subject to extensive and ongoing regulation by the FDA under the Federal Food, Drug, and Cosmetic Act and its implementing regulations, as well as other federal and state regulatory bodies in the U.S. The laws and regulations govern, among other things, product design and development, pre-clinical and clinical testing, manufacturing, packaging, labeling, storage, recordkeeping and reporting, clearance or approval, marketing, distribution, promotion, import and export, and post-marketing surveillance.</w:t>
      </w:r>
    </w:p>
    <w:p>
      <w:pPr>
        <w:spacing w:after="0" w:line="125"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The FDA regulates the medical device market to ensure the safety and efficacy of these products. For medical devices that require pre-market review, the FDA allows for three clearance/approval pathways for a medical device to be commercialized: approval via a Pre-market Approval Application (PMA), clearance of a 510(k) submission, or submission of a de novo application. The FDA has established three different classes of medical devices, based on the level of risk associated with using a device and consequent degree of regulatory controls needed to govern its safety and efficacy, as well as the appropriate clearance/approval pathway needed to obtain authorization to legally market a medical device in the U.S.</w:t>
      </w:r>
    </w:p>
    <w:p>
      <w:pPr>
        <w:spacing w:after="0" w:line="120"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Class I and Class II devices are considered low and moderate risk devices. Most Class I devices are exempt from premarket notification. Most Class II devices require 510(k) clearance from the FDA in order to be marketed in the U.S. A 510(k) Premarket Notification is a premarket submission made to the FDA to demonstrate that the device to be marketed 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substantially equivalent to a legally marketed Class II device, or a predicate. Companies making a 510(k) submission must compare their 510(k) candidate device to a predicate device, and establish substantial equivalence to the satisfaction of FDA. A device previously cleared under 510(k) or a device approved through a de novo application can be used as a predicate device for later developed substantially equivalent medical devices. However, establishing substantial equivalence in a 510(k) submission requires the candidate device to have the same intended use and the same technological characteristics as a predicate device. The FDA has a 90-calendar day review goal from the date of receipt of the 510(k) to either authorize or decline commercial distribution of the device, but clearance generally takes longer than 90 days. During the review process, the FDA may also request additional information which extends the review process. If the FDA decides that the product is not substantially equivalent to a predicate device, a clearance will not be granted and the device cannot be commercialized. If a 510(k) submission is rejected by FDA, the applicant may be required to seek premarket authorization through the de novo pathway or the premarket approval pathway, which are more costly and will generally take longer for FDA approval.</w:t>
      </w:r>
    </w:p>
    <w:p>
      <w:pPr>
        <w:spacing w:after="0" w:line="16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Medical devices regarded as the highest risk by the FDA are typically designated Class III and generally require the submission of a PMA application for approval. Class III devices generally include life-sustaining, life-supporting, or implantable devices or devices without a known predicate technology already approved by the FDA. A PMA application must be accompanied by substantial data that supports the reasonable safety and efficacy of the device, which includes the provision of pre-clinical, clinical, technical, manufacturing and labeling information. After the FDA determines the application is sufficiently complete to commence a substantive review, it has 180 days to review the submission, but it can typically take longer (up to several years) as this regulatory body can request additional data, including clinical data or clarifications. The FDA may also impose additional regulatory scrutiny for a PMA, including the institution of an outside advisory committee (panel review) to assess the application or provide recommendations as to whether to approve the device. Although the FDA is not required to follow the recommendation of an advisory panel, it generally does. As part of the review, the FDA will also inspect the manufacturing operations of the company requesting approval to verify compliance with Quality System regulations.</w:t>
      </w:r>
    </w:p>
    <w:p>
      <w:pPr>
        <w:spacing w:after="0" w:line="124"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w:t>
      </w:r>
    </w:p>
    <w:p>
      <w:pPr>
        <w:spacing w:after="0" w:line="122"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After a device receives 510(k) clearance or PMA approval, any modification that could significantly affect its safety or effectiveness, or that would constitute a major change in its intended use, will require a new 510(k) clearance or PMA Supplemental approval. The FDA requires each manufacturer to make this determination initially, but the FDA can review any such decision and can disagree with a manufacturer’s determination. If the FDA disagrees with the determination not to seek a new 510(k) clearance or PMA Supplement, the FDA may retroactively require a new 510(k) clearance or PMA Supplements to be submitted. The FDA could also require a manufacturer to cease marketing and distribution and/or recall the modified device until clearance or approval is obtained. Also, in these circumstances, the manufacturer may be subject to significant regulatory fines, penalties, and possible warning letters.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After a device is placed on the market after FDA clearance or approval, numerous FDA regulatory requirements continue to apply. These include:</w:t>
      </w:r>
    </w:p>
    <w:p>
      <w:pPr>
        <w:spacing w:after="0" w:line="121" w:lineRule="exact"/>
        <w:rPr>
          <w:sz w:val="20"/>
          <w:szCs w:val="20"/>
          <w:color w:val="auto"/>
        </w:rPr>
      </w:pPr>
    </w:p>
    <w:p>
      <w:pPr>
        <w:jc w:val="both"/>
        <w:ind w:left="640" w:hanging="316"/>
        <w:spacing w:after="0" w:line="22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FDA’s Quality System Regulation (QSR) which requires manufacturers, including third-party manufacturers, to follow stringent design, testing, control, documentation and other quality assurance procedures during all aspects of the manufacturing process;</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left="640" w:hanging="316"/>
        <w:spacing w:after="0" w:line="22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The FDA has broad post-market and regulatory enforcement powers. 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06"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Failure to comply with applicable regulatory requirements can result in enforcement action by FDA, which may include any of the following sanctions:</w:t>
      </w:r>
    </w:p>
    <w:p>
      <w:pPr>
        <w:spacing w:after="0" w:line="121"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products, new intended uses or modifications to existing products;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withdrawing 510(k) clearance or premarket approval that has already been granted;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System for Medical Devices in Europe</w:t>
      </w:r>
    </w:p>
    <w:p>
      <w:pPr>
        <w:spacing w:after="0" w:line="144"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The European Union (EU) consists of 28-member states and has a coordinated system for the authorization of medical devices. Marketing medical devices in the EU is subject to compliance with the Medical Devices Directive 93/92/EEC (MDD) and the European Medical Device Regulation (MDR), which becomes effective in May 2020. A medical device may be placed on the market within the EU only if it conforms to certain “essential requirements” and bears the CE Mark. The most fundamental and essential requirement is that a medical device must be designed and manufactured in such a way that it will not compromise the clinical condition or safety of patients, or the safety and health of users and others. In addition, the device must achieve the essential performance(s) intended by the manufacturer and be designed, manufactured and packaged in a suitable manner.</w:t>
      </w:r>
    </w:p>
    <w:p>
      <w:pPr>
        <w:spacing w:after="0" w:line="12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Manufacturers must demonstrate that their devices conform to the relevant essential requirements through a conformity assessment procedure. The nature of the assessment depends upon the classification of the device. The classification rules are mainly based on three criteria: the length of time the device is in contact with the body, the degree of invasiveness and the extent to which the device affects the anatomy. Conformity assessment procedures for all but the lowest risk classification of device involve a notified body. Notified bodies are often private entities and are authorized or licensed to perform such assessments by government authorities. Manufacturers usually have some flexibility to select a notified body for the conformity assessment procedures for a particular class of device and to reflect their circumstances, e.g., the likelihood that the manufacturer will make frequent modifications to its products.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Application of the CE Mark allows the general commercializing of a product in the EU. The product can also be subjected to local registration requirements depending on the country.</w:t>
      </w:r>
    </w:p>
    <w:p>
      <w:pPr>
        <w:spacing w:after="0" w:line="125"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In May 2017, the EU adopted MDR, which will repeal and replace the MDD with effect from May 26, 2020. The MDR clearly envisages, among other things, stricter controls of medical devices, including strengthening of the conformity assessment procedures, increased expectations with respect to clinical data for devices and pre-market regulatory review of high-risk devices. The MDR also envisages greater control over notified bodies and their standards, increased transparency, more robust device vigilance requirements and clarification of the rules for clinical investigations. Under transitional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provisions, medical devices with notified body certificates issued under the MDD prior to May 26, 2020, and which have not been significantly changed, may continue to be placed on the market for the remaining validity of the certificate, until May 27, 2024 at the latest. After the expiry of any applicable transitional period, only devices that have been CE marked under the MDR may be placed on the market in the EU.</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144"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The Health Insurance Portability and Accountability Act of 1996 (HIPAA) impacts the transmission, maintenance, use and disclosure of certain individually identifiable health information (referred to as protected health information, or PHI). Since HIPAA was enacted in 1996, numerous implementing regulations have been issued, including, but not limited to: (1) standards for the privacy of individually identifiable health information (the Privacy Rule), (2) standards to protect the confidentiality, integrity and security of electronic protected health information (the Security Rule), (3) standards for electronic transactions,</w:t>
      </w:r>
    </w:p>
    <w:p>
      <w:pPr>
        <w:jc w:val="both"/>
        <w:spacing w:after="0" w:line="239" w:lineRule="auto"/>
        <w:tabs>
          <w:tab w:leader="none" w:pos="261" w:val="left"/>
        </w:tabs>
        <w:numPr>
          <w:ilvl w:val="0"/>
          <w:numId w:val="8"/>
        </w:numPr>
        <w:rPr>
          <w:rFonts w:ascii="Arial" w:cs="Arial" w:eastAsia="Arial" w:hAnsi="Arial"/>
          <w:sz w:val="16"/>
          <w:szCs w:val="16"/>
          <w:color w:val="auto"/>
        </w:rPr>
      </w:pPr>
      <w:r>
        <w:rPr>
          <w:rFonts w:ascii="Arial" w:cs="Arial" w:eastAsia="Arial" w:hAnsi="Arial"/>
          <w:sz w:val="16"/>
          <w:szCs w:val="16"/>
          <w:color w:val="auto"/>
        </w:rPr>
        <w:t>a standard unique national provider identifier for providers and health plans, and (5) the HHS Breach Notification Rule. We refer to these rules, as well as similar state laws applicable to our operations, as the HIPAA Rules. The U.S. Department of Health and Human Services (HHS) has also issued regulations governing the enforcement of the HIPAA Rules, the violation of which potentially includes significant criminal and civil penalties. Furthermore, many states have similar laws and regulations applicable to our operations, including but not limited to state data security breach requirements.</w:t>
      </w:r>
    </w:p>
    <w:p>
      <w:pPr>
        <w:spacing w:after="0" w:line="121"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6"/>
          <w:szCs w:val="16"/>
          <w:color w:val="auto"/>
        </w:rPr>
        <w:t>The HIPAA Rules apply to “covered entities,” which includes healthcare providers who conduct certain transactions electronically, including but not limited to the electronic submission of health care claims to an insurance carrier. We also provide services to customers that are directly regulated entities under HIPAA and the HIPAA Rules, and we are required to provide satisfactory written assurances to these customers through our written agreements that we will provide our services in accordance with HIPAA and the HIPAA Rules. As such, HIPAA and the HIPAA Rules apply to various aspects of our business.</w:t>
      </w:r>
    </w:p>
    <w:p>
      <w:pPr>
        <w:spacing w:after="0" w:line="11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On February 17, 2009, Congress enacted Subtitle D of the Health Information Technology for Economic and Clinical Health Act (HITECH) provisions of the American Recovery and Reinvestment Act of 2009. This law includes strengthened federal privacy and security provisions to protect PHI, such as the notification requirements set forth in the Breach Notification Rule. On January 25, 2013, the Office for Civil Rights (OCR) of the HHS published its final rule to modify the HIPAA Privacy, Security, Breach and Enforcement Rules, including most revisions/additions made by the HITECH. The rule became effective on March 23, 2013, and entities and business associates covered by the rule were required to comply with most of the applicable requirements by September 23, 2013.</w:t>
      </w:r>
    </w:p>
    <w:p>
      <w:pPr>
        <w:spacing w:after="0" w:line="124"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are currently subject to HIPAA and the HIPAA rules. We are subject to audit under the HHS, HITECH-mandated audit program. We may also be audited in connection with a privacy complaint. We are subject to prosecution and/or administrative enforcement and increased civil and criminal penalties for non-compliance, including a new, four-tiered system of monetary penalties adopted under HITECH. We are also subject to enforcement by state attorneys general who were given authority to enforce HIPAA under HITECH. To avoid penalties under the HITECH breach notification provisions, we must ensure that breaches of protected health information are promptly detected and reported within the company, so that we can make all required notifications on a timely basis. However, even if we make required reports on a timely basis, we may still be subject to penalties for the underlying breach.</w:t>
      </w:r>
    </w:p>
    <w:p>
      <w:pPr>
        <w:spacing w:after="0" w:line="126"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In addition to the federal privacy regulations, there are a number of state laws regarding the privacy and security of health information and personal data that are applicable to clinical laboratories. The compliance requirements of these laws, including additional breach reporting requirements, and the penalties for violation vary widely and new privacy and security laws in this area are evolving. Requirements of these laws and penalties for violations vary widely, and new laws and regulations governing privacy and data security may be adopted in the future. We have taken steps to comply with health information privacy and security statutes and regulations in all jurisdictions, both state and federal, that apply to us. However, we may not be able to maintain compliance in all jurisdictions where we do business, and even if we are compliant, we may face allegations that we are not. Any actual or alleged failure to maintain compliance, or changes in state or federal laws regarding privacy or security, could result in regulatory investigations, enforcement actions, and civil and/or criminal penalties and could have a material adverse effect on our business.</w:t>
      </w:r>
    </w:p>
    <w:p>
      <w:pPr>
        <w:spacing w:after="0" w:line="122"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Foreign Fraud and Abuse Laws</w:t>
      </w:r>
    </w:p>
    <w:p>
      <w:pPr>
        <w:spacing w:after="0" w:line="14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Because of the significant federal funding involved in Medicare and Medicaid, Congress and the states have enacted, and actively enforce, a number of laws to eliminate fraud and abuse in federal healthcare programs. Our business is subject to compliance with these laws. In March 2010, the Patient Protection and Affordable Care Act, as amended by the Healthcare and Education Affordability Reconciliation Act, which we refer to collectively as the Affordable Care Act, was enacted in the U.S. The provisions of the Affordable Care Act are effective on various dates. The Affordable Care Act expands the government’s investigative and enforcement authority and increases the penalties for fraud and abuse, including amendments to both the Anti-Kickback Statute and the False Claims Act, to make it easier to bring suit under these statutes. The Affordable Care Act also allocates additional resources and tools for the government to police healthcare fraud, with expanded subpoena power for HHS, additional funding to investigate fraud and abuse across the healthcare system and expanded use of recovery audit contractors for enforcement.</w:t>
      </w:r>
    </w:p>
    <w:p>
      <w:pPr>
        <w:spacing w:after="0" w:line="122"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i w:val="1"/>
          <w:iCs w:val="1"/>
          <w:color w:val="auto"/>
        </w:rPr>
        <w:t xml:space="preserve">Anti-Kickback Statutes. </w:t>
      </w:r>
      <w:r>
        <w:rPr>
          <w:rFonts w:ascii="Arial" w:cs="Arial" w:eastAsia="Arial" w:hAnsi="Arial"/>
          <w:sz w:val="18"/>
          <w:szCs w:val="18"/>
          <w:color w:val="auto"/>
        </w:rPr>
        <w:t>The federal healthcare programs’ Anti-Kickback Statute prohibits persons or entities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Medicare or Medicaid.</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The definition of “remuneration” has been broadly interpreted to include anything of value, including, for example, gifts, certain discounts, the furnishing of free supplies, equipment or services, credit arrangements, payment of cash and waivers of payments. Several courts have interpreted the statute’s intent requirement to mean that if any one purpose of an arrangement involving remuneration for inducing referrals of federal healthcare covered businesses, a violation of the statute can be found. Penalties for violations include criminal penalties and civil sanctions such as fines, imprisonment and possible exclusion from Medicare, Medicaid and other federal healthcare programs. In addition, a kickback violation can serve as a predicate for a violation under the Federal False Claims Act, discussed in more detail below.</w:t>
      </w:r>
    </w:p>
    <w:p>
      <w:pPr>
        <w:spacing w:after="0" w:line="12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The Anti-Kickback Statute is broad and prohibits many arrangements and practices that are otherwise lawful in businesses outside of the healthcare industry. Recognizing that the Anti-Kickback Statute is broad and may technically prohibit many innocuous or beneficial arrangements, Congress authorized the Office of Inspector General (OIG), of HHS to issue a series of regulations known as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per se illegal or that prosecution will be pursued. However, conduct and business arrangements that do not fully satisfy an applicable safe harbor may result in increased scrutiny by government enforcement authorities such as OIG.</w:t>
      </w:r>
    </w:p>
    <w:p>
      <w:pPr>
        <w:spacing w:after="0" w:line="126"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Many states have adopted laws similar to the Anti-Kickback Statute. Some of these state prohibitions apply to referral of recipients for healthcare items or services reimbursed by any source, not only the Medicare and Medicaid programs.</w:t>
      </w:r>
    </w:p>
    <w:p>
      <w:pPr>
        <w:spacing w:after="0" w:line="106"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Government officials have focused their enforcement efforts on the marketing of healthcare services and products, among other activities, and recently have brought cases against companies, and certain individual sales, marketing and executive personnel, for allegedly offering unlawful inducements to potential or existing customers in an attempt to procure their business.</w:t>
      </w:r>
    </w:p>
    <w:p>
      <w:pPr>
        <w:spacing w:after="0" w:line="106"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 xml:space="preserve">Federal </w:t>
      </w:r>
      <w:r>
        <w:rPr>
          <w:rFonts w:ascii="Arial" w:cs="Arial" w:eastAsia="Arial" w:hAnsi="Arial"/>
          <w:sz w:val="17"/>
          <w:szCs w:val="17"/>
          <w:i w:val="1"/>
          <w:iCs w:val="1"/>
          <w:color w:val="auto"/>
        </w:rPr>
        <w:t>False Claims Act.</w:t>
      </w:r>
      <w:r>
        <w:rPr>
          <w:rFonts w:ascii="Arial" w:cs="Arial" w:eastAsia="Arial" w:hAnsi="Arial"/>
          <w:sz w:val="17"/>
          <w:szCs w:val="17"/>
          <w:color w:val="auto"/>
        </w:rPr>
        <w:t xml:space="preserve"> Another broad statute affecting the healthcare industry is the increased use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violated the False Claims Act and to share in any monetary recovery. In recent years, the number of suits brought against healthcare providers by private individuals has increased dramatically. In addition, various states have enacted false claims laws analogous to the False Claims Act, and many of these state laws apply where a claim is submitted to any third-party payor and not just a federal healthcare program.</w:t>
      </w:r>
    </w:p>
    <w:p>
      <w:pPr>
        <w:spacing w:after="0" w:line="128"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When an entity is determined to have violated the False Claims Act, it may be required to pay up to three times the actual damages sustained by the government, plus civil penalties of between $11,463 and $22,927 for each separate instance of false claim, subject to adjustment for inflation. As part of any settlement, the government may ask the entity to enter into a corporate integrity agreement, which imposes certain compliance, certification and reporting obligations. There are many potential bases for liability under the False Claims Act. Liability arises, primarily, when an entity knowingly submits, or causes another to submit, a false claim for reimbursement to the federal government. The federal government has used the False Claims Act to assert liability on the basis of inadequate care, non-compliance with medical necessity criteria, kickbacks and other improper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referrals, and improper use of Medicare numbers when detailing the provider of services, in addition to the more predictable allegations as to misrepresentations with respect to the services rendered. In addition, the federal government has prosecuted companies under the False Claims Act in connection with off-label promotion of products. Our future activities relating to the reporting of wholesale or estimated retail prices of our products, the reporting of discount and rebate information and other information affecting federal, state and third-party reimbursement of our products and the sale and marketing of our products may be subject to scrutiny under these laws.</w:t>
      </w:r>
    </w:p>
    <w:p>
      <w:pPr>
        <w:spacing w:after="0" w:line="12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While we are unaware of any current matters, we are unable to predict whether we will be subject to actions under the False Claims Act or a similar state law, or the impact of such actions. However, the costs of defending such claims, as well as any sanctions imposed, could significantly affect our financial performance.</w:t>
      </w:r>
    </w:p>
    <w:p>
      <w:pPr>
        <w:spacing w:after="0" w:line="122"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7"/>
          <w:szCs w:val="17"/>
          <w:i w:val="1"/>
          <w:iCs w:val="1"/>
          <w:color w:val="auto"/>
        </w:rPr>
        <w:t xml:space="preserve">The Sunshine Act. </w:t>
      </w:r>
      <w:r>
        <w:rPr>
          <w:rFonts w:ascii="Arial" w:cs="Arial" w:eastAsia="Arial" w:hAnsi="Arial"/>
          <w:sz w:val="17"/>
          <w:szCs w:val="17"/>
          <w:color w:val="auto"/>
        </w:rPr>
        <w:t>The Physician Payment Sunshine Act (the Sunshine Act), which was enacted as part of the Affordable</w:t>
      </w:r>
      <w:r>
        <w:rPr>
          <w:rFonts w:ascii="Arial" w:cs="Arial" w:eastAsia="Arial" w:hAnsi="Arial"/>
          <w:sz w:val="17"/>
          <w:szCs w:val="17"/>
          <w:i w:val="1"/>
          <w:iCs w:val="1"/>
          <w:color w:val="auto"/>
        </w:rPr>
        <w:t xml:space="preserve"> </w:t>
      </w:r>
      <w:r>
        <w:rPr>
          <w:rFonts w:ascii="Arial" w:cs="Arial" w:eastAsia="Arial" w:hAnsi="Arial"/>
          <w:sz w:val="17"/>
          <w:szCs w:val="17"/>
          <w:color w:val="auto"/>
        </w:rPr>
        <w:t>Care Act, requires applicable manufacturers and certain distributors of prescription drugs, devices, biologics or other medical supplies available for coverage by Medicare, Medicaid or the Children’s Health Insurance Program to report annually to the Secretary of HHS: (i) payments or other transfers of value made by that entity, or by a third-party as directed by that entity, to physicians and teaching hospitals or to third parties on behalf of physicians or teaching hospitals; and (ii) physician ownership (including immediate family ownership) and investment interests in the entity. The statute requires the federal government to make reported information available to the public starting September 2014, which it has. Failure to comply with the reporting requirements can result in significant civil monetary penalties ranging from $1,000 to $10,000 for each payment or other transfer of value that is not reported (up to a maximum per annual report of $150,000) and from $10,000 to $100,000 for each knowing failure to report (up to a maximum per annual report of $1.0 million). Additionally, there are criminal penalties if an entity intentionally makes false statements in such reports. Upon commercialization, we will be subject to the Sunshine Act and the information we disclose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132"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The Foreign Corrupt Practices Act (FCPA) prohibits any U.S. individual or business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2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i w:val="1"/>
          <w:iCs w:val="1"/>
          <w:color w:val="auto"/>
        </w:rPr>
        <w:t xml:space="preserve">International Laws. </w:t>
      </w:r>
      <w:r>
        <w:rPr>
          <w:rFonts w:ascii="Arial" w:cs="Arial" w:eastAsia="Arial" w:hAnsi="Arial"/>
          <w:sz w:val="17"/>
          <w:szCs w:val="17"/>
          <w:color w:val="auto"/>
        </w:rPr>
        <w:t>In Europe, various countries have adopted anti-bribery laws providing for severe consequences,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form of criminal penalties and/or significant fines, for individuals and/or companies committing a bribery offense. Violations of these anti-bribery laws, or allegations of such violations, could have a negative impact on our business, results of operations and reputation. For instance, in the United Kingdom, under the Bribery Act 2010, which went into effect in July 2011, a bribery occurs when a person offers, gives or promises to give a financial or other advantage to induce or reward another individual to improperly perform certain functions or activities, including any function of a public nature. Bribery of foreign public officials also falls within the scope of the Bribery Act 2010. Under the new regime, an individual found in violation of the Bribery Act of 2010, faces imprisonment of up to 10 years. In addition, the individual can be subject to an unlimited fine, as can commercial organizations for failure to prevent bribery.</w:t>
      </w:r>
    </w:p>
    <w:p>
      <w:pPr>
        <w:spacing w:after="0" w:line="12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There are also international privacy laws that impose restrictions on the access, use, and disclosure of health information. All of these laws may impact our business. Our failure to comply with these privacy laws or significant changes in the laws restricting our ability to obtain required patient information could significantly impact our business and our future business plans.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44"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Act contains a number of provisions that impact our business and operations, some of which in ways we cannot currently predict, including those governing enrollments in federal healthcare programs and reimbursement changes.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We maintain product and clinical trial liability insurance coverage which includes a maximum of per claim and an annual aggregate policy limits, subject to self-insured retentions. The policy covers, subject to policy conditions and exclusions, claims of bodily injury and property damage from any product manufactured by us or from trial-related adverse events.</w:t>
      </w:r>
    </w:p>
    <w:p>
      <w:pPr>
        <w:spacing w:after="0" w:line="106"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As of December 31, 2019, we had 82 full-time employees, of which 54 were in research and development and 28 were in general and administration. Substantially all of our employees are located at our headquarters in Hayward, California.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Effective June 18, 2018, Pulse Biosciences reincorporated as a Delaware Corporation. We were originally incorporated in Nevada on May 19, 2014 under the name Electroblate, Inc. and changed our name to Pulse Biosciences, Inc. effective December 8, 2015. Our corporate offices are located at 3957 Point Eden Way, Hayward, California. Our telephone number is (510) 906-4600.</w:t>
      </w:r>
    </w:p>
    <w:p>
      <w:pPr>
        <w:spacing w:after="0" w:line="122"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Securities and Exchange Commission (SEC).</w:t>
      </w:r>
    </w:p>
    <w:p>
      <w:pPr>
        <w:spacing w:after="0" w:line="12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Additionally, we use our website as a channel for distribution for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the menu tab labeled “About Us” on our website home page.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Annual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21"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expect to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clearance or approval for, launching, selling and supporting our therapies and treatments utilizing our CellFX System or other products based on NPS technology; however, our technology is still in development and has not been cleared or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as we continue to seek regulatory clearance or approval for our products. We are incurring significant operating losses, we expect to continue to incur additional losses for at least the next several years, and we cannot assure you that we will generate revenue or be profitable in the future. Our future products may never be cleared or approved or become commercially viable or accepted for use. Even if we find commercially viable applications for our technology, which may include licensing, we may never recover our research and development expenses.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is substantial doubt about our ability to continue as a going concern.</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Our independent registered public accounting firm has issued a “going concern” opinion, meaning that there is substantial doubt we can continue as an ongoing business for the next twelve months from the date that our audited consolidated financial statements included elsewhere in this Annual Report on Form 10-K were issued unless we obtain additional capital. To date, we have not generated any revenue. As a result, we have incurred significant operating losses in each year since our inception and we expect to continue to incur additional losses for the next several years. In addition, in February 2020, we received a NSE letter from the FDA, indicating that based on the data provided, we had not demonstrated that the CellFX System is substantially equivalent to the predicate device, concluding the 510(k) review process without clearance.</w:t>
      </w:r>
    </w:p>
    <w:p>
      <w:pPr>
        <w:spacing w:after="0" w:line="121"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We plan to raise additional capital to fund our operations, including via a proposed rights offering seeking to raise net proceeds of approximately $30 million, assuming such rights offering is fully subscribed. There is no assurance that the rights offering will be successful, or that additional financing will be available when needed or that management will be able to obtain financing on terms acceptable to us. Accordingly, management cannot conclude that such plans will be effectively implemented within the twelve months from the date that our audited consolidated financial statements included elsewhere in this Annual Report on Form 10-K were issued.</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These factors, combined with our forecast of cash required to fund operations for a period of at least twelve months from the date that our audited consolidated financial statements included elsewhere in this Annual Report on Form 10-K were issued, raise substantial doubt about our ability to continue as a going concern.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twelve months after the date the financial statements are issued.</w:t>
      </w:r>
    </w:p>
    <w:p>
      <w:pPr>
        <w:spacing w:after="0" w:line="29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2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We have experienced operating losses, and we expect to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1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will need to raise additional capital in order to continue to execute our business plan in the future including by pursuing a rights offering, which has been approved by our board of directors, to raise net proceeds of approximately $30 million, assuming such rights offering is fully subscribed.</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There is no assurance that the rights offering will be successful, or that additional financing will be available when needed or that management will be able to obtain financing on terms acceptable to us. If we are unable to raise sufficient additional funds, we will have to scale back our operations.</w:t>
      </w:r>
    </w:p>
    <w:p>
      <w:pPr>
        <w:spacing w:after="0" w:line="122"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certain of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28"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6"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2" w:lineRule="exact"/>
        <w:rPr>
          <w:sz w:val="20"/>
          <w:szCs w:val="20"/>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relating to our product candidates, which may change from time to time;</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receipt of approvals or clearances for our product candidates from regulatory authorities in the U.S. or internationally;</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jc w:val="both"/>
        <w:ind w:left="640" w:hanging="316"/>
        <w:spacing w:after="0" w:line="237"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our product candidates, if approved or cleared, including the degree to which treatments using our products are covered and receive adequate reimbursement from third-party payors, and potential future drugs or devices that compete with our product candidates;</w:t>
      </w:r>
    </w:p>
    <w:p>
      <w:pPr>
        <w:spacing w:after="0" w:line="122"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 candidates and technologies;</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products, if approved or cleared, which may vary significantly over time;</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44"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5"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83"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22"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efficacy or better safety profiles;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greater experience in obtaining patents and regulatory approvals for product candidates and other resources;</w:t>
      </w:r>
    </w:p>
    <w:p>
      <w:pPr>
        <w:spacing w:after="0" w:line="155"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44" w:lineRule="exact"/>
        <w:rPr>
          <w:sz w:val="20"/>
          <w:szCs w:val="20"/>
          <w:color w:val="auto"/>
        </w:rPr>
      </w:pPr>
    </w:p>
    <w:p>
      <w:pPr>
        <w:jc w:val="both"/>
        <w:ind w:firstLine="441"/>
        <w:spacing w:after="0" w:line="209" w:lineRule="auto"/>
        <w:rPr>
          <w:sz w:val="20"/>
          <w:szCs w:val="20"/>
          <w:color w:val="auto"/>
        </w:rPr>
      </w:pPr>
      <w:r>
        <w:rPr>
          <w:rFonts w:ascii="Arial" w:cs="Arial" w:eastAsia="Arial" w:hAnsi="Arial"/>
          <w:sz w:val="18"/>
          <w:szCs w:val="18"/>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cleared or approved, may compete with other dermatological products, including over-the-counter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the recent coronavirus outbreak.</w:t>
      </w:r>
    </w:p>
    <w:p>
      <w:pPr>
        <w:spacing w:after="0" w:line="156"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to a number of other countries, including the U.S. On March 11, 2020, the World Health Organization characterized COVID-19 as a pandemic. In addition, several states in the U.S., including California, where we are headquartered, have declared a state of emergency.</w:t>
      </w:r>
    </w:p>
    <w:p>
      <w:pPr>
        <w:spacing w:after="0" w:line="122" w:lineRule="exact"/>
        <w:rPr>
          <w:sz w:val="20"/>
          <w:szCs w:val="20"/>
          <w:color w:val="auto"/>
        </w:rPr>
      </w:pPr>
    </w:p>
    <w:p>
      <w:pPr>
        <w:jc w:val="both"/>
        <w:ind w:firstLine="441"/>
        <w:spacing w:after="0" w:line="209" w:lineRule="auto"/>
        <w:rPr>
          <w:sz w:val="20"/>
          <w:szCs w:val="20"/>
          <w:color w:val="auto"/>
        </w:rPr>
      </w:pPr>
      <w:r>
        <w:rPr>
          <w:rFonts w:ascii="Arial" w:cs="Arial" w:eastAsia="Arial" w:hAnsi="Arial"/>
          <w:sz w:val="18"/>
          <w:szCs w:val="18"/>
          <w:color w:val="auto"/>
        </w:rPr>
        <w:t>Potential impacts to our business include disruptions or restrictions on our employees’ ability to work. In addition, our clinical trials may be affected by the COVID-19 outbreak. Site initiation and patient enrollment may be delayed, for example, due to prioritization of hospital resources toward the COVID-19 outbreak, travel restrictions imposed by governments, and the inability to access sites for initiation and monitoring. Also, some of our suppliers of certain materials used in the production of our product candidates are located in areas impacted by COVID-19 which could limit our ability to obtain sufficient materials for our product candidates. COVID-19 could adversely affect the economies and financial markets of many countries, resulting in an economic downturn that could affect demand for our product candidates, if approved, and impact our operating results. Any of the foregoing could harm our business and we cannot anticipate all of the ways in which health epidemics such as COVID-19 could adversely impact our business. Although we are continuing to monitor and assess the effects of the COVID-19 pandemic on our business, the ultimate impact of the COVID-19 outbreak or a similar health epidemic is highly uncertain and subject to change.</w:t>
      </w:r>
    </w:p>
    <w:p>
      <w:pPr>
        <w:spacing w:after="0" w:line="12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These third parties may be adversely impacted by COVID-19 which could affect their ability to perform satisfactorily.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26"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83"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29"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83"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market and sell CellFX System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8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including COVID-19. Furthermore, the market for aesthetic medical treatments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7"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b w:val="1"/>
          <w:bCs w:val="1"/>
          <w:i w:val="1"/>
          <w:iCs w:val="1"/>
          <w:color w:val="auto"/>
        </w:rPr>
        <w:t>We are subject to laws and regulations relating to personally identifiable information, and maintain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data, unauthorized disclosure and unauthorized access, as well as risks associated with our ability to identify and audit such events.</w:t>
      </w:r>
    </w:p>
    <w:p>
      <w:pPr>
        <w:spacing w:after="0" w:line="120" w:lineRule="exact"/>
        <w:rPr>
          <w:sz w:val="20"/>
          <w:szCs w:val="20"/>
          <w:color w:val="auto"/>
        </w:rPr>
      </w:pPr>
    </w:p>
    <w:p>
      <w:pPr>
        <w:jc w:val="both"/>
        <w:ind w:firstLine="441"/>
        <w:spacing w:after="0"/>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have not experienced any such attack or breach,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HIPAA, as amended by the HITECH, and the California Consumer Privacy Act of 2018 (the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198"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In addition, the interpretation and application of federal and state consumer, health-related and data protection laws in the U.S.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20"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26"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2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56"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net operating losses (NOL) carryforwards will begin to expire in various years beginning after 2034. Under the Internal Revenue Code of 1986, as amended, or the Code, and certain similar state tax provisions, a corporation is generally allowed a deduction for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22"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Further, in December 2017, the Tax Cuts and Jobs Act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and until such analysis is complete, the full impact of the new tax law on us in future periods is uncertain, and no assurances can be made by us on any potential impacts.</w:t>
      </w:r>
    </w:p>
    <w:p>
      <w:pPr>
        <w:spacing w:after="0" w:line="120"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06"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24" w:lineRule="exact"/>
        <w:rPr>
          <w:sz w:val="20"/>
          <w:szCs w:val="20"/>
          <w:color w:val="auto"/>
        </w:rPr>
      </w:pPr>
    </w:p>
    <w:p>
      <w:pPr>
        <w:jc w:val="both"/>
        <w:ind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0"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Generally Accepted Accounting Principles.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2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In connection with the preparation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weakness in 2017; however, we cannot assure you that the measures we have taken to date, and are continuing to implement, will be sufficient to avoid potential future material weaknesses.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2"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2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Pending regulatory clearance or approval of our CellFX System, we plan to commercially introduce our CellFX System in the U.S. However,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1"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complete the development of any planned products;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or clearances for our planned products and indications that we have studied, or the approved or cleared indications may be narrower than we seek;</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or clearance process;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all clinical trials;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actual and perceived effectiveness and reliability of our products, especially relative to alternative products;</w:t>
      </w:r>
    </w:p>
    <w:p>
      <w:pPr>
        <w:spacing w:after="0" w:line="155"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clinical trials relating to the use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availability, relative cost and perceived advantages and disadvantages of alternative technologies or uses thereof;</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to which physicians adopt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obtain, maintain, protect and enforce our intellectual property rights with respect to our products;</w:t>
      </w:r>
    </w:p>
    <w:p>
      <w:pPr>
        <w:spacing w:after="0" w:line="155"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sustain a meaningful clinical benefit better than our competitors and alternative treatments or therapies;</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extent to which we are successful in educating medical professionals in general, and the benefits of our products;</w:t>
      </w:r>
    </w:p>
    <w:p>
      <w:pPr>
        <w:spacing w:after="0" w:line="167" w:lineRule="exact"/>
        <w:rPr>
          <w:rFonts w:ascii="Arial" w:cs="Arial" w:eastAsia="Arial" w:hAnsi="Arial"/>
          <w:sz w:val="16"/>
          <w:szCs w:val="16"/>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our marketing and distribution infrastructure;</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and our distributors’ marketing and sales efforts in the U.S. and abroad, including our efforts to build out our sales team;</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education and awareness among medical professionals concerning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among physicians and clinics;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develop, validate and maintain a commercially viable manufacturing process that is compliant with current Good Manufacturing Practices (cGMP) and Quality Systems Regulations (QSR); and</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we are required by the FDA or comparable non-U.S. regulatory authorities to conduct additional clinical trials for future or current indications.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640" w:hanging="316"/>
        <w:spacing w:after="0" w:line="23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products that are approved or cleared by regulatory authorities may not be accepted in the marketplace by physicians or patients;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120"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22" w:lineRule="exact"/>
        <w:rPr>
          <w:sz w:val="20"/>
          <w:szCs w:val="20"/>
          <w:color w:val="auto"/>
        </w:rPr>
      </w:pPr>
    </w:p>
    <w:p>
      <w:pPr>
        <w:jc w:val="both"/>
        <w:ind w:firstLine="500"/>
        <w:spacing w:after="0" w:line="225"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10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FDA in the U.S. and by regulatory agencies in other countries where we plan to do business. Government regulations specific to medical devices are wide-ranging and govern, among other things:</w:t>
      </w:r>
    </w:p>
    <w:p>
      <w:pPr>
        <w:spacing w:after="0" w:line="122"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Before a new medical device or a new intended use for, an existing device can be marketed in the U.S.,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In February 2020, we received a NSE letter from the FDA, indicating that based on the data provided, we had not demonstrated that the CellFX System is substantially equivalent to the predicate device, concluding the 510(k) review process without clearance. This failure to obtain 510(k) clearance has added significant time and expense to our regulatory clearance process (including additional expense that we will incur in preparing a new 510(k) submission), has delayed our ability to generate revenue, and has had a negative impact on our stock price.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If the FDA rejects our new 510(k) submission, we may be required to obtain FDA approval through the de novo pathway, which will require additional time and resources, including the need to conduct more clinical studies to demonstrate safety and effectiveness of our candidate device.</w:t>
      </w:r>
    </w:p>
    <w:p>
      <w:pPr>
        <w:spacing w:after="0" w:line="128"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actions which may prevent or delay approval or clearance of our products under development. Any of these actions could have a material adverse effect on our business operations and financial condition.</w:t>
      </w:r>
    </w:p>
    <w:p>
      <w:pPr>
        <w:spacing w:after="0" w:line="122"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FDA and the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3"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jc w:val="both"/>
        <w:ind w:firstLine="441"/>
        <w:spacing w:after="0" w:line="209" w:lineRule="auto"/>
        <w:rPr>
          <w:sz w:val="20"/>
          <w:szCs w:val="20"/>
          <w:color w:val="auto"/>
        </w:rPr>
      </w:pPr>
      <w:r>
        <w:rPr>
          <w:rFonts w:ascii="Arial" w:cs="Arial" w:eastAsia="Arial" w:hAnsi="Arial"/>
          <w:sz w:val="18"/>
          <w:szCs w:val="18"/>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44"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22"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 xml:space="preserve">The risk of failure of clinical development is high. For example, the vast majority of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pulses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Additionally, if any of our product candidates receive marketing approval or clearance but, we or others later identify undesirable side effects caused by such product, a number of potentially significant negative consequences could result, including:</w:t>
      </w:r>
    </w:p>
    <w:p>
      <w:pPr>
        <w:spacing w:after="0" w:line="122"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and/or narrow the indication that could diminish the usage or otherwise limit the commercial success of such products;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may restrict distribution of our products and impose burdensome implementation requirements on us;</w:t>
      </w:r>
    </w:p>
    <w:p>
      <w:pPr>
        <w:spacing w:after="0" w:line="155" w:lineRule="exact"/>
        <w:rPr>
          <w:rFonts w:ascii="Arial" w:cs="Arial" w:eastAsia="Arial" w:hAnsi="Arial"/>
          <w:sz w:val="17"/>
          <w:szCs w:val="17"/>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CellFX System and NPS technology, and if we fail to obtain broad adoption, our business would be adversely affected.</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If we obtain regulatory approval or clearance for our CellFX System, our success will depend on our ability to educate physicians regarding the benefits of CellFX treatments over existing treatment modalities and to persuade them to prescribe CellFX treatments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attract cash payments from patients or to obtain sufficient reimbursement from third party commercial payors, and the Centers for Medicare &amp; Medicaid Services (CMS) for the professional services they provide in administering CellFX treatments.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22"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2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product candidates in the field. Furthermore, if commercialized, CellFX treatments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safety and effectiveness of CellFX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data breaches, or similar problems. Any of these might result in harm to a patient or the unauthorized release of confidential medical, business or other information of other persons or of ours.</w:t>
      </w:r>
    </w:p>
    <w:p>
      <w:pPr>
        <w:spacing w:after="0" w:line="124"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encounter difficulties in production, including difficulties with production costs and yields, quality control, quality assurance testing, shortages of qualified personnel, as well as compliance with applicable FDA requirements, other federal and state regulatory requirements, and foreign regulations.</w:t>
      </w:r>
    </w:p>
    <w:p>
      <w:pPr>
        <w:spacing w:after="0" w:line="122"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with respect to complying with applicable regulatory requirements, we may need to find alternative manufacturing facilities, which would significantly impact our ability to develop, obtain regulatory approval or clearance for or market our product candidates.</w:t>
      </w:r>
    </w:p>
    <w:p>
      <w:pPr>
        <w:spacing w:after="0" w:line="122"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ability to obtain regulatory approval or clearance for our products and our business and results of operations.</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 place before coverage and reimbursement are granted, if it is granted at all. In the U.S.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8"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reduce the fee or sales price than initially planned.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26"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HHS. Medicaid generally reimburses at lower levels than Medicare. Moreover, Medicaid programs and private insurers are frequently influenced by Medicare coverage determinations.</w:t>
      </w:r>
    </w:p>
    <w:p>
      <w:pPr>
        <w:spacing w:after="0" w:line="12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122"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21"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22"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29" w:lineRule="exact"/>
        <w:rPr>
          <w:sz w:val="20"/>
          <w:szCs w:val="20"/>
          <w:color w:val="auto"/>
        </w:rPr>
      </w:pPr>
    </w:p>
    <w:p>
      <w:pPr>
        <w:jc w:val="both"/>
        <w:ind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61"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6"/>
          <w:szCs w:val="16"/>
          <w:color w:val="auto"/>
        </w:rPr>
        <w:t>We hold licenses from Old Dominion University Research Foundation (ODURF) and Eastern Virginia Medical School (EVMS) and from Alfred E. Mann Institute for Biomedical Engineering at the University of Southern California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2" w:lineRule="exact"/>
        <w:rPr>
          <w:sz w:val="20"/>
          <w:szCs w:val="20"/>
          <w:color w:val="auto"/>
        </w:rPr>
      </w:pPr>
    </w:p>
    <w:p>
      <w:pPr>
        <w:ind w:left="640" w:hanging="316"/>
        <w:spacing w:after="0" w:line="23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121"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22"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1"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2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24"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The U.S. Patent and Trademark Office (USPTO)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 other employees. We may not be able to prevent, alone or with our licensors, misappropriation of our proprietary rights, particularly in countries where the laws may not protect those rights as fully as in the U.S.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2"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 candidates, if any, and our patents or other intellectual property rights may not be effective or sufficient to prevent them from competing.</w:t>
      </w:r>
    </w:p>
    <w:p>
      <w:pPr>
        <w:spacing w:after="0" w:line="127"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106"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1"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may never receive regulatory approval or clearance, including that from the FDA, for any of our planned products.</w:t>
      </w:r>
    </w:p>
    <w:p>
      <w:pPr>
        <w:spacing w:after="0" w:line="121"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may never receive regulatory approval or clearance, including from the FDA, for any potential devices or products in the U.S. or in any foreign market. For example, during September 2017, we withdrew our application seeking clearance of our system for soft tissue ablation. In addition, in connection with the Pre-Market Notification 510(k) we submitted to the FDA seeking clearance to commercialize our CellFX System,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However, we may not be able to obtain the necessary clearances or approvals necessary to market our CellFX System or such approvals or clearances may be unduly delayed, which could harm our business. We may be required to seek FDA approval through the de novo pathway or file a PMA for our CellFX System, which will require additional clinical data, resources and time.</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122"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1"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14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For example, the receipt of the NSE letter from the FDA indicating failure to obtain 510(k) clearance on our February 2019 submission has added significant time and expense to our regulatory clearance process (including additional expense that we will incur in preparing a new 510(k) submission), has delayed our ability to generate revenue, and has had a negative impact on our stock price.</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6"/>
          <w:szCs w:val="16"/>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The continuing development of our CellFX™ System and other products depends upon maintaining strong working relationships with physicians.</w:t>
      </w:r>
    </w:p>
    <w:p>
      <w:pPr>
        <w:spacing w:after="0" w:line="121"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16"/>
          <w:szCs w:val="16"/>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2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3"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24" w:lineRule="exact"/>
        <w:rPr>
          <w:sz w:val="20"/>
          <w:szCs w:val="20"/>
          <w:color w:val="auto"/>
        </w:rPr>
      </w:pPr>
    </w:p>
    <w:p>
      <w:pPr>
        <w:jc w:val="both"/>
        <w:ind w:left="640" w:hanging="316"/>
        <w:spacing w:after="0" w:line="210"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In addition, the government may assert that a claim including items or services resulting from a violation of the U.S. federal Anti-Kickback Statute constitutes a false or fraudulent claim for purposes of the civil False Claims Act;</w:t>
      </w:r>
    </w:p>
    <w:p>
      <w:pPr>
        <w:spacing w:after="0" w:line="124" w:lineRule="exact"/>
        <w:rPr>
          <w:rFonts w:ascii="Arial" w:cs="Arial" w:eastAsia="Arial" w:hAnsi="Arial"/>
          <w:sz w:val="18"/>
          <w:szCs w:val="18"/>
          <w:color w:val="auto"/>
        </w:rPr>
      </w:pPr>
    </w:p>
    <w:p>
      <w:pPr>
        <w:jc w:val="both"/>
        <w:ind w:left="640" w:hanging="316"/>
        <w:spacing w:after="0" w:line="226"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24" w:lineRule="exact"/>
        <w:rPr>
          <w:rFonts w:ascii="Arial" w:cs="Arial" w:eastAsia="Arial" w:hAnsi="Arial"/>
          <w:sz w:val="17"/>
          <w:szCs w:val="17"/>
          <w:color w:val="auto"/>
        </w:rPr>
      </w:pPr>
    </w:p>
    <w:p>
      <w:pPr>
        <w:jc w:val="both"/>
        <w:ind w:left="640" w:hanging="316"/>
        <w:spacing w:after="0" w:line="21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21" w:lineRule="exact"/>
        <w:rPr>
          <w:rFonts w:ascii="Arial" w:cs="Arial" w:eastAsia="Arial" w:hAnsi="Arial"/>
          <w:sz w:val="18"/>
          <w:szCs w:val="18"/>
          <w:color w:val="auto"/>
        </w:rPr>
      </w:pPr>
    </w:p>
    <w:p>
      <w:pPr>
        <w:jc w:val="both"/>
        <w:ind w:left="640" w:hanging="316"/>
        <w:spacing w:after="0" w:line="22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the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both"/>
        <w:ind w:left="640" w:hanging="316"/>
        <w:spacing w:after="0" w:line="21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24" w:lineRule="exact"/>
        <w:rPr>
          <w:rFonts w:ascii="Arial" w:cs="Arial" w:eastAsia="Arial" w:hAnsi="Arial"/>
          <w:sz w:val="18"/>
          <w:szCs w:val="18"/>
          <w:color w:val="auto"/>
        </w:rPr>
      </w:pPr>
    </w:p>
    <w:p>
      <w:pPr>
        <w:jc w:val="both"/>
        <w:ind w:left="640" w:hanging="316"/>
        <w:spacing w:after="0" w:line="249"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CCPA will, among other things, require covered companies to provide new disclosures to California consumers and afford such consumers new abilities to opt-out of certain sales of personal information. The CCPA went into effect in January 2020, we cannot yet predict the impact of the CCPA on our business or operations, but it may require us to modify our data processing practices and policies to incur substantial costs and expenses in an effort to comply;</w:t>
      </w:r>
    </w:p>
    <w:p>
      <w:pPr>
        <w:spacing w:after="0" w:line="113" w:lineRule="exact"/>
        <w:rPr>
          <w:rFonts w:ascii="Arial" w:cs="Arial" w:eastAsia="Arial" w:hAnsi="Arial"/>
          <w:sz w:val="16"/>
          <w:szCs w:val="16"/>
          <w:color w:val="auto"/>
        </w:rPr>
      </w:pPr>
    </w:p>
    <w:p>
      <w:pPr>
        <w:ind w:left="640" w:hanging="316"/>
        <w:spacing w:after="0" w:line="23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21" w:lineRule="exact"/>
        <w:rPr>
          <w:rFonts w:ascii="Arial" w:cs="Arial" w:eastAsia="Arial" w:hAnsi="Arial"/>
          <w:sz w:val="18"/>
          <w:szCs w:val="18"/>
          <w:color w:val="auto"/>
        </w:rPr>
      </w:pPr>
    </w:p>
    <w:p>
      <w:pPr>
        <w:jc w:val="both"/>
        <w:ind w:left="640" w:hanging="316"/>
        <w:spacing w:after="0" w:line="222" w:lineRule="auto"/>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2"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We have implemented a compliance program to help identify and deter healthcare violations by employees and other third parties that perform services for us. Notwithstanding our efforts,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violations of such laws, regulations and other obligations, or that fraud or other misconduct has taken place, even if none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5"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122"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U.S., Canada, Europe and other countries where medical devices and products are regulated, can delay, limit or deny approval of a product for many reasons. For example, regulatory agencies:</w:t>
      </w:r>
    </w:p>
    <w:p>
      <w:pPr>
        <w:spacing w:after="0" w:line="122"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640" w:hanging="316"/>
        <w:spacing w:after="0" w:line="23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change their approval or clearance policies or adopt new regulations.</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FDA may make requests or disagree with us regarding the design or conduct of our clinical trials, resulting in an increased risk of difficulties or delays in obtaining regulatory approval or clearance in the U.S. and increased costs. For example, in February 2020, we received a NSE letter from the FDA, indicating that based on the data provided, we had not demonstrated that the CellFX System is substantially equivalent to the predicate device, concluding the 510(k) review process without clearance. We will continue to work with the FDA in pursuit of a clearance via a new 510(k) submission, providing additional clinical data as required.</w:t>
      </w:r>
    </w:p>
    <w:p>
      <w:pPr>
        <w:spacing w:after="0" w:line="121"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1"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will limit our ability to operate and could increase our costs.</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devices and products and the expense of those trials may adversely affect our business.</w:t>
      </w:r>
    </w:p>
    <w:p>
      <w:pPr>
        <w:spacing w:after="0" w:line="12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7"/>
          <w:szCs w:val="17"/>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1"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21" w:lineRule="exact"/>
        <w:rPr>
          <w:sz w:val="20"/>
          <w:szCs w:val="20"/>
          <w:color w:val="auto"/>
        </w:rPr>
      </w:pPr>
    </w:p>
    <w:p>
      <w:pPr>
        <w:jc w:val="both"/>
        <w:ind w:firstLine="441"/>
        <w:spacing w:after="0" w:line="210" w:lineRule="auto"/>
        <w:rPr>
          <w:sz w:val="20"/>
          <w:szCs w:val="20"/>
          <w:color w:val="auto"/>
        </w:rPr>
      </w:pPr>
      <w:r>
        <w:rPr>
          <w:rFonts w:ascii="Arial" w:cs="Arial" w:eastAsia="Arial" w:hAnsi="Arial"/>
          <w:sz w:val="18"/>
          <w:szCs w:val="18"/>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25"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Healthcare policy changes, including recent federal legislation to reform the U.S. healthcare system, may have a material adverse effect on us.</w:t>
      </w:r>
    </w:p>
    <w:p>
      <w:pPr>
        <w:spacing w:after="0" w:line="1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the government,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2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U.S. that began on January 1, 2013. The excise tax was suspended for a two year period beginning January 1, 2016 and was further suspended through December 31, 2019. In December 2019, this excise tax was permanently repealed, effective after December 31, 2019.</w:t>
      </w:r>
    </w:p>
    <w:p>
      <w:pPr>
        <w:spacing w:after="0" w:line="1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January 2, 2013, the American Taxpayer Relief Act of 2012, came into effect, which, among other things, further reduced Medicare payments to several providers, including hospitals, and increased the statute of limitations period for the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0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U.S. may have on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48"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 or clearance of our planned products such as the CellFX System;</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alleged security breaches;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conditions in our industry and market including the impact of COVID-19;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5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certain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21"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A significant percentage of our outstanding stock is held by Robert W. Duggan, Chairman of our board of directors, who beneficially owns approximately 43% of our common stock outstanding as of the date of this Annual Report. As a result, Mr. Duggan has significant influence over corporate actions requiring stockholder approval, including the following actions:</w:t>
      </w:r>
    </w:p>
    <w:p>
      <w:pPr>
        <w:spacing w:after="0" w:line="106"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Mr. Duggan’s stock ownership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in connection with the proposed rights offering or any alternative equity or equity-linked offering that we may conduct, could result in his acquisition of a majority of our common stock. If this were to occur, we would be considered a “controlled” company under the Nasdaq rules and would be exempt from the obligation to comply with certain Nasdaq corporate governance requirements.</w:t>
      </w:r>
    </w:p>
    <w:p>
      <w:pPr>
        <w:spacing w:after="0" w:line="121"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Robert W. Duggan’s significant ownership position may impact our stock price and may deter or prevent efforts by other companies to acquire us, which could prevent our stockholders from realizing a control premium.</w:t>
      </w:r>
    </w:p>
    <w:p>
      <w:pPr>
        <w:spacing w:after="0" w:line="106"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Robert W. Duggan, is the Chairman of our board of directors, and beneficially owns approximately 43% of our common stock outstanding as of the date of this Annual Report. In addition, Mr. Duggan is not subject to any contractual restrictions on his ability to acquire additional shares of common stock, and any such purchases, including purchases in connection with the proposed rights offering or any alternative equity or equity-linked offering that we may conduct, could result in his acquisition of a majority of our common stock. As a result of Robert W. Duggan’s significant ownership and position as Chairman of the board of directors,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27"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As a public company, listed in the U.S.,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jc w:val="both"/>
        <w:ind w:firstLine="441"/>
        <w:spacing w:after="0" w:line="234" w:lineRule="auto"/>
        <w:rPr>
          <w:sz w:val="20"/>
          <w:szCs w:val="20"/>
          <w:color w:val="auto"/>
        </w:rPr>
      </w:pPr>
      <w:r>
        <w:rPr>
          <w:rFonts w:ascii="Arial" w:cs="Arial" w:eastAsia="Arial" w:hAnsi="Arial"/>
          <w:sz w:val="16"/>
          <w:szCs w:val="16"/>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29"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22" w:lineRule="exact"/>
        <w:rPr>
          <w:sz w:val="20"/>
          <w:szCs w:val="20"/>
          <w:color w:val="auto"/>
        </w:rPr>
      </w:pPr>
    </w:p>
    <w:p>
      <w:pPr>
        <w:jc w:val="both"/>
        <w:ind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61"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26"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financial condition and results of operations may be materially and adversely affected. We will remain an “emerging growth company” for up to five years from our IPO in 2016,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1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2"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22" w:lineRule="exact"/>
        <w:rPr>
          <w:sz w:val="20"/>
          <w:szCs w:val="20"/>
          <w:color w:val="auto"/>
        </w:rPr>
      </w:pPr>
    </w:p>
    <w:p>
      <w:pPr>
        <w:ind w:left="640" w:hanging="316"/>
        <w:spacing w:after="0" w:line="258"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06" w:lineRule="exact"/>
        <w:rPr>
          <w:rFonts w:ascii="Arial" w:cs="Arial" w:eastAsia="Arial" w:hAnsi="Arial"/>
          <w:sz w:val="17"/>
          <w:szCs w:val="17"/>
          <w:color w:val="auto"/>
        </w:rPr>
      </w:pPr>
    </w:p>
    <w:p>
      <w:pPr>
        <w:ind w:left="640" w:hanging="316"/>
        <w:spacing w:after="0" w:line="23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21"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640" w:hanging="316"/>
        <w:spacing w:after="0" w:line="235"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21"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We lease approximately 29,000 square feet of premises located in Hayward, California, which is used for our corporate headquarters and principal operating facility. The term of the original lease included approximately 15,700 square feet for 62 months and commenced on July 1, 2017. During May 2019, we entered into an amendment to the lease which amended the existing lease and provided for a total expansion of the premises to approximately 50,300 square feet and an option to extend the term of the lease. Approximately 13,300 square feet of the 34,600 square feet expansion was occupied in November 2019 during the first phase, the remaining approximately 21,300 square feet will be occupied in the second phase. The amended lease can be extended up to seven years.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our existing and expanded facilities will be sufficient to meet our needs for the foreseeable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w:t>
      </w:r>
    </w:p>
    <w:p>
      <w:pPr>
        <w:spacing w:after="0" w:line="12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both"/>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220" w:firstLine="441"/>
        <w:spacing w:after="0" w:line="406" w:lineRule="auto"/>
        <w:rPr>
          <w:sz w:val="20"/>
          <w:szCs w:val="20"/>
          <w:color w:val="auto"/>
        </w:rPr>
      </w:pPr>
      <w:r>
        <w:rPr>
          <w:rFonts w:ascii="Arial" w:cs="Arial" w:eastAsia="Arial" w:hAnsi="Arial"/>
          <w:sz w:val="18"/>
          <w:szCs w:val="18"/>
          <w:color w:val="auto"/>
        </w:rPr>
        <w:t xml:space="preserve">Our common stock is listed on Nadaq and has been traded under the symbol “PLSE” since May 18, 2016. </w:t>
      </w:r>
      <w:r>
        <w:rPr>
          <w:rFonts w:ascii="Arial" w:cs="Arial" w:eastAsia="Arial" w:hAnsi="Arial"/>
          <w:sz w:val="18"/>
          <w:szCs w:val="18"/>
          <w:b w:val="1"/>
          <w:bCs w:val="1"/>
          <w:color w:val="auto"/>
        </w:rPr>
        <w:t>Holders of Record</w:t>
      </w:r>
    </w:p>
    <w:p>
      <w:pPr>
        <w:spacing w:after="0" w:line="2"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As of February 28, 2020, there were approximately 11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We have never declared or paid any cash dividend on our common stock and have no present plans to do so. We intend to retain earnings for use in the operation and expansion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performance graph included in this Annual Report on Form 10-K shall not be deemed “filed” for purposes of Section 18 of the Securities Exchange Act of 1934, as amended (the “Exchange Act”), or incorporated by reference into any filing of Pulse Biosciences, Inc. under the Securities Act of 1933, as amended, or the Exchange Act, except as shall be expressly set forth by specific reference in such filing.</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following graph shows a comparison from May 18, 2016 (the date our common stock commenced trading on the Nasdaq through December 31, 2019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201295</wp:posOffset>
            </wp:positionV>
            <wp:extent cx="5408930" cy="3677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0893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360" w:firstLine="441"/>
        <w:spacing w:after="0" w:line="259" w:lineRule="auto"/>
        <w:rPr>
          <w:sz w:val="20"/>
          <w:szCs w:val="20"/>
          <w:color w:val="auto"/>
        </w:rPr>
      </w:pPr>
      <w:r>
        <w:rPr>
          <w:rFonts w:ascii="Arial" w:cs="Arial" w:eastAsia="Arial" w:hAnsi="Arial"/>
          <w:sz w:val="16"/>
          <w:szCs w:val="16"/>
          <w:color w:val="212529"/>
        </w:rPr>
        <w:t>The following tables set forth selected financial data as of and for the last five fiscal years. This selected financial data should be read in conjunction with our historical financial statements, including the notes thereto, and “Management’s Discussion and Analysis of Financial Condition and Results of Operations,”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2016 (1)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2015 (1)</w:t>
            </w:r>
          </w:p>
        </w:tc>
        <w:tc>
          <w:tcPr>
            <w:tcW w:w="0" w:type="dxa"/>
            <w:vAlign w:val="bottom"/>
          </w:tcPr>
          <w:p>
            <w:pPr>
              <w:spacing w:after="0"/>
              <w:rPr>
                <w:sz w:val="1"/>
                <w:szCs w:val="1"/>
                <w:color w:val="auto"/>
              </w:rPr>
            </w:pPr>
          </w:p>
        </w:tc>
      </w:tr>
      <w:tr>
        <w:trPr>
          <w:trHeight w:val="163"/>
        </w:trPr>
        <w:tc>
          <w:tcPr>
            <w:tcW w:w="400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0"/>
              <w:spacing w:after="0" w:line="16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000" w:type="dxa"/>
            <w:vAlign w:val="bottom"/>
            <w:gridSpan w:val="2"/>
          </w:tcPr>
          <w:p>
            <w:pPr>
              <w:spacing w:after="0" w:line="169"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169"/>
        </w:trPr>
        <w:tc>
          <w:tcPr>
            <w:tcW w:w="40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7"/>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75"/>
        </w:trPr>
        <w:tc>
          <w:tcPr>
            <w:tcW w:w="252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135"/>
        </w:trPr>
        <w:tc>
          <w:tcPr>
            <w:tcW w:w="40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5"/>
                <w:szCs w:val="15"/>
                <w:color w:val="auto"/>
              </w:rPr>
              <w:t>Weighted average shares used to compute net loss per</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20,746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common share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20" w:right="420" w:hanging="220"/>
        <w:spacing w:after="0" w:line="235" w:lineRule="auto"/>
        <w:tabs>
          <w:tab w:leader="none" w:pos="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the years ended December 31, 2016 and 2015, $0.5 million and $0.4 million, respectively, of patent legal costs were reclassified from research and development to general and administrative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0"/>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4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4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Working capital</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3,337</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40" w:type="dxa"/>
            <w:vAlign w:val="bottom"/>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Total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660</w:t>
            </w:r>
          </w:p>
        </w:tc>
        <w:tc>
          <w:tcPr>
            <w:tcW w:w="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40" w:type="dxa"/>
            <w:vAlign w:val="bottom"/>
          </w:tcPr>
          <w:p>
            <w:pPr>
              <w:spacing w:after="0"/>
              <w:rPr>
                <w:sz w:val="18"/>
                <w:szCs w:val="18"/>
                <w:color w:val="auto"/>
              </w:rPr>
            </w:pPr>
          </w:p>
        </w:tc>
      </w:tr>
      <w:tr>
        <w:trPr>
          <w:trHeight w:val="770"/>
        </w:trPr>
        <w:tc>
          <w:tcPr>
            <w:tcW w:w="3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4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4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-37465</wp:posOffset>
            </wp:positionV>
            <wp:extent cx="3365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-37465</wp:posOffset>
            </wp:positionV>
            <wp:extent cx="3429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thereto included in Item 8 under the heading “Financial Statements and Supplementary Data”. Some of the information contained in this discussion and analysis or set forth elsewhere in this Form 10-K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We are a novel bioelectric medicine company committed to health innovation that improves and potentially extends the lives of patients. We are pursuing regulatory clearance from the FDA to market our first product, our proprietary CellFX™ System. The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0"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We have incurred substantial operating losses and have used cash in our operating activities since inception. Based on our current operating plan, we believe we do not have sufficient cash and cash equivalents on hand to support current operations for at least twelve months from the date that our audited consolidated financial statements included elsewhere in this Annual Report on Form 10-K were issued. To finance our operations beyond that point, we will need to raise additional capital, which cannot be assured. We have concluded that this circumstance raises substantial doubt about our ability to continue as a going concern for at least twelve months from the date that our audited consolidated financial statements included elsewhere in this Annual Report on Form 10-K were issued. As such, we plan to seek to raise capital from time to time this year through future debt or equity financings to fund our future operations and remain as a going concern including by pursuing a proposed rights offering, seeking to raise net proceeds of approximately $30 million assuming such rights offering is fully subscribed. There is no assurance that the rights offering will be successful, or that additional financing will be available when needed or that management will be able to obtain financing on terms acceptable to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122" w:lineRule="exact"/>
        <w:rPr>
          <w:sz w:val="20"/>
          <w:szCs w:val="20"/>
          <w:color w:val="auto"/>
        </w:rPr>
      </w:pPr>
    </w:p>
    <w:p>
      <w:pPr>
        <w:jc w:val="both"/>
        <w:ind w:left="640" w:hanging="316"/>
        <w:spacing w:after="0" w:line="22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122" w:lineRule="exact"/>
        <w:rPr>
          <w:rFonts w:ascii="Arial" w:cs="Arial" w:eastAsia="Arial" w:hAnsi="Arial"/>
          <w:sz w:val="18"/>
          <w:szCs w:val="18"/>
          <w:color w:val="auto"/>
        </w:rPr>
      </w:pPr>
    </w:p>
    <w:p>
      <w:pPr>
        <w:jc w:val="both"/>
        <w:ind w:left="640" w:hanging="316"/>
        <w:spacing w:after="0" w:line="259"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Further explore and understand the benefits of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106" w:lineRule="exact"/>
        <w:rPr>
          <w:rFonts w:ascii="Arial" w:cs="Arial" w:eastAsia="Arial" w:hAnsi="Arial"/>
          <w:sz w:val="16"/>
          <w:szCs w:val="16"/>
          <w:color w:val="auto"/>
        </w:rPr>
      </w:pPr>
    </w:p>
    <w:p>
      <w:pPr>
        <w:jc w:val="both"/>
        <w:ind w:left="640" w:hanging="316"/>
        <w:spacing w:after="0" w:line="22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122" w:lineRule="exact"/>
        <w:rPr>
          <w:rFonts w:ascii="Arial" w:cs="Arial" w:eastAsia="Arial" w:hAnsi="Arial"/>
          <w:sz w:val="18"/>
          <w:szCs w:val="18"/>
          <w:color w:val="auto"/>
        </w:rPr>
      </w:pPr>
    </w:p>
    <w:p>
      <w:pPr>
        <w:jc w:val="both"/>
        <w:ind w:left="640" w:hanging="316"/>
        <w:spacing w:after="0" w:line="22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w:t>
      </w:r>
    </w:p>
    <w:p>
      <w:pPr>
        <w:spacing w:after="0" w:line="148" w:lineRule="exact"/>
        <w:rPr>
          <w:sz w:val="20"/>
          <w:szCs w:val="20"/>
          <w:color w:val="auto"/>
        </w:rPr>
      </w:pPr>
    </w:p>
    <w:p>
      <w:pPr>
        <w:jc w:val="both"/>
        <w:ind w:firstLine="441"/>
        <w:spacing w:after="0" w:line="210" w:lineRule="auto"/>
        <w:rPr>
          <w:sz w:val="20"/>
          <w:szCs w:val="20"/>
          <w:color w:val="auto"/>
        </w:rPr>
      </w:pPr>
      <w:r>
        <w:rPr>
          <w:rFonts w:ascii="Arial" w:cs="Arial" w:eastAsia="Arial" w:hAnsi="Arial"/>
          <w:sz w:val="18"/>
          <w:szCs w:val="18"/>
          <w:color w:val="auto"/>
        </w:rPr>
        <w:t>The discussion and analysis of financial condition and results of operations is based upon our consolidated financial statements, which have been prepared in accordance with the rules and regulations of the SEC.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4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We review long-lived assets, consisting of property and equipment and intangible assets, for impairment at each fiscal year end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consolidated balance sheet, reported at the lower of the carrying amount or fair value less costs to sell, and are no longer depreciated.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We record goodwill when the consideration paid in a business acquisition exceeds the fair value of the net tangible assets and the identified intangible assets acquired. We review goodwill for impairment at least annually or whenever changes in circumstances indicate that the carrying value of the goodwill may not be recoverable based on the fair value of the reporting units. If events or circumstances do not indicate that the fair value of a reporting unit is below its carrying amount, goodwill is not considered impaired and no further testing is required. If further testing is required, we perform a two step-process. The first step involves comparing the fair value of the reporting unit to its carrying value, including goodwill. If the carrying value of the reporting unit exceeds its fair value, the second step of the test is performed by comparing the carrying value of the goodwill in the reporting unit to its implied fair value. An impairment charge is recognized for the excess of the carrying value of goodwill over its implied fair value. For the purpose of impairment testing, we have determined that the Company has one reporting unit. To date, there has been no impairment of goodwill.</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We periodically issue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fair values. Stock option grants, which are generally time vested, are measured at the grant date fair value and charged to operations on a straight-line basis over the vesting period. We estimate the grant date fair value of stock options, using the Black-Scholes option-pricing model.</w:t>
      </w:r>
    </w:p>
    <w:p>
      <w:pPr>
        <w:spacing w:after="0" w:line="12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spacing w:after="0" w:line="12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We provide a valuation allowance to reduce its deferred tax assets to the amount that is more likely than not to be realized. If we determine that we would be able to realize deferred tax assets in the future in excess of the recorded amount, an adjustment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spacing w:after="0" w:line="122" w:lineRule="exact"/>
        <w:rPr>
          <w:sz w:val="20"/>
          <w:szCs w:val="20"/>
          <w:color w:val="auto"/>
        </w:rPr>
      </w:pPr>
    </w:p>
    <w:p>
      <w:pPr>
        <w:jc w:val="both"/>
        <w:ind w:right="40" w:firstLine="441"/>
        <w:spacing w:after="0" w:line="214" w:lineRule="auto"/>
        <w:rPr>
          <w:sz w:val="20"/>
          <w:szCs w:val="20"/>
          <w:color w:val="auto"/>
        </w:rPr>
      </w:pPr>
      <w:r>
        <w:rPr>
          <w:rFonts w:ascii="Arial" w:cs="Arial" w:eastAsia="Arial" w:hAnsi="Arial"/>
          <w:sz w:val="18"/>
          <w:szCs w:val="18"/>
          <w:color w:val="auto"/>
        </w:rPr>
        <w:t xml:space="preserve">We account for uncertainties in income tax law under a comprehensive model for the financial statement recognition, measurement, presentation and disclosure of uncertain tax positions taken or expected to be taken in income tax returns as prescribed by Financial Accounting Standards Board (FASB) issued Accounting Standards Codification (ASC) 740-10 -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The tax effects of a position are recognized only if it is “more-likely-than-not” to</w:t>
      </w:r>
      <w:r>
        <w:rPr>
          <w:rFonts w:ascii="Arial" w:cs="Arial" w:eastAsia="Arial" w:hAnsi="Arial"/>
          <w:sz w:val="18"/>
          <w:szCs w:val="18"/>
          <w:i w:val="1"/>
          <w:iCs w:val="1"/>
          <w:color w:val="auto"/>
        </w:rPr>
        <w:t xml:space="preserve"> </w:t>
      </w:r>
      <w:r>
        <w:rPr>
          <w:rFonts w:ascii="Arial" w:cs="Arial" w:eastAsia="Arial" w:hAnsi="Arial"/>
          <w:sz w:val="18"/>
          <w:szCs w:val="18"/>
          <w:color w:val="auto"/>
        </w:rPr>
        <w:t>be sustained by the taxing authority as of the reporting date. If the tax position is not considered “more-likely-than-not” to be sustained, then no benefits of the position are recognized.</w:t>
      </w:r>
    </w:p>
    <w:p>
      <w:pPr>
        <w:spacing w:after="0" w:line="81" w:lineRule="exact"/>
        <w:rPr>
          <w:sz w:val="20"/>
          <w:szCs w:val="20"/>
          <w:color w:val="auto"/>
        </w:rPr>
      </w:pPr>
    </w:p>
    <w:p>
      <w:pPr>
        <w:jc w:val="both"/>
        <w:ind w:right="40" w:firstLine="441"/>
        <w:spacing w:after="0" w:line="237" w:lineRule="auto"/>
        <w:rPr>
          <w:sz w:val="20"/>
          <w:szCs w:val="20"/>
          <w:color w:val="auto"/>
        </w:rPr>
      </w:pPr>
      <w:r>
        <w:rPr>
          <w:rFonts w:ascii="Arial" w:cs="Arial" w:eastAsia="Arial" w:hAnsi="Arial"/>
          <w:sz w:val="17"/>
          <w:szCs w:val="17"/>
          <w:color w:val="auto"/>
        </w:rPr>
        <w:t>We are subject to U.S. federal income taxes and income taxes in California.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right="40" w:firstLine="441"/>
        <w:spacing w:after="0" w:line="232" w:lineRule="auto"/>
        <w:rPr>
          <w:sz w:val="20"/>
          <w:szCs w:val="20"/>
          <w:color w:val="auto"/>
        </w:rPr>
      </w:pPr>
      <w:r>
        <w:rPr>
          <w:rFonts w:ascii="Arial" w:cs="Arial" w:eastAsia="Arial" w:hAnsi="Arial"/>
          <w:sz w:val="17"/>
          <w:szCs w:val="17"/>
          <w:color w:val="auto"/>
        </w:rPr>
        <w:t>We generally recognize operating expenses as general and administrative costs and research and development costs, as well as non-cash amortization of intangible assets. Our operating expenses also include non-cash components related to depreciation and amortization of property and equipment and stock-based compensation costs, which are allocated, as appropriate, to general and administrative costs and research and development costs.</w:t>
      </w:r>
    </w:p>
    <w:p>
      <w:pPr>
        <w:spacing w:after="0" w:line="122" w:lineRule="exact"/>
        <w:rPr>
          <w:sz w:val="20"/>
          <w:szCs w:val="20"/>
          <w:color w:val="auto"/>
        </w:rPr>
      </w:pPr>
    </w:p>
    <w:p>
      <w:pPr>
        <w:jc w:val="both"/>
        <w:ind w:left="640" w:right="40" w:hanging="316"/>
        <w:spacing w:after="0" w:line="21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and administrative expenses consist of salaries and related expenses for executive, finance, legal, human resources, information technology and administrative personnel, professional fees, patent filing fees and costs, insurance costs and other general corporate expenses. We expect general and administrative expenses to increase in the future as we hire personnel and incur additional costs to support the expansion of our research and development activities and our operation as a public company, including higher legal, accounting, insurance, compliance, compensation and other costs.</w:t>
      </w:r>
    </w:p>
    <w:p>
      <w:pPr>
        <w:spacing w:after="0" w:line="121" w:lineRule="exact"/>
        <w:rPr>
          <w:rFonts w:ascii="Arial" w:cs="Arial" w:eastAsia="Arial" w:hAnsi="Arial"/>
          <w:sz w:val="18"/>
          <w:szCs w:val="18"/>
          <w:color w:val="auto"/>
        </w:rPr>
      </w:pPr>
    </w:p>
    <w:p>
      <w:pPr>
        <w:jc w:val="both"/>
        <w:ind w:left="640" w:right="40" w:hanging="316"/>
        <w:spacing w:after="0" w:line="249"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Research and development expenses consist of salaries and related expenses and consulting costs related to the design, development and enhancement of our potential future products, prototypes material and devices, including rent. We expect research and development costs to increase in the future as we initiate additional clinical trials, continue development and enhancement of our CellFX System and pursue commercial applications of our NPS technology.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operations as discussed herein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38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r>
      <w:tr>
        <w:trPr>
          <w:trHeight w:val="169"/>
        </w:trPr>
        <w:tc>
          <w:tcPr>
            <w:tcW w:w="3820" w:type="dxa"/>
            <w:vAlign w:val="bottom"/>
            <w:gridSpan w:val="2"/>
          </w:tcPr>
          <w:p>
            <w:pPr>
              <w:spacing w:after="0" w:line="169" w:lineRule="exact"/>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40" w:type="dxa"/>
            <w:vAlign w:val="bottom"/>
          </w:tcPr>
          <w:p>
            <w:pPr>
              <w:spacing w:after="0"/>
              <w:rPr>
                <w:sz w:val="18"/>
                <w:szCs w:val="18"/>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24,961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7,708</w:t>
            </w:r>
          </w:p>
        </w:tc>
        <w:tc>
          <w:tcPr>
            <w:tcW w:w="4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09"/>
        </w:trPr>
        <w:tc>
          <w:tcPr>
            <w:tcW w:w="38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47,954</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40" w:type="dxa"/>
            <w:vAlign w:val="bottom"/>
          </w:tcPr>
          <w:p>
            <w:pPr>
              <w:spacing w:after="0"/>
              <w:rPr>
                <w:sz w:val="18"/>
                <w:szCs w:val="18"/>
                <w:color w:val="auto"/>
              </w:rPr>
            </w:pPr>
          </w:p>
        </w:tc>
      </w:tr>
      <w:tr>
        <w:trPr>
          <w:trHeight w:val="169"/>
        </w:trPr>
        <w:tc>
          <w:tcPr>
            <w:tcW w:w="38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382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09"/>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income</w:t>
            </w:r>
          </w:p>
        </w:tc>
        <w:tc>
          <w:tcPr>
            <w:tcW w:w="1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40" w:type="dxa"/>
            <w:vAlign w:val="bottom"/>
          </w:tcPr>
          <w:p>
            <w:pPr>
              <w:spacing w:after="0"/>
              <w:rPr>
                <w:sz w:val="18"/>
                <w:szCs w:val="18"/>
                <w:color w:val="auto"/>
              </w:rPr>
            </w:pPr>
          </w:p>
        </w:tc>
      </w:tr>
      <w:tr>
        <w:trPr>
          <w:trHeight w:val="175"/>
        </w:trPr>
        <w:tc>
          <w:tcPr>
            <w:tcW w:w="38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Income tax benefit</w:t>
            </w: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760"/>
              <w:spacing w:after="0" w:line="176"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9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r>
      <w:tr>
        <w:trPr>
          <w:trHeight w:val="230"/>
        </w:trPr>
        <w:tc>
          <w:tcPr>
            <w:tcW w:w="3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40" w:type="dxa"/>
            <w:vAlign w:val="bottom"/>
          </w:tcPr>
          <w:p>
            <w:pPr>
              <w:spacing w:after="0"/>
              <w:rPr>
                <w:sz w:val="19"/>
                <w:szCs w:val="19"/>
                <w:color w:val="auto"/>
              </w:rPr>
            </w:pPr>
          </w:p>
        </w:tc>
      </w:tr>
      <w:tr>
        <w:trPr>
          <w:trHeight w:val="756"/>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880" w:type="dxa"/>
            <w:vAlign w:val="bottom"/>
            <w:tcBorders>
              <w:bottom w:val="single" w:sz="8" w:color="9A9A9A"/>
            </w:tcBorders>
          </w:tcPr>
          <w:p>
            <w:pPr>
              <w:spacing w:after="0"/>
              <w:rPr>
                <w:sz w:val="7"/>
                <w:szCs w:val="7"/>
                <w:color w:val="auto"/>
              </w:rPr>
            </w:pPr>
          </w:p>
        </w:tc>
        <w:tc>
          <w:tcPr>
            <w:tcW w:w="29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880" w:type="dxa"/>
            <w:vAlign w:val="bottom"/>
            <w:tcBorders>
              <w:bottom w:val="single" w:sz="8" w:color="EEEEEE"/>
            </w:tcBorders>
          </w:tcPr>
          <w:p>
            <w:pPr>
              <w:spacing w:after="0" w:line="20" w:lineRule="exact"/>
              <w:rPr>
                <w:sz w:val="1"/>
                <w:szCs w:val="1"/>
                <w:color w:val="auto"/>
              </w:rPr>
            </w:pPr>
          </w:p>
        </w:tc>
        <w:tc>
          <w:tcPr>
            <w:tcW w:w="294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-37465</wp:posOffset>
            </wp:positionV>
            <wp:extent cx="3365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-37465</wp:posOffset>
            </wp:positionV>
            <wp:extent cx="3429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4"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General and administrative expenses consist of salaries and related expenses for executives, marketing, sales, finance, legal, human resources, information technology and administrative personnel. General and administrative expenses increased by $2.3 million to $22.3 million in 2019 from $20.0 million in 2018 due primarily to $1.2 million of increased headcount related expenses and $1.1 million of increased corporate insurance policy and Delaware franchise tax expense due to our expanded operational infrastructure. General and administrative expenses are expected to increase during 2020 with the buildout of additional operational infrastructure to support the anticipated commercialization of our CellFX System in the aesthetic dermatology market.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jc w:val="both"/>
        <w:ind w:firstLine="441"/>
        <w:spacing w:after="0" w:line="222" w:lineRule="auto"/>
        <w:rPr>
          <w:sz w:val="20"/>
          <w:szCs w:val="20"/>
          <w:color w:val="auto"/>
        </w:rPr>
      </w:pPr>
      <w:r>
        <w:rPr>
          <w:rFonts w:ascii="Arial" w:cs="Arial" w:eastAsia="Arial" w:hAnsi="Arial"/>
          <w:sz w:val="17"/>
          <w:szCs w:val="17"/>
          <w:color w:val="auto"/>
        </w:rPr>
        <w:t>Research and development expenses consist of salaries and related expenses for research and development personnel, clinical trials professional fees and consulting costs related to the design, development and enhancement of our potential future products, engineering prototypes supplies and pre-commercial manufacturing supplies. Research and development expenses increased by $7.7 million to $25.0 million in 2019 from $17.3 million in 2018 due primarily to $3.7 million of increased headcount related expenses, $1.4 million of increased clinical trial and sponsored research related expense from the Company’s expanded clinical studies of NPS technology including the treatment of sebaceous hyperplasia, seborrheic keratosis, warts, and other general benign lesions, $1.7 million of increased engineering and manufacturing supplies and consulting expenses in support of continued development of the CellFX System capabilities and pre-commercial supply chain, $0.5 million of increased CellFX ecommerce system development and facility expenses from the expansion of our Hayward facility, and $0.4 million of increased travel expenses.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Other income increased by approximately $0.6 million to $1.0 million in 2019 from $0.4 million due primarily to higher interest income earned as a result of higher average monthly investment balances.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212529"/>
        </w:rPr>
        <w:t>Refer to Item 7. Management’s Discussion and Analysis of Financial Condition and Results of Operations located in our 10-K for the fiscal year ended December 31, 2018, filed on March 14, 2019, for the discussion of the comparison of the fiscal year ended December 31, 2018 to the fiscal year ended December 31, 2017, the earliest of the three fiscal years presented in the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To date, we have not generated any revenues from product sales. Since inception, we have funded our business plan through the issuance of equity securities and grants from governmental agencies. We intend to invest in research and development to develop commercially viable products and to assess the feasibility of potential future products. Additionally, we expect that our general and administrative expenses will increase as we continue to incur substantial incremental costs associated with being a public company.</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 December 2018, we completed a rights offering pursuant to which we sold an aggregate of 3,581,148 shares of our common stock, par value $0.001 per share, at a price per share of $12.57 per share, for net proceeds of approximately $44.8 million.</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statements of cash flows as discussed herein are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center"/>
              <w:ind w:left="596"/>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6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(34,174)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2"/>
              </w:rPr>
              <w:t>(23,896)</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(10,112)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254"/>
              <w:spacing w:after="0"/>
              <w:rPr>
                <w:sz w:val="20"/>
                <w:szCs w:val="20"/>
                <w:color w:val="auto"/>
              </w:rPr>
            </w:pPr>
            <w:r>
              <w:rPr>
                <w:rFonts w:ascii="Arial" w:cs="Arial" w:eastAsia="Arial" w:hAnsi="Arial"/>
                <w:sz w:val="18"/>
                <w:szCs w:val="18"/>
                <w:color w:val="auto"/>
                <w:w w:val="87"/>
              </w:rPr>
              <w:t>26,117</w:t>
            </w:r>
          </w:p>
        </w:tc>
        <w:tc>
          <w:tcPr>
            <w:tcW w:w="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(22,998)</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7"/>
              </w:rPr>
              <w:t>45,496</w:t>
            </w: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w:t>
            </w:r>
          </w:p>
        </w:tc>
      </w:tr>
      <w:tr>
        <w:trPr>
          <w:trHeight w:val="243"/>
        </w:trPr>
        <w:tc>
          <w:tcPr>
            <w:tcW w:w="45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40"/>
              <w:spacing w:after="0"/>
              <w:rPr>
                <w:sz w:val="20"/>
                <w:szCs w:val="20"/>
                <w:color w:val="auto"/>
              </w:rPr>
            </w:pPr>
            <w:r>
              <w:rPr>
                <w:rFonts w:ascii="Arial" w:cs="Arial" w:eastAsia="Arial" w:hAnsi="Arial"/>
                <w:sz w:val="18"/>
                <w:szCs w:val="18"/>
                <w:color w:val="auto"/>
              </w:rPr>
              <w:t>(44,204)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254"/>
              <w:spacing w:after="0"/>
              <w:rPr>
                <w:sz w:val="20"/>
                <w:szCs w:val="20"/>
                <w:color w:val="auto"/>
              </w:rPr>
            </w:pPr>
            <w:r>
              <w:rPr>
                <w:rFonts w:ascii="Arial" w:cs="Arial" w:eastAsia="Arial" w:hAnsi="Arial"/>
                <w:sz w:val="18"/>
                <w:szCs w:val="18"/>
                <w:color w:val="auto"/>
                <w:w w:val="87"/>
              </w:rPr>
              <w:t>47,717</w:t>
            </w:r>
          </w:p>
        </w:tc>
        <w:tc>
          <w:tcPr>
            <w:tcW w:w="6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1,297</w:t>
            </w:r>
          </w:p>
        </w:tc>
      </w:tr>
    </w:tbl>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At December 31, 2019, we had cash, cash equivalents and investments of $25.4 million. Our independent registered public accounting firm has issued a “going concern” opinion, meaning that there is substantial doubt we can continue as an ongoing business for the next twelve months from the date that our audited consolidated financial statements included elsewhere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this Annual Report on Form 10-K were issued unless we obtain additional capital. To date, we have not generated any revenue. As a result, we have incurred significant operating losses in each year since our inception and we expect to continue to incur additional losses for the next several years.</w:t>
      </w:r>
    </w:p>
    <w:p>
      <w:pPr>
        <w:spacing w:after="0" w:line="122"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We plan to raise additional capital in the future, including by pursuing a proposed rights offering, which was approved by our board of directors in February 2020, seeking to raise net proceeds of approximately $30 million assuming such rights offering is fully subscribed. There is no assurance that the rights offering will be successful, or that additional financing will be available when needed or that management will be able to obtain financing on terms acceptable to us.</w:t>
      </w:r>
    </w:p>
    <w:p>
      <w:pPr>
        <w:spacing w:after="0" w:line="122"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certain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16"/>
        <w:spacing w:after="0" w:line="224" w:lineRule="auto"/>
        <w:rPr>
          <w:sz w:val="20"/>
          <w:szCs w:val="20"/>
          <w:color w:val="auto"/>
        </w:rPr>
      </w:pPr>
      <w:r>
        <w:rPr>
          <w:rFonts w:ascii="Arial" w:cs="Arial" w:eastAsia="Arial" w:hAnsi="Arial"/>
          <w:sz w:val="18"/>
          <w:szCs w:val="18"/>
          <w:color w:val="auto"/>
        </w:rPr>
        <w:t>During 2019, we used cash of $34.2 million in operating activities. The difference between cash used in operating activities and net loss consisted primarily of stock-based compensation, depreciation and amortization, increased accounts payable and accrued expenses.</w:t>
      </w:r>
    </w:p>
    <w:p>
      <w:pPr>
        <w:spacing w:after="0" w:line="122" w:lineRule="exact"/>
        <w:rPr>
          <w:sz w:val="20"/>
          <w:szCs w:val="20"/>
          <w:color w:val="auto"/>
        </w:rPr>
      </w:pPr>
    </w:p>
    <w:p>
      <w:pPr>
        <w:jc w:val="both"/>
        <w:ind w:firstLine="416"/>
        <w:spacing w:after="0" w:line="237" w:lineRule="auto"/>
        <w:rPr>
          <w:sz w:val="20"/>
          <w:szCs w:val="20"/>
          <w:color w:val="auto"/>
        </w:rPr>
      </w:pPr>
      <w:r>
        <w:rPr>
          <w:rFonts w:ascii="Arial" w:cs="Arial" w:eastAsia="Arial" w:hAnsi="Arial"/>
          <w:sz w:val="17"/>
          <w:szCs w:val="17"/>
          <w:color w:val="auto"/>
        </w:rPr>
        <w:t>During 2018, we used cash of $23.9 million in operating activities. The difference between cash used in operating activities and net loss consisted primarily of stock-based compensation, depreciation and amortization, increased accounts payable and accrued expenses, partially offset by increased prepaid expenses and decreased deferred rent.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2019, we used cash of $10.1 million for investing activities, of which $9.5 million was used for the net purchases of investments and $0.6 million for property and equipment.</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2018, cash provided from investing activities of $26.1 million from the sale of investments of $24.9 million and $41.8 million of cash proceeds from the maturities of investments, partially offset by $40.3 million cash used for the purchase of investments and $0.3 million cash used for the purchase of property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During 2019, cash provided from financing activities was $0.1 million in connection with the proceeds from stock option exercises and employee stock purchases offset by tax payments withheld for the vesting of restricted stock units.</w:t>
      </w:r>
    </w:p>
    <w:p>
      <w:pPr>
        <w:spacing w:after="0" w:line="10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2018, cash provided from financing activities was $45.5 million due to net proceeds from our rights offering and the issuance of common stock in connection with the exercise of stock options and warrants and our employee stock purchase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212529"/>
        </w:rPr>
        <w:t>Refer to Item 7. Management’s Discussion and Analysis of Financial Condition and Results of Operations located in our 10-K for the fiscal year ended December 31, 2018, filed on March 14, 2019, for the discussion of the comparison of the fiscal year ended December 31, 2018 to the fiscal year ended December 31, 2017, the earliest of the three fiscal years presented in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Frank Reidy Research Center Agreement</w:t>
      </w:r>
    </w:p>
    <w:p>
      <w:pPr>
        <w:spacing w:after="0" w:line="14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As provided for in the license agreement with ODURF and EVMS, effective on November 6, 2014, we sponsored certain approved research activities at ODURF’s Frank Reidy Research Center under a sponsored research agreement. In June 2017,</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agreed to sponsor $0.7 million in research from July 1, 2017 to June 30, 2018. In August 2018, we agreed to sponsor $0.8 million in research from September 1, 2018 to August 1, 2019. In September 2019, we agreed to sponsor $0.8 million in research from October 1, 2019 to September 1, 2020. These sponsored researches were funded through monthly payments made upon ODURF certifying, to our reasonable satisfaction, that ODURF has met its obligations pursuant to the specified task order and statement of work. The principal investigator may transfer funds with the budget as needed with our approval so long as the obligations of ODURF under the task order and statement of work remain unchanged and unimpaired. During the years ended December 31, 2019, 2018, and 2017, we incurred costs relating to the sponsored research agreement equal to $0.9 million, $0.7 million and $0.8 million, respectively. As of December 31, 2019, $0.6 million remained payable under this agreement.</w:t>
      </w:r>
    </w:p>
    <w:p>
      <w:pPr>
        <w:spacing w:after="0" w:line="126" w:lineRule="exact"/>
        <w:rPr>
          <w:sz w:val="20"/>
          <w:szCs w:val="20"/>
          <w:color w:val="auto"/>
        </w:rPr>
      </w:pPr>
    </w:p>
    <w:p>
      <w:pPr>
        <w:jc w:val="both"/>
        <w:ind w:firstLine="416"/>
        <w:spacing w:after="0" w:line="219" w:lineRule="auto"/>
        <w:rPr>
          <w:sz w:val="20"/>
          <w:szCs w:val="20"/>
          <w:color w:val="auto"/>
        </w:rPr>
      </w:pPr>
      <w:r>
        <w:rPr>
          <w:rFonts w:ascii="Arial" w:cs="Arial" w:eastAsia="Arial" w:hAnsi="Arial"/>
          <w:sz w:val="18"/>
          <w:szCs w:val="18"/>
          <w:color w:val="auto"/>
        </w:rPr>
        <w:t>In addition, during 2017, we agreed to provide $0.3 million in research funding to researchers affiliated with ODURF and EVMS matching funds made available to those researchers by the Virginia Biosciences Health Research Corporation. Our sponsorship affords access to certain intellectual property, if any, developed during the project. As of December 31, 2019, no amount remained available under this agreement.</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44"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We lease approximately 29,000 square feet of premises located in Hayward, California, which is used for our corporate headquarters and principal operating facility. The term of the original lease included 15,700 square feet for 62 months and commenced on July 1, 2017. During May 2019, we entered into an amendment to the lease which amended the existing lease and provided for a total expansion of the premises to approximately 50,300 square feet and an option to extend the term of the lease. Approximately 13,300 square feet of the 34,600 square feet expansion was occupied in November 2019 during the first phase, the remaining approximately 21,300 square feet will be occupied in the second phase. The amended lease can be extended up to seven years.</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Under the original lease agreement, the landlord provided $2.1 million allowance for tenant improvements, which was recorded as deferred rent at the inception of the lease term. Future minimum lease payment are net of amortization of tenant improvement allowance. The following table summarizes our contractual obligations as of December 31, 2019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60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8"/>
                <w:szCs w:val="8"/>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Less Than 1 Year</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1"/>
              </w:rPr>
              <w:t>1 to 3 Years</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1"/>
              </w:rPr>
              <w:t>3 to 5 Years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ind w:right="47"/>
              <w:spacing w:after="0" w:line="102" w:lineRule="exact"/>
              <w:rPr>
                <w:sz w:val="20"/>
                <w:szCs w:val="20"/>
                <w:color w:val="auto"/>
              </w:rPr>
            </w:pPr>
            <w:r>
              <w:rPr>
                <w:rFonts w:ascii="Arial" w:cs="Arial" w:eastAsia="Arial" w:hAnsi="Arial"/>
                <w:sz w:val="11"/>
                <w:szCs w:val="11"/>
                <w:b w:val="1"/>
                <w:bCs w:val="1"/>
                <w:color w:val="auto"/>
              </w:rPr>
              <w:t>More Than 5</w:t>
            </w:r>
          </w:p>
        </w:tc>
        <w:tc>
          <w:tcPr>
            <w:tcW w:w="0" w:type="dxa"/>
            <w:vAlign w:val="bottom"/>
          </w:tcPr>
          <w:p>
            <w:pPr>
              <w:spacing w:after="0"/>
              <w:rPr>
                <w:sz w:val="1"/>
                <w:szCs w:val="1"/>
                <w:color w:val="auto"/>
              </w:rPr>
            </w:pPr>
          </w:p>
        </w:tc>
      </w:tr>
      <w:tr>
        <w:trPr>
          <w:trHeight w:val="156"/>
        </w:trPr>
        <w:tc>
          <w:tcPr>
            <w:tcW w:w="880" w:type="dxa"/>
            <w:vAlign w:val="bottom"/>
            <w:tcBorders>
              <w:bottom w:val="single" w:sz="8" w:color="auto"/>
            </w:tcBorders>
            <w:vMerge w:val="continue"/>
          </w:tcPr>
          <w:p>
            <w:pPr>
              <w:spacing w:after="0"/>
              <w:rPr>
                <w:sz w:val="13"/>
                <w:szCs w:val="13"/>
                <w:color w:val="auto"/>
              </w:rPr>
            </w:pPr>
          </w:p>
        </w:tc>
        <w:tc>
          <w:tcPr>
            <w:tcW w:w="26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vMerge w:val="continue"/>
          </w:tcPr>
          <w:p>
            <w:pPr>
              <w:spacing w:after="0"/>
              <w:rPr>
                <w:sz w:val="13"/>
                <w:szCs w:val="13"/>
                <w:color w:val="auto"/>
              </w:rPr>
            </w:pPr>
          </w:p>
        </w:tc>
        <w:tc>
          <w:tcPr>
            <w:tcW w:w="12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7"/>
              <w:spacing w:after="0" w:line="149" w:lineRule="exact"/>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At December 31, 2019, we did not have any transactions, obligations or relationships that could be considered off-balance sheet arrangements.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1" w:lineRule="exact"/>
        <w:rPr>
          <w:sz w:val="20"/>
          <w:szCs w:val="20"/>
          <w:color w:val="auto"/>
        </w:rPr>
      </w:pPr>
    </w:p>
    <w:p>
      <w:pPr>
        <w:jc w:val="both"/>
        <w:ind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NPS technology platform, including, but not limited to, additional financing through follow-on stock offerings, debt financings, or co-development agreements and /or other alternatives.</w:t>
      </w:r>
    </w:p>
    <w:p>
      <w:pPr>
        <w:spacing w:after="0" w:line="124"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6"/>
          <w:szCs w:val="16"/>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1"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Other than as discussed above and elsewhere in this Annual Report on Form 10-K,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jc w:val="both"/>
        <w:ind w:firstLine="441"/>
        <w:spacing w:after="0" w:line="223" w:lineRule="auto"/>
        <w:rPr>
          <w:sz w:val="20"/>
          <w:szCs w:val="20"/>
          <w:color w:val="auto"/>
        </w:rPr>
      </w:pPr>
      <w:r>
        <w:rPr>
          <w:rFonts w:ascii="Arial" w:cs="Arial" w:eastAsia="Arial" w:hAnsi="Arial"/>
          <w:sz w:val="17"/>
          <w:szCs w:val="17"/>
          <w:color w:val="auto"/>
        </w:rPr>
        <w:t>Our exposure to interest rate and market risk is confined to our cash, cash equivalents and investments, all of which have maturities of less than one year.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have any international operations. We may incur foreign exchange gains or losses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PULSE BIOSCIENCES, INC.</w:t>
      </w:r>
    </w:p>
    <w:p>
      <w:pPr>
        <w:spacing w:after="0" w:line="14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540" w:type="dxa"/>
            <w:vAlign w:val="bottom"/>
            <w:gridSpan w:val="8"/>
            <w:vMerge w:val="restart"/>
          </w:tcPr>
          <w:p>
            <w:pPr>
              <w:ind w:left="120"/>
              <w:spacing w:after="0"/>
              <w:rPr>
                <w:sz w:val="20"/>
                <w:szCs w:val="20"/>
                <w:color w:val="auto"/>
              </w:rPr>
            </w:pPr>
            <w:r>
              <w:rPr>
                <w:rFonts w:ascii="Arial" w:cs="Arial" w:eastAsia="Arial" w:hAnsi="Arial"/>
                <w:sz w:val="18"/>
                <w:szCs w:val="18"/>
                <w:b w:val="1"/>
                <w:bCs w:val="1"/>
                <w:color w:val="auto"/>
              </w:rPr>
              <w:t>CONSOLIDATED FINANCIAL STATEMENTS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40" w:type="dxa"/>
            <w:vAlign w:val="bottom"/>
            <w:gridSpan w:val="8"/>
            <w:vMerge w:val="continue"/>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0000EE"/>
            </w:tcBorders>
            <w:gridSpan w:val="5"/>
            <w:shd w:val="clear" w:color="auto" w:fill="CCEEFF"/>
          </w:tcPr>
          <w:p>
            <w:pPr>
              <w:spacing w:after="0" w:line="16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Reports of Independent Registered Public Accounting Firms</w:t>
              </w:r>
            </w:hyperlink>
          </w:p>
        </w:tc>
        <w:tc>
          <w:tcPr>
            <w:tcW w:w="388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240" w:type="dxa"/>
            <w:vAlign w:val="bottom"/>
            <w:gridSpan w:val="7"/>
          </w:tcPr>
          <w:p>
            <w:pPr>
              <w:spacing w:after="0" w:line="15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Balance Sheets</w:t>
              </w:r>
            </w:hyperlink>
          </w:p>
        </w:tc>
        <w:tc>
          <w:tcPr>
            <w:tcW w:w="740" w:type="dxa"/>
            <w:vAlign w:val="bottom"/>
          </w:tcPr>
          <w:p>
            <w:pPr>
              <w:jc w:val="center"/>
              <w:spacing w:after="0" w:line="156" w:lineRule="exact"/>
              <w:rPr>
                <w:sz w:val="20"/>
                <w:szCs w:val="20"/>
                <w:color w:val="auto"/>
              </w:rPr>
            </w:pPr>
            <w:r>
              <w:rPr>
                <w:rFonts w:ascii="Arial" w:cs="Arial" w:eastAsia="Arial" w:hAnsi="Arial"/>
                <w:sz w:val="18"/>
                <w:szCs w:val="18"/>
                <w:color w:val="auto"/>
                <w:w w:val="89"/>
              </w:rPr>
              <w:t>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Borders>
              <w:bottom w:val="single" w:sz="8" w:color="CCEEFF"/>
            </w:tcBorders>
            <w:shd w:val="clear" w:color="auto" w:fill="CCEEFF"/>
          </w:tcPr>
          <w:p>
            <w:pPr>
              <w:spacing w:after="0"/>
              <w:rPr>
                <w:sz w:val="13"/>
                <w:szCs w:val="13"/>
                <w:color w:val="auto"/>
              </w:rPr>
            </w:pPr>
          </w:p>
        </w:tc>
        <w:tc>
          <w:tcPr>
            <w:tcW w:w="4680" w:type="dxa"/>
            <w:vAlign w:val="bottom"/>
            <w:tcBorders>
              <w:bottom w:val="single" w:sz="8" w:color="0000EE"/>
            </w:tcBorders>
            <w:gridSpan w:val="6"/>
            <w:shd w:val="clear" w:color="auto" w:fill="CCEEFF"/>
          </w:tcPr>
          <w:p>
            <w:pPr>
              <w:spacing w:after="0" w:line="15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Operations and Comprehensive Loss</w:t>
              </w:r>
            </w:hyperlink>
          </w:p>
        </w:tc>
        <w:tc>
          <w:tcPr>
            <w:tcW w:w="35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240" w:type="dxa"/>
            <w:vAlign w:val="bottom"/>
            <w:gridSpan w:val="7"/>
          </w:tcPr>
          <w:p>
            <w:pPr>
              <w:spacing w:after="0" w:line="15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Stockholders’ Equity</w:t>
              </w:r>
            </w:hyperlink>
          </w:p>
        </w:tc>
        <w:tc>
          <w:tcPr>
            <w:tcW w:w="740" w:type="dxa"/>
            <w:vAlign w:val="bottom"/>
          </w:tcPr>
          <w:p>
            <w:pPr>
              <w:jc w:val="center"/>
              <w:spacing w:after="0" w:line="156" w:lineRule="exact"/>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shd w:val="clear" w:color="auto" w:fill="CCEEFF"/>
          </w:tcPr>
          <w:p>
            <w:pPr>
              <w:spacing w:after="0"/>
              <w:rPr>
                <w:sz w:val="13"/>
                <w:szCs w:val="13"/>
                <w:color w:val="auto"/>
              </w:rPr>
            </w:pPr>
          </w:p>
        </w:tc>
        <w:tc>
          <w:tcPr>
            <w:tcW w:w="3540" w:type="dxa"/>
            <w:vAlign w:val="bottom"/>
            <w:tcBorders>
              <w:top w:val="single" w:sz="8" w:color="0000EE"/>
            </w:tcBorders>
            <w:gridSpan w:val="4"/>
            <w:shd w:val="clear" w:color="auto" w:fill="CCEEFF"/>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4700" w:type="dxa"/>
            <w:vAlign w:val="bottom"/>
            <w:gridSpan w:val="3"/>
            <w:shd w:val="clear" w:color="auto" w:fill="CCEEFF"/>
          </w:tcPr>
          <w:p>
            <w:pPr>
              <w:spacing w:after="0"/>
              <w:rPr>
                <w:sz w:val="13"/>
                <w:szCs w:val="13"/>
                <w:color w:val="auto"/>
              </w:rPr>
            </w:pPr>
          </w:p>
        </w:tc>
        <w:tc>
          <w:tcPr>
            <w:tcW w:w="74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Pr>
          <w:p>
            <w:pPr>
              <w:spacing w:after="0"/>
              <w:rPr>
                <w:sz w:val="13"/>
                <w:szCs w:val="13"/>
                <w:color w:val="auto"/>
              </w:rPr>
            </w:pPr>
          </w:p>
        </w:tc>
        <w:tc>
          <w:tcPr>
            <w:tcW w:w="8240" w:type="dxa"/>
            <w:vAlign w:val="bottom"/>
            <w:gridSpan w:val="7"/>
          </w:tcPr>
          <w:p>
            <w:pPr>
              <w:spacing w:after="0" w:line="156"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740" w:type="dxa"/>
            <w:vAlign w:val="bottom"/>
          </w:tcPr>
          <w:p>
            <w:pPr>
              <w:jc w:val="center"/>
              <w:spacing w:after="0" w:line="156" w:lineRule="exact"/>
              <w:rPr>
                <w:sz w:val="20"/>
                <w:szCs w:val="20"/>
                <w:color w:val="auto"/>
              </w:rPr>
            </w:pPr>
            <w:r>
              <w:rPr>
                <w:rFonts w:ascii="Arial" w:cs="Arial" w:eastAsia="Arial" w:hAnsi="Arial"/>
                <w:sz w:val="18"/>
                <w:szCs w:val="18"/>
                <w:color w:val="auto"/>
                <w:w w:val="89"/>
              </w:rPr>
              <w:t>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30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5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35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-38100</wp:posOffset>
            </wp:positionV>
            <wp:extent cx="3365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320"/>
          </w:cols>
          <w:pgMar w:left="1300" w:top="108" w:right="1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rPr>
          <w:sz w:val="20"/>
          <w:szCs w:val="20"/>
          <w:color w:val="auto"/>
        </w:rPr>
      </w:pPr>
      <w:r>
        <w:rPr>
          <w:rFonts w:ascii="Arial" w:cs="Arial" w:eastAsia="Arial" w:hAnsi="Arial"/>
          <w:sz w:val="18"/>
          <w:szCs w:val="18"/>
          <w:color w:val="auto"/>
        </w:rPr>
        <w:t>Pulse Biosciences, Inc.</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31F20"/>
        </w:rPr>
        <w:t>Opinion on the Financial Statements</w:t>
      </w:r>
    </w:p>
    <w:p>
      <w:pPr>
        <w:spacing w:after="0" w:line="148" w:lineRule="exact"/>
        <w:rPr>
          <w:sz w:val="20"/>
          <w:szCs w:val="20"/>
          <w:color w:val="auto"/>
        </w:rPr>
      </w:pPr>
    </w:p>
    <w:p>
      <w:pPr>
        <w:jc w:val="both"/>
        <w:ind w:left="40"/>
        <w:spacing w:after="0" w:line="214" w:lineRule="auto"/>
        <w:rPr>
          <w:sz w:val="20"/>
          <w:szCs w:val="20"/>
          <w:color w:val="auto"/>
        </w:rPr>
      </w:pPr>
      <w:r>
        <w:rPr>
          <w:rFonts w:ascii="Arial" w:cs="Arial" w:eastAsia="Arial" w:hAnsi="Arial"/>
          <w:sz w:val="18"/>
          <w:szCs w:val="18"/>
          <w:color w:val="231F20"/>
        </w:rPr>
        <w:t>We have audited the accompanying consolidated statements of operations and comprehensive loss, stockholders’ equity, and cash flows of Pulse Biosciences, Inc. (as defined in Note 1 to the consolidated financial statements) (the “Company”) for the year ended December 31, 2017, and the related notes (collectively referred to as the “consolidated financial statements”). In our opinion, the consolidated financial statements present fairly, in all material respects, the results of their operations and their cash flows for the year ended December 31, 2017, in conformity with accounting principles generally accepted in the United States of America.</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31F20"/>
        </w:rPr>
        <w:t>Basis for Opinion</w:t>
      </w:r>
    </w:p>
    <w:p>
      <w:pPr>
        <w:spacing w:after="0" w:line="148" w:lineRule="exact"/>
        <w:rPr>
          <w:sz w:val="20"/>
          <w:szCs w:val="20"/>
          <w:color w:val="auto"/>
        </w:rPr>
      </w:pPr>
    </w:p>
    <w:p>
      <w:pPr>
        <w:jc w:val="both"/>
        <w:ind w:left="40"/>
        <w:spacing w:after="0" w:line="216" w:lineRule="auto"/>
        <w:rPr>
          <w:sz w:val="20"/>
          <w:szCs w:val="20"/>
          <w:color w:val="auto"/>
        </w:rPr>
      </w:pPr>
      <w:r>
        <w:rPr>
          <w:rFonts w:ascii="Arial" w:cs="Arial" w:eastAsia="Arial" w:hAnsi="Arial"/>
          <w:sz w:val="18"/>
          <w:szCs w:val="18"/>
          <w:color w:val="231F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left="40"/>
        <w:spacing w:after="0" w:line="214" w:lineRule="auto"/>
        <w:rPr>
          <w:sz w:val="20"/>
          <w:szCs w:val="20"/>
          <w:color w:val="auto"/>
        </w:rPr>
      </w:pPr>
      <w:r>
        <w:rPr>
          <w:rFonts w:ascii="Arial" w:cs="Arial" w:eastAsia="Arial" w:hAnsi="Arial"/>
          <w:sz w:val="18"/>
          <w:szCs w:val="18"/>
          <w:color w:val="231F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0"/>
        <w:spacing w:after="0" w:line="244" w:lineRule="auto"/>
        <w:rPr>
          <w:sz w:val="20"/>
          <w:szCs w:val="20"/>
          <w:color w:val="auto"/>
        </w:rPr>
      </w:pPr>
      <w:r>
        <w:rPr>
          <w:rFonts w:ascii="Arial" w:cs="Arial" w:eastAsia="Arial" w:hAnsi="Arial"/>
          <w:sz w:val="16"/>
          <w:szCs w:val="16"/>
          <w:color w:val="231F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Gumbiner Savett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231F20"/>
        </w:rPr>
        <w:t>We had served as the Company's auditor since 2015 and our tenure ended on April 16, 2018.</w:t>
      </w:r>
    </w:p>
    <w:p>
      <w:pPr>
        <w:spacing w:after="0" w:line="203" w:lineRule="auto"/>
        <w:rPr>
          <w:sz w:val="20"/>
          <w:szCs w:val="20"/>
          <w:color w:val="auto"/>
        </w:rPr>
      </w:pPr>
      <w:r>
        <w:rPr>
          <w:rFonts w:ascii="Arial" w:cs="Arial" w:eastAsia="Arial" w:hAnsi="Arial"/>
          <w:sz w:val="18"/>
          <w:szCs w:val="18"/>
          <w:color w:val="231F20"/>
        </w:rPr>
        <w:t>Santa Monica, California</w:t>
      </w:r>
    </w:p>
    <w:p>
      <w:pPr>
        <w:spacing w:after="0"/>
        <w:rPr>
          <w:sz w:val="20"/>
          <w:szCs w:val="20"/>
          <w:color w:val="auto"/>
        </w:rPr>
      </w:pPr>
      <w:r>
        <w:rPr>
          <w:rFonts w:ascii="Arial" w:cs="Arial" w:eastAsia="Arial" w:hAnsi="Arial"/>
          <w:sz w:val="18"/>
          <w:szCs w:val="18"/>
          <w:color w:val="231F20"/>
        </w:rPr>
        <w:t>March 16, 2018</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300"/>
          </w:cols>
          <w:pgMar w:left="1300" w:top="108" w:right="1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Pulse Biosciences,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have audited the accompanying consolidated balance sheets of Pulse Biosciences, Inc. and subsidiaries (the "Company") as of December 31, 2019 and 2018, the related consolidated statements of operations and comprehensive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3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incurred recurring losses and negative cash flows from operations that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discussed in Note 2 to the financial statements, the Company has changed its method of accounting for leases in 2019 due to the adoption of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using the optional transition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16,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6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0"/>
        </w:trPr>
        <w:tc>
          <w:tcPr>
            <w:tcW w:w="67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26,403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60,362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Deferred rent, current</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220"/>
              <w:spacing w:after="0" w:line="149" w:lineRule="exact"/>
              <w:rPr>
                <w:sz w:val="20"/>
                <w:szCs w:val="20"/>
                <w:color w:val="auto"/>
              </w:rPr>
            </w:pPr>
            <w:r>
              <w:rPr>
                <w:rFonts w:ascii="Arial" w:cs="Arial" w:eastAsia="Arial" w:hAnsi="Arial"/>
                <w:sz w:val="17"/>
                <w:szCs w:val="17"/>
                <w:color w:val="auto"/>
              </w:rPr>
              <w:t>Preferred stock, $0.001 par value;</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20" w:type="dxa"/>
            <w:vAlign w:val="bottom"/>
          </w:tcPr>
          <w:p>
            <w:pPr>
              <w:ind w:left="22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Common stock, $0.001 par value;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authorized – 500,000 shares; issued and outstanding – 20,825 shares and</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20,593 shares at December 31, 2019 and 2018, respectively</w:t>
            </w:r>
          </w:p>
        </w:tc>
        <w:tc>
          <w:tcPr>
            <w:tcW w:w="2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153,401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142,032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(122,689)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0" w:type="dxa"/>
            <w:vAlign w:val="bottom"/>
          </w:tcPr>
          <w:p>
            <w:pPr>
              <w:spacing w:after="0"/>
              <w:rPr>
                <w:sz w:val="1"/>
                <w:szCs w:val="1"/>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41,915</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0"/>
              <w:spacing w:after="0" w:line="169"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10"/>
              <w:spacing w:after="0" w:line="169"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260" w:type="dxa"/>
            <w:vAlign w:val="bottom"/>
          </w:tcPr>
          <w:p>
            <w:pPr>
              <w:spacing w:after="0" w:line="169"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0" w:type="dxa"/>
            <w:vAlign w:val="bottom"/>
          </w:tcPr>
          <w:p>
            <w:pPr>
              <w:spacing w:after="0"/>
              <w:rPr>
                <w:sz w:val="1"/>
                <w:szCs w:val="1"/>
                <w:color w:val="auto"/>
              </w:rPr>
            </w:pPr>
          </w:p>
        </w:tc>
      </w:tr>
      <w:tr>
        <w:trPr>
          <w:trHeight w:val="175"/>
        </w:trPr>
        <w:tc>
          <w:tcPr>
            <w:tcW w:w="5260" w:type="dxa"/>
            <w:vAlign w:val="bottom"/>
          </w:tcPr>
          <w:p>
            <w:pPr>
              <w:ind w:left="220"/>
              <w:spacing w:after="0" w:line="176" w:lineRule="exact"/>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5"/>
                <w:szCs w:val="15"/>
                <w:color w:val="auto"/>
              </w:rPr>
            </w:pPr>
          </w:p>
        </w:tc>
        <w:tc>
          <w:tcPr>
            <w:tcW w:w="10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0" w:type="dxa"/>
            <w:vAlign w:val="bottom"/>
          </w:tcPr>
          <w:p>
            <w:pPr>
              <w:spacing w:after="0"/>
              <w:rPr>
                <w:sz w:val="1"/>
                <w:szCs w:val="1"/>
                <w:color w:val="auto"/>
              </w:rPr>
            </w:pPr>
          </w:p>
        </w:tc>
      </w:tr>
      <w:tr>
        <w:trPr>
          <w:trHeight w:val="175"/>
        </w:trPr>
        <w:tc>
          <w:tcPr>
            <w:tcW w:w="5260" w:type="dxa"/>
            <w:vAlign w:val="bottom"/>
          </w:tcPr>
          <w:p>
            <w:pPr>
              <w:spacing w:after="0" w:line="176" w:lineRule="exact"/>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Unrealized gain (loss) on available-for-sale securities,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(46,966)</w:t>
            </w:r>
          </w:p>
        </w:tc>
        <w:tc>
          <w:tcPr>
            <w:tcW w:w="80" w:type="dxa"/>
            <w:vAlign w:val="bottom"/>
          </w:tcPr>
          <w:p>
            <w:pPr>
              <w:spacing w:after="0"/>
              <w:rPr>
                <w:sz w:val="18"/>
                <w:szCs w:val="18"/>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(37,495)</w:t>
            </w:r>
          </w:p>
        </w:tc>
        <w:tc>
          <w:tcPr>
            <w:tcW w:w="80" w:type="dxa"/>
            <w:vAlign w:val="bottom"/>
          </w:tcPr>
          <w:p>
            <w:pPr>
              <w:spacing w:after="0"/>
              <w:rPr>
                <w:sz w:val="18"/>
                <w:szCs w:val="18"/>
                <w:color w:val="auto"/>
              </w:rPr>
            </w:pP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(25,611)</w:t>
            </w:r>
          </w:p>
        </w:tc>
        <w:tc>
          <w:tcPr>
            <w:tcW w:w="0" w:type="dxa"/>
            <w:vAlign w:val="bottom"/>
          </w:tcPr>
          <w:p>
            <w:pPr>
              <w:spacing w:after="0"/>
              <w:rPr>
                <w:sz w:val="1"/>
                <w:szCs w:val="1"/>
                <w:color w:val="auto"/>
              </w:rPr>
            </w:pPr>
          </w:p>
        </w:tc>
      </w:tr>
      <w:tr>
        <w:trPr>
          <w:trHeight w:val="176"/>
        </w:trPr>
        <w:tc>
          <w:tcPr>
            <w:tcW w:w="52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share:</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35"/>
        </w:trPr>
        <w:tc>
          <w:tcPr>
            <w:tcW w:w="52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 average shares used to compute net loss per common share</w:t>
            </w: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20,746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 basic and diluted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 except per share amount)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6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Accumulated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0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2016</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13,315</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37,898</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(12,606)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25,298</w:t>
            </w:r>
          </w:p>
        </w:tc>
        <w:tc>
          <w:tcPr>
            <w:tcW w:w="0" w:type="dxa"/>
            <w:vAlign w:val="bottom"/>
          </w:tcPr>
          <w:p>
            <w:pPr>
              <w:spacing w:after="0"/>
              <w:rPr>
                <w:sz w:val="1"/>
                <w:szCs w:val="1"/>
                <w:color w:val="auto"/>
              </w:rPr>
            </w:pPr>
          </w:p>
        </w:tc>
      </w:tr>
      <w:tr>
        <w:trPr>
          <w:trHeight w:val="108"/>
        </w:trPr>
        <w:tc>
          <w:tcPr>
            <w:tcW w:w="3040" w:type="dxa"/>
            <w:vAlign w:val="bottom"/>
          </w:tcPr>
          <w:p>
            <w:pPr>
              <w:spacing w:after="0" w:line="108" w:lineRule="exact"/>
              <w:rPr>
                <w:sz w:val="20"/>
                <w:szCs w:val="20"/>
                <w:color w:val="auto"/>
              </w:rPr>
            </w:pPr>
            <w:r>
              <w:rPr>
                <w:rFonts w:ascii="Arial" w:cs="Arial" w:eastAsia="Arial" w:hAnsi="Arial"/>
                <w:sz w:val="12"/>
                <w:szCs w:val="12"/>
                <w:color w:val="auto"/>
              </w:rPr>
              <w:t>Shares issued upon closing of private placements,</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2,820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ind w:left="388"/>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34,840</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net of issuance costs of $199</w:t>
            </w: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Issuance of shares upon exercise of warrants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4"/>
                <w:szCs w:val="14"/>
                <w:color w:val="auto"/>
                <w:w w:val="97"/>
              </w:rPr>
              <w:t>Issuance of shares upon exercise of stock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left="388"/>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4"/>
                <w:szCs w:val="14"/>
                <w:color w:val="auto"/>
              </w:rPr>
              <w:t>Unrealized loss on available-for-sale securities</w:t>
            </w: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(25,567)</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(25,567)</w:t>
            </w: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color w:val="auto"/>
              </w:rPr>
              <w:t>Balance, December 31, 2017</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16,819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84,202</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(38,173)</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45,995</w:t>
            </w:r>
          </w:p>
        </w:tc>
        <w:tc>
          <w:tcPr>
            <w:tcW w:w="0" w:type="dxa"/>
            <w:vAlign w:val="bottom"/>
          </w:tcPr>
          <w:p>
            <w:pPr>
              <w:spacing w:after="0"/>
              <w:rPr>
                <w:sz w:val="1"/>
                <w:szCs w:val="1"/>
                <w:color w:val="auto"/>
              </w:rPr>
            </w:pPr>
          </w:p>
        </w:tc>
      </w:tr>
      <w:tr>
        <w:trPr>
          <w:trHeight w:val="108"/>
        </w:trPr>
        <w:tc>
          <w:tcPr>
            <w:tcW w:w="30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common stock in a rights offering at</w:t>
            </w: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8"/>
              </w:rPr>
              <w:t>$12.57 per share for cash, net of issuance cost of</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center"/>
              <w:ind w:left="388"/>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44,782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$213</w:t>
            </w: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4"/>
                <w:szCs w:val="14"/>
                <w:color w:val="auto"/>
              </w:rPr>
              <w:t>Issuance of shares upon exercise of warrants</w:t>
            </w: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w w:val="97"/>
              </w:rPr>
              <w:t>Issuance of shares upon 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08"/>
        </w:trPr>
        <w:tc>
          <w:tcPr>
            <w:tcW w:w="3040" w:type="dxa"/>
            <w:vAlign w:val="bottom"/>
          </w:tcPr>
          <w:p>
            <w:pPr>
              <w:spacing w:after="0" w:line="108" w:lineRule="exact"/>
              <w:rPr>
                <w:sz w:val="20"/>
                <w:szCs w:val="20"/>
                <w:color w:val="auto"/>
              </w:rPr>
            </w:pPr>
            <w:r>
              <w:rPr>
                <w:rFonts w:ascii="Arial" w:cs="Arial" w:eastAsia="Arial" w:hAnsi="Arial"/>
                <w:sz w:val="12"/>
                <w:szCs w:val="12"/>
                <w:color w:val="auto"/>
              </w:rPr>
              <w:t>Issuance of shares under employee stock purchase</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plan</w:t>
            </w: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12,338</w:t>
            </w:r>
          </w:p>
        </w:tc>
        <w:tc>
          <w:tcPr>
            <w:tcW w:w="0" w:type="dxa"/>
            <w:vAlign w:val="bottom"/>
          </w:tcPr>
          <w:p>
            <w:pPr>
              <w:spacing w:after="0"/>
              <w:rPr>
                <w:sz w:val="1"/>
                <w:szCs w:val="1"/>
                <w:color w:val="auto"/>
              </w:rPr>
            </w:pPr>
          </w:p>
        </w:tc>
      </w:tr>
      <w:tr>
        <w:trPr>
          <w:trHeight w:val="108"/>
        </w:trPr>
        <w:tc>
          <w:tcPr>
            <w:tcW w:w="3040" w:type="dxa"/>
            <w:vAlign w:val="bottom"/>
          </w:tcPr>
          <w:p>
            <w:pPr>
              <w:spacing w:after="0" w:line="108" w:lineRule="exact"/>
              <w:rPr>
                <w:sz w:val="20"/>
                <w:szCs w:val="20"/>
                <w:color w:val="auto"/>
              </w:rPr>
            </w:pPr>
            <w:r>
              <w:rPr>
                <w:rFonts w:ascii="Arial" w:cs="Arial" w:eastAsia="Arial" w:hAnsi="Arial"/>
                <w:sz w:val="12"/>
                <w:szCs w:val="12"/>
                <w:color w:val="auto"/>
              </w:rPr>
              <w:t>Tax payments related to shares withheld for</w:t>
            </w:r>
          </w:p>
        </w:tc>
        <w:tc>
          <w:tcPr>
            <w:tcW w:w="8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9"/>
                <w:szCs w:val="9"/>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vested restricted stock units</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on available-for-sale securities</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(37,545)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(37,545)</w:t>
            </w:r>
          </w:p>
        </w:tc>
        <w:tc>
          <w:tcPr>
            <w:tcW w:w="0" w:type="dxa"/>
            <w:vAlign w:val="bottom"/>
          </w:tcPr>
          <w:p>
            <w:pPr>
              <w:spacing w:after="0"/>
              <w:rPr>
                <w:sz w:val="1"/>
                <w:szCs w:val="1"/>
                <w:color w:val="auto"/>
              </w:rPr>
            </w:pPr>
          </w:p>
        </w:tc>
      </w:tr>
      <w:tr>
        <w:trPr>
          <w:trHeight w:val="156"/>
        </w:trPr>
        <w:tc>
          <w:tcPr>
            <w:tcW w:w="30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2018</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20,593</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142,032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(75,718)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66,334</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Arial" w:cs="Arial" w:eastAsia="Arial" w:hAnsi="Arial"/>
                <w:sz w:val="14"/>
                <w:szCs w:val="14"/>
                <w:color w:val="auto"/>
              </w:rPr>
              <w:t>Issuance of shares upon exercise of warrants</w:t>
            </w: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w w:val="97"/>
              </w:rPr>
              <w:t>Issuance of shares upon exercise of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08"/>
        </w:trPr>
        <w:tc>
          <w:tcPr>
            <w:tcW w:w="3040" w:type="dxa"/>
            <w:vAlign w:val="bottom"/>
          </w:tcPr>
          <w:p>
            <w:pPr>
              <w:spacing w:after="0" w:line="108" w:lineRule="exact"/>
              <w:rPr>
                <w:sz w:val="20"/>
                <w:szCs w:val="20"/>
                <w:color w:val="auto"/>
              </w:rPr>
            </w:pPr>
            <w:r>
              <w:rPr>
                <w:rFonts w:ascii="Arial" w:cs="Arial" w:eastAsia="Arial" w:hAnsi="Arial"/>
                <w:sz w:val="12"/>
                <w:szCs w:val="12"/>
                <w:color w:val="auto"/>
              </w:rPr>
              <w:t>Issuance of shares under employee stock purchase</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plan</w:t>
            </w: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Issuance of shares on vesting of restricted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units</w:t>
            </w:r>
          </w:p>
        </w:tc>
        <w:tc>
          <w:tcPr>
            <w:tcW w:w="7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11,287</w:t>
            </w:r>
          </w:p>
        </w:tc>
        <w:tc>
          <w:tcPr>
            <w:tcW w:w="0" w:type="dxa"/>
            <w:vAlign w:val="bottom"/>
          </w:tcPr>
          <w:p>
            <w:pPr>
              <w:spacing w:after="0"/>
              <w:rPr>
                <w:sz w:val="1"/>
                <w:szCs w:val="1"/>
                <w:color w:val="auto"/>
              </w:rPr>
            </w:pPr>
          </w:p>
        </w:tc>
      </w:tr>
      <w:tr>
        <w:trPr>
          <w:trHeight w:val="108"/>
        </w:trPr>
        <w:tc>
          <w:tcPr>
            <w:tcW w:w="304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Tax payments related to shares withheld for</w:t>
            </w:r>
          </w:p>
        </w:tc>
        <w:tc>
          <w:tcPr>
            <w:tcW w:w="8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(613)</w:t>
            </w:r>
          </w:p>
        </w:tc>
        <w:tc>
          <w:tcPr>
            <w:tcW w:w="120" w:type="dxa"/>
            <w:vAlign w:val="bottom"/>
            <w:shd w:val="clear" w:color="auto" w:fill="CCEEFF"/>
          </w:tcPr>
          <w:p>
            <w:pPr>
              <w:spacing w:after="0"/>
              <w:rPr>
                <w:sz w:val="9"/>
                <w:szCs w:val="9"/>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vested restricted stock units</w:t>
            </w: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20"/>
                <w:szCs w:val="20"/>
                <w:color w:val="auto"/>
              </w:rPr>
            </w:pPr>
            <w:r>
              <w:rPr>
                <w:rFonts w:ascii="Arial" w:cs="Arial" w:eastAsia="Arial" w:hAnsi="Arial"/>
                <w:sz w:val="14"/>
                <w:szCs w:val="14"/>
                <w:color w:val="auto"/>
              </w:rPr>
              <w:t>Unrealized gain on available-for-sale securities</w:t>
            </w:r>
          </w:p>
        </w:tc>
        <w:tc>
          <w:tcPr>
            <w:tcW w:w="8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(46,971)</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(46,971)</w:t>
            </w:r>
          </w:p>
        </w:tc>
        <w:tc>
          <w:tcPr>
            <w:tcW w:w="0" w:type="dxa"/>
            <w:vAlign w:val="bottom"/>
          </w:tcPr>
          <w:p>
            <w:pPr>
              <w:spacing w:after="0"/>
              <w:rPr>
                <w:sz w:val="1"/>
                <w:szCs w:val="1"/>
                <w:color w:val="auto"/>
              </w:rPr>
            </w:pPr>
          </w:p>
        </w:tc>
      </w:tr>
      <w:tr>
        <w:trPr>
          <w:trHeight w:val="149"/>
        </w:trPr>
        <w:tc>
          <w:tcPr>
            <w:tcW w:w="3040" w:type="dxa"/>
            <w:vAlign w:val="bottom"/>
          </w:tcPr>
          <w:p>
            <w:pPr>
              <w:spacing w:after="0" w:line="142" w:lineRule="exact"/>
              <w:rPr>
                <w:sz w:val="20"/>
                <w:szCs w:val="20"/>
                <w:color w:val="auto"/>
              </w:rPr>
            </w:pPr>
            <w:r>
              <w:rPr>
                <w:rFonts w:ascii="Arial" w:cs="Arial" w:eastAsia="Arial" w:hAnsi="Arial"/>
                <w:sz w:val="14"/>
                <w:szCs w:val="14"/>
                <w:color w:val="auto"/>
              </w:rPr>
              <w:t>Balance, December 31,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20,825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153,401</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(122,689)</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30,737</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4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(46,971)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(37,545)</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(25,567)</w:t>
            </w:r>
          </w:p>
        </w:tc>
        <w:tc>
          <w:tcPr>
            <w:tcW w:w="0" w:type="dxa"/>
            <w:vAlign w:val="bottom"/>
          </w:tcPr>
          <w:p>
            <w:pPr>
              <w:spacing w:after="0"/>
              <w:rPr>
                <w:sz w:val="1"/>
                <w:szCs w:val="1"/>
                <w:color w:val="auto"/>
              </w:rPr>
            </w:pPr>
          </w:p>
        </w:tc>
      </w:tr>
      <w:tr>
        <w:trPr>
          <w:trHeight w:val="108"/>
        </w:trPr>
        <w:tc>
          <w:tcPr>
            <w:tcW w:w="5180" w:type="dxa"/>
            <w:vAlign w:val="bottom"/>
          </w:tcPr>
          <w:p>
            <w:pPr>
              <w:spacing w:after="0" w:line="108" w:lineRule="exact"/>
              <w:rPr>
                <w:sz w:val="20"/>
                <w:szCs w:val="20"/>
                <w:color w:val="auto"/>
              </w:rPr>
            </w:pPr>
            <w:r>
              <w:rPr>
                <w:rFonts w:ascii="Arial" w:cs="Arial" w:eastAsia="Arial" w:hAnsi="Arial"/>
                <w:sz w:val="12"/>
                <w:szCs w:val="12"/>
                <w:color w:val="auto"/>
              </w:rPr>
              <w:t>Adjustments to reconcile net loss to net cash used in</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180" w:type="dxa"/>
            <w:vAlign w:val="bottom"/>
          </w:tcPr>
          <w:p>
            <w:pPr>
              <w:ind w:left="80"/>
              <w:spacing w:after="0"/>
              <w:rPr>
                <w:sz w:val="20"/>
                <w:szCs w:val="20"/>
                <w:color w:val="auto"/>
              </w:rPr>
            </w:pPr>
            <w:r>
              <w:rPr>
                <w:rFonts w:ascii="Arial" w:cs="Arial" w:eastAsia="Arial" w:hAnsi="Arial"/>
                <w:sz w:val="14"/>
                <w:szCs w:val="14"/>
                <w:color w:val="auto"/>
              </w:rPr>
              <w:t>operating activities: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5"/>
        </w:trPr>
        <w:tc>
          <w:tcPr>
            <w:tcW w:w="5180" w:type="dxa"/>
            <w:vAlign w:val="bottom"/>
          </w:tcPr>
          <w:p>
            <w:pPr>
              <w:ind w:left="220"/>
              <w:spacing w:after="0"/>
              <w:rPr>
                <w:sz w:val="20"/>
                <w:szCs w:val="20"/>
                <w:color w:val="auto"/>
              </w:rPr>
            </w:pPr>
            <w:r>
              <w:rPr>
                <w:rFonts w:ascii="Arial" w:cs="Arial" w:eastAsia="Arial" w:hAnsi="Arial"/>
                <w:sz w:val="14"/>
                <w:szCs w:val="14"/>
                <w:color w:val="auto"/>
              </w:rPr>
              <w:t>Loss on disposal of fixed assets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75"/>
        </w:trPr>
        <w:tc>
          <w:tcPr>
            <w:tcW w:w="51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11,287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12,338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10,926</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premium amortization and discount on available-for-sale securities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(521)</w:t>
            </w: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5180" w:type="dxa"/>
            <w:vAlign w:val="bottom"/>
          </w:tcPr>
          <w:p>
            <w:pPr>
              <w:ind w:left="220"/>
              <w:spacing w:after="0"/>
              <w:rPr>
                <w:sz w:val="20"/>
                <w:szCs w:val="20"/>
                <w:color w:val="auto"/>
              </w:rPr>
            </w:pPr>
            <w:r>
              <w:rPr>
                <w:rFonts w:ascii="Arial" w:cs="Arial" w:eastAsia="Arial" w:hAnsi="Arial"/>
                <w:sz w:val="14"/>
                <w:szCs w:val="14"/>
                <w:color w:val="auto"/>
              </w:rPr>
              <w:t>Landlord incentive for tenant improvements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(226)</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76"/>
        </w:trPr>
        <w:tc>
          <w:tcPr>
            <w:tcW w:w="5180" w:type="dxa"/>
            <w:vAlign w:val="bottom"/>
          </w:tcPr>
          <w:p>
            <w:pPr>
              <w:ind w:left="44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Right-of-use assets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18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(393)</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Lease liabilities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w:t>
            </w: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180" w:type="dxa"/>
            <w:vAlign w:val="bottom"/>
          </w:tcPr>
          <w:p>
            <w:pPr>
              <w:ind w:left="440"/>
              <w:spacing w:after="0"/>
              <w:rPr>
                <w:sz w:val="20"/>
                <w:szCs w:val="20"/>
                <w:color w:val="auto"/>
              </w:rPr>
            </w:pPr>
            <w:r>
              <w:rPr>
                <w:rFonts w:ascii="Arial" w:cs="Arial" w:eastAsia="Arial" w:hAnsi="Arial"/>
                <w:sz w:val="14"/>
                <w:szCs w:val="14"/>
                <w:color w:val="auto"/>
              </w:rPr>
              <w:t>Other current and non-current liabilities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(34,185)</w:t>
            </w:r>
          </w:p>
        </w:tc>
        <w:tc>
          <w:tcPr>
            <w:tcW w:w="2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(608)</w:t>
            </w: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76"/>
        </w:trPr>
        <w:tc>
          <w:tcPr>
            <w:tcW w:w="5180" w:type="dxa"/>
            <w:vAlign w:val="bottom"/>
          </w:tcPr>
          <w:p>
            <w:pPr>
              <w:ind w:left="220"/>
              <w:spacing w:after="0"/>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(77,993)</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(40,297)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(43,595)</w:t>
            </w: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Maturities of investments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68,500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41,815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0" w:type="dxa"/>
            <w:vAlign w:val="bottom"/>
          </w:tcPr>
          <w:p>
            <w:pPr>
              <w:spacing w:after="0"/>
              <w:rPr>
                <w:sz w:val="1"/>
                <w:szCs w:val="1"/>
                <w:color w:val="auto"/>
              </w:rPr>
            </w:pPr>
          </w:p>
        </w:tc>
      </w:tr>
      <w:tr>
        <w:trPr>
          <w:trHeight w:val="175"/>
        </w:trPr>
        <w:tc>
          <w:tcPr>
            <w:tcW w:w="5180" w:type="dxa"/>
            <w:vAlign w:val="bottom"/>
          </w:tcPr>
          <w:p>
            <w:pPr>
              <w:ind w:left="220"/>
              <w:spacing w:after="0"/>
              <w:rPr>
                <w:sz w:val="20"/>
                <w:szCs w:val="20"/>
                <w:color w:val="auto"/>
              </w:rPr>
            </w:pPr>
            <w:r>
              <w:rPr>
                <w:rFonts w:ascii="Arial" w:cs="Arial" w:eastAsia="Arial" w:hAnsi="Arial"/>
                <w:sz w:val="14"/>
                <w:szCs w:val="14"/>
                <w:color w:val="auto"/>
              </w:rPr>
              <w:t>Sales of investments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24,875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provided by (used in) investing activities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(10,101)</w:t>
            </w:r>
          </w:p>
        </w:tc>
        <w:tc>
          <w:tcPr>
            <w:tcW w:w="2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26,117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(22,998)</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exercises of stock options and warrants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08"/>
        </w:trPr>
        <w:tc>
          <w:tcPr>
            <w:tcW w:w="5180" w:type="dxa"/>
            <w:vAlign w:val="bottom"/>
          </w:tcPr>
          <w:p>
            <w:pPr>
              <w:ind w:left="220"/>
              <w:spacing w:after="0" w:line="108" w:lineRule="exact"/>
              <w:rPr>
                <w:sz w:val="20"/>
                <w:szCs w:val="20"/>
                <w:color w:val="auto"/>
              </w:rPr>
            </w:pPr>
            <w:r>
              <w:rPr>
                <w:rFonts w:ascii="Arial" w:cs="Arial" w:eastAsia="Arial" w:hAnsi="Arial"/>
                <w:sz w:val="12"/>
                <w:szCs w:val="12"/>
                <w:color w:val="auto"/>
              </w:rPr>
              <w:t>Proceeds from issuance of common stock from private placements, net of issuance</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62"/>
        </w:trPr>
        <w:tc>
          <w:tcPr>
            <w:tcW w:w="5180" w:type="dxa"/>
            <w:vAlign w:val="bottom"/>
          </w:tcPr>
          <w:p>
            <w:pPr>
              <w:ind w:left="220"/>
              <w:spacing w:after="0"/>
              <w:rPr>
                <w:sz w:val="20"/>
                <w:szCs w:val="20"/>
                <w:color w:val="auto"/>
              </w:rPr>
            </w:pPr>
            <w:r>
              <w:rPr>
                <w:rFonts w:ascii="Arial" w:cs="Arial" w:eastAsia="Arial" w:hAnsi="Arial"/>
                <w:sz w:val="14"/>
                <w:szCs w:val="14"/>
                <w:color w:val="auto"/>
              </w:rPr>
              <w:t>costs of $199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5180" w:type="dxa"/>
            <w:vAlign w:val="bottom"/>
          </w:tcPr>
          <w:p>
            <w:pPr>
              <w:ind w:left="220"/>
              <w:spacing w:after="0" w:line="108" w:lineRule="exact"/>
              <w:rPr>
                <w:sz w:val="20"/>
                <w:szCs w:val="20"/>
                <w:color w:val="auto"/>
              </w:rPr>
            </w:pPr>
            <w:r>
              <w:rPr>
                <w:rFonts w:ascii="Arial" w:cs="Arial" w:eastAsia="Arial" w:hAnsi="Arial"/>
                <w:sz w:val="12"/>
                <w:szCs w:val="12"/>
                <w:color w:val="auto"/>
              </w:rPr>
              <w:t>Proceeds from issuance of common stock from rights offering, net of issuance costs</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9"/>
                <w:szCs w:val="9"/>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44,786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80" w:type="dxa"/>
            <w:vAlign w:val="bottom"/>
          </w:tcPr>
          <w:p>
            <w:pPr>
              <w:ind w:left="220"/>
              <w:spacing w:after="0"/>
              <w:rPr>
                <w:sz w:val="20"/>
                <w:szCs w:val="20"/>
                <w:color w:val="auto"/>
              </w:rPr>
            </w:pPr>
            <w:r>
              <w:rPr>
                <w:rFonts w:ascii="Arial" w:cs="Arial" w:eastAsia="Arial" w:hAnsi="Arial"/>
                <w:sz w:val="14"/>
                <w:szCs w:val="14"/>
                <w:color w:val="auto"/>
              </w:rPr>
              <w:t>of $213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payments related to shares withheld for vested restricted stock units</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(613)</w:t>
            </w:r>
          </w:p>
        </w:tc>
        <w:tc>
          <w:tcPr>
            <w:tcW w:w="26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51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45,496</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35,382</w:t>
            </w: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(44,204)</w:t>
            </w:r>
          </w:p>
        </w:tc>
        <w:tc>
          <w:tcPr>
            <w:tcW w:w="2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47,717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175"/>
        </w:trPr>
        <w:tc>
          <w:tcPr>
            <w:tcW w:w="51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51,103</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149"/>
        </w:trPr>
        <w:tc>
          <w:tcPr>
            <w:tcW w:w="5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6,899</w:t>
            </w: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51,103</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3,386</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18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Supplemental disclosure of noncash investing</w:t>
            </w: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1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and financing activities: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80" w:type="dxa"/>
            <w:vAlign w:val="bottom"/>
          </w:tcPr>
          <w:p>
            <w:pPr>
              <w:ind w:left="220"/>
              <w:spacing w:after="0"/>
              <w:rPr>
                <w:sz w:val="20"/>
                <w:szCs w:val="20"/>
                <w:color w:val="auto"/>
              </w:rPr>
            </w:pPr>
            <w:r>
              <w:rPr>
                <w:rFonts w:ascii="Arial" w:cs="Arial" w:eastAsia="Arial" w:hAnsi="Arial"/>
                <w:sz w:val="14"/>
                <w:szCs w:val="14"/>
                <w:color w:val="auto"/>
              </w:rPr>
              <w:t>Equipment purchases included in accounts payable and accrued expenses</w:t>
            </w:r>
          </w:p>
        </w:tc>
        <w:tc>
          <w:tcPr>
            <w:tcW w:w="4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279</w:t>
            </w:r>
          </w:p>
        </w:tc>
        <w:tc>
          <w:tcPr>
            <w:tcW w:w="160" w:type="dxa"/>
            <w:vAlign w:val="bottom"/>
          </w:tcPr>
          <w:p>
            <w:pPr>
              <w:spacing w:after="0"/>
              <w:rPr>
                <w:sz w:val="16"/>
                <w:szCs w:val="16"/>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Pulse Biosciences, Inc. (the Company) is a novel bioelectric medicine company committed to health innovation that improves and potentially extends the lives of patients. The Company is pursuing regulatory clearance to market its first product, its proprietary CellFX System. The Company’s CellFX System utilizes its patented Nano-Pulse Stimulation™ (NPS™) technology to treat a variety of applications for which an optimal solution remains unfulfilled. NPS is a proprietary technology that delivers nanosecond duration pulses of high amplitude electrical energy to non-thermally clear targeted cells while sparing adjacent non-cellular tissue. The cell-specific effects of NPS technology have been validated in a series of completed and ongoing clinical studies.</w:t>
      </w:r>
    </w:p>
    <w:p>
      <w:pPr>
        <w:spacing w:after="0" w:line="124"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The Company was incorporated in Nevada on May 19, 2014, and was reincorporated in the State of Delaware on June 18, 2018. The Company’s headquarters and research facility are located in Hayward, California.</w:t>
      </w:r>
    </w:p>
    <w:p>
      <w:pPr>
        <w:spacing w:after="0" w:line="12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pursuant to the rules and regulations of the United States Securities Exchange Commission (the SEC). The consolidated financial statements include the financial statements of the Company and its wholly-owned subsidiaries and intercompany balances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44"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As of December 31, 2019, the Company had an accumulated deficit of $122.7 million, cash outflows from operations of $34.2 million, and cash, cash equivalents and investments of $25.4 million and anticipates that it will continue to incur significant operating losses for the next several years. Until such time as the Company can generate substantial product revenue and achieve profitability, the Company will need to raise additional capital. The Company plans to raise additional capital to fund its operations for at least the next twelve months from the date of issuance of the accompanying consolidated financial statements, including via a proposed rights offering that seeks to raise net proceeds of approximately $30 million, assuming such rights offering is fully subscribed. There is no assurance that the rights offering will be successful, or that additional financing will be available when needed or that management of the Company will be able to obtain financing on terms acceptable to the Company. Accordingly, the Company’s management cannot conclude that such plans will be effectively implemented within twelve months from the date of issuance of the accompanying consolidated financial statements.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These factors, combined with the Company’s forecast of cash required to fund operations for a period of at least twelve months from the date of issuance of the accompanying consolidated financial statements, raise substantial doubt about the Company’s ability to continue as a going concern.</w:t>
      </w:r>
    </w:p>
    <w:p>
      <w:pPr>
        <w:spacing w:after="0" w:line="122"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of investments, clinical trial accruals, the valuation and recognition of stock-based compensation and useful lives assigned to long-lived assets. Actual amounts could differ from these estimates.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333333"/>
        </w:rPr>
        <w:t>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333333"/>
        </w:rPr>
        <w:t xml:space="preserve">The </w:t>
      </w:r>
      <w:r>
        <w:rPr>
          <w:rFonts w:ascii="Arial" w:cs="Arial" w:eastAsia="Arial" w:hAnsi="Arial"/>
          <w:sz w:val="18"/>
          <w:szCs w:val="18"/>
          <w:color w:val="000000"/>
        </w:rPr>
        <w:t>Company believes the carrying amounts of its financial instruments, including cash equivalents, prepaid expenses and</w:t>
      </w:r>
      <w:r>
        <w:rPr>
          <w:rFonts w:ascii="Arial" w:cs="Arial" w:eastAsia="Arial" w:hAnsi="Arial"/>
          <w:sz w:val="18"/>
          <w:szCs w:val="18"/>
          <w:color w:val="333333"/>
        </w:rPr>
        <w:t xml:space="preserve"> </w:t>
      </w:r>
      <w:r>
        <w:rPr>
          <w:rFonts w:ascii="Arial" w:cs="Arial" w:eastAsia="Arial" w:hAnsi="Arial"/>
          <w:sz w:val="18"/>
          <w:szCs w:val="18"/>
          <w:color w:val="000000"/>
        </w:rPr>
        <w:t>other current assets, accounts payable and accrued expenses, approximate fair value due to the short-term nature of such instruments.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Cash, Cash Equivalents and Investments</w:t>
      </w:r>
    </w:p>
    <w:p>
      <w:pPr>
        <w:spacing w:after="0" w:line="144"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333333"/>
        </w:rPr>
        <w:t>The Company considers all highly liquid investments purchased with an original maturity of three months or less to be cash equivalents. The Company has designated all investments as available-for-sale and therefore, such investments are reported at fair value, with unrealized gains and losses recognized in accumulated other comprehensive income (loss) (AOCI) in stockholders’ equity. The cost of marketable securities is adjusted for the amortization of premiums and discounts to expected maturity. Premium and discount amortization is included in other income, net. Realized gains and losses, as well as interest income, on available-for-sale securities are also included in other income, net. The Company includes all of its available-for-sale securities in current assets.</w:t>
      </w:r>
    </w:p>
    <w:p>
      <w:pPr>
        <w:spacing w:after="0" w:line="124"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333333"/>
        </w:rPr>
        <w:t>All of the Company’s investments are subject to annual impairment review. The Company recognizes an impairment loss when a decline in the fair value of its marketable investments below the cost basis is judged to be other-than-temporary. Factors considered in determining whether a loss is temporary include the length of time and extent to which the marketable investments fair value has been less than the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No impairment losses were incurred during the periods presented</w:t>
      </w:r>
      <w:r>
        <w:rPr>
          <w:rFonts w:ascii="Arial" w:cs="Arial" w:eastAsia="Arial" w:hAnsi="Arial"/>
          <w:sz w:val="18"/>
          <w:szCs w:val="18"/>
          <w:color w:val="000000"/>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Leasehold improvements are amortized using the straight-line method over the shorter of the lease term or estimated useful life. Equipment is recorded at cost and depreciated using the straight-line method over their estimated useful lives, ranging from three to five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Company’s intangible assets consist of acquired patents and licenses, which are amortized over their estimated useful lives of twelve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44"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Company records goodwill when the consideration paid in a business acquisition exceeds the fair value of the net tangible assets and the identified intangible assets acquired. The Company reviews goodwill for impairment at the reporting unit level at least annually or whenever changes in circumstances indicate that the carrying value of the goodwill may not be recoverable. To date, there has been no impairment of goodwill.</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44" w:lineRule="exact"/>
        <w:rPr>
          <w:sz w:val="20"/>
          <w:szCs w:val="20"/>
          <w:color w:val="auto"/>
        </w:rPr>
      </w:pPr>
    </w:p>
    <w:p>
      <w:pPr>
        <w:jc w:val="both"/>
        <w:ind w:firstLine="441"/>
        <w:spacing w:after="0" w:line="221" w:lineRule="auto"/>
        <w:rPr>
          <w:sz w:val="20"/>
          <w:szCs w:val="20"/>
          <w:color w:val="auto"/>
        </w:rPr>
      </w:pPr>
      <w:r>
        <w:rPr>
          <w:rFonts w:ascii="Arial" w:cs="Arial" w:eastAsia="Arial" w:hAnsi="Arial"/>
          <w:sz w:val="17"/>
          <w:szCs w:val="17"/>
          <w:color w:val="auto"/>
        </w:rPr>
        <w:t>The Company recognizes the cost of stock-based compensation in the financial statements based upon fair value. The fair value of stock options is determined as of the grant date using the Black-Scholes option pricing model. The fair value of restricted stock and restricted stock unit (RSU) awards is determined based on the number of units granted and the closing price of the Company’s common stock on the grant date. The fair value of each purchase under the employee stock purchase plan (ESPP) is estimated at the beginning of the offering period using the Black-Scholes option pricing model. The Company’s determination of the fair value of equity-settled awards is impacted by the price of the Company's common stock as well as changes in assumptions regarding a number of complex and subjective variables. These variables include, but are not limited to, the expected term that awards will remain outstanding, expected common stock price volatility over the term of the awards, risk-free interest rates and expected dividends. The fair value of an award is recognized over the period during which service is required to be performed in exchange for the award, the requisite service period (usually the vesting period) on a straight-line basis.</w:t>
      </w:r>
    </w:p>
    <w:p>
      <w:pPr>
        <w:spacing w:after="0" w:line="12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Equity instruments issued to non-employees are recorded at their fair value on the grant date and are subject to periodic adjustments as the underlying equity instruments vest. The fair value of these equity instruments are expensed over the service period.</w:t>
      </w:r>
    </w:p>
    <w:p>
      <w:pPr>
        <w:spacing w:after="0" w:line="122"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Estimates of the fair value of equity-settled awards as of the grant date using valuation models, such as the Black-Scholes option pricing model, are affected by assumptions regarding a number of complex variables. Changes in the assumptions can materially affect the fair value of the award and the stock-based compensation expense recognized. These inputs are subjective and generally require significant analysis and judgment to develop. The Company determines the volatility factor based on the historical volatilities of comparable public companies in similar industries. The risk-free interest rate is based on the yield available on U.S. Treasury zero-coupon issues similar in duration to the expected term of the equity-settled award. For all stock options granted to date, the Company used the simplified method to calculate the expected term, which is the average of the contractual term and vesting period. Prior to the Company’s initial public offering, the fair value of common stock was determined by reference to either recent or anticipated cash transactions involving the sale of the Company’s common stock.</w:t>
      </w:r>
    </w:p>
    <w:p>
      <w:pPr>
        <w:spacing w:after="0" w:line="127"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Company recognizes the fair value of stock-based compensation costs in general and administrative costs and in research and development costs, as appropriate, in the Company’s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Research and development costs consist primarily of compensation costs,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costs incurred by the Company are expensed as incurred, unless the achievement of milestones, the completion of contracted work, or other information indicates that a different expensing schedule is more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44"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the years ended December 31, 2019, 2018 and 2017, patent costs totaled $0.6 million, $0.6 million and $0.8 million, respectively. Patent costs are included in general and administrative costs in the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22"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6"/>
          <w:szCs w:val="16"/>
          <w:color w:val="auto"/>
        </w:rPr>
        <w:t>The Company records a valuation allowance to reduce its deferred tax assets to the amount that is more-likely-than-not to be realized. In the event the Company determines that it would be able to realize its deferred tax assets in the future in excess of its recorded amount, an adjustment to the deferred tax assets would be credited to operations in the period such determination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83"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The Company is subject to U.S. federal income taxes and income taxes in the State of California. As the Company’s net operating losses have yet to be utilized, previous tax years remain open to examination by federal authorities and other jurisdictions in which the Company currently operates or has operated in the past. The Company is not currently under examination by any tax authority.</w:t>
      </w:r>
    </w:p>
    <w:p>
      <w:pPr>
        <w:spacing w:after="0" w:line="122"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 At December 31, 2019 and 2018, the Company had not recorded any liability for uncertain tax positions. The Company includes interest and penalties related to uncertain tax positions as a component of income tax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4"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Comprehensive loss consists of net loss and unrealized gains or losses on available-for-sale investments. The Company displays comprehensive loss and its components as part of the consolidated statements of operations and comprehensive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following outstanding stock options, warrants and RSUs to purchase common stock were excluded from the computation of diluted net loss per share for the periods presented because including them would have had an anti-dilutive effect: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14"/>
                <w:szCs w:val="14"/>
                <w:color w:val="auto"/>
              </w:rPr>
            </w:pPr>
          </w:p>
        </w:tc>
      </w:tr>
      <w:tr>
        <w:trPr>
          <w:trHeight w:val="169"/>
        </w:trPr>
        <w:tc>
          <w:tcPr>
            <w:tcW w:w="38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167,847</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Common stock options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3,749,186</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2,956,687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2,598,659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22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2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229,774</w:t>
            </w: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4,139,639</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3,392,778</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3,078,142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4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The Company operates and manages its business as one reportable and operating segment. The Company’s Chief Executive Officer, who is the chief operating decision maker, reviews financial information on an aggregate basis for purposes of allocating resources and evaluating financial performance. All of the Company’s assets are based in the United States (U.S.).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requiring an entity to recognize the amount of revenue to which it expects to be entitled for the transfer of promised goods or services to customers. This updated standard became effective for the Company in the first quarter of fiscal year 2018. Since the Company has not recognized or generated revenue to date, the adoption of this pronouncement did not have any impact to its financial statements.</w:t>
      </w:r>
    </w:p>
    <w:p>
      <w:pPr>
        <w:spacing w:after="0" w:line="122"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amended Accounting Standard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lessees to record a right-of-use asset and a corresponding lease liability on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exception of short-term leases). The Company adopted ASC 842 on January 1, 2019, using the modified retrospective transition method per ASU No. 2018-11 issued on July 2018 wherein entities were allowed to initially apply the new lease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 xml:space="preserve">standard at the adoption date and recognize a cumulative-effect adjustment to the opening balance of retained earnings in the period of adoption. Accordingly, all periods prior to January 1, 2019 were presented in accordance with ASC 840, </w:t>
      </w:r>
      <w:r>
        <w:rPr>
          <w:rFonts w:ascii="Arial" w:cs="Arial" w:eastAsia="Arial" w:hAnsi="Arial"/>
          <w:sz w:val="17"/>
          <w:szCs w:val="17"/>
          <w:i w:val="1"/>
          <w:iCs w:val="1"/>
          <w:color w:val="auto"/>
        </w:rPr>
        <w:t>Leases</w:t>
      </w:r>
      <w:r>
        <w:rPr>
          <w:rFonts w:ascii="Arial" w:cs="Arial" w:eastAsia="Arial" w:hAnsi="Arial"/>
          <w:sz w:val="17"/>
          <w:szCs w:val="17"/>
          <w:color w:val="auto"/>
        </w:rPr>
        <w:t>, and no retrospective adjustments were made to the 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w:t>
      </w:r>
    </w:p>
    <w:p>
      <w:pPr>
        <w:spacing w:after="0" w:line="125" w:lineRule="exact"/>
        <w:rPr>
          <w:sz w:val="20"/>
          <w:szCs w:val="20"/>
          <w:color w:val="auto"/>
        </w:rPr>
      </w:pPr>
    </w:p>
    <w:p>
      <w:pPr>
        <w:jc w:val="both"/>
        <w:ind w:firstLine="441"/>
        <w:spacing w:after="0" w:line="228"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 xml:space="preserve">Compensation-Stock Compensation (Topic 718): Improvements to Non-employee Share-Based Payment Accounting, </w:t>
      </w:r>
      <w:r>
        <w:rPr>
          <w:rFonts w:ascii="Arial" w:cs="Arial" w:eastAsia="Arial" w:hAnsi="Arial"/>
          <w:sz w:val="17"/>
          <w:szCs w:val="17"/>
          <w:color w:val="auto"/>
        </w:rPr>
        <w:t>which expands the scope of Topic 718, Compensation—Stock Compensation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share-based payments issued to non-employees for goods or services. Consequently, the accounting for share-based payments to non-employees and employees will be substantially aligned. The Company adopted ASU 2018-07 in the first quarter of 2019, and the adoption had no significant impact to its financial statements.</w:t>
      </w:r>
    </w:p>
    <w:p>
      <w:pPr>
        <w:spacing w:after="0" w:line="125"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which eliminates certain exceptions related to the general principles in ASC 740 and makes amendments to other areas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intention of simplifying various aspects related to accounting for income taxes. The new standard is effective for fiscal years beginning after December 15, 2020, including interim periods therein; with early adoption permitted. The Company is currently evaluating the impact that the standard will have on its financial statements and related disclosures; and does not expect the adoption to have a material impact on the Company’s financial statements.</w:t>
      </w:r>
    </w:p>
    <w:p>
      <w:pPr>
        <w:spacing w:after="0" w:line="120" w:lineRule="exact"/>
        <w:rPr>
          <w:sz w:val="20"/>
          <w:szCs w:val="20"/>
          <w:color w:val="auto"/>
        </w:rPr>
      </w:pPr>
    </w:p>
    <w:p>
      <w:pPr>
        <w:ind w:left="440" w:right="5040" w:hanging="440"/>
        <w:spacing w:after="0" w:line="409" w:lineRule="auto"/>
        <w:tabs>
          <w:tab w:leader="none" w:pos="17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Fair Value of Financial Instruments Investments</w:t>
      </w:r>
    </w:p>
    <w:p>
      <w:pPr>
        <w:spacing w:after="0" w:line="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Company’s investments have been classified and accounted for as available-for-sale. The Company’s investments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jc w:val="center"/>
              <w:ind w:left="259"/>
              <w:spacing w:after="0" w:line="102" w:lineRule="exact"/>
              <w:rPr>
                <w:sz w:val="20"/>
                <w:szCs w:val="20"/>
                <w:color w:val="auto"/>
              </w:rPr>
            </w:pPr>
            <w:r>
              <w:rPr>
                <w:rFonts w:ascii="Arial" w:cs="Arial" w:eastAsia="Arial" w:hAnsi="Arial"/>
                <w:sz w:val="11"/>
                <w:szCs w:val="11"/>
                <w:b w:val="1"/>
                <w:bCs w:val="1"/>
                <w:color w:val="auto"/>
              </w:rPr>
              <w:t>Gross Unrealized</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jc w:val="center"/>
              <w:ind w:left="260"/>
              <w:spacing w:after="0" w:line="102" w:lineRule="exact"/>
              <w:rPr>
                <w:sz w:val="20"/>
                <w:szCs w:val="20"/>
                <w:color w:val="auto"/>
              </w:rPr>
            </w:pPr>
            <w:r>
              <w:rPr>
                <w:rFonts w:ascii="Arial" w:cs="Arial" w:eastAsia="Arial" w:hAnsi="Arial"/>
                <w:sz w:val="11"/>
                <w:szCs w:val="11"/>
                <w:b w:val="1"/>
                <w:bCs w:val="1"/>
                <w:color w:val="auto"/>
              </w:rPr>
              <w:t>Gross Unrealized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28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U.S. Treasury securities</w:t>
            </w:r>
          </w:p>
        </w:tc>
        <w:tc>
          <w:tcPr>
            <w:tcW w:w="130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18,495</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99"/>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2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18,499</w:t>
            </w:r>
          </w:p>
        </w:tc>
        <w:tc>
          <w:tcPr>
            <w:tcW w:w="0" w:type="dxa"/>
            <w:vAlign w:val="bottom"/>
          </w:tcPr>
          <w:p>
            <w:pPr>
              <w:spacing w:after="0"/>
              <w:rPr>
                <w:sz w:val="1"/>
                <w:szCs w:val="1"/>
                <w:color w:val="auto"/>
              </w:rPr>
            </w:pPr>
          </w:p>
        </w:tc>
      </w:tr>
      <w:tr>
        <w:trPr>
          <w:trHeight w:val="149"/>
        </w:trPr>
        <w:tc>
          <w:tcPr>
            <w:tcW w:w="2840" w:type="dxa"/>
            <w:vAlign w:val="bottom"/>
          </w:tcPr>
          <w:p>
            <w:pPr>
              <w:spacing w:after="0" w:line="142" w:lineRule="exact"/>
              <w:rPr>
                <w:sz w:val="20"/>
                <w:szCs w:val="20"/>
                <w:color w:val="auto"/>
              </w:rPr>
            </w:pPr>
            <w:r>
              <w:rPr>
                <w:rFonts w:ascii="Arial" w:cs="Arial" w:eastAsia="Arial" w:hAnsi="Arial"/>
                <w:sz w:val="16"/>
                <w:szCs w:val="16"/>
                <w:color w:val="auto"/>
              </w:rPr>
              <w:t>Total assets measured at fair value</w:t>
            </w:r>
          </w:p>
        </w:tc>
        <w:tc>
          <w:tcPr>
            <w:tcW w:w="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18,495</w:t>
            </w:r>
          </w:p>
        </w:tc>
        <w:tc>
          <w:tcPr>
            <w:tcW w:w="18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9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126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18,499</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jc w:val="center"/>
              <w:ind w:left="259"/>
              <w:spacing w:after="0" w:line="102" w:lineRule="exact"/>
              <w:rPr>
                <w:sz w:val="20"/>
                <w:szCs w:val="20"/>
                <w:color w:val="auto"/>
              </w:rPr>
            </w:pPr>
            <w:r>
              <w:rPr>
                <w:rFonts w:ascii="Arial" w:cs="Arial" w:eastAsia="Arial" w:hAnsi="Arial"/>
                <w:sz w:val="11"/>
                <w:szCs w:val="11"/>
                <w:b w:val="1"/>
                <w:bCs w:val="1"/>
                <w:color w:val="auto"/>
              </w:rPr>
              <w:t>Gross Unrealized</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jc w:val="center"/>
              <w:ind w:left="260"/>
              <w:spacing w:after="0" w:line="102" w:lineRule="exact"/>
              <w:rPr>
                <w:sz w:val="20"/>
                <w:szCs w:val="20"/>
                <w:color w:val="auto"/>
              </w:rPr>
            </w:pPr>
            <w:r>
              <w:rPr>
                <w:rFonts w:ascii="Arial" w:cs="Arial" w:eastAsia="Arial" w:hAnsi="Arial"/>
                <w:sz w:val="11"/>
                <w:szCs w:val="11"/>
                <w:b w:val="1"/>
                <w:bCs w:val="1"/>
                <w:color w:val="auto"/>
              </w:rPr>
              <w:t>Gross Unrealized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28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U.S. Treasury securities</w:t>
            </w:r>
          </w:p>
        </w:tc>
        <w:tc>
          <w:tcPr>
            <w:tcW w:w="1300" w:type="dxa"/>
            <w:vAlign w:val="bottom"/>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99"/>
              <w:spacing w:after="0"/>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26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w:t>
            </w:r>
          </w:p>
        </w:tc>
        <w:tc>
          <w:tcPr>
            <w:tcW w:w="0" w:type="dxa"/>
            <w:vAlign w:val="bottom"/>
          </w:tcPr>
          <w:p>
            <w:pPr>
              <w:spacing w:after="0"/>
              <w:rPr>
                <w:sz w:val="1"/>
                <w:szCs w:val="1"/>
                <w:color w:val="auto"/>
              </w:rPr>
            </w:pPr>
          </w:p>
        </w:tc>
      </w:tr>
      <w:tr>
        <w:trPr>
          <w:trHeight w:val="149"/>
        </w:trPr>
        <w:tc>
          <w:tcPr>
            <w:tcW w:w="2840" w:type="dxa"/>
            <w:vAlign w:val="bottom"/>
          </w:tcPr>
          <w:p>
            <w:pPr>
              <w:spacing w:after="0" w:line="142" w:lineRule="exact"/>
              <w:rPr>
                <w:sz w:val="20"/>
                <w:szCs w:val="20"/>
                <w:color w:val="auto"/>
              </w:rPr>
            </w:pPr>
            <w:r>
              <w:rPr>
                <w:rFonts w:ascii="Arial" w:cs="Arial" w:eastAsia="Arial" w:hAnsi="Arial"/>
                <w:sz w:val="16"/>
                <w:szCs w:val="16"/>
                <w:color w:val="auto"/>
              </w:rPr>
              <w:t>Total assets measured at fair value</w:t>
            </w:r>
          </w:p>
        </w:tc>
        <w:tc>
          <w:tcPr>
            <w:tcW w:w="3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8,481</w:t>
            </w:r>
          </w:p>
        </w:tc>
        <w:tc>
          <w:tcPr>
            <w:tcW w:w="18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29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126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8,480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maturities of the Company’s investments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Investments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175"/>
        </w:trPr>
        <w:tc>
          <w:tcPr>
            <w:tcW w:w="6780" w:type="dxa"/>
            <w:vAlign w:val="bottom"/>
          </w:tcPr>
          <w:p>
            <w:pPr>
              <w:spacing w:after="0" w:line="176" w:lineRule="exact"/>
              <w:rPr>
                <w:sz w:val="20"/>
                <w:szCs w:val="20"/>
                <w:color w:val="auto"/>
              </w:rPr>
            </w:pPr>
            <w:r>
              <w:rPr>
                <w:rFonts w:ascii="Arial" w:cs="Arial" w:eastAsia="Arial" w:hAnsi="Arial"/>
                <w:sz w:val="18"/>
                <w:szCs w:val="18"/>
                <w:color w:val="auto"/>
              </w:rPr>
              <w:t>Due in one to two years</w:t>
            </w:r>
          </w:p>
        </w:tc>
        <w:tc>
          <w:tcPr>
            <w:tcW w:w="260" w:type="dxa"/>
            <w:vAlign w:val="bottom"/>
          </w:tcPr>
          <w:p>
            <w:pPr>
              <w:spacing w:after="0"/>
              <w:rPr>
                <w:sz w:val="15"/>
                <w:szCs w:val="15"/>
                <w:color w:val="auto"/>
              </w:rPr>
            </w:pP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Company determines the fair value of its financial instruments based on a fair value hierarchy that prioritizes the inputs to valuation techniques used to measure fair value into three levels:</w:t>
      </w:r>
    </w:p>
    <w:p>
      <w:pPr>
        <w:spacing w:after="0" w:line="121"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right="20" w:firstLine="441"/>
        <w:spacing w:after="0" w:line="224" w:lineRule="auto"/>
        <w:rPr>
          <w:sz w:val="20"/>
          <w:szCs w:val="20"/>
          <w:color w:val="auto"/>
        </w:rPr>
      </w:pPr>
      <w:r>
        <w:rPr>
          <w:rFonts w:ascii="Arial" w:cs="Arial" w:eastAsia="Arial" w:hAnsi="Arial"/>
          <w:sz w:val="18"/>
          <w:szCs w:val="18"/>
          <w:color w:val="auto"/>
        </w:rPr>
        <w:t>Level 3 - Unobservable inputs in which there is little or no market data for the asset or liability which requires the reporting entity to develop its own assumptions. The Company did not classify any of its investments within Level 3 of the fair value hierarchy.</w:t>
      </w:r>
    </w:p>
    <w:p>
      <w:pPr>
        <w:spacing w:after="0" w:line="122" w:lineRule="exact"/>
        <w:rPr>
          <w:sz w:val="20"/>
          <w:szCs w:val="20"/>
          <w:color w:val="auto"/>
        </w:rPr>
      </w:pPr>
    </w:p>
    <w:p>
      <w:pPr>
        <w:jc w:val="both"/>
        <w:ind w:right="20"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(in thousands):</w:t>
      </w:r>
    </w:p>
    <w:p>
      <w:pPr>
        <w:sectPr>
          <w:pgSz w:w="11900" w:h="16838" w:orient="portrait"/>
          <w:cols w:equalWidth="0" w:num="1">
            <w:col w:w="9300"/>
          </w:cols>
          <w:pgMar w:left="1300" w:top="108" w:right="1299" w:bottom="1440" w:gutter="0" w:footer="0" w:header="0"/>
        </w:sect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4"/>
                <w:szCs w:val="14"/>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Classification</w:t>
            </w: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tcPr>
          <w:p>
            <w:pPr>
              <w:spacing w:after="0"/>
              <w:rPr>
                <w:sz w:val="20"/>
                <w:szCs w:val="20"/>
                <w:color w:val="auto"/>
              </w:rPr>
            </w:pPr>
            <w:r>
              <w:rPr>
                <w:rFonts w:ascii="Arial" w:cs="Arial" w:eastAsia="Arial" w:hAnsi="Arial"/>
                <w:sz w:val="18"/>
                <w:szCs w:val="18"/>
                <w:color w:val="auto"/>
                <w:w w:val="91"/>
              </w:rPr>
              <w:t>Cash and cash equivalents</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000" w:type="dxa"/>
            <w:vAlign w:val="bottom"/>
          </w:tcPr>
          <w:p>
            <w:pPr>
              <w:spacing w:after="0"/>
              <w:rPr>
                <w:sz w:val="20"/>
                <w:szCs w:val="20"/>
                <w:color w:val="auto"/>
              </w:rPr>
            </w:pPr>
            <w:r>
              <w:rPr>
                <w:rFonts w:ascii="Arial" w:cs="Arial" w:eastAsia="Arial" w:hAnsi="Arial"/>
                <w:sz w:val="18"/>
                <w:szCs w:val="18"/>
                <w:color w:val="auto"/>
              </w:rPr>
              <w:t>Investments</w:t>
            </w:r>
          </w:p>
        </w:tc>
      </w:tr>
      <w:tr>
        <w:trPr>
          <w:trHeight w:val="243"/>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Total assets measured at fair value</w:t>
            </w:r>
          </w:p>
        </w:tc>
        <w:tc>
          <w:tcPr>
            <w:tcW w:w="2000" w:type="dxa"/>
            <w:vAlign w:val="bottom"/>
          </w:tcPr>
          <w:p>
            <w:pPr>
              <w:spacing w:after="0"/>
              <w:rPr>
                <w:sz w:val="21"/>
                <w:szCs w:val="21"/>
                <w:color w:val="auto"/>
              </w:rPr>
            </w:pPr>
          </w:p>
        </w:tc>
      </w:tr>
      <w:tr>
        <w:trPr>
          <w:trHeight w:val="594"/>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24"/>
                <w:szCs w:val="24"/>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Classification</w:t>
            </w: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tcPr>
          <w:p>
            <w:pPr>
              <w:spacing w:after="0"/>
              <w:rPr>
                <w:sz w:val="20"/>
                <w:szCs w:val="20"/>
                <w:color w:val="auto"/>
              </w:rPr>
            </w:pPr>
            <w:r>
              <w:rPr>
                <w:rFonts w:ascii="Arial" w:cs="Arial" w:eastAsia="Arial" w:hAnsi="Arial"/>
                <w:sz w:val="18"/>
                <w:szCs w:val="18"/>
                <w:color w:val="auto"/>
                <w:w w:val="91"/>
              </w:rPr>
              <w:t>Cash and cash equivalents</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000" w:type="dxa"/>
            <w:vAlign w:val="bottom"/>
          </w:tcPr>
          <w:p>
            <w:pPr>
              <w:spacing w:after="0"/>
              <w:rPr>
                <w:sz w:val="20"/>
                <w:szCs w:val="20"/>
                <w:color w:val="auto"/>
              </w:rPr>
            </w:pPr>
            <w:r>
              <w:rPr>
                <w:rFonts w:ascii="Arial" w:cs="Arial" w:eastAsia="Arial" w:hAnsi="Arial"/>
                <w:sz w:val="18"/>
                <w:szCs w:val="18"/>
                <w:color w:val="auto"/>
              </w:rPr>
              <w:t>Investments</w:t>
            </w:r>
          </w:p>
        </w:tc>
      </w:tr>
      <w:tr>
        <w:trPr>
          <w:trHeight w:val="243"/>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Total assets measured at fair value</w:t>
            </w:r>
          </w:p>
        </w:tc>
        <w:tc>
          <w:tcPr>
            <w:tcW w:w="20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-1285240</wp:posOffset>
            </wp:positionV>
            <wp:extent cx="590613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06135"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-1002665</wp:posOffset>
            </wp:positionV>
            <wp:extent cx="590613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06135"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-454025</wp:posOffset>
            </wp:positionV>
            <wp:extent cx="590613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0613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590613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0613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2820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6,429</w:t>
            </w:r>
          </w:p>
        </w:tc>
        <w:tc>
          <w:tcPr>
            <w:tcW w:w="14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9"/>
              <w:spacing w:after="0" w:line="195" w:lineRule="exact"/>
              <w:rPr>
                <w:sz w:val="20"/>
                <w:szCs w:val="20"/>
                <w:color w:val="auto"/>
              </w:rPr>
            </w:pPr>
            <w:r>
              <w:rPr>
                <w:rFonts w:ascii="Arial" w:cs="Arial" w:eastAsia="Arial" w:hAnsi="Arial"/>
                <w:sz w:val="18"/>
                <w:szCs w:val="18"/>
                <w:color w:val="auto"/>
              </w:rPr>
              <w:t>$</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6,429</w:t>
            </w:r>
          </w:p>
        </w:tc>
        <w:tc>
          <w:tcPr>
            <w:tcW w:w="60" w:type="dxa"/>
            <w:vAlign w:val="bottom"/>
          </w:tcPr>
          <w:p>
            <w:pPr>
              <w:spacing w:after="0"/>
              <w:rPr>
                <w:sz w:val="16"/>
                <w:szCs w:val="16"/>
                <w:color w:val="auto"/>
              </w:rPr>
            </w:pPr>
          </w:p>
        </w:tc>
      </w:tr>
      <w:tr>
        <w:trPr>
          <w:trHeight w:val="230"/>
        </w:trPr>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18,499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18,499</w:t>
            </w:r>
          </w:p>
        </w:tc>
        <w:tc>
          <w:tcPr>
            <w:tcW w:w="60" w:type="dxa"/>
            <w:vAlign w:val="bottom"/>
          </w:tcPr>
          <w:p>
            <w:pPr>
              <w:spacing w:after="0"/>
              <w:rPr>
                <w:sz w:val="20"/>
                <w:szCs w:val="20"/>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6,429</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18,499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24,928</w:t>
            </w:r>
          </w:p>
        </w:tc>
        <w:tc>
          <w:tcPr>
            <w:tcW w:w="60" w:type="dxa"/>
            <w:vAlign w:val="bottom"/>
          </w:tcPr>
          <w:p>
            <w:pPr>
              <w:spacing w:after="0"/>
              <w:rPr>
                <w:sz w:val="18"/>
                <w:szCs w:val="18"/>
                <w:color w:val="auto"/>
              </w:rPr>
            </w:pPr>
          </w:p>
        </w:tc>
      </w:tr>
      <w:tr>
        <w:trPr>
          <w:trHeight w:val="27"/>
        </w:trPr>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50,703</w:t>
            </w:r>
          </w:p>
        </w:tc>
        <w:tc>
          <w:tcPr>
            <w:tcW w:w="14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80"/>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19"/>
              <w:spacing w:after="0" w:line="195" w:lineRule="exact"/>
              <w:rPr>
                <w:sz w:val="20"/>
                <w:szCs w:val="20"/>
                <w:color w:val="auto"/>
              </w:rPr>
            </w:pPr>
            <w:r>
              <w:rPr>
                <w:rFonts w:ascii="Arial" w:cs="Arial" w:eastAsia="Arial" w:hAnsi="Arial"/>
                <w:sz w:val="18"/>
                <w:szCs w:val="18"/>
                <w:color w:val="auto"/>
              </w:rPr>
              <w:t>$</w:t>
            </w:r>
          </w:p>
        </w:tc>
        <w:tc>
          <w:tcPr>
            <w:tcW w:w="320" w:type="dxa"/>
            <w:vAlign w:val="bottom"/>
            <w:gridSpan w:val="2"/>
          </w:tcPr>
          <w:p>
            <w:pPr>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50,703</w:t>
            </w:r>
          </w:p>
        </w:tc>
        <w:tc>
          <w:tcPr>
            <w:tcW w:w="60" w:type="dxa"/>
            <w:vAlign w:val="bottom"/>
          </w:tcPr>
          <w:p>
            <w:pPr>
              <w:spacing w:after="0"/>
              <w:rPr>
                <w:sz w:val="16"/>
                <w:szCs w:val="16"/>
                <w:color w:val="auto"/>
              </w:rPr>
            </w:pPr>
          </w:p>
        </w:tc>
      </w:tr>
      <w:tr>
        <w:trPr>
          <w:trHeight w:val="230"/>
        </w:trPr>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8,480</w:t>
            </w:r>
          </w:p>
        </w:tc>
        <w:tc>
          <w:tcPr>
            <w:tcW w:w="60" w:type="dxa"/>
            <w:vAlign w:val="bottom"/>
          </w:tcPr>
          <w:p>
            <w:pPr>
              <w:spacing w:after="0"/>
              <w:rPr>
                <w:sz w:val="20"/>
                <w:szCs w:val="20"/>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50,703</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59,183</w:t>
            </w:r>
          </w:p>
        </w:tc>
        <w:tc>
          <w:tcPr>
            <w:tcW w:w="60" w:type="dxa"/>
            <w:vAlign w:val="bottom"/>
          </w:tcPr>
          <w:p>
            <w:pPr>
              <w:spacing w:after="0"/>
              <w:rPr>
                <w:sz w:val="18"/>
                <w:szCs w:val="18"/>
                <w:color w:val="auto"/>
              </w:rPr>
            </w:pPr>
          </w:p>
        </w:tc>
      </w:tr>
      <w:tr>
        <w:trPr>
          <w:trHeight w:val="27"/>
        </w:trPr>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47" w:lineRule="exact"/>
        <w:rPr>
          <w:sz w:val="20"/>
          <w:szCs w:val="20"/>
          <w:color w:val="auto"/>
        </w:rPr>
      </w:pPr>
    </w:p>
    <w:p>
      <w:pPr>
        <w:sectPr>
          <w:pgSz w:w="11900" w:h="16838" w:orient="portrait"/>
          <w:cols w:equalWidth="0" w:num="2">
            <w:col w:w="4800" w:space="60"/>
            <w:col w:w="4440"/>
          </w:cols>
          <w:pgMar w:left="1300" w:top="108" w:right="1299" w:bottom="1440" w:gutter="0" w:footer="0" w:header="0"/>
          <w:type w:val="continuous"/>
        </w:sectPr>
      </w:pPr>
    </w:p>
    <w:p>
      <w:pPr>
        <w:jc w:val="both"/>
        <w:ind w:right="20" w:firstLine="441"/>
        <w:spacing w:after="0" w:line="219" w:lineRule="auto"/>
        <w:rPr>
          <w:sz w:val="20"/>
          <w:szCs w:val="20"/>
          <w:color w:val="auto"/>
        </w:rPr>
      </w:pPr>
      <w:r>
        <w:rPr>
          <w:rFonts w:ascii="Arial" w:cs="Arial" w:eastAsia="Arial" w:hAnsi="Arial"/>
          <w:sz w:val="18"/>
          <w:szCs w:val="18"/>
          <w:color w:val="auto"/>
        </w:rPr>
        <w:t>During year ended December 31, 2019 and 2018, the Company did not record impairment charges related to its marketable investments. During the years ended December 31, 2019 and 2018, the Company did not have any transfers between Level 1, Level 2 or Level 3 of the fair value hierarchy. Additionally, the Company did not have any financial assets and liabilities measured at fair value on a non-recurring basis as of December 31, 2019 or 2018.</w:t>
      </w:r>
    </w:p>
    <w:p>
      <w:pPr>
        <w:spacing w:after="0" w:line="118" w:lineRule="exact"/>
        <w:rPr>
          <w:sz w:val="20"/>
          <w:szCs w:val="20"/>
          <w:color w:val="auto"/>
        </w:rPr>
      </w:pPr>
    </w:p>
    <w:p>
      <w:pPr>
        <w:ind w:left="440" w:right="6600" w:hanging="440"/>
        <w:spacing w:after="0" w:line="460" w:lineRule="auto"/>
        <w:tabs>
          <w:tab w:leader="none" w:pos="22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Property and Equipment, net</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r>
      <w:tr>
        <w:trPr>
          <w:trHeight w:val="169"/>
        </w:trPr>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Laboratory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3,165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7"/>
        </w:trPr>
        <w:tc>
          <w:tcPr>
            <w:tcW w:w="67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bl>
    <w:p>
      <w:pPr>
        <w:spacing w:after="0" w:line="148" w:lineRule="exact"/>
        <w:rPr>
          <w:sz w:val="20"/>
          <w:szCs w:val="20"/>
          <w:color w:val="auto"/>
        </w:rPr>
      </w:pPr>
    </w:p>
    <w:p>
      <w:pPr>
        <w:jc w:val="both"/>
        <w:ind w:right="20" w:firstLine="441"/>
        <w:spacing w:after="0" w:line="235" w:lineRule="auto"/>
        <w:rPr>
          <w:sz w:val="20"/>
          <w:szCs w:val="20"/>
          <w:color w:val="auto"/>
        </w:rPr>
      </w:pPr>
      <w:r>
        <w:rPr>
          <w:rFonts w:ascii="Arial" w:cs="Arial" w:eastAsia="Arial" w:hAnsi="Arial"/>
          <w:sz w:val="18"/>
          <w:szCs w:val="18"/>
          <w:color w:val="auto"/>
        </w:rPr>
        <w:t>The lease for Company’s current premises in Hayward, California began in July 2017, per terms of the lease, the landlord provided $2.1 million in tenant improvement allowance which was capitalized.</w:t>
      </w:r>
    </w:p>
    <w:p>
      <w:pPr>
        <w:spacing w:after="0" w:line="121" w:lineRule="exact"/>
        <w:rPr>
          <w:sz w:val="20"/>
          <w:szCs w:val="20"/>
          <w:color w:val="auto"/>
        </w:rPr>
      </w:pPr>
    </w:p>
    <w:p>
      <w:pPr>
        <w:jc w:val="both"/>
        <w:ind w:right="20" w:firstLine="441"/>
        <w:spacing w:after="0" w:line="235" w:lineRule="auto"/>
        <w:rPr>
          <w:sz w:val="20"/>
          <w:szCs w:val="20"/>
          <w:color w:val="auto"/>
        </w:rPr>
      </w:pPr>
      <w:r>
        <w:rPr>
          <w:rFonts w:ascii="Arial" w:cs="Arial" w:eastAsia="Arial" w:hAnsi="Arial"/>
          <w:sz w:val="18"/>
          <w:szCs w:val="18"/>
          <w:color w:val="auto"/>
        </w:rPr>
        <w:t>Depreciation and amortization expense for the years ended December 31, 2019, 2018, and 2017 was $0.5 million, $0.6 million, and $0.3 million, respectively.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Intangible Assets, net</w:t>
      </w:r>
    </w:p>
    <w:p>
      <w:pPr>
        <w:spacing w:after="0" w:line="148" w:lineRule="exact"/>
        <w:rPr>
          <w:sz w:val="20"/>
          <w:szCs w:val="20"/>
          <w:color w:val="auto"/>
        </w:rPr>
      </w:pPr>
    </w:p>
    <w:p>
      <w:pPr>
        <w:jc w:val="both"/>
        <w:ind w:right="20" w:firstLine="441"/>
        <w:spacing w:after="0" w:line="214" w:lineRule="auto"/>
        <w:rPr>
          <w:sz w:val="20"/>
          <w:szCs w:val="20"/>
          <w:color w:val="auto"/>
        </w:rPr>
      </w:pPr>
      <w:r>
        <w:rPr>
          <w:rFonts w:ascii="Arial" w:cs="Arial" w:eastAsia="Arial" w:hAnsi="Arial"/>
          <w:sz w:val="18"/>
          <w:szCs w:val="18"/>
          <w:color w:val="auto"/>
        </w:rPr>
        <w:t>Intangible assets primarily consist of a license to utilize certain patents, know-how and technology relating to the Company’s NPS for biomedical applications acquired from Old Dominion University Research Foundation (ODURF), Eastern Virginia Medical School (EVMS), and the University of Southern California. In addition, the Company entered into a Sponsored Research Agreement with Old Dominion University’s Frank Reidy Research Center for Bioelectrics, a leading research organization in the field, which includes certain intellectual property rights arising from the research. The Company is amortizing the intangible assets over an estimated useful life of 12 years.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300"/>
          </w:cols>
          <w:pgMar w:left="1300" w:top="108" w:right="12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Borders>
              <w:bottom w:val="single" w:sz="8" w:color="auto"/>
            </w:tcBorders>
          </w:tcPr>
          <w:p>
            <w:pPr>
              <w:spacing w:after="0"/>
              <w:rPr>
                <w:sz w:val="14"/>
                <w:szCs w:val="14"/>
                <w:color w:val="auto"/>
              </w:rPr>
            </w:pPr>
          </w:p>
        </w:tc>
      </w:tr>
      <w:tr>
        <w:trPr>
          <w:trHeight w:val="169"/>
        </w:trPr>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(3,438)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(2,772)</w:t>
            </w:r>
          </w:p>
        </w:tc>
      </w:tr>
      <w:tr>
        <w:trPr>
          <w:trHeight w:val="229"/>
        </w:trPr>
        <w:tc>
          <w:tcPr>
            <w:tcW w:w="67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r>
      <w:tr>
        <w:trPr>
          <w:trHeight w:val="204"/>
        </w:trPr>
        <w:tc>
          <w:tcPr>
            <w:tcW w:w="6720" w:type="dxa"/>
            <w:vAlign w:val="bottom"/>
          </w:tcPr>
          <w:p>
            <w:pPr>
              <w:ind w:left="440"/>
              <w:spacing w:after="0" w:line="204" w:lineRule="exact"/>
              <w:rPr>
                <w:sz w:val="20"/>
                <w:szCs w:val="20"/>
                <w:color w:val="auto"/>
              </w:rPr>
            </w:pPr>
            <w:r>
              <w:rPr>
                <w:rFonts w:ascii="Arial" w:cs="Arial" w:eastAsia="Arial" w:hAnsi="Arial"/>
                <w:sz w:val="18"/>
                <w:szCs w:val="18"/>
                <w:color w:val="auto"/>
                <w:w w:val="99"/>
              </w:rPr>
              <w:t>A schedule of the amortization of intangible assets is as follows (in thousands):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64"/>
        </w:trPr>
        <w:tc>
          <w:tcPr>
            <w:tcW w:w="67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r>
      <w:tr>
        <w:trPr>
          <w:trHeight w:val="229"/>
        </w:trPr>
        <w:tc>
          <w:tcPr>
            <w:tcW w:w="6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365"/>
        </w:trPr>
        <w:tc>
          <w:tcPr>
            <w:tcW w:w="6720" w:type="dxa"/>
            <w:vAlign w:val="bottom"/>
          </w:tcPr>
          <w:p>
            <w:pPr>
              <w:ind w:left="440"/>
              <w:spacing w:after="0"/>
              <w:rPr>
                <w:sz w:val="20"/>
                <w:szCs w:val="20"/>
                <w:color w:val="auto"/>
              </w:rPr>
            </w:pPr>
            <w:r>
              <w:rPr>
                <w:rFonts w:ascii="Arial" w:cs="Arial" w:eastAsia="Arial" w:hAnsi="Arial"/>
                <w:sz w:val="18"/>
                <w:szCs w:val="18"/>
                <w:b w:val="1"/>
                <w:bCs w:val="1"/>
                <w:color w:val="auto"/>
              </w:rPr>
              <w:t>Accrued Expenses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1"/>
        </w:trPr>
        <w:tc>
          <w:tcPr>
            <w:tcW w:w="6720" w:type="dxa"/>
            <w:vAlign w:val="bottom"/>
          </w:tcPr>
          <w:p>
            <w:pPr>
              <w:ind w:left="440"/>
              <w:spacing w:after="0"/>
              <w:rPr>
                <w:sz w:val="20"/>
                <w:szCs w:val="20"/>
                <w:color w:val="auto"/>
              </w:rPr>
            </w:pPr>
            <w:r>
              <w:rPr>
                <w:rFonts w:ascii="Arial" w:cs="Arial" w:eastAsia="Arial" w:hAnsi="Arial"/>
                <w:sz w:val="18"/>
                <w:szCs w:val="18"/>
                <w:color w:val="auto"/>
              </w:rPr>
              <w:t>Accrued expenses consisted of the following (in thousands):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6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Borders>
              <w:bottom w:val="single" w:sz="8" w:color="auto"/>
            </w:tcBorders>
          </w:tcPr>
          <w:p>
            <w:pPr>
              <w:spacing w:after="0"/>
              <w:rPr>
                <w:sz w:val="24"/>
                <w:szCs w:val="24"/>
                <w:color w:val="auto"/>
              </w:rPr>
            </w:pPr>
          </w:p>
        </w:tc>
      </w:tr>
      <w:tr>
        <w:trPr>
          <w:trHeight w:val="169"/>
        </w:trPr>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Accrued clinical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67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compensation expense includes approximately $0.3 million relating to the departure of an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48"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 xml:space="preserve">In 2014, the Company acquired three companies (the acquisitions) for aggregate consideration of $5.5 million.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goodwill of $2.8 million in connection with the acquisitions, which represents the excess of consideration paid over the fair value of net tangible and intangible assets acquired.</w:t>
      </w:r>
    </w:p>
    <w:p>
      <w:pPr>
        <w:spacing w:after="0" w:line="136"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Company reviews goodwill for impairment annually or whenever changes in circumstances indicate that the carrying amount of goodwill may not be recoverable. Based on the Company’s annual review as of December 31, 2019, the Company determined that its goodwill was not impaired.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4" w:lineRule="exact"/>
        <w:rPr>
          <w:sz w:val="20"/>
          <w:szCs w:val="20"/>
          <w:color w:val="auto"/>
        </w:rPr>
      </w:pPr>
    </w:p>
    <w:p>
      <w:pPr>
        <w:jc w:val="both"/>
        <w:ind w:firstLine="389"/>
        <w:spacing w:after="0" w:line="219" w:lineRule="auto"/>
        <w:rPr>
          <w:sz w:val="20"/>
          <w:szCs w:val="20"/>
          <w:color w:val="auto"/>
        </w:rPr>
      </w:pPr>
      <w:r>
        <w:rPr>
          <w:rFonts w:ascii="Arial" w:cs="Arial" w:eastAsia="Arial" w:hAnsi="Arial"/>
          <w:sz w:val="18"/>
          <w:szCs w:val="18"/>
          <w:color w:val="auto"/>
        </w:rPr>
        <w:t>The Company has authorized a total of 50,000,000 shares of preferred stock, par value $0.001 per share, none of which were outstanding at December 31, 2019 and 2018.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authorized a total of 500,000,000 shares of common stock, par value $0.001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February 2017, the Company entered into a securities purchase agreement, pursuant to which the Company, in a</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private placement, issued and sold an aggregate of 819,673 shares of the Company’s common stock, par value $0.001 per share, at a price per share of $6.10, for net proceeds of approximately $5.0 million.</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During September 2017, the Company entered into a securities purchase agreement with an existing investor, pursuant to which the Company, in a private placement, issued and sold an aggregate of 2,000,000 shares of the Company’s common stock, par value $0.001 per share, at a price per share of $15.02, for net proceeds of approximately $29.9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Offering</w:t>
      </w:r>
    </w:p>
    <w:p>
      <w:pPr>
        <w:spacing w:after="0" w:line="144" w:lineRule="exact"/>
        <w:rPr>
          <w:sz w:val="20"/>
          <w:szCs w:val="20"/>
          <w:color w:val="auto"/>
        </w:rPr>
      </w:pPr>
    </w:p>
    <w:p>
      <w:pPr>
        <w:jc w:val="both"/>
        <w:ind w:firstLine="441"/>
        <w:spacing w:after="0" w:line="219" w:lineRule="auto"/>
        <w:rPr>
          <w:sz w:val="20"/>
          <w:szCs w:val="20"/>
          <w:color w:val="auto"/>
        </w:rPr>
      </w:pPr>
      <w:r>
        <w:rPr>
          <w:rFonts w:ascii="Arial" w:cs="Arial" w:eastAsia="Arial" w:hAnsi="Arial"/>
          <w:sz w:val="18"/>
          <w:szCs w:val="18"/>
          <w:color w:val="auto"/>
        </w:rPr>
        <w:t>On October 25, 2018, the Company commenced a rights offering pursuant to which stockholders of record as of November 19, 2018, were issued, at no charge, one subscription right for each share of common stock then outstanding. Each right entitled the holder to purchase 0.19860755 share of the Company’s common stock for $12.57 per share (the “Rights Offering”).</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Stockholders who exercised their rights in full were also permitted an over-subscription right to purchase additional shares of common stock that remained unsubscribed at the expiration of the Rights Offering, subject to the availability of shares and a pro rata allocation of shares among persons exercising the oversubscription right.</w:t>
      </w:r>
    </w:p>
    <w:p>
      <w:pPr>
        <w:spacing w:after="0" w:line="122" w:lineRule="exact"/>
        <w:rPr>
          <w:sz w:val="20"/>
          <w:szCs w:val="20"/>
          <w:color w:val="auto"/>
        </w:rPr>
      </w:pPr>
    </w:p>
    <w:p>
      <w:pPr>
        <w:jc w:val="both"/>
        <w:ind w:firstLine="441"/>
        <w:spacing w:after="0" w:line="244" w:lineRule="auto"/>
        <w:rPr>
          <w:sz w:val="20"/>
          <w:szCs w:val="20"/>
          <w:color w:val="auto"/>
        </w:rPr>
      </w:pPr>
      <w:r>
        <w:rPr>
          <w:rFonts w:ascii="Arial" w:cs="Arial" w:eastAsia="Arial" w:hAnsi="Arial"/>
          <w:sz w:val="16"/>
          <w:szCs w:val="16"/>
          <w:color w:val="auto"/>
        </w:rPr>
        <w:t>Upon the closing of the Rights Offering on December 6, 2018, the Rights Offering was oversubscribed. A total of 3,581,148 shares of the Company’s common stock were issued and sold in the Rights Offering for net proceeds of approximately $44.8 million. Robert W. Duggan, the Company’s Chairman of the Board of Directors and the beneficial owner of approximately 35% of the Company’s outstanding common stock prior to the Rights Offering, participated in the Rights Offering and purchased an aggregate of 3,146,226 shares for an additional investment of approximately $39.5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4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In connection with a private placement offering of the Company’s shares of common stock, par value $0.001 per share in 2014, the Company issued warrants as compensation to the placement agent to purchase a total of 299,625 shares of its common stock at a price of $2.67 per share (Private Placement Warrants). The Private Placement Warrants are exercisable for a period of seven years. As of December 31, 2019, there were a total of 46,238 of Private Placement Warrants outstanding.</w:t>
      </w:r>
    </w:p>
    <w:p>
      <w:pPr>
        <w:spacing w:after="0" w:line="114"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(IPO Warrants). The IPO Warrants are exercisable for a period of five years. As of December 31, 2019, there were a total of 121,609 of the IPO Warrants outstanding.</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total warrants activity for the year ended December 31, 2019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75"/>
        </w:trPr>
        <w:tc>
          <w:tcPr>
            <w:tcW w:w="4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4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Weighted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75"/>
        </w:trPr>
        <w:tc>
          <w:tcPr>
            <w:tcW w:w="496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92"/>
        </w:trPr>
        <w:tc>
          <w:tcPr>
            <w:tcW w:w="496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15"/>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176"/>
        </w:trPr>
        <w:tc>
          <w:tcPr>
            <w:tcW w:w="496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14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5"/>
        </w:trPr>
        <w:tc>
          <w:tcPr>
            <w:tcW w:w="4960" w:type="dxa"/>
            <w:vAlign w:val="bottom"/>
          </w:tcPr>
          <w:p>
            <w:pPr>
              <w:spacing w:after="0" w:line="176" w:lineRule="exact"/>
              <w:rPr>
                <w:sz w:val="20"/>
                <w:szCs w:val="20"/>
                <w:color w:val="auto"/>
              </w:rPr>
            </w:pPr>
            <w:r>
              <w:rPr>
                <w:rFonts w:ascii="Arial" w:cs="Arial" w:eastAsia="Arial" w:hAnsi="Arial"/>
                <w:sz w:val="18"/>
                <w:szCs w:val="18"/>
                <w:color w:val="auto"/>
              </w:rPr>
              <w:t>Expired/terminated</w:t>
            </w:r>
          </w:p>
        </w:tc>
        <w:tc>
          <w:tcPr>
            <w:tcW w:w="14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7"/>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at December 31, 2019</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6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the year ended December 31, 2019, warrants to purchase 45,638 shares of common stock were net exercised, resulting in the issuance of approximately 37,320 shares of 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intrinsic value of exercisable in-the-money stock warrants was approximately $1.5 million as of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previously adopted, and the Company’s stockholders approved, the Company’s 2017 Equity Incentive Plan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2017 Plan).</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The 2017 Plan is administered by the Board’s Compensation Committee.</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w:t>
      </w:r>
    </w:p>
    <w:p>
      <w:pPr>
        <w:spacing w:after="0" w:line="12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7"/>
          <w:szCs w:val="17"/>
          <w:color w:val="auto"/>
        </w:rPr>
        <w:t>Effective January 1, 2019, the number of shares of common stock available under the 2017 Plan increased by 823,716 shares pursuant to the evergreen provision of the 2017 Plan. Under the evergreen provision of the 2017 Plan, the share increase is determined based on the least of (i) 1,200,000 shares, (ii) 4% of the Company’s common stock outstanding at December 31 of the immediately preceding year, or (iii) such number of shares as determined by the Board. As of December 31, 2019, 998,288 shares of common stock remained available for issuance under the 2017 Plan.</w:t>
      </w:r>
    </w:p>
    <w:p>
      <w:pPr>
        <w:spacing w:after="0" w:line="12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During November 2017, the Board of the Company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2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1/48th monthly thereafter, over the subsequent 36 months. Equity-based awards issued under the Inducement Plan are only issuable to individuals not previously engaged as employees or non-employee directors of the Company prior to the Inducement Plan’s adoption date. As of December 31, 2019, 78,950 shares of common stock were available for issuance under the Inducement Plan.</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In January 2019, the Board determined not to increase the number of shares of common stock available under the 2017 ESPP pursuant to the evergreen provision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During the year ended December 31, 2019 and 2018, the Company issued 38,279 and 23,869 shares of common stock under the 2017 ESPP, respectively. As of December 31, 2019, 440,195 shares of common stock remained available for issuance under the 2017 ESPP.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under the 2015 Plan, 2017 Plan and Inducement Plan for the year ended</w:t>
      </w:r>
    </w:p>
    <w:p>
      <w:pPr>
        <w:spacing w:after="0"/>
        <w:rPr>
          <w:sz w:val="20"/>
          <w:szCs w:val="20"/>
          <w:color w:val="auto"/>
        </w:rPr>
      </w:pPr>
      <w:r>
        <w:rPr>
          <w:rFonts w:ascii="Arial" w:cs="Arial" w:eastAsia="Arial" w:hAnsi="Arial"/>
          <w:sz w:val="18"/>
          <w:szCs w:val="18"/>
          <w:color w:val="auto"/>
        </w:rPr>
        <w:t>December 31, 2019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5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5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75"/>
        </w:trPr>
        <w:tc>
          <w:tcPr>
            <w:tcW w:w="504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71"/>
        </w:trPr>
        <w:tc>
          <w:tcPr>
            <w:tcW w:w="504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 December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2,956,687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1,162,616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canceled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(99,669)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(171,520)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December 31, 2019</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3,749,186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exercisable at December 31,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2,110,219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table above excludes 42,500 performance stock options granted during the year ended December 31, 2019 for which the performance criteria had not been established as of December 31, 2019.</w:t>
      </w:r>
    </w:p>
    <w:p>
      <w:pPr>
        <w:spacing w:after="0" w:line="121"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 intrinsic value of stock options exercised during the year ended December 31, 2019, 2018 and 2017 was $1.0 million, $1.8 million, and $3.8 million, respectively.</w:t>
      </w:r>
    </w:p>
    <w:p>
      <w:pPr>
        <w:spacing w:after="0" w:line="1" w:lineRule="exact"/>
        <w:rPr>
          <w:sz w:val="20"/>
          <w:szCs w:val="20"/>
          <w:color w:val="auto"/>
        </w:rPr>
      </w:pPr>
    </w:p>
    <w:p>
      <w:pPr>
        <w:jc w:val="both"/>
        <w:ind w:firstLine="441"/>
        <w:spacing w:after="0" w:line="226" w:lineRule="auto"/>
        <w:rPr>
          <w:sz w:val="20"/>
          <w:szCs w:val="20"/>
          <w:color w:val="auto"/>
        </w:rPr>
      </w:pPr>
      <w:r>
        <w:rPr>
          <w:rFonts w:ascii="Arial" w:cs="Arial" w:eastAsia="Arial" w:hAnsi="Arial"/>
          <w:sz w:val="18"/>
          <w:szCs w:val="18"/>
          <w:color w:val="auto"/>
        </w:rPr>
        <w:t>The fair value of employee stock options was estimated using the Black-Scholes option-pricing model utilizing the following assumptions: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14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Expected term in years</w:t>
            </w:r>
          </w:p>
        </w:tc>
        <w:tc>
          <w:tcPr>
            <w:tcW w:w="13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0.4 - 6.1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5.3 - 6.1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0.4 - 6.1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 - 90%</w:t>
            </w:r>
          </w:p>
        </w:tc>
      </w:tr>
      <w:tr>
        <w:trPr>
          <w:trHeight w:val="175"/>
        </w:trPr>
        <w:tc>
          <w:tcPr>
            <w:tcW w:w="5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1.4 - 2.6%</w:t>
            </w:r>
          </w:p>
        </w:tc>
        <w:tc>
          <w:tcPr>
            <w:tcW w:w="14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2.6 - 3.0%</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 - 2.2%</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fair value of the stock options granted to employees and directors during the years ended December 31, 2019, 2018 and 2017 was $8.4 million, $6.4 million, and $26.8 million, respectively.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ESPP was estimated using the Black-Scholes option-pricing model utilizing the following assumptions: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140" w:type="dxa"/>
            <w:vAlign w:val="bottom"/>
            <w:tcBorders>
              <w:bottom w:val="single" w:sz="8" w:color="auto"/>
            </w:tcBorders>
            <w:gridSpan w:val="5"/>
          </w:tcPr>
          <w:p>
            <w:pPr>
              <w:ind w:left="132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4"/>
                <w:szCs w:val="14"/>
                <w:color w:val="auto"/>
              </w:rPr>
            </w:pPr>
          </w:p>
        </w:tc>
      </w:tr>
      <w:tr>
        <w:trPr>
          <w:trHeight w:val="169"/>
        </w:trPr>
        <w:tc>
          <w:tcPr>
            <w:tcW w:w="50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Expected term in years</w:t>
            </w:r>
          </w:p>
        </w:tc>
        <w:tc>
          <w:tcPr>
            <w:tcW w:w="13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0.5 - 1.0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0.5 - 1.0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0.5 - 1.3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75"/>
        </w:trPr>
        <w:tc>
          <w:tcPr>
            <w:tcW w:w="5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1.7% - 2.6%</w:t>
            </w:r>
          </w:p>
        </w:tc>
        <w:tc>
          <w:tcPr>
            <w:tcW w:w="14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1.9% - 2.5%</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 - 1.2%</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tcBorders>
              <w:bottom w:val="single" w:sz="8" w:color="auto"/>
            </w:tcBorders>
          </w:tcPr>
          <w:p>
            <w:pPr>
              <w:spacing w:after="0"/>
              <w:rPr>
                <w:sz w:val="14"/>
                <w:szCs w:val="14"/>
                <w:color w:val="auto"/>
              </w:rPr>
            </w:pPr>
          </w:p>
        </w:tc>
      </w:tr>
      <w:tr>
        <w:trPr>
          <w:trHeight w:val="169"/>
        </w:trPr>
        <w:tc>
          <w:tcPr>
            <w:tcW w:w="424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r>
      <w:tr>
        <w:trPr>
          <w:trHeight w:val="20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r>
      <w:tr>
        <w:trPr>
          <w:trHeight w:val="27"/>
        </w:trPr>
        <w:tc>
          <w:tcPr>
            <w:tcW w:w="4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firstLine="475"/>
        <w:spacing w:after="0" w:line="225" w:lineRule="auto"/>
        <w:rPr>
          <w:sz w:val="20"/>
          <w:szCs w:val="20"/>
          <w:color w:val="auto"/>
        </w:rPr>
      </w:pPr>
      <w:r>
        <w:rPr>
          <w:rFonts w:ascii="Arial" w:cs="Arial" w:eastAsia="Arial" w:hAnsi="Arial"/>
          <w:sz w:val="17"/>
          <w:szCs w:val="17"/>
          <w:color w:val="auto"/>
        </w:rPr>
        <w:t>The fair value of RSU awards is determined based on the number of units granted and the closing price of the Company’s common stock as of the grant date. The estimated fair value of RSUs is recognized on a straight-line basis over the requisite service period. During 2017, the Company granted 160,974 RSUs all of which vested pursuant to which no shares were issued, during June 2018. Additional paid in capital was reduced by $0.1 million for tax payments related to shares withheld in connection with the vesting of the RSUs. The stock-based compensation expense related to these RSUs was approximately $2.1 million and $2.9 million during the years ended December 31, 2018 and 2017, respectively. As of December 31, 2019, there was no unrecognized compensation expense related to these RSUs.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both"/>
        <w:ind w:firstLine="475"/>
        <w:spacing w:after="0" w:line="216" w:lineRule="auto"/>
        <w:rPr>
          <w:sz w:val="20"/>
          <w:szCs w:val="20"/>
          <w:color w:val="auto"/>
        </w:rPr>
      </w:pPr>
      <w:r>
        <w:rPr>
          <w:rFonts w:ascii="Arial" w:cs="Arial" w:eastAsia="Arial" w:hAnsi="Arial"/>
          <w:sz w:val="18"/>
          <w:szCs w:val="18"/>
          <w:color w:val="auto"/>
        </w:rPr>
        <w:t>During the year ended December 31, 2017, the Company granted 68,800 RSUs to certain employees, of which 50% vested on June 1, 2019 with the remaining 50% vesting on June 1, 2021. In the event of a change in control, these RSUs vest 100%. The stock-based compensation expense recorded in 2018 and 2017 related to these RSUs was approximately $0.4 million and $0.1 million, respectively. As of December 31, 2018, there was $0.9 million of unrecognized compensation expense related to these RSUs.</w:t>
      </w:r>
    </w:p>
    <w:p>
      <w:pPr>
        <w:spacing w:after="0" w:line="122"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During November 2017, the resignations of certain Board members resulted in full vesting of their outstanding equity awards. Accordingly, the Company recorded an additional $1.2 million of stock-based compensation expense for the year ended December 31, 2017.</w:t>
      </w:r>
    </w:p>
    <w:p>
      <w:pPr>
        <w:spacing w:after="0" w:line="122"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At December 31, 2019, there was $14.2 million of unrecognized compensation cost related to unvested stock-based compensation arrangements, which is expected to be recognized over a weighted average period of 2.8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44"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The Company entered into a Sponsored Research Agreement (SRA) with ODURF during 2014 pursuant to which the Company sponsors research activities performed by ODURF’s Frank Reidy Center. ODURF is compensated by the Company for its conduct of each study in accordance with the budget and payment terms set forth in the applicable task order. During the years ended December 31, 2019, 2018 and 2017, the Company agreed to sponsor $0.8 million, $0.8 million and $0.7 million, respectively,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December 31, 2019, $0.6 million remained payable under this research agreement.</w:t>
      </w:r>
    </w:p>
    <w:p>
      <w:pPr>
        <w:spacing w:after="0" w:line="127"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In addition, during the year ended December 31, 2017, the Company agreed to provide $0.3 million in research funding to researchers affiliated with ODURF and EVMS matching funds made available to those researchers by the Virginia Biosciences Health Research Corporation. The Company’s sponsorship affords access to certain intellectual property, if any, developed during the project. As of December 31, 2019, no amount remained payable under this agreement.</w:t>
      </w:r>
    </w:p>
    <w:p>
      <w:pPr>
        <w:spacing w:after="0" w:line="114"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the years ended December 31, 2019, 2018 and 2017, the Company incurred costs relating to the SRA equal to $0.9 million, $0.7 million and $0.8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4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The pre-tax book loss for the Company was approximately $47 million, $37.5 million and $25.8 million for the years ended December 31, 2019, 2018 and 2017, respectively; these losses were incurred in the U.S., the Company has no foreign subsidiaries. The income tax provision was $0 for the years ended December 31, 2019, 2018 and 2017.</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at December 31, 2019 and 2018 are summarized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r>
      <w:tr>
        <w:trPr>
          <w:trHeight w:val="169"/>
        </w:trPr>
        <w:tc>
          <w:tcPr>
            <w:tcW w:w="6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Temporary differences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Lease liability under ASC 842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20,755</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15,365</w:t>
            </w:r>
          </w:p>
        </w:tc>
      </w:tr>
      <w:tr>
        <w:trPr>
          <w:trHeight w:val="209"/>
        </w:trPr>
        <w:tc>
          <w:tcPr>
            <w:tcW w:w="6720" w:type="dxa"/>
            <w:vAlign w:val="bottom"/>
          </w:tcPr>
          <w:p>
            <w:pPr>
              <w:spacing w:after="0"/>
              <w:rPr>
                <w:sz w:val="20"/>
                <w:szCs w:val="20"/>
                <w:color w:val="auto"/>
              </w:rPr>
            </w:pPr>
            <w:r>
              <w:rPr>
                <w:rFonts w:ascii="Arial" w:cs="Arial" w:eastAsia="Arial" w:hAnsi="Arial"/>
                <w:sz w:val="18"/>
                <w:szCs w:val="18"/>
                <w:color w:val="auto"/>
              </w:rPr>
              <w:t>Total deferred tax assets before valuation allowance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32,167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23,436</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w:t>
            </w:r>
          </w:p>
        </w:tc>
      </w:tr>
      <w:tr>
        <w:trPr>
          <w:trHeight w:val="210"/>
        </w:trPr>
        <w:tc>
          <w:tcPr>
            <w:tcW w:w="6720" w:type="dxa"/>
            <w:vAlign w:val="bottom"/>
          </w:tcPr>
          <w:p>
            <w:pPr>
              <w:spacing w:after="0"/>
              <w:rPr>
                <w:sz w:val="20"/>
                <w:szCs w:val="20"/>
                <w:color w:val="auto"/>
              </w:rPr>
            </w:pPr>
            <w:r>
              <w:rPr>
                <w:rFonts w:ascii="Arial" w:cs="Arial" w:eastAsia="Arial" w:hAnsi="Arial"/>
                <w:sz w:val="18"/>
                <w:szCs w:val="18"/>
                <w:color w:val="auto"/>
              </w:rPr>
              <w:t>Total deferred tax assets after valuation allowance</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Technology deferred tax liability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Right of use assets under ASC 842</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(1,364)</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7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shd w:val="clear" w:color="auto" w:fill="CCEEFF"/>
          </w:tcPr>
          <w:p>
            <w:pPr>
              <w:jc w:val="right"/>
              <w:ind w:right="90"/>
              <w:spacing w:after="0" w:line="16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In assessing the potential realization of deferred tax assets, management considers whether it is more likely than not that some portion or all of the deferred tax assets will be realized. The ultimate realization of deferred tax assets is dependent upon the Company attaining future taxable income during the periods in which those temporary differences become deductible. At December 31, 2019 and 2018, management was unable to determine that it was more likely than not that the Company’s deferred tax assets will be realized, and has therefore recorded an appropriate valuation allowance against deferred tax assets at such dates.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Company’s effective tax rate is different from the federal statutory tax rate of 21% due primarily to net losses that receive no tax benefit as a result of a valuation allowance recorded for such losses.</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Presented below is the reconciliation of the difference between the tax rate computed by applying the U.S. federal statutory tax rate and the effective tax rate for the years ended December 31, 2019,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r>
      <w:tr>
        <w:trPr>
          <w:trHeight w:val="169"/>
        </w:trPr>
        <w:tc>
          <w:tcPr>
            <w:tcW w:w="5340" w:type="dxa"/>
            <w:vAlign w:val="bottom"/>
          </w:tcPr>
          <w:p>
            <w:pPr>
              <w:spacing w:after="0"/>
              <w:rPr>
                <w:sz w:val="14"/>
                <w:szCs w:val="14"/>
                <w:color w:val="auto"/>
              </w:rPr>
            </w:pP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4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Valuation allowance</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18.0</w:t>
            </w: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23.0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Tax reform</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18.0</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Credits</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440" w:type="dxa"/>
            <w:vAlign w:val="bottom"/>
            <w:gridSpan w:val="3"/>
          </w:tcPr>
          <w:p>
            <w:pPr>
              <w:jc w:val="right"/>
              <w:ind w:right="23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1.0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and other</w:t>
            </w:r>
          </w:p>
        </w:tc>
        <w:tc>
          <w:tcPr>
            <w:tcW w:w="11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5.0</w:t>
            </w:r>
          </w:p>
        </w:tc>
        <w:tc>
          <w:tcPr>
            <w:tcW w:w="1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(7.0)</w:t>
            </w:r>
          </w:p>
        </w:tc>
      </w:tr>
      <w:tr>
        <w:trPr>
          <w:trHeight w:val="176"/>
        </w:trPr>
        <w:tc>
          <w:tcPr>
            <w:tcW w:w="5340" w:type="dxa"/>
            <w:vAlign w:val="bottom"/>
          </w:tcPr>
          <w:p>
            <w:pPr>
              <w:spacing w:after="0" w:line="169" w:lineRule="exact"/>
              <w:rPr>
                <w:sz w:val="20"/>
                <w:szCs w:val="20"/>
                <w:color w:val="auto"/>
              </w:rPr>
            </w:pPr>
            <w:r>
              <w:rPr>
                <w:rFonts w:ascii="Arial" w:cs="Arial" w:eastAsia="Arial" w:hAnsi="Arial"/>
                <w:sz w:val="18"/>
                <w:szCs w:val="18"/>
                <w:color w:val="auto"/>
              </w:rPr>
              <w:t>Effective tax rate</w:t>
            </w: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8"/>
                <w:szCs w:val="18"/>
                <w:color w:val="auto"/>
              </w:rPr>
              <w:t>— %</w:t>
            </w: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30"/>
              <w:spacing w:after="0" w:line="169" w:lineRule="exact"/>
              <w:rPr>
                <w:sz w:val="20"/>
                <w:szCs w:val="20"/>
                <w:color w:val="auto"/>
              </w:rPr>
            </w:pPr>
            <w:r>
              <w:rPr>
                <w:rFonts w:ascii="Arial" w:cs="Arial" w:eastAsia="Arial" w:hAnsi="Arial"/>
                <w:sz w:val="18"/>
                <w:szCs w:val="18"/>
                <w:color w:val="auto"/>
              </w:rPr>
              <w:t>— %</w:t>
            </w:r>
          </w:p>
        </w:tc>
        <w:tc>
          <w:tcPr>
            <w:tcW w:w="1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
              <w:spacing w:after="0" w:line="169" w:lineRule="exact"/>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At December 31, 2019, the Company had federal and California state net operating loss carryforwards of approximately $87.8 million and $25.8 million, respectively, these will begin to expire in 2034. Of the total federal net operating loss (NOL) carryforward of $87.8 million, approximately $62.2 million was generated after tax year 2017 and has an indefinite carryover period; the utilizations of theses NOLs will be limited to 80% of the taxable income in the years in which these NOLs are utilized. Utilization of some of the federal and California net operating loss carry-forwards are subject to annual limitations due to the ‘change in ownership’ provisions of the Internal Revenue Code of 1986 and similar provisions.</w:t>
      </w:r>
    </w:p>
    <w:p>
      <w:pPr>
        <w:spacing w:after="0" w:line="120"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At December 31, 2019, the Company had approximately $2.4 million and $2.0 million of federal and California research and development (R&amp;D) credits, respectively. The federal R&amp;D credits begin to expire after 2035 and the California R&amp;D credits have an indefinite carryforward period.</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These net operating loss carryforward and R&amp;D credits amounts have full valuation allowances against them due to the remoteness of their expected utilization.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activity related to unrecognized tax benefits are summarized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9"/>
        </w:trPr>
        <w:tc>
          <w:tcPr>
            <w:tcW w:w="47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r>
      <w:tr>
        <w:trPr>
          <w:trHeight w:val="22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Gross increases - tax positions in prior periods</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periods</w:t>
            </w: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Gross increases - tax position in current period</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Lapses in statutes of limitations</w:t>
            </w:r>
          </w:p>
        </w:tc>
        <w:tc>
          <w:tcPr>
            <w:tcW w:w="1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47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391"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2019, 2018 and 2017, no interest or penalties were required to be recognized related to unrecognized tax benefits. Although the Company is not under examination, the tax years for 2014 and forward are subject to examination by U.S. tax authorities.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48"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Kenneth A. Clark, a director of the Company since November 2017, is a member of the law firm of Wilson Sonsini Goodrich and Rosati (WSGR), which is also serves as the outside corporate counsel to the Company. During the years ended December 31, 2019 and 2018, the Company incurred expenses reported in general and administrative expenses in the consolidated statement of operations for legal services rendered by WSGR totaling approximately $0.5 million and $1.2 million, respectively. During the year ended December 31, 2018, the Company capitalized approximately $0.1 million for legal expenses incurred in connection with the rights offering (Note 6).</w:t>
      </w:r>
    </w:p>
    <w:p>
      <w:pPr>
        <w:spacing w:after="0" w:line="121" w:lineRule="exact"/>
        <w:rPr>
          <w:sz w:val="20"/>
          <w:szCs w:val="20"/>
          <w:color w:val="auto"/>
        </w:rPr>
      </w:pPr>
    </w:p>
    <w:p>
      <w:pPr>
        <w:jc w:val="both"/>
        <w:ind w:firstLine="441"/>
        <w:spacing w:after="0" w:line="214" w:lineRule="auto"/>
        <w:rPr>
          <w:sz w:val="20"/>
          <w:szCs w:val="20"/>
          <w:color w:val="auto"/>
        </w:rPr>
      </w:pPr>
      <w:r>
        <w:rPr>
          <w:rFonts w:ascii="Arial" w:cs="Arial" w:eastAsia="Arial" w:hAnsi="Arial"/>
          <w:sz w:val="18"/>
          <w:szCs w:val="18"/>
          <w:color w:val="auto"/>
        </w:rPr>
        <w:t>During December 2018, the Company completed a rights offering pursuant to which it sold an aggregate of 3,581,148 shares of its common stock, par value $0.001 per share, at a price per share of $12.57, for net proceeds of approximately $44.8 million. At the time of transaction, Robert W. Duggan, the Company’s Chairman of the Board of Directors and the beneficial owner of approximately 35% of the Company’s then outstanding common stock prior to the rights offering. After giving effect to the rights offering, Mr. Duggan was the beneficial owner or approximately 43% of the Company’s outstanding stock as of December 31, 2019.</w:t>
      </w:r>
    </w:p>
    <w:p>
      <w:pPr>
        <w:spacing w:after="0" w:line="117" w:lineRule="exact"/>
        <w:rPr>
          <w:sz w:val="20"/>
          <w:szCs w:val="20"/>
          <w:color w:val="auto"/>
        </w:rPr>
      </w:pPr>
    </w:p>
    <w:p>
      <w:pPr>
        <w:ind w:left="440" w:right="6420" w:hanging="440"/>
        <w:spacing w:after="0" w:line="460" w:lineRule="auto"/>
        <w:tabs>
          <w:tab w:leader="none" w:pos="314"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January 2017, the Company entered into a five year for approximately 15,700 square feet for its corporate headquarters located in Hayward, California. The lease commenced during July 2017.</w:t>
      </w:r>
    </w:p>
    <w:p>
      <w:pPr>
        <w:spacing w:after="0" w:line="121" w:lineRule="exact"/>
        <w:rPr>
          <w:sz w:val="20"/>
          <w:szCs w:val="20"/>
          <w:color w:val="auto"/>
        </w:rPr>
      </w:pPr>
    </w:p>
    <w:p>
      <w:pPr>
        <w:jc w:val="both"/>
        <w:ind w:firstLine="441"/>
        <w:spacing w:after="0" w:line="216" w:lineRule="auto"/>
        <w:rPr>
          <w:sz w:val="20"/>
          <w:szCs w:val="20"/>
          <w:color w:val="auto"/>
        </w:rPr>
      </w:pPr>
      <w:r>
        <w:rPr>
          <w:rFonts w:ascii="Arial" w:cs="Arial" w:eastAsia="Arial" w:hAnsi="Arial"/>
          <w:sz w:val="18"/>
          <w:szCs w:val="18"/>
          <w:color w:val="auto"/>
        </w:rPr>
        <w:t>During May 2019, the Company entered into Lease Amendment 1 (the Amendment) in relation to the existing lease (Existing Lease or Existing Premises). In executing the Amendment, the Company added the lease of new premises of approximately 13,300 square feet and 21,300 square feet, (Expansion Premises 1 and Expansion Premises 2, respectively). Additionally, the term of the Existing Lease was extended to be coterminous with Expansion Premises 1 and Expansion Premises 2, effective October 2029.</w:t>
      </w:r>
    </w:p>
    <w:p>
      <w:pPr>
        <w:spacing w:after="0" w:line="122"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The Company evaluated the lease amendment under the provisions of ASC 842 that it adopted on January 1, 2019, and concluded that the Amendment would be accounted for as a single contract with the Existing Lease because the additional lease payments due to the Amendment was not commensurate with ROU asset granted to the Company. Though the Amendment was accounted for as a single contract, the Existing Premises, Expansion Premises 1 (occupied in November 2019) and Expansion Premises 2 (not yet occupied) are each accounted for as separate lease components. Accordingly, the Company measured and allocated consideration to each lease component as of the modification date. Upon commencement of each lease component, the Company will reassess and calculate the lease liability and ROU asset for the respective component. As a result, at the modification date, the Company remeasured its existing lease liability and recorded an additional ROU asset and lease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liability of $2.0 million. The Company also recorded an additional ROU asset and lease liability of $3.0 million at the commencement of Expansion Premises 1 in November 2019. At December 31, 2019, total ROU assets and lease lability including the impact of ASC 842 adoption, was approximately $5.1 million and $6.7 million, respectively.</w:t>
      </w:r>
    </w:p>
    <w:p>
      <w:pPr>
        <w:spacing w:after="0" w:line="122"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the years ended December 31, 2019, 2018 and 2017, rent expense, including common area maintenance charges, was $0.5 million, $0.2 million and $0.3 million, respectively.</w:t>
      </w:r>
    </w:p>
    <w:p>
      <w:pPr>
        <w:spacing w:after="0" w:line="121"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Information related to the Company's ROU assets and related lease liabilities were as follows (in thousands except for remaining lease term and discount 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Year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10,988</w:t>
            </w: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17"/>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lease liabilities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r>
      <w:tr>
        <w:trPr>
          <w:trHeight w:val="229"/>
        </w:trPr>
        <w:tc>
          <w:tcPr>
            <w:tcW w:w="7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supplemental non-cash information:</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Operating lease liabilities arising from ROU assets including impact of ASC 842 adoption</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5,114</w:t>
            </w:r>
          </w:p>
        </w:tc>
      </w:tr>
      <w:tr>
        <w:trPr>
          <w:trHeight w:val="243"/>
        </w:trPr>
        <w:tc>
          <w:tcPr>
            <w:tcW w:w="77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r>
      <w:tr>
        <w:trPr>
          <w:trHeight w:val="217"/>
        </w:trPr>
        <w:tc>
          <w:tcPr>
            <w:tcW w:w="77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lease liabilities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w:t>
            </w:r>
          </w:p>
        </w:tc>
      </w:tr>
      <w:tr>
        <w:trPr>
          <w:trHeight w:val="229"/>
        </w:trPr>
        <w:tc>
          <w:tcPr>
            <w:tcW w:w="77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4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4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22" w:lineRule="exact"/>
        <w:rPr>
          <w:sz w:val="20"/>
          <w:szCs w:val="20"/>
          <w:color w:val="auto"/>
        </w:rPr>
      </w:pPr>
    </w:p>
    <w:p>
      <w:pPr>
        <w:jc w:val="both"/>
        <w:ind w:firstLine="441"/>
        <w:spacing w:after="0" w:line="211" w:lineRule="auto"/>
        <w:rPr>
          <w:sz w:val="20"/>
          <w:szCs w:val="20"/>
          <w:color w:val="auto"/>
        </w:rPr>
      </w:pPr>
      <w:r>
        <w:rPr>
          <w:rFonts w:ascii="Arial" w:cs="Arial" w:eastAsia="Arial" w:hAnsi="Arial"/>
          <w:sz w:val="18"/>
          <w:szCs w:val="18"/>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48"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The Company sponsors a defined contribution plan under which it may make discretionary contributions. The Company did not make any employer matching contributions to this plan during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 (Unaudited)</w:t>
      </w:r>
    </w:p>
    <w:p>
      <w:pPr>
        <w:spacing w:after="0" w:line="148" w:lineRule="exact"/>
        <w:rPr>
          <w:sz w:val="20"/>
          <w:szCs w:val="20"/>
          <w:color w:val="auto"/>
        </w:rPr>
      </w:pPr>
    </w:p>
    <w:p>
      <w:pPr>
        <w:ind w:right="340" w:firstLine="415"/>
        <w:spacing w:after="0" w:line="235" w:lineRule="auto"/>
        <w:rPr>
          <w:sz w:val="20"/>
          <w:szCs w:val="20"/>
          <w:color w:val="auto"/>
        </w:rPr>
      </w:pPr>
      <w:r>
        <w:rPr>
          <w:rFonts w:ascii="Arial" w:cs="Arial" w:eastAsia="Arial" w:hAnsi="Arial"/>
          <w:sz w:val="18"/>
          <w:szCs w:val="18"/>
          <w:color w:val="auto"/>
        </w:rPr>
        <w:t>The following table provides the selected quarterly financial data for the years ended December 31, 2019 and 2018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76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8"/>
                <w:szCs w:val="8"/>
                <w:color w:val="auto"/>
              </w:rPr>
            </w:pPr>
          </w:p>
        </w:tc>
        <w:tc>
          <w:tcPr>
            <w:tcW w:w="88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September</w:t>
            </w:r>
          </w:p>
        </w:tc>
        <w:tc>
          <w:tcPr>
            <w:tcW w:w="120" w:type="dxa"/>
            <w:vAlign w:val="bottom"/>
          </w:tcPr>
          <w:p>
            <w:pPr>
              <w:spacing w:after="0"/>
              <w:rPr>
                <w:sz w:val="8"/>
                <w:szCs w:val="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8"/>
                <w:szCs w:val="8"/>
                <w:color w:val="auto"/>
              </w:rPr>
            </w:pPr>
          </w:p>
        </w:tc>
        <w:tc>
          <w:tcPr>
            <w:tcW w:w="78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December</w:t>
            </w:r>
          </w:p>
        </w:tc>
        <w:tc>
          <w:tcPr>
            <w:tcW w:w="40" w:type="dxa"/>
            <w:vAlign w:val="bottom"/>
          </w:tcPr>
          <w:p>
            <w:pPr>
              <w:spacing w:after="0"/>
              <w:rPr>
                <w:sz w:val="8"/>
                <w:szCs w:val="8"/>
                <w:color w:val="auto"/>
              </w:rPr>
            </w:pPr>
          </w:p>
        </w:tc>
        <w:tc>
          <w:tcPr>
            <w:tcW w:w="840" w:type="dxa"/>
            <w:vAlign w:val="bottom"/>
            <w:gridSpan w:val="3"/>
          </w:tcPr>
          <w:p>
            <w:pPr>
              <w:jc w:val="right"/>
              <w:ind w:right="100"/>
              <w:spacing w:after="0" w:line="102" w:lineRule="exact"/>
              <w:rPr>
                <w:sz w:val="20"/>
                <w:szCs w:val="20"/>
                <w:color w:val="auto"/>
              </w:rPr>
            </w:pPr>
            <w:r>
              <w:rPr>
                <w:rFonts w:ascii="Arial" w:cs="Arial" w:eastAsia="Arial" w:hAnsi="Arial"/>
                <w:sz w:val="11"/>
                <w:szCs w:val="11"/>
                <w:b w:val="1"/>
                <w:bCs w:val="1"/>
                <w:color w:val="auto"/>
              </w:rPr>
              <w:t>September</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80"/>
              <w:spacing w:after="0"/>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0"/>
              <w:spacing w:after="0"/>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20"/>
              <w:spacing w:after="0"/>
              <w:rPr>
                <w:sz w:val="20"/>
                <w:szCs w:val="20"/>
                <w:color w:val="auto"/>
              </w:rPr>
            </w:pPr>
            <w:r>
              <w:rPr>
                <w:rFonts w:ascii="Arial" w:cs="Arial" w:eastAsia="Arial" w:hAnsi="Arial"/>
                <w:sz w:val="14"/>
                <w:szCs w:val="14"/>
                <w:b w:val="1"/>
                <w:bCs w:val="1"/>
                <w:color w:val="auto"/>
              </w:rPr>
              <w:t>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4"/>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gridSpan w:val="2"/>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5"/>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220"/>
              <w:spacing w:after="0" w:line="138" w:lineRule="exact"/>
              <w:rPr>
                <w:sz w:val="20"/>
                <w:szCs w:val="20"/>
                <w:color w:val="auto"/>
              </w:rPr>
            </w:pPr>
            <w:r>
              <w:rPr>
                <w:rFonts w:ascii="Arial" w:cs="Arial" w:eastAsia="Arial" w:hAnsi="Arial"/>
                <w:sz w:val="16"/>
                <w:szCs w:val="16"/>
                <w:color w:val="auto"/>
              </w:rPr>
              <w:t>Amortization of intangible</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13,931</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other income</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00" w:type="dxa"/>
            <w:vAlign w:val="bottom"/>
            <w:shd w:val="clear" w:color="auto" w:fill="CCEEFF"/>
          </w:tcPr>
          <w:p>
            <w:pPr>
              <w:spacing w:after="0" w:line="119" w:lineRule="exact"/>
              <w:rPr>
                <w:sz w:val="20"/>
                <w:szCs w:val="20"/>
                <w:color w:val="auto"/>
              </w:rPr>
            </w:pPr>
            <w:r>
              <w:rPr>
                <w:rFonts w:ascii="Arial" w:cs="Arial" w:eastAsia="Arial" w:hAnsi="Arial"/>
                <w:sz w:val="13"/>
                <w:szCs w:val="13"/>
                <w:color w:val="auto"/>
              </w:rPr>
              <w:t>Loss from operations, before</w:t>
            </w:r>
          </w:p>
        </w:tc>
        <w:tc>
          <w:tcPr>
            <w:tcW w:w="1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7"/>
              </w:rPr>
              <w:t>(13,788)</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(11,746)</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(11,359)</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(10,078)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(8,953)</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(10,761)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(9,163)</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12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20"/>
              <w:spacing w:after="0" w:line="175" w:lineRule="exact"/>
              <w:rPr>
                <w:sz w:val="20"/>
                <w:szCs w:val="20"/>
                <w:color w:val="auto"/>
              </w:rPr>
            </w:pPr>
            <w:r>
              <w:rPr>
                <w:rFonts w:ascii="Arial" w:cs="Arial" w:eastAsia="Arial" w:hAnsi="Arial"/>
                <w:sz w:val="16"/>
                <w:szCs w:val="16"/>
                <w:color w:val="auto"/>
              </w:rPr>
              <w:t>Income tax benefit</w:t>
            </w:r>
          </w:p>
        </w:tc>
        <w:tc>
          <w:tcPr>
            <w:tcW w:w="120" w:type="dxa"/>
            <w:vAlign w:val="bottom"/>
          </w:tcPr>
          <w:p>
            <w:pPr>
              <w:spacing w:after="0"/>
              <w:rPr>
                <w:sz w:val="15"/>
                <w:szCs w:val="15"/>
                <w:color w:val="auto"/>
              </w:rPr>
            </w:pPr>
          </w:p>
        </w:tc>
        <w:tc>
          <w:tcPr>
            <w:tcW w:w="64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40"/>
              <w:spacing w:after="0" w:line="175"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5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(13,788)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line="175" w:lineRule="exact"/>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220"/>
              <w:spacing w:after="0" w:line="138" w:lineRule="exact"/>
              <w:rPr>
                <w:sz w:val="20"/>
                <w:szCs w:val="20"/>
                <w:color w:val="auto"/>
              </w:rPr>
            </w:pPr>
            <w:r>
              <w:rPr>
                <w:rFonts w:ascii="Arial" w:cs="Arial" w:eastAsia="Arial" w:hAnsi="Arial"/>
                <w:sz w:val="16"/>
                <w:szCs w:val="16"/>
                <w:color w:val="auto"/>
              </w:rPr>
              <w:t>Unrealized gain (loss) on</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5"/>
              </w:rPr>
              <w:t>available-for-sale securities, net</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vMerge w:val="restart"/>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tax:</w:t>
            </w: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Comprehensive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(13,792)</w:t>
            </w:r>
          </w:p>
        </w:tc>
        <w:tc>
          <w:tcPr>
            <w:tcW w:w="40" w:type="dxa"/>
            <w:vAlign w:val="bottom"/>
            <w:vMerge w:val="continue"/>
          </w:tcPr>
          <w:p>
            <w:pPr>
              <w:spacing w:after="0"/>
              <w:rPr>
                <w:sz w:val="17"/>
                <w:szCs w:val="17"/>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(11,760)</w:t>
            </w:r>
          </w:p>
        </w:tc>
        <w:tc>
          <w:tcPr>
            <w:tcW w:w="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(11,339)</w:t>
            </w:r>
          </w:p>
        </w:tc>
        <w:tc>
          <w:tcPr>
            <w:tcW w:w="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(10,075)</w:t>
            </w:r>
          </w:p>
        </w:tc>
        <w:tc>
          <w:tcPr>
            <w:tcW w:w="80" w:type="dxa"/>
            <w:vAlign w:val="bottom"/>
            <w:vMerge w:val="continue"/>
          </w:tcPr>
          <w:p>
            <w:pPr>
              <w:spacing w:after="0"/>
              <w:rPr>
                <w:sz w:val="17"/>
                <w:szCs w:val="17"/>
                <w:color w:val="auto"/>
              </w:rPr>
            </w:pPr>
          </w:p>
        </w:tc>
        <w:tc>
          <w:tcPr>
            <w:tcW w:w="22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(8,951)</w:t>
            </w:r>
          </w:p>
        </w:tc>
        <w:tc>
          <w:tcPr>
            <w:tcW w:w="40" w:type="dxa"/>
            <w:vAlign w:val="bottom"/>
            <w:vMerge w:val="continue"/>
          </w:tcPr>
          <w:p>
            <w:pPr>
              <w:spacing w:after="0"/>
              <w:rPr>
                <w:sz w:val="17"/>
                <w:szCs w:val="17"/>
                <w:color w:val="auto"/>
              </w:rPr>
            </w:pPr>
          </w:p>
        </w:tc>
        <w:tc>
          <w:tcPr>
            <w:tcW w:w="20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(10,764)</w:t>
            </w:r>
          </w:p>
        </w:tc>
        <w:tc>
          <w:tcPr>
            <w:tcW w:w="40" w:type="dxa"/>
            <w:vAlign w:val="bottom"/>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(9,160)</w:t>
            </w:r>
          </w:p>
        </w:tc>
        <w:tc>
          <w:tcPr>
            <w:tcW w:w="80" w:type="dxa"/>
            <w:vAlign w:val="bottom"/>
            <w:vMerge w:val="continue"/>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Net loss per share</w:t>
            </w: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w w:val="93"/>
              </w:rPr>
              <w:t>Basic and diluted net loss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66)</w:t>
            </w:r>
          </w:p>
        </w:tc>
        <w:tc>
          <w:tcPr>
            <w:tcW w:w="20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(0.55)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(0.49)</w:t>
            </w:r>
          </w:p>
        </w:tc>
        <w:tc>
          <w:tcPr>
            <w:tcW w:w="22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51)</w:t>
            </w:r>
          </w:p>
        </w:tc>
        <w:tc>
          <w:tcPr>
            <w:tcW w:w="200" w:type="dxa"/>
            <w:vAlign w:val="bottom"/>
            <w:gridSpan w:val="2"/>
          </w:tcPr>
          <w:p>
            <w:pPr>
              <w:jc w:val="right"/>
              <w:ind w:right="14"/>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(0.64)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(0.54)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4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color w:val="auto"/>
              </w:rPr>
              <w:t>Weighted average shares used to</w:t>
            </w: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compute net loss per common</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20,799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20,679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17,656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16,927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0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share — basic and diluted</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our Chief Financial Officer have concluded that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48"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Chief Financial Officer, we evaluated the effectiveness of our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Based on the evaluation under that framework and applicable SEC rules, our management concluded that our internal control over financial reporting was effective as of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7"/>
          <w:szCs w:val="17"/>
          <w:color w:val="auto"/>
        </w:rPr>
        <w:t>There were no changes in our internal controls over financial reporting during the quarter ended December 31, 2019, that have materially affected, or are reasonably likely to materially affect,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jc w:val="both"/>
        <w:ind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2020 Annual Meeting of Stockholder to be filed with the SEC within 120 days after the end of the fiscal year covered by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0"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Information responsive to this item is incorporated herein by reference to our definitive proxy statement with respect to our 2020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p>
      <w:pPr>
        <w:ind w:left="560" w:hanging="236"/>
        <w:spacing w:after="0"/>
        <w:tabs>
          <w:tab w:leader="none" w:pos="5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documents are filed as part of, or incorporated by reference into, this Annual Report on Form 10-K:</w:t>
      </w:r>
    </w:p>
    <w:p>
      <w:pPr>
        <w:spacing w:after="0" w:line="155" w:lineRule="exact"/>
        <w:rPr>
          <w:rFonts w:ascii="Arial" w:cs="Arial" w:eastAsia="Arial" w:hAnsi="Arial"/>
          <w:sz w:val="17"/>
          <w:szCs w:val="17"/>
          <w:color w:val="auto"/>
        </w:rPr>
      </w:pPr>
    </w:p>
    <w:p>
      <w:pPr>
        <w:ind w:left="820" w:hanging="172"/>
        <w:spacing w:after="0"/>
        <w:tabs>
          <w:tab w:leader="none" w:pos="82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Item 8 of this Annual Report on Form 10-K.</w:t>
      </w:r>
    </w:p>
    <w:p>
      <w:pPr>
        <w:spacing w:after="0" w:line="144" w:lineRule="exact"/>
        <w:rPr>
          <w:rFonts w:ascii="Arial" w:cs="Arial" w:eastAsia="Arial" w:hAnsi="Arial"/>
          <w:sz w:val="18"/>
          <w:szCs w:val="18"/>
          <w:color w:val="auto"/>
        </w:rPr>
      </w:pPr>
    </w:p>
    <w:p>
      <w:pPr>
        <w:ind w:left="640" w:firstLine="8"/>
        <w:spacing w:after="0" w:line="235" w:lineRule="auto"/>
        <w:tabs>
          <w:tab w:leader="none" w:pos="833"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schedules are omitted because they are not required,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included in the consolidated financial statements or notes thereto.</w:t>
      </w:r>
    </w:p>
    <w:p>
      <w:pPr>
        <w:spacing w:after="0" w:line="121" w:lineRule="exact"/>
        <w:rPr>
          <w:rFonts w:ascii="Arial" w:cs="Arial" w:eastAsia="Arial" w:hAnsi="Arial"/>
          <w:sz w:val="18"/>
          <w:szCs w:val="18"/>
          <w:color w:val="auto"/>
        </w:rPr>
      </w:pPr>
    </w:p>
    <w:p>
      <w:pPr>
        <w:ind w:left="580" w:hanging="256"/>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9360"/>
          </w:cols>
          <w:pgMar w:left="1300" w:top="108" w:right="1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Exhibit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Number</w:t>
      </w:r>
    </w:p>
    <w:p>
      <w:pPr>
        <w:spacing w:after="0" w:line="14" w:lineRule="exact"/>
        <w:rPr>
          <w:sz w:val="20"/>
          <w:szCs w:val="20"/>
          <w:color w:val="auto"/>
        </w:rPr>
      </w:pPr>
    </w:p>
    <w:p>
      <w:pPr>
        <w:ind w:left="24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2.1</w:t>
        </w:r>
      </w:hyperlink>
    </w:p>
    <w:p>
      <w:pPr>
        <w:ind w:left="240"/>
        <w:spacing w:after="0" w:line="203" w:lineRule="auto"/>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3.1</w:t>
        </w:r>
      </w:hyperlink>
    </w:p>
    <w:p>
      <w:pPr>
        <w:ind w:left="240"/>
        <w:spacing w:after="0" w:line="203"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3.2</w:t>
        </w:r>
      </w:hyperlink>
    </w:p>
    <w:p>
      <w:pPr>
        <w:ind w:left="240"/>
        <w:spacing w:after="0" w:line="204"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3.3</w:t>
        </w:r>
      </w:hyperlink>
    </w:p>
    <w:p>
      <w:pPr>
        <w:ind w:left="240"/>
        <w:spacing w:after="0" w:line="203"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3.4</w:t>
        </w:r>
      </w:hyperlink>
    </w:p>
    <w:p>
      <w:pPr>
        <w:spacing w:after="0" w:line="1" w:lineRule="exact"/>
        <w:rPr>
          <w:sz w:val="20"/>
          <w:szCs w:val="20"/>
          <w:color w:val="auto"/>
        </w:rPr>
      </w:pPr>
    </w:p>
    <w:p>
      <w:pPr>
        <w:ind w:left="240"/>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4.1</w:t>
        </w:r>
      </w:hyperlink>
    </w:p>
    <w:p>
      <w:pPr>
        <w:spacing w:after="0" w:line="34" w:lineRule="exact"/>
        <w:rPr>
          <w:sz w:val="20"/>
          <w:szCs w:val="20"/>
          <w:color w:val="auto"/>
        </w:rPr>
      </w:pPr>
    </w:p>
    <w:p>
      <w:pPr>
        <w:ind w:left="24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4.2</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4.3</w:t>
        </w:r>
      </w:hyperlink>
    </w:p>
    <w:p>
      <w:pPr>
        <w:spacing w:after="0" w:line="50" w:lineRule="exact"/>
        <w:rPr>
          <w:sz w:val="20"/>
          <w:szCs w:val="20"/>
          <w:color w:val="auto"/>
        </w:rPr>
      </w:pPr>
    </w:p>
    <w:p>
      <w:pPr>
        <w:ind w:left="24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4.4</w:t>
        </w:r>
      </w:hyperlink>
    </w:p>
    <w:p>
      <w:pPr>
        <w:spacing w:after="0" w:line="144" w:lineRule="exact"/>
        <w:rPr>
          <w:sz w:val="20"/>
          <w:szCs w:val="20"/>
          <w:color w:val="auto"/>
        </w:rPr>
      </w:pPr>
    </w:p>
    <w:p>
      <w:pPr>
        <w:ind w:left="24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4.5</w:t>
        </w:r>
      </w:hyperlink>
    </w:p>
    <w:p>
      <w:pPr>
        <w:spacing w:after="0" w:line="144" w:lineRule="exact"/>
        <w:rPr>
          <w:sz w:val="20"/>
          <w:szCs w:val="20"/>
          <w:color w:val="auto"/>
        </w:rPr>
      </w:pPr>
    </w:p>
    <w:p>
      <w:pPr>
        <w:ind w:left="200"/>
        <w:spacing w:after="0"/>
        <w:rPr>
          <w:rFonts w:ascii="Arial" w:cs="Arial" w:eastAsia="Arial" w:hAnsi="Arial"/>
          <w:sz w:val="18"/>
          <w:szCs w:val="18"/>
          <w:color w:val="0000EE"/>
        </w:rPr>
      </w:pPr>
      <w:hyperlink w:anchor="page86">
        <w:r>
          <w:rPr>
            <w:rFonts w:ascii="Arial" w:cs="Arial" w:eastAsia="Arial" w:hAnsi="Arial"/>
            <w:sz w:val="18"/>
            <w:szCs w:val="18"/>
            <w:u w:val="single" w:color="auto"/>
            <w:color w:val="0000EE"/>
          </w:rPr>
          <w:t>4.6</w:t>
        </w:r>
      </w:hyperlink>
      <w:r>
        <w:rPr>
          <w:rFonts w:ascii="Arial" w:cs="Arial" w:eastAsia="Arial" w:hAnsi="Arial"/>
          <w:sz w:val="18"/>
          <w:szCs w:val="18"/>
          <w:color w:val="000000"/>
        </w:rPr>
        <w:t>*</w:t>
      </w:r>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10.1</w:t>
        </w:r>
      </w:hyperlink>
    </w:p>
    <w:p>
      <w:pPr>
        <w:spacing w:after="0" w:line="144" w:lineRule="exact"/>
        <w:rPr>
          <w:sz w:val="20"/>
          <w:szCs w:val="20"/>
          <w:color w:val="auto"/>
        </w:rPr>
      </w:pPr>
    </w:p>
    <w:p>
      <w:pPr>
        <w:ind w:left="140"/>
        <w:spacing w:after="0"/>
        <w:rPr>
          <w:rFonts w:ascii="Arial" w:cs="Arial" w:eastAsia="Arial" w:hAnsi="Arial"/>
          <w:sz w:val="18"/>
          <w:szCs w:val="18"/>
          <w:color w:val="0000EE"/>
        </w:rPr>
      </w:pPr>
      <w:hyperlink r:id="rId124">
        <w:r>
          <w:rPr>
            <w:rFonts w:ascii="Arial" w:cs="Arial" w:eastAsia="Arial" w:hAnsi="Arial"/>
            <w:sz w:val="18"/>
            <w:szCs w:val="18"/>
            <w:u w:val="single" w:color="auto"/>
            <w:color w:val="0000EE"/>
          </w:rPr>
          <w:t>10.2</w:t>
        </w:r>
      </w:hyperlink>
      <w:r>
        <w:rPr>
          <w:rFonts w:ascii="Arial" w:cs="Arial" w:eastAsia="Arial" w:hAnsi="Arial"/>
          <w:sz w:val="18"/>
          <w:szCs w:val="18"/>
          <w:color w:val="000000"/>
        </w:rPr>
        <w:t>#</w:t>
      </w:r>
    </w:p>
    <w:p>
      <w:pPr>
        <w:spacing w:after="0" w:line="239" w:lineRule="exact"/>
        <w:rPr>
          <w:sz w:val="20"/>
          <w:szCs w:val="20"/>
          <w:color w:val="auto"/>
        </w:rPr>
      </w:pPr>
    </w:p>
    <w:p>
      <w:pPr>
        <w:ind w:left="200"/>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10.3</w:t>
        </w:r>
      </w:hyperlink>
    </w:p>
    <w:p>
      <w:pPr>
        <w:spacing w:after="0" w:line="225" w:lineRule="exact"/>
        <w:rPr>
          <w:sz w:val="20"/>
          <w:szCs w:val="20"/>
          <w:color w:val="auto"/>
        </w:rPr>
      </w:pPr>
    </w:p>
    <w:p>
      <w:pPr>
        <w:ind w:left="140"/>
        <w:spacing w:after="0"/>
        <w:rPr>
          <w:rFonts w:ascii="Arial" w:cs="Arial" w:eastAsia="Arial" w:hAnsi="Arial"/>
          <w:sz w:val="18"/>
          <w:szCs w:val="18"/>
          <w:color w:val="0000EE"/>
        </w:rPr>
      </w:pPr>
      <w:hyperlink r:id="rId126">
        <w:r>
          <w:rPr>
            <w:rFonts w:ascii="Arial" w:cs="Arial" w:eastAsia="Arial" w:hAnsi="Arial"/>
            <w:sz w:val="18"/>
            <w:szCs w:val="18"/>
            <w:u w:val="single" w:color="auto"/>
            <w:color w:val="0000EE"/>
          </w:rPr>
          <w:t>10.4</w:t>
        </w:r>
      </w:hyperlink>
      <w:r>
        <w:rPr>
          <w:rFonts w:ascii="Arial" w:cs="Arial" w:eastAsia="Arial" w:hAnsi="Arial"/>
          <w:sz w:val="18"/>
          <w:szCs w:val="18"/>
          <w:color w:val="000000"/>
        </w:rPr>
        <w:t>#</w:t>
      </w:r>
    </w:p>
    <w:p>
      <w:pPr>
        <w:spacing w:after="0" w:line="144" w:lineRule="exact"/>
        <w:rPr>
          <w:sz w:val="20"/>
          <w:szCs w:val="20"/>
          <w:color w:val="auto"/>
        </w:rPr>
      </w:pPr>
    </w:p>
    <w:p>
      <w:pPr>
        <w:ind w:left="140"/>
        <w:spacing w:after="0"/>
        <w:rPr>
          <w:rFonts w:ascii="Arial" w:cs="Arial" w:eastAsia="Arial" w:hAnsi="Arial"/>
          <w:sz w:val="18"/>
          <w:szCs w:val="18"/>
          <w:color w:val="0000EE"/>
        </w:rPr>
      </w:pPr>
      <w:hyperlink r:id="rId127">
        <w:r>
          <w:rPr>
            <w:rFonts w:ascii="Arial" w:cs="Arial" w:eastAsia="Arial" w:hAnsi="Arial"/>
            <w:sz w:val="18"/>
            <w:szCs w:val="18"/>
            <w:u w:val="single" w:color="auto"/>
            <w:color w:val="0000EE"/>
          </w:rPr>
          <w:t>10.5</w:t>
        </w:r>
      </w:hyperlink>
      <w:r>
        <w:rPr>
          <w:rFonts w:ascii="Arial" w:cs="Arial" w:eastAsia="Arial" w:hAnsi="Arial"/>
          <w:sz w:val="18"/>
          <w:szCs w:val="18"/>
          <w:color w:val="000000"/>
        </w:rPr>
        <w:t>#</w:t>
      </w:r>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10.6</w:t>
        </w:r>
      </w:hyperlink>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10.7</w:t>
        </w:r>
      </w:hyperlink>
    </w:p>
    <w:p>
      <w:pPr>
        <w:spacing w:after="0" w:line="144" w:lineRule="exact"/>
        <w:rPr>
          <w:sz w:val="20"/>
          <w:szCs w:val="20"/>
          <w:color w:val="auto"/>
        </w:rPr>
      </w:pPr>
    </w:p>
    <w:p>
      <w:pPr>
        <w:ind w:left="140"/>
        <w:spacing w:after="0"/>
        <w:rPr>
          <w:rFonts w:ascii="Arial" w:cs="Arial" w:eastAsia="Arial" w:hAnsi="Arial"/>
          <w:sz w:val="18"/>
          <w:szCs w:val="18"/>
          <w:color w:val="0000EE"/>
        </w:rPr>
      </w:pPr>
      <w:hyperlink r:id="rId130">
        <w:r>
          <w:rPr>
            <w:rFonts w:ascii="Arial" w:cs="Arial" w:eastAsia="Arial" w:hAnsi="Arial"/>
            <w:sz w:val="18"/>
            <w:szCs w:val="18"/>
            <w:u w:val="single" w:color="auto"/>
            <w:color w:val="0000EE"/>
          </w:rPr>
          <w:t>10.8</w:t>
        </w:r>
      </w:hyperlink>
      <w:r>
        <w:rPr>
          <w:rFonts w:ascii="Arial" w:cs="Arial" w:eastAsia="Arial" w:hAnsi="Arial"/>
          <w:sz w:val="18"/>
          <w:szCs w:val="18"/>
          <w:color w:val="000000"/>
        </w:rPr>
        <w:t>+</w:t>
      </w:r>
    </w:p>
    <w:p>
      <w:pPr>
        <w:spacing w:after="0" w:line="144" w:lineRule="exact"/>
        <w:rPr>
          <w:sz w:val="20"/>
          <w:szCs w:val="20"/>
          <w:color w:val="auto"/>
        </w:rPr>
      </w:pPr>
    </w:p>
    <w:p>
      <w:pPr>
        <w:ind w:left="140"/>
        <w:spacing w:after="0"/>
        <w:rPr>
          <w:rFonts w:ascii="Arial" w:cs="Arial" w:eastAsia="Arial" w:hAnsi="Arial"/>
          <w:sz w:val="18"/>
          <w:szCs w:val="18"/>
          <w:color w:val="0000EE"/>
        </w:rPr>
      </w:pPr>
      <w:hyperlink r:id="rId131">
        <w:r>
          <w:rPr>
            <w:rFonts w:ascii="Arial" w:cs="Arial" w:eastAsia="Arial" w:hAnsi="Arial"/>
            <w:sz w:val="18"/>
            <w:szCs w:val="18"/>
            <w:u w:val="single" w:color="auto"/>
            <w:color w:val="0000EE"/>
          </w:rPr>
          <w:t>10.9</w:t>
        </w:r>
      </w:hyperlink>
      <w:r>
        <w:rPr>
          <w:rFonts w:ascii="Arial" w:cs="Arial" w:eastAsia="Arial" w:hAnsi="Arial"/>
          <w:sz w:val="18"/>
          <w:szCs w:val="18"/>
          <w:color w:val="000000"/>
        </w:rPr>
        <w:t>+</w:t>
      </w:r>
    </w:p>
    <w:p>
      <w:pPr>
        <w:spacing w:after="0" w:line="63" w:lineRule="exact"/>
        <w:rPr>
          <w:sz w:val="20"/>
          <w:szCs w:val="20"/>
          <w:color w:val="auto"/>
        </w:rPr>
      </w:pPr>
    </w:p>
    <w:p>
      <w:pPr>
        <w:ind w:left="100"/>
        <w:spacing w:after="0"/>
        <w:rPr>
          <w:rFonts w:ascii="Arial" w:cs="Arial" w:eastAsia="Arial" w:hAnsi="Arial"/>
          <w:sz w:val="17"/>
          <w:szCs w:val="17"/>
          <w:color w:val="0000EE"/>
        </w:rPr>
      </w:pPr>
      <w:hyperlink r:id="rId132">
        <w:r>
          <w:rPr>
            <w:rFonts w:ascii="Arial" w:cs="Arial" w:eastAsia="Arial" w:hAnsi="Arial"/>
            <w:sz w:val="17"/>
            <w:szCs w:val="17"/>
            <w:u w:val="single" w:color="auto"/>
            <w:color w:val="0000EE"/>
          </w:rPr>
          <w:t>10.10</w:t>
        </w:r>
      </w:hyperlink>
      <w:r>
        <w:rPr>
          <w:rFonts w:ascii="Arial" w:cs="Arial" w:eastAsia="Arial" w:hAnsi="Arial"/>
          <w:sz w:val="17"/>
          <w:szCs w:val="17"/>
          <w:color w:val="000000"/>
        </w:rPr>
        <w:t>+</w:t>
      </w:r>
    </w:p>
    <w:p>
      <w:pPr>
        <w:spacing w:after="0" w:line="61" w:lineRule="exact"/>
        <w:rPr>
          <w:sz w:val="20"/>
          <w:szCs w:val="20"/>
          <w:color w:val="auto"/>
        </w:rPr>
      </w:pPr>
    </w:p>
    <w:p>
      <w:pPr>
        <w:ind w:left="100"/>
        <w:spacing w:after="0"/>
        <w:rPr>
          <w:rFonts w:ascii="Arial" w:cs="Arial" w:eastAsia="Arial" w:hAnsi="Arial"/>
          <w:sz w:val="17"/>
          <w:szCs w:val="17"/>
          <w:color w:val="0000EE"/>
        </w:rPr>
      </w:pPr>
      <w:hyperlink r:id="rId133">
        <w:r>
          <w:rPr>
            <w:rFonts w:ascii="Arial" w:cs="Arial" w:eastAsia="Arial" w:hAnsi="Arial"/>
            <w:sz w:val="17"/>
            <w:szCs w:val="17"/>
            <w:u w:val="single" w:color="auto"/>
            <w:color w:val="0000EE"/>
          </w:rPr>
          <w:t>10.11</w:t>
        </w:r>
      </w:hyperlink>
      <w:r>
        <w:rPr>
          <w:rFonts w:ascii="Arial" w:cs="Arial" w:eastAsia="Arial" w:hAnsi="Arial"/>
          <w:sz w:val="17"/>
          <w:szCs w:val="17"/>
          <w:color w:val="000000"/>
        </w:rPr>
        <w:t>+</w:t>
      </w:r>
    </w:p>
    <w:p>
      <w:pPr>
        <w:spacing w:after="0" w:line="156" w:lineRule="exact"/>
        <w:rPr>
          <w:sz w:val="20"/>
          <w:szCs w:val="20"/>
          <w:color w:val="auto"/>
        </w:rPr>
      </w:pPr>
    </w:p>
    <w:p>
      <w:pPr>
        <w:ind w:left="100"/>
        <w:spacing w:after="0"/>
        <w:rPr>
          <w:rFonts w:ascii="Arial" w:cs="Arial" w:eastAsia="Arial" w:hAnsi="Arial"/>
          <w:sz w:val="17"/>
          <w:szCs w:val="17"/>
          <w:color w:val="0000EE"/>
        </w:rPr>
      </w:pPr>
      <w:hyperlink r:id="rId134">
        <w:r>
          <w:rPr>
            <w:rFonts w:ascii="Arial" w:cs="Arial" w:eastAsia="Arial" w:hAnsi="Arial"/>
            <w:sz w:val="17"/>
            <w:szCs w:val="17"/>
            <w:u w:val="single" w:color="auto"/>
            <w:color w:val="0000EE"/>
          </w:rPr>
          <w:t>10.12</w:t>
        </w:r>
      </w:hyperlink>
      <w:r>
        <w:rPr>
          <w:rFonts w:ascii="Arial" w:cs="Arial" w:eastAsia="Arial" w:hAnsi="Arial"/>
          <w:sz w:val="17"/>
          <w:szCs w:val="17"/>
          <w:color w:val="000000"/>
        </w:rPr>
        <w:t>+</w:t>
      </w:r>
    </w:p>
    <w:p>
      <w:pPr>
        <w:spacing w:after="0" w:line="156" w:lineRule="exact"/>
        <w:rPr>
          <w:sz w:val="20"/>
          <w:szCs w:val="20"/>
          <w:color w:val="auto"/>
        </w:rPr>
      </w:pPr>
    </w:p>
    <w:p>
      <w:pPr>
        <w:ind w:left="100"/>
        <w:spacing w:after="0"/>
        <w:rPr>
          <w:rFonts w:ascii="Arial" w:cs="Arial" w:eastAsia="Arial" w:hAnsi="Arial"/>
          <w:sz w:val="17"/>
          <w:szCs w:val="17"/>
          <w:color w:val="0000EE"/>
        </w:rPr>
      </w:pPr>
      <w:hyperlink r:id="rId135">
        <w:r>
          <w:rPr>
            <w:rFonts w:ascii="Arial" w:cs="Arial" w:eastAsia="Arial" w:hAnsi="Arial"/>
            <w:sz w:val="17"/>
            <w:szCs w:val="17"/>
            <w:u w:val="single" w:color="auto"/>
            <w:color w:val="0000EE"/>
          </w:rPr>
          <w:t>10.13</w:t>
        </w:r>
      </w:hyperlink>
      <w:r>
        <w:rPr>
          <w:rFonts w:ascii="Arial" w:cs="Arial" w:eastAsia="Arial" w:hAnsi="Arial"/>
          <w:sz w:val="17"/>
          <w:szCs w:val="17"/>
          <w:color w:val="000000"/>
        </w:rPr>
        <w:t>+</w:t>
      </w:r>
    </w:p>
    <w:p>
      <w:pPr>
        <w:spacing w:after="0" w:line="156" w:lineRule="exact"/>
        <w:rPr>
          <w:sz w:val="20"/>
          <w:szCs w:val="20"/>
          <w:color w:val="auto"/>
        </w:rPr>
      </w:pPr>
    </w:p>
    <w:p>
      <w:pPr>
        <w:ind w:left="100"/>
        <w:spacing w:after="0"/>
        <w:rPr>
          <w:rFonts w:ascii="Arial" w:cs="Arial" w:eastAsia="Arial" w:hAnsi="Arial"/>
          <w:sz w:val="17"/>
          <w:szCs w:val="17"/>
          <w:color w:val="0000EE"/>
        </w:rPr>
      </w:pPr>
      <w:hyperlink r:id="rId136">
        <w:r>
          <w:rPr>
            <w:rFonts w:ascii="Arial" w:cs="Arial" w:eastAsia="Arial" w:hAnsi="Arial"/>
            <w:sz w:val="17"/>
            <w:szCs w:val="17"/>
            <w:u w:val="single" w:color="auto"/>
            <w:color w:val="0000EE"/>
          </w:rPr>
          <w:t>10.14</w:t>
        </w:r>
      </w:hyperlink>
      <w:r>
        <w:rPr>
          <w:rFonts w:ascii="Arial" w:cs="Arial" w:eastAsia="Arial" w:hAnsi="Arial"/>
          <w:sz w:val="17"/>
          <w:szCs w:val="17"/>
          <w:color w:val="000000"/>
        </w:rPr>
        <w:t>+</w:t>
      </w:r>
    </w:p>
    <w:p>
      <w:pPr>
        <w:spacing w:after="0" w:line="156" w:lineRule="exact"/>
        <w:rPr>
          <w:sz w:val="20"/>
          <w:szCs w:val="20"/>
          <w:color w:val="auto"/>
        </w:rPr>
      </w:pPr>
    </w:p>
    <w:p>
      <w:pPr>
        <w:ind w:left="100"/>
        <w:spacing w:after="0"/>
        <w:rPr>
          <w:rFonts w:ascii="Arial" w:cs="Arial" w:eastAsia="Arial" w:hAnsi="Arial"/>
          <w:sz w:val="17"/>
          <w:szCs w:val="17"/>
          <w:color w:val="0000EE"/>
        </w:rPr>
      </w:pPr>
      <w:hyperlink r:id="rId137">
        <w:r>
          <w:rPr>
            <w:rFonts w:ascii="Arial" w:cs="Arial" w:eastAsia="Arial" w:hAnsi="Arial"/>
            <w:sz w:val="17"/>
            <w:szCs w:val="17"/>
            <w:u w:val="single" w:color="auto"/>
            <w:color w:val="0000EE"/>
          </w:rPr>
          <w:t>10.15</w:t>
        </w:r>
      </w:hyperlink>
      <w:r>
        <w:rPr>
          <w:rFonts w:ascii="Arial" w:cs="Arial" w:eastAsia="Arial" w:hAnsi="Arial"/>
          <w:sz w:val="17"/>
          <w:szCs w:val="17"/>
          <w:color w:val="000000"/>
        </w:rPr>
        <w:t>+</w:t>
      </w:r>
    </w:p>
    <w:p>
      <w:pPr>
        <w:spacing w:after="0" w:line="75" w:lineRule="exact"/>
        <w:rPr>
          <w:sz w:val="20"/>
          <w:szCs w:val="20"/>
          <w:color w:val="auto"/>
        </w:rPr>
      </w:pPr>
    </w:p>
    <w:p>
      <w:pPr>
        <w:ind w:left="100"/>
        <w:spacing w:after="0"/>
        <w:rPr>
          <w:rFonts w:ascii="Arial" w:cs="Arial" w:eastAsia="Arial" w:hAnsi="Arial"/>
          <w:sz w:val="17"/>
          <w:szCs w:val="17"/>
          <w:color w:val="0000EE"/>
        </w:rPr>
      </w:pPr>
      <w:hyperlink r:id="rId138">
        <w:r>
          <w:rPr>
            <w:rFonts w:ascii="Arial" w:cs="Arial" w:eastAsia="Arial" w:hAnsi="Arial"/>
            <w:sz w:val="17"/>
            <w:szCs w:val="17"/>
            <w:u w:val="single" w:color="auto"/>
            <w:color w:val="0000EE"/>
          </w:rPr>
          <w:t>10.16</w:t>
        </w:r>
      </w:hyperlink>
      <w:r>
        <w:rPr>
          <w:rFonts w:ascii="Arial" w:cs="Arial" w:eastAsia="Arial" w:hAnsi="Arial"/>
          <w:sz w:val="17"/>
          <w:szCs w:val="17"/>
          <w:color w:val="000000"/>
        </w:rPr>
        <w:t>+</w:t>
      </w:r>
    </w:p>
    <w:p>
      <w:pPr>
        <w:spacing w:after="0" w:line="61" w:lineRule="exact"/>
        <w:rPr>
          <w:sz w:val="20"/>
          <w:szCs w:val="20"/>
          <w:color w:val="auto"/>
        </w:rPr>
      </w:pPr>
    </w:p>
    <w:p>
      <w:pPr>
        <w:ind w:left="14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10.17</w:t>
        </w:r>
      </w:hyperlink>
    </w:p>
    <w:p>
      <w:pPr>
        <w:spacing w:after="0" w:line="144" w:lineRule="exact"/>
        <w:rPr>
          <w:sz w:val="20"/>
          <w:szCs w:val="20"/>
          <w:color w:val="auto"/>
        </w:rPr>
      </w:pPr>
    </w:p>
    <w:p>
      <w:pPr>
        <w:jc w:val="center"/>
        <w:ind w:left="60"/>
        <w:spacing w:after="0"/>
        <w:rPr>
          <w:rFonts w:ascii="Arial" w:cs="Arial" w:eastAsia="Arial" w:hAnsi="Arial"/>
          <w:sz w:val="18"/>
          <w:szCs w:val="18"/>
          <w:color w:val="0000EE"/>
        </w:rPr>
      </w:pPr>
      <w:hyperlink r:id="rId140">
        <w:r>
          <w:rPr>
            <w:rFonts w:ascii="Arial" w:cs="Arial" w:eastAsia="Arial" w:hAnsi="Arial"/>
            <w:sz w:val="18"/>
            <w:szCs w:val="18"/>
            <w:u w:val="single" w:color="auto"/>
            <w:color w:val="0000EE"/>
          </w:rPr>
          <w:t>10.18</w:t>
        </w:r>
      </w:hyperlink>
      <w:r>
        <w:rPr>
          <w:rFonts w:ascii="Arial" w:cs="Arial" w:eastAsia="Arial" w:hAnsi="Arial"/>
          <w:sz w:val="18"/>
          <w:szCs w:val="18"/>
          <w:color w:val="000000"/>
        </w:rPr>
        <w:t>+</w:t>
      </w:r>
    </w:p>
    <w:p>
      <w:pPr>
        <w:spacing w:after="0" w:line="144" w:lineRule="exact"/>
        <w:rPr>
          <w:sz w:val="20"/>
          <w:szCs w:val="20"/>
          <w:color w:val="auto"/>
        </w:rPr>
      </w:pPr>
    </w:p>
    <w:p>
      <w:pPr>
        <w:jc w:val="center"/>
        <w:ind w:left="60"/>
        <w:spacing w:after="0"/>
        <w:rPr>
          <w:rFonts w:ascii="Arial" w:cs="Arial" w:eastAsia="Arial" w:hAnsi="Arial"/>
          <w:sz w:val="18"/>
          <w:szCs w:val="18"/>
          <w:color w:val="0000EE"/>
        </w:rPr>
      </w:pPr>
      <w:hyperlink r:id="rId141">
        <w:r>
          <w:rPr>
            <w:rFonts w:ascii="Arial" w:cs="Arial" w:eastAsia="Arial" w:hAnsi="Arial"/>
            <w:sz w:val="18"/>
            <w:szCs w:val="18"/>
            <w:u w:val="single" w:color="auto"/>
            <w:color w:val="0000EE"/>
          </w:rPr>
          <w:t>10.19</w:t>
        </w:r>
      </w:hyperlink>
      <w:r>
        <w:rPr>
          <w:rFonts w:ascii="Arial" w:cs="Arial" w:eastAsia="Arial" w:hAnsi="Arial"/>
          <w:sz w:val="18"/>
          <w:szCs w:val="18"/>
          <w:color w:val="000000"/>
        </w:rPr>
        <w:t>+</w:t>
      </w:r>
    </w:p>
    <w:p>
      <w:pPr>
        <w:spacing w:after="0" w:line="144" w:lineRule="exact"/>
        <w:rPr>
          <w:sz w:val="20"/>
          <w:szCs w:val="20"/>
          <w:color w:val="auto"/>
        </w:rPr>
      </w:pPr>
    </w:p>
    <w:p>
      <w:pPr>
        <w:jc w:val="center"/>
        <w:ind w:left="60"/>
        <w:spacing w:after="0"/>
        <w:rPr>
          <w:rFonts w:ascii="Arial" w:cs="Arial" w:eastAsia="Arial" w:hAnsi="Arial"/>
          <w:sz w:val="16"/>
          <w:szCs w:val="16"/>
          <w:color w:val="0000EE"/>
        </w:rPr>
      </w:pPr>
      <w:hyperlink w:anchor="page90">
        <w:r>
          <w:rPr>
            <w:rFonts w:ascii="Arial" w:cs="Arial" w:eastAsia="Arial" w:hAnsi="Arial"/>
            <w:sz w:val="16"/>
            <w:szCs w:val="16"/>
            <w:u w:val="single" w:color="auto"/>
            <w:color w:val="0000EE"/>
          </w:rPr>
          <w:t>10.20</w:t>
        </w:r>
      </w:hyperlink>
      <w:r>
        <w:rPr>
          <w:rFonts w:ascii="Arial" w:cs="Arial" w:eastAsia="Arial" w:hAnsi="Arial"/>
          <w:sz w:val="16"/>
          <w:szCs w:val="16"/>
          <w:color w:val="000000"/>
        </w:rPr>
        <w:t>+*</w:t>
      </w:r>
    </w:p>
    <w:p>
      <w:pPr>
        <w:spacing w:after="0" w:line="167" w:lineRule="exact"/>
        <w:rPr>
          <w:sz w:val="20"/>
          <w:szCs w:val="20"/>
          <w:color w:val="auto"/>
        </w:rPr>
      </w:pPr>
    </w:p>
    <w:p>
      <w:pPr>
        <w:jc w:val="center"/>
        <w:ind w:left="6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16.1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Incorporation by Reference</w:t>
            </w: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39"/>
          </w:tcPr>
          <w:p>
            <w:pPr>
              <w:ind w:left="20"/>
              <w:spacing w:after="0" w:line="146" w:lineRule="exact"/>
              <w:rPr>
                <w:sz w:val="20"/>
                <w:szCs w:val="20"/>
                <w:color w:val="auto"/>
              </w:rPr>
            </w:pPr>
            <w:r>
              <w:rPr>
                <w:rFonts w:ascii="Arial" w:cs="Arial" w:eastAsia="Arial" w:hAnsi="Arial"/>
                <w:sz w:val="13"/>
                <w:szCs w:val="13"/>
                <w:b w:val="1"/>
                <w:bCs w:val="1"/>
                <w:color w:val="auto"/>
              </w:rPr>
              <w:t>Exhibit Description</w:t>
            </w:r>
          </w:p>
        </w:tc>
        <w:tc>
          <w:tcPr>
            <w:tcW w:w="5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3"/>
              </w:rPr>
              <w:t>Form</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File No.</w:t>
            </w: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0" w:type="dxa"/>
            <w:vAlign w:val="bottom"/>
          </w:tcPr>
          <w:p>
            <w:pPr>
              <w:spacing w:after="0"/>
              <w:rPr>
                <w:sz w:val="1"/>
                <w:szCs w:val="1"/>
                <w:color w:val="auto"/>
              </w:rPr>
            </w:pPr>
          </w:p>
        </w:tc>
      </w:tr>
      <w:tr>
        <w:trPr>
          <w:trHeight w:val="162"/>
        </w:trPr>
        <w:tc>
          <w:tcPr>
            <w:tcW w:w="5220" w:type="dxa"/>
            <w:vAlign w:val="bottom"/>
            <w:tcBorders>
              <w:top w:val="single" w:sz="8" w:color="auto"/>
            </w:tcBorders>
            <w:gridSpan w:val="47"/>
          </w:tcPr>
          <w:p>
            <w:pPr>
              <w:spacing w:after="0" w:line="162" w:lineRule="exact"/>
              <w:rPr>
                <w:rFonts w:ascii="Arial" w:cs="Arial" w:eastAsia="Arial" w:hAnsi="Arial"/>
                <w:sz w:val="18"/>
                <w:szCs w:val="18"/>
                <w:color w:val="0000EE"/>
              </w:rPr>
            </w:pPr>
            <w:hyperlink r:id="rId113">
              <w:r>
                <w:rPr>
                  <w:rFonts w:ascii="Arial" w:cs="Arial" w:eastAsia="Arial" w:hAnsi="Arial"/>
                  <w:sz w:val="18"/>
                  <w:szCs w:val="18"/>
                  <w:color w:val="0000EE"/>
                </w:rPr>
                <w:t>Plan of Conversion of Pulse Biosciences, Inc.</w:t>
              </w:r>
            </w:hyperlink>
          </w:p>
        </w:tc>
        <w:tc>
          <w:tcPr>
            <w:tcW w:w="20" w:type="dxa"/>
            <w:vAlign w:val="bottom"/>
          </w:tcPr>
          <w:p>
            <w:pPr>
              <w:spacing w:after="0"/>
              <w:rPr>
                <w:sz w:val="14"/>
                <w:szCs w:val="14"/>
                <w:color w:val="auto"/>
              </w:rPr>
            </w:pPr>
          </w:p>
        </w:tc>
        <w:tc>
          <w:tcPr>
            <w:tcW w:w="46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color w:val="auto"/>
                <w:w w:val="71"/>
              </w:rPr>
              <w:t>8-K12B</w:t>
            </w:r>
          </w:p>
        </w:tc>
        <w:tc>
          <w:tcPr>
            <w:tcW w:w="80" w:type="dxa"/>
            <w:vAlign w:val="bottom"/>
          </w:tcPr>
          <w:p>
            <w:pPr>
              <w:spacing w:after="0"/>
              <w:rPr>
                <w:sz w:val="14"/>
                <w:szCs w:val="14"/>
                <w:color w:val="auto"/>
              </w:rPr>
            </w:pPr>
          </w:p>
        </w:tc>
        <w:tc>
          <w:tcPr>
            <w:tcW w:w="90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4"/>
                <w:szCs w:val="14"/>
                <w:color w:val="auto"/>
              </w:rPr>
            </w:pPr>
          </w:p>
        </w:tc>
        <w:tc>
          <w:tcPr>
            <w:tcW w:w="56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6"/>
        </w:trPr>
        <w:tc>
          <w:tcPr>
            <w:tcW w:w="3280" w:type="dxa"/>
            <w:vAlign w:val="bottom"/>
            <w:tcBorders>
              <w:top w:val="single" w:sz="8" w:color="0000EE"/>
            </w:tcBorders>
            <w:gridSpan w:val="17"/>
          </w:tcPr>
          <w:p>
            <w:pPr>
              <w:spacing w:after="0" w:line="156" w:lineRule="exact"/>
              <w:rPr>
                <w:rFonts w:ascii="Arial" w:cs="Arial" w:eastAsia="Arial" w:hAnsi="Arial"/>
                <w:sz w:val="18"/>
                <w:szCs w:val="18"/>
                <w:color w:val="0000EE"/>
              </w:rPr>
            </w:pPr>
            <w:hyperlink r:id="rId114">
              <w:r>
                <w:rPr>
                  <w:rFonts w:ascii="Arial" w:cs="Arial" w:eastAsia="Arial" w:hAnsi="Arial"/>
                  <w:sz w:val="18"/>
                  <w:szCs w:val="18"/>
                  <w:color w:val="0000EE"/>
                </w:rPr>
                <w:t>Articles of Conversion</w:t>
              </w:r>
            </w:hyperlink>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6"/>
        </w:trPr>
        <w:tc>
          <w:tcPr>
            <w:tcW w:w="16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82"/>
              </w:rPr>
            </w:pPr>
            <w:hyperlink r:id="rId115">
              <w:r>
                <w:rPr>
                  <w:rFonts w:ascii="Arial" w:cs="Arial" w:eastAsia="Arial" w:hAnsi="Arial"/>
                  <w:sz w:val="18"/>
                  <w:szCs w:val="18"/>
                  <w:color w:val="0000EE"/>
                  <w:w w:val="82"/>
                </w:rPr>
                <w:t>Certificate of Conversion</w:t>
              </w:r>
            </w:hyperlink>
          </w:p>
        </w:tc>
        <w:tc>
          <w:tcPr>
            <w:tcW w:w="20" w:type="dxa"/>
            <w:vAlign w:val="bottom"/>
            <w:tcBorders>
              <w:bottom w:val="single" w:sz="8" w:color="0000EE"/>
            </w:tcBorders>
          </w:tcPr>
          <w:p>
            <w:pPr>
              <w:spacing w:after="0"/>
              <w:rPr>
                <w:sz w:val="13"/>
                <w:szCs w:val="13"/>
                <w:color w:val="auto"/>
              </w:rPr>
            </w:pPr>
          </w:p>
        </w:tc>
        <w:tc>
          <w:tcPr>
            <w:tcW w:w="220" w:type="dxa"/>
            <w:vAlign w:val="bottom"/>
            <w:tcBorders>
              <w:bottom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5"/>
        </w:trPr>
        <w:tc>
          <w:tcPr>
            <w:tcW w:w="1880" w:type="dxa"/>
            <w:vAlign w:val="bottom"/>
            <w:gridSpan w:val="9"/>
          </w:tcPr>
          <w:p>
            <w:pPr>
              <w:spacing w:after="0" w:line="156" w:lineRule="exact"/>
              <w:rPr>
                <w:rFonts w:ascii="Arial" w:cs="Arial" w:eastAsia="Arial" w:hAnsi="Arial"/>
                <w:sz w:val="18"/>
                <w:szCs w:val="18"/>
                <w:color w:val="0000EE"/>
                <w:w w:val="87"/>
              </w:rPr>
            </w:pPr>
            <w:hyperlink r:id="rId116">
              <w:r>
                <w:rPr>
                  <w:rFonts w:ascii="Arial" w:cs="Arial" w:eastAsia="Arial" w:hAnsi="Arial"/>
                  <w:sz w:val="18"/>
                  <w:szCs w:val="18"/>
                  <w:color w:val="0000EE"/>
                  <w:w w:val="87"/>
                </w:rPr>
                <w:t>Certificate of Incorporation</w:t>
              </w:r>
            </w:hyperlink>
          </w:p>
        </w:tc>
        <w:tc>
          <w:tcPr>
            <w:tcW w:w="3360" w:type="dxa"/>
            <w:vAlign w:val="bottom"/>
            <w:gridSpan w:val="39"/>
          </w:tcPr>
          <w:p>
            <w:pPr>
              <w:ind w:left="140"/>
              <w:spacing w:after="0" w:line="156" w:lineRule="exact"/>
              <w:rPr>
                <w:rFonts w:ascii="Arial" w:cs="Arial" w:eastAsia="Arial" w:hAnsi="Arial"/>
                <w:sz w:val="18"/>
                <w:szCs w:val="18"/>
                <w:color w:val="0000EE"/>
              </w:rPr>
            </w:pPr>
            <w:hyperlink r:id="rId116">
              <w:r>
                <w:rPr>
                  <w:rFonts w:ascii="Arial" w:cs="Arial" w:eastAsia="Arial" w:hAnsi="Arial"/>
                  <w:sz w:val="18"/>
                  <w:szCs w:val="18"/>
                  <w:color w:val="0000EE"/>
                </w:rPr>
                <w:t>of Pulse Biosciences, Inc.</w:t>
              </w:r>
            </w:hyperlink>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3.3</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6"/>
        </w:trPr>
        <w:tc>
          <w:tcPr>
            <w:tcW w:w="244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Bylaws of Pulse Biosciences, Inc.</w:t>
              </w:r>
            </w:hyperlink>
          </w:p>
        </w:tc>
        <w:tc>
          <w:tcPr>
            <w:tcW w:w="1440" w:type="dxa"/>
            <w:vAlign w:val="bottom"/>
            <w:tcBorders>
              <w:top w:val="single" w:sz="8" w:color="0000EE"/>
            </w:tcBorders>
            <w:gridSpan w:val="8"/>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3.4</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18">
              <w:r>
                <w:rPr>
                  <w:rFonts w:ascii="Arial" w:cs="Arial" w:eastAsia="Arial" w:hAnsi="Arial"/>
                  <w:sz w:val="18"/>
                  <w:szCs w:val="18"/>
                  <w:color w:val="0000EE"/>
                </w:rPr>
                <w:t>Specimen Common Stock Certificate</w:t>
              </w:r>
            </w:hyperlink>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6"/>
        </w:trPr>
        <w:tc>
          <w:tcPr>
            <w:tcW w:w="2680" w:type="dxa"/>
            <w:vAlign w:val="bottom"/>
            <w:tcBorders>
              <w:top w:val="single" w:sz="8" w:color="0000EE"/>
            </w:tcBorders>
            <w:gridSpan w:val="14"/>
          </w:tcPr>
          <w:p>
            <w:pPr>
              <w:spacing w:after="0" w:line="15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Form of Warrant dated November 9,</w:t>
              </w:r>
            </w:hyperlink>
          </w:p>
        </w:tc>
        <w:tc>
          <w:tcPr>
            <w:tcW w:w="2560" w:type="dxa"/>
            <w:vAlign w:val="bottom"/>
            <w:gridSpan w:val="34"/>
          </w:tcPr>
          <w:p>
            <w:pPr>
              <w:jc w:val="right"/>
              <w:ind w:right="360"/>
              <w:spacing w:after="0" w:line="156" w:lineRule="exact"/>
              <w:rPr>
                <w:rFonts w:ascii="Arial" w:cs="Arial" w:eastAsia="Arial" w:hAnsi="Arial"/>
                <w:sz w:val="18"/>
                <w:szCs w:val="18"/>
                <w:color w:val="0000EE"/>
                <w:w w:val="97"/>
              </w:rPr>
            </w:pPr>
            <w:hyperlink r:id="rId119">
              <w:r>
                <w:rPr>
                  <w:rFonts w:ascii="Arial" w:cs="Arial" w:eastAsia="Arial" w:hAnsi="Arial"/>
                  <w:sz w:val="18"/>
                  <w:szCs w:val="18"/>
                  <w:color w:val="0000EE"/>
                  <w:w w:val="97"/>
                </w:rPr>
                <w:t>2014 issued to MDB Capital</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4980" w:type="dxa"/>
            <w:vAlign w:val="bottom"/>
            <w:tcBorders>
              <w:top w:val="single" w:sz="8" w:color="0000EE"/>
            </w:tcBorders>
            <w:gridSpan w:val="35"/>
          </w:tcPr>
          <w:p>
            <w:pPr>
              <w:spacing w:after="0" w:line="156" w:lineRule="exact"/>
              <w:rPr>
                <w:rFonts w:ascii="Arial" w:cs="Arial" w:eastAsia="Arial" w:hAnsi="Arial"/>
                <w:sz w:val="18"/>
                <w:szCs w:val="18"/>
                <w:color w:val="0000EE"/>
              </w:rPr>
            </w:pPr>
            <w:hyperlink r:id="rId119">
              <w:r>
                <w:rPr>
                  <w:rFonts w:ascii="Arial" w:cs="Arial" w:eastAsia="Arial" w:hAnsi="Arial"/>
                  <w:sz w:val="18"/>
                  <w:szCs w:val="18"/>
                  <w:color w:val="0000EE"/>
                </w:rPr>
                <w:t>Group,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line="20" w:lineRule="exact"/>
              <w:rPr>
                <w:sz w:val="1"/>
                <w:szCs w:val="1"/>
                <w:color w:val="auto"/>
              </w:rPr>
            </w:pPr>
          </w:p>
        </w:tc>
        <w:tc>
          <w:tcPr>
            <w:tcW w:w="56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7"/>
              </w:rPr>
              <w:t>4.3</w:t>
            </w:r>
          </w:p>
        </w:tc>
        <w:tc>
          <w:tcPr>
            <w:tcW w:w="80" w:type="dxa"/>
            <w:vAlign w:val="bottom"/>
          </w:tcPr>
          <w:p>
            <w:pPr>
              <w:spacing w:after="0" w:line="20" w:lineRule="exact"/>
              <w:rPr>
                <w:sz w:val="1"/>
                <w:szCs w:val="1"/>
                <w:color w:val="auto"/>
              </w:rPr>
            </w:pPr>
          </w:p>
        </w:tc>
        <w:tc>
          <w:tcPr>
            <w:tcW w:w="12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March 28, 2016</w:t>
            </w:r>
          </w:p>
        </w:tc>
        <w:tc>
          <w:tcPr>
            <w:tcW w:w="0" w:type="dxa"/>
            <w:vAlign w:val="bottom"/>
          </w:tcPr>
          <w:p>
            <w:pPr>
              <w:spacing w:after="0" w:line="20" w:lineRule="exact"/>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Form of Underwriter Warrant</w:t>
              </w:r>
            </w:hyperlink>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Borders>
              <w:top w:val="single" w:sz="8" w:color="0000EE"/>
            </w:tcBorders>
            <w:gridSpan w:val="10"/>
          </w:tcPr>
          <w:p>
            <w:pPr>
              <w:spacing w:after="0" w:line="156" w:lineRule="exact"/>
              <w:rPr>
                <w:rFonts w:ascii="Arial" w:cs="Arial" w:eastAsia="Arial" w:hAnsi="Arial"/>
                <w:sz w:val="18"/>
                <w:szCs w:val="18"/>
                <w:color w:val="0000EE"/>
                <w:w w:val="95"/>
              </w:rPr>
            </w:pPr>
            <w:hyperlink r:id="rId121">
              <w:r>
                <w:rPr>
                  <w:rFonts w:ascii="Arial" w:cs="Arial" w:eastAsia="Arial" w:hAnsi="Arial"/>
                  <w:sz w:val="18"/>
                  <w:szCs w:val="18"/>
                  <w:color w:val="0000EE"/>
                  <w:w w:val="95"/>
                </w:rPr>
                <w:t>Form of Registration Rights</w:t>
              </w:r>
            </w:hyperlink>
          </w:p>
        </w:tc>
        <w:tc>
          <w:tcPr>
            <w:tcW w:w="3120" w:type="dxa"/>
            <w:vAlign w:val="bottom"/>
            <w:gridSpan w:val="38"/>
          </w:tcPr>
          <w:p>
            <w:pPr>
              <w:spacing w:after="0" w:line="156" w:lineRule="exact"/>
              <w:rPr>
                <w:rFonts w:ascii="Arial" w:cs="Arial" w:eastAsia="Arial" w:hAnsi="Arial"/>
                <w:sz w:val="18"/>
                <w:szCs w:val="18"/>
                <w:color w:val="0000EE"/>
              </w:rPr>
            </w:pPr>
            <w:hyperlink r:id="rId121">
              <w:r>
                <w:rPr>
                  <w:rFonts w:ascii="Arial" w:cs="Arial" w:eastAsia="Arial" w:hAnsi="Arial"/>
                  <w:sz w:val="18"/>
                  <w:szCs w:val="18"/>
                  <w:color w:val="0000EE"/>
                </w:rPr>
                <w:t>Agreement dated November 6, 2014,</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5"/>
        </w:trPr>
        <w:tc>
          <w:tcPr>
            <w:tcW w:w="4220" w:type="dxa"/>
            <w:vAlign w:val="bottom"/>
            <w:tcBorders>
              <w:top w:val="single" w:sz="8" w:color="0000EE"/>
              <w:bottom w:val="single" w:sz="8" w:color="0000EE"/>
            </w:tcBorders>
            <w:gridSpan w:val="23"/>
          </w:tcPr>
          <w:p>
            <w:pPr>
              <w:spacing w:after="0" w:line="15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among the purchasers of common stock and the Registrant</w:t>
              </w:r>
            </w:hyperlink>
          </w:p>
        </w:tc>
        <w:tc>
          <w:tcPr>
            <w:tcW w:w="52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5240" w:type="dxa"/>
            <w:vAlign w:val="bottom"/>
            <w:gridSpan w:val="48"/>
          </w:tcPr>
          <w:p>
            <w:pPr>
              <w:spacing w:after="0" w:line="156" w:lineRule="exact"/>
              <w:rPr>
                <w:rFonts w:ascii="Arial" w:cs="Arial" w:eastAsia="Arial" w:hAnsi="Arial"/>
                <w:sz w:val="18"/>
                <w:szCs w:val="18"/>
                <w:color w:val="0000EE"/>
              </w:rPr>
            </w:pPr>
            <w:hyperlink r:id="rId122">
              <w:r>
                <w:rPr>
                  <w:rFonts w:ascii="Arial" w:cs="Arial" w:eastAsia="Arial" w:hAnsi="Arial"/>
                  <w:sz w:val="18"/>
                  <w:szCs w:val="18"/>
                  <w:color w:val="0000EE"/>
                </w:rPr>
                <w:t>Form of Registration Rights Agreement dated November 6, 2014,</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5"/>
        </w:trPr>
        <w:tc>
          <w:tcPr>
            <w:tcW w:w="4740" w:type="dxa"/>
            <w:vAlign w:val="bottom"/>
            <w:tcBorders>
              <w:top w:val="single" w:sz="8" w:color="0000EE"/>
            </w:tcBorders>
            <w:gridSpan w:val="28"/>
          </w:tcPr>
          <w:p>
            <w:pPr>
              <w:spacing w:after="0" w:line="15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among the holders of placement warrants and the Registrant</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4320" w:type="dxa"/>
            <w:vAlign w:val="bottom"/>
            <w:tcBorders>
              <w:top w:val="single" w:sz="8" w:color="0000EE"/>
            </w:tcBorders>
            <w:gridSpan w:val="24"/>
          </w:tcPr>
          <w:p>
            <w:pPr>
              <w:spacing w:after="0" w:line="15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Description of the Registrant's Securities Registered Pursuant</w:t>
              </w:r>
            </w:hyperlink>
          </w:p>
        </w:tc>
        <w:tc>
          <w:tcPr>
            <w:tcW w:w="920" w:type="dxa"/>
            <w:vAlign w:val="bottom"/>
            <w:gridSpan w:val="24"/>
          </w:tcPr>
          <w:p>
            <w:pPr>
              <w:ind w:left="160"/>
              <w:spacing w:after="0" w:line="156" w:lineRule="exact"/>
              <w:rPr>
                <w:rFonts w:ascii="Arial" w:cs="Arial" w:eastAsia="Arial" w:hAnsi="Arial"/>
                <w:sz w:val="18"/>
                <w:szCs w:val="18"/>
                <w:color w:val="0000EE"/>
              </w:rPr>
            </w:pPr>
            <w:hyperlink w:anchor="page86">
              <w:r>
                <w:rPr>
                  <w:rFonts w:ascii="Arial" w:cs="Arial" w:eastAsia="Arial" w:hAnsi="Arial"/>
                  <w:sz w:val="18"/>
                  <w:szCs w:val="18"/>
                  <w:color w:val="0000EE"/>
                </w:rPr>
                <w:t>to</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Borders>
              <w:top w:val="single" w:sz="8" w:color="0000EE"/>
              <w:bottom w:val="single" w:sz="8" w:color="0000EE"/>
            </w:tcBorders>
            <w:gridSpan w:val="19"/>
          </w:tcPr>
          <w:p>
            <w:pPr>
              <w:spacing w:after="0" w:line="15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Section 12 of the Securities Exchange Act of 1934</w:t>
              </w:r>
            </w:hyperlink>
          </w:p>
        </w:tc>
        <w:tc>
          <w:tcPr>
            <w:tcW w:w="1000" w:type="dxa"/>
            <w:vAlign w:val="bottom"/>
            <w:tcBorders>
              <w:top w:val="single" w:sz="8" w:color="0000EE"/>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23">
              <w:r>
                <w:rPr>
                  <w:rFonts w:ascii="Arial" w:cs="Arial" w:eastAsia="Arial" w:hAnsi="Arial"/>
                  <w:sz w:val="18"/>
                  <w:szCs w:val="18"/>
                  <w:color w:val="0000EE"/>
                </w:rPr>
                <w:t>Lease for facilities at 3955 Point Eden Way, Hayward, California,</w:t>
              </w:r>
            </w:hyperlink>
          </w:p>
        </w:tc>
        <w:tc>
          <w:tcPr>
            <w:tcW w:w="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73"/>
              </w:rPr>
              <w:t>10-K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001-34899</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March 20, 2017</w:t>
            </w:r>
          </w:p>
        </w:tc>
        <w:tc>
          <w:tcPr>
            <w:tcW w:w="0" w:type="dxa"/>
            <w:vAlign w:val="bottom"/>
          </w:tcPr>
          <w:p>
            <w:pPr>
              <w:spacing w:after="0"/>
              <w:rPr>
                <w:sz w:val="1"/>
                <w:szCs w:val="1"/>
                <w:color w:val="auto"/>
              </w:rPr>
            </w:pPr>
          </w:p>
        </w:tc>
      </w:tr>
      <w:tr>
        <w:trPr>
          <w:trHeight w:val="156"/>
        </w:trPr>
        <w:tc>
          <w:tcPr>
            <w:tcW w:w="5020" w:type="dxa"/>
            <w:vAlign w:val="bottom"/>
            <w:tcBorders>
              <w:top w:val="single" w:sz="8" w:color="0000EE"/>
            </w:tcBorders>
            <w:gridSpan w:val="37"/>
          </w:tcPr>
          <w:p>
            <w:pPr>
              <w:spacing w:after="0" w:line="156" w:lineRule="exact"/>
              <w:rPr>
                <w:rFonts w:ascii="Arial" w:cs="Arial" w:eastAsia="Arial" w:hAnsi="Arial"/>
                <w:sz w:val="18"/>
                <w:szCs w:val="18"/>
                <w:color w:val="0000EE"/>
              </w:rPr>
            </w:pPr>
            <w:hyperlink r:id="rId123">
              <w:r>
                <w:rPr>
                  <w:rFonts w:ascii="Arial" w:cs="Arial" w:eastAsia="Arial" w:hAnsi="Arial"/>
                  <w:sz w:val="18"/>
                  <w:szCs w:val="18"/>
                  <w:color w:val="0000EE"/>
                </w:rPr>
                <w:t>dated January 26,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6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r:id="rId124">
              <w:r>
                <w:rPr>
                  <w:rFonts w:ascii="Arial" w:cs="Arial" w:eastAsia="Arial" w:hAnsi="Arial"/>
                  <w:sz w:val="18"/>
                  <w:szCs w:val="18"/>
                  <w:color w:val="0000EE"/>
                </w:rPr>
                <w:t>License Agreement</w:t>
              </w:r>
            </w:hyperlink>
          </w:p>
        </w:tc>
        <w:tc>
          <w:tcPr>
            <w:tcW w:w="3580" w:type="dxa"/>
            <w:vAlign w:val="bottom"/>
            <w:gridSpan w:val="40"/>
          </w:tcPr>
          <w:p>
            <w:pPr>
              <w:jc w:val="right"/>
              <w:ind w:right="360"/>
              <w:spacing w:after="0" w:line="15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among Old Dominion University Research</w:t>
              </w:r>
            </w:hyperlink>
          </w:p>
        </w:tc>
        <w:tc>
          <w:tcPr>
            <w:tcW w:w="5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4620" w:type="dxa"/>
            <w:vAlign w:val="bottom"/>
            <w:tcBorders>
              <w:top w:val="single" w:sz="8" w:color="0000EE"/>
              <w:bottom w:val="single" w:sz="8" w:color="0000EE"/>
            </w:tcBorders>
            <w:gridSpan w:val="26"/>
          </w:tcPr>
          <w:p>
            <w:pPr>
              <w:spacing w:after="0" w:line="15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Foundation, Eastern Virginia Medical School and the Registrant</w:t>
              </w:r>
            </w:hyperlink>
          </w:p>
        </w:tc>
        <w:tc>
          <w:tcPr>
            <w:tcW w:w="2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gridSpan w:val="48"/>
          </w:tcPr>
          <w:p>
            <w:pPr>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Amendments No. 1 to License Agreement among Old Dominion</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top w:val="single" w:sz="8" w:color="0000EE"/>
            </w:tcBorders>
            <w:gridSpan w:val="36"/>
          </w:tcPr>
          <w:p>
            <w:pPr>
              <w:spacing w:after="0" w:line="156"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University Research Foundation, Eastern Virginia Medical School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10.13</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2"/>
              </w:rPr>
              <w:t>March 7, 2016</w:t>
            </w:r>
          </w:p>
        </w:tc>
        <w:tc>
          <w:tcPr>
            <w:tcW w:w="0" w:type="dxa"/>
            <w:vAlign w:val="bottom"/>
          </w:tcPr>
          <w:p>
            <w:pPr>
              <w:spacing w:after="0"/>
              <w:rPr>
                <w:sz w:val="1"/>
                <w:szCs w:val="1"/>
                <w:color w:val="auto"/>
              </w:rPr>
            </w:pPr>
          </w:p>
        </w:tc>
      </w:tr>
      <w:tr>
        <w:trPr>
          <w:trHeight w:val="156"/>
        </w:trPr>
        <w:tc>
          <w:tcPr>
            <w:tcW w:w="4960" w:type="dxa"/>
            <w:vAlign w:val="bottom"/>
            <w:tcBorders>
              <w:top w:val="single" w:sz="8" w:color="0000EE"/>
            </w:tcBorders>
            <w:gridSpan w:val="34"/>
          </w:tcPr>
          <w:p>
            <w:pPr>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and the Registrant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Borders>
              <w:top w:val="single" w:sz="8" w:color="0000EE"/>
            </w:tcBorders>
            <w:gridSpan w:val="5"/>
          </w:tcPr>
          <w:p>
            <w:pPr>
              <w:spacing w:after="0" w:line="156" w:lineRule="exact"/>
              <w:rPr>
                <w:rFonts w:ascii="Arial" w:cs="Arial" w:eastAsia="Arial" w:hAnsi="Arial"/>
                <w:sz w:val="18"/>
                <w:szCs w:val="18"/>
                <w:color w:val="0000EE"/>
                <w:w w:val="82"/>
              </w:rPr>
            </w:pPr>
            <w:hyperlink r:id="rId126">
              <w:r>
                <w:rPr>
                  <w:rFonts w:ascii="Arial" w:cs="Arial" w:eastAsia="Arial" w:hAnsi="Arial"/>
                  <w:sz w:val="18"/>
                  <w:szCs w:val="18"/>
                  <w:color w:val="0000EE"/>
                  <w:w w:val="82"/>
                </w:rPr>
                <w:t>License Agreement</w:t>
              </w:r>
            </w:hyperlink>
          </w:p>
        </w:tc>
        <w:tc>
          <w:tcPr>
            <w:tcW w:w="3940" w:type="dxa"/>
            <w:vAlign w:val="bottom"/>
            <w:gridSpan w:val="43"/>
          </w:tcPr>
          <w:p>
            <w:pPr>
              <w:jc w:val="right"/>
              <w:ind w:right="360"/>
              <w:spacing w:after="0" w:line="15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among University of Southern California, The</w:t>
              </w:r>
            </w:hyperlink>
          </w:p>
        </w:tc>
        <w:tc>
          <w:tcPr>
            <w:tcW w:w="5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292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Alfred Mann Institute and the Registrant</w:t>
              </w:r>
            </w:hyperlink>
          </w:p>
        </w:tc>
        <w:tc>
          <w:tcPr>
            <w:tcW w:w="2260" w:type="dxa"/>
            <w:vAlign w:val="bottom"/>
            <w:tcBorders>
              <w:top w:val="single" w:sz="8" w:color="0000EE"/>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27">
              <w:r>
                <w:rPr>
                  <w:rFonts w:ascii="Arial" w:cs="Arial" w:eastAsia="Arial" w:hAnsi="Arial"/>
                  <w:sz w:val="18"/>
                  <w:szCs w:val="18"/>
                  <w:color w:val="0000EE"/>
                </w:rPr>
                <w:t>Amendment No. 1 to the License Agreement among University of</w:t>
              </w:r>
            </w:hyperlink>
          </w:p>
        </w:tc>
        <w:tc>
          <w:tcPr>
            <w:tcW w:w="5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4760" w:type="dxa"/>
            <w:vAlign w:val="bottom"/>
            <w:tcBorders>
              <w:top w:val="single" w:sz="8" w:color="0000EE"/>
              <w:bottom w:val="single" w:sz="8" w:color="0000EE"/>
            </w:tcBorders>
            <w:gridSpan w:val="29"/>
          </w:tcPr>
          <w:p>
            <w:pPr>
              <w:spacing w:after="0" w:line="15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Southern California, The Alfred Mann Institute and the Registrant</w:t>
              </w:r>
            </w:hyperlink>
          </w:p>
        </w:tc>
        <w:tc>
          <w:tcPr>
            <w:tcW w:w="16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gridSpan w:val="48"/>
          </w:tcPr>
          <w:p>
            <w:pPr>
              <w:spacing w:after="0" w:line="156" w:lineRule="exact"/>
              <w:rPr>
                <w:rFonts w:ascii="Arial" w:cs="Arial" w:eastAsia="Arial" w:hAnsi="Arial"/>
                <w:sz w:val="18"/>
                <w:szCs w:val="18"/>
                <w:color w:val="0000EE"/>
              </w:rPr>
            </w:pPr>
            <w:hyperlink r:id="rId128">
              <w:r>
                <w:rPr>
                  <w:rFonts w:ascii="Arial" w:cs="Arial" w:eastAsia="Arial" w:hAnsi="Arial"/>
                  <w:sz w:val="18"/>
                  <w:szCs w:val="18"/>
                  <w:color w:val="0000EE"/>
                </w:rPr>
                <w:t>Securities Purchase Agreement, dated February 7, 2017, by and</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90"/>
              </w:rPr>
              <w:t>February 10,</w:t>
            </w:r>
          </w:p>
        </w:tc>
        <w:tc>
          <w:tcPr>
            <w:tcW w:w="0" w:type="dxa"/>
            <w:vAlign w:val="bottom"/>
          </w:tcPr>
          <w:p>
            <w:pPr>
              <w:spacing w:after="0"/>
              <w:rPr>
                <w:sz w:val="1"/>
                <w:szCs w:val="1"/>
                <w:color w:val="auto"/>
              </w:rPr>
            </w:pPr>
          </w:p>
        </w:tc>
      </w:tr>
      <w:tr>
        <w:trPr>
          <w:trHeight w:val="155"/>
        </w:trPr>
        <w:tc>
          <w:tcPr>
            <w:tcW w:w="5020" w:type="dxa"/>
            <w:vAlign w:val="bottom"/>
            <w:tcBorders>
              <w:top w:val="single" w:sz="8" w:color="0000EE"/>
            </w:tcBorders>
            <w:gridSpan w:val="37"/>
          </w:tcPr>
          <w:p>
            <w:pPr>
              <w:spacing w:after="0" w:line="156" w:lineRule="exact"/>
              <w:rPr>
                <w:rFonts w:ascii="Arial" w:cs="Arial" w:eastAsia="Arial" w:hAnsi="Arial"/>
                <w:sz w:val="18"/>
                <w:szCs w:val="18"/>
                <w:color w:val="0000EE"/>
              </w:rPr>
            </w:pPr>
            <w:hyperlink r:id="rId128">
              <w:r>
                <w:rPr>
                  <w:rFonts w:ascii="Arial" w:cs="Arial" w:eastAsia="Arial" w:hAnsi="Arial"/>
                  <w:sz w:val="18"/>
                  <w:szCs w:val="18"/>
                  <w:color w:val="0000EE"/>
                </w:rPr>
                <w:t>between Pulse Biosciences, Inc. and certain purchasers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56"/>
        </w:trPr>
        <w:tc>
          <w:tcPr>
            <w:tcW w:w="3960" w:type="dxa"/>
            <w:vAlign w:val="bottom"/>
            <w:tcBorders>
              <w:top w:val="single" w:sz="8" w:color="0000EE"/>
            </w:tcBorders>
            <w:gridSpan w:val="21"/>
          </w:tcPr>
          <w:p>
            <w:pPr>
              <w:spacing w:after="0" w:line="15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Securities Purchase Agreement, dated September 24,</w:t>
              </w:r>
            </w:hyperlink>
          </w:p>
        </w:tc>
        <w:tc>
          <w:tcPr>
            <w:tcW w:w="1280" w:type="dxa"/>
            <w:vAlign w:val="bottom"/>
            <w:gridSpan w:val="27"/>
          </w:tcPr>
          <w:p>
            <w:pPr>
              <w:jc w:val="right"/>
              <w:ind w:right="360"/>
              <w:spacing w:after="0" w:line="156" w:lineRule="exact"/>
              <w:rPr>
                <w:rFonts w:ascii="Arial" w:cs="Arial" w:eastAsia="Arial" w:hAnsi="Arial"/>
                <w:sz w:val="18"/>
                <w:szCs w:val="18"/>
                <w:color w:val="0000EE"/>
                <w:w w:val="86"/>
              </w:rPr>
            </w:pPr>
            <w:hyperlink r:id="rId129">
              <w:r>
                <w:rPr>
                  <w:rFonts w:ascii="Arial" w:cs="Arial" w:eastAsia="Arial" w:hAnsi="Arial"/>
                  <w:sz w:val="18"/>
                  <w:szCs w:val="18"/>
                  <w:color w:val="0000EE"/>
                  <w:w w:val="86"/>
                </w:rPr>
                <w:t>2017, by and</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September 25,</w:t>
            </w:r>
          </w:p>
        </w:tc>
        <w:tc>
          <w:tcPr>
            <w:tcW w:w="0" w:type="dxa"/>
            <w:vAlign w:val="bottom"/>
          </w:tcPr>
          <w:p>
            <w:pPr>
              <w:spacing w:after="0"/>
              <w:rPr>
                <w:sz w:val="1"/>
                <w:szCs w:val="1"/>
                <w:color w:val="auto"/>
              </w:rPr>
            </w:pPr>
          </w:p>
        </w:tc>
      </w:tr>
      <w:tr>
        <w:trPr>
          <w:trHeight w:val="155"/>
        </w:trPr>
        <w:tc>
          <w:tcPr>
            <w:tcW w:w="396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between Pulse Biosciences, Inc. and certain purchasers</w:t>
              </w:r>
            </w:hyperlink>
          </w:p>
        </w:tc>
        <w:tc>
          <w:tcPr>
            <w:tcW w:w="1240" w:type="dxa"/>
            <w:vAlign w:val="bottom"/>
            <w:tcBorders>
              <w:top w:val="single" w:sz="8" w:color="0000EE"/>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42"/>
        </w:trPr>
        <w:tc>
          <w:tcPr>
            <w:tcW w:w="5240" w:type="dxa"/>
            <w:vAlign w:val="bottom"/>
            <w:gridSpan w:val="48"/>
            <w:vMerge w:val="restart"/>
          </w:tcPr>
          <w:p>
            <w:pPr>
              <w:spacing w:after="0"/>
              <w:rPr>
                <w:rFonts w:ascii="Arial" w:cs="Arial" w:eastAsia="Arial" w:hAnsi="Arial"/>
                <w:sz w:val="18"/>
                <w:szCs w:val="18"/>
                <w:color w:val="0000EE"/>
              </w:rPr>
            </w:pPr>
            <w:hyperlink r:id="rId130">
              <w:r>
                <w:rPr>
                  <w:rFonts w:ascii="Arial" w:cs="Arial" w:eastAsia="Arial" w:hAnsi="Arial"/>
                  <w:sz w:val="18"/>
                  <w:szCs w:val="18"/>
                  <w:color w:val="0000EE"/>
                </w:rPr>
                <w:t>2015 Stock Incentive Plan</w:t>
              </w:r>
            </w:hyperlink>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6"/>
                <w:szCs w:val="16"/>
                <w:color w:val="auto"/>
                <w:w w:val="99"/>
              </w:rPr>
              <w:t>December 22,</w:t>
            </w:r>
          </w:p>
        </w:tc>
        <w:tc>
          <w:tcPr>
            <w:tcW w:w="0" w:type="dxa"/>
            <w:vAlign w:val="bottom"/>
          </w:tcPr>
          <w:p>
            <w:pPr>
              <w:spacing w:after="0"/>
              <w:rPr>
                <w:sz w:val="1"/>
                <w:szCs w:val="1"/>
                <w:color w:val="auto"/>
              </w:rPr>
            </w:pPr>
          </w:p>
        </w:tc>
      </w:tr>
      <w:tr>
        <w:trPr>
          <w:trHeight w:val="95"/>
        </w:trPr>
        <w:tc>
          <w:tcPr>
            <w:tcW w:w="5240" w:type="dxa"/>
            <w:vAlign w:val="bottom"/>
            <w:gridSpan w:val="48"/>
            <w:vMerge w:val="continue"/>
          </w:tcPr>
          <w:p>
            <w:pPr>
              <w:spacing w:after="0"/>
              <w:rPr>
                <w:sz w:val="8"/>
                <w:szCs w:val="8"/>
                <w:color w:val="auto"/>
              </w:rPr>
            </w:pPr>
          </w:p>
        </w:tc>
        <w:tc>
          <w:tcPr>
            <w:tcW w:w="54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color w:val="auto"/>
                <w:w w:val="78"/>
              </w:rPr>
              <w:t>S-1</w:t>
            </w:r>
          </w:p>
        </w:tc>
        <w:tc>
          <w:tcPr>
            <w:tcW w:w="9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8"/>
                <w:szCs w:val="8"/>
                <w:color w:val="auto"/>
              </w:rPr>
            </w:pPr>
          </w:p>
        </w:tc>
        <w:tc>
          <w:tcPr>
            <w:tcW w:w="56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8"/>
                <w:szCs w:val="8"/>
                <w:color w:val="auto"/>
              </w:rPr>
            </w:pPr>
          </w:p>
        </w:tc>
        <w:tc>
          <w:tcPr>
            <w:tcW w:w="12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240" w:type="dxa"/>
            <w:vAlign w:val="bottom"/>
            <w:gridSpan w:val="48"/>
            <w:vMerge w:val="restart"/>
          </w:tcPr>
          <w:p>
            <w:pPr>
              <w:spacing w:after="0"/>
              <w:rPr>
                <w:rFonts w:ascii="Arial" w:cs="Arial" w:eastAsia="Arial" w:hAnsi="Arial"/>
                <w:sz w:val="18"/>
                <w:szCs w:val="18"/>
                <w:color w:val="0000EE"/>
              </w:rPr>
            </w:pPr>
            <w:hyperlink r:id="rId131">
              <w:r>
                <w:rPr>
                  <w:rFonts w:ascii="Arial" w:cs="Arial" w:eastAsia="Arial" w:hAnsi="Arial"/>
                  <w:sz w:val="18"/>
                  <w:szCs w:val="18"/>
                  <w:color w:val="0000EE"/>
                </w:rPr>
                <w:t>2017 Inducement Equity Incentive Plan and forms of agreements</w:t>
              </w:r>
            </w:hyperlink>
          </w:p>
        </w:tc>
        <w:tc>
          <w:tcPr>
            <w:tcW w:w="5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240" w:type="dxa"/>
            <w:vAlign w:val="bottom"/>
            <w:gridSpan w:val="48"/>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90"/>
              </w:rPr>
              <w:t>November 28,</w:t>
            </w:r>
          </w:p>
        </w:tc>
        <w:tc>
          <w:tcPr>
            <w:tcW w:w="0" w:type="dxa"/>
            <w:vAlign w:val="bottom"/>
          </w:tcPr>
          <w:p>
            <w:pPr>
              <w:spacing w:after="0"/>
              <w:rPr>
                <w:sz w:val="1"/>
                <w:szCs w:val="1"/>
                <w:color w:val="auto"/>
              </w:rPr>
            </w:pPr>
          </w:p>
        </w:tc>
      </w:tr>
      <w:tr>
        <w:trPr>
          <w:trHeight w:val="155"/>
        </w:trPr>
        <w:tc>
          <w:tcPr>
            <w:tcW w:w="4940" w:type="dxa"/>
            <w:vAlign w:val="bottom"/>
            <w:tcBorders>
              <w:top w:val="single" w:sz="8" w:color="0000EE"/>
            </w:tcBorders>
            <w:gridSpan w:val="33"/>
          </w:tcPr>
          <w:p>
            <w:pPr>
              <w:spacing w:after="0" w:line="156" w:lineRule="exact"/>
              <w:rPr>
                <w:rFonts w:ascii="Arial" w:cs="Arial" w:eastAsia="Arial" w:hAnsi="Arial"/>
                <w:sz w:val="18"/>
                <w:szCs w:val="18"/>
                <w:color w:val="0000EE"/>
              </w:rPr>
            </w:pPr>
            <w:hyperlink r:id="rId131">
              <w:r>
                <w:rPr>
                  <w:rFonts w:ascii="Arial" w:cs="Arial" w:eastAsia="Arial" w:hAnsi="Arial"/>
                  <w:sz w:val="18"/>
                  <w:szCs w:val="18"/>
                  <w:color w:val="0000EE"/>
                </w:rPr>
                <w:t>thereunder</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56"/>
        </w:trPr>
        <w:tc>
          <w:tcPr>
            <w:tcW w:w="760" w:type="dxa"/>
            <w:vAlign w:val="bottom"/>
            <w:tcBorders>
              <w:top w:val="single" w:sz="8" w:color="0000EE"/>
            </w:tcBorders>
            <w:gridSpan w:val="2"/>
          </w:tcPr>
          <w:p>
            <w:pPr>
              <w:spacing w:after="0" w:line="156" w:lineRule="exact"/>
              <w:rPr>
                <w:rFonts w:ascii="Arial" w:cs="Arial" w:eastAsia="Arial" w:hAnsi="Arial"/>
                <w:sz w:val="18"/>
                <w:szCs w:val="18"/>
                <w:color w:val="0000EE"/>
                <w:w w:val="77"/>
              </w:rPr>
            </w:pPr>
            <w:hyperlink r:id="rId132">
              <w:r>
                <w:rPr>
                  <w:rFonts w:ascii="Arial" w:cs="Arial" w:eastAsia="Arial" w:hAnsi="Arial"/>
                  <w:sz w:val="18"/>
                  <w:szCs w:val="18"/>
                  <w:color w:val="0000EE"/>
                  <w:w w:val="77"/>
                </w:rPr>
                <w:t>2017 Equity</w:t>
              </w:r>
            </w:hyperlink>
          </w:p>
        </w:tc>
        <w:tc>
          <w:tcPr>
            <w:tcW w:w="4480" w:type="dxa"/>
            <w:vAlign w:val="bottom"/>
            <w:gridSpan w:val="46"/>
          </w:tcPr>
          <w:p>
            <w:pPr>
              <w:ind w:left="160"/>
              <w:spacing w:after="0" w:line="156" w:lineRule="exact"/>
              <w:rPr>
                <w:rFonts w:ascii="Arial" w:cs="Arial" w:eastAsia="Arial" w:hAnsi="Arial"/>
                <w:sz w:val="18"/>
                <w:szCs w:val="18"/>
                <w:color w:val="0000EE"/>
              </w:rPr>
            </w:pPr>
            <w:hyperlink r:id="rId132">
              <w:r>
                <w:rPr>
                  <w:rFonts w:ascii="Arial" w:cs="Arial" w:eastAsia="Arial" w:hAnsi="Arial"/>
                  <w:sz w:val="18"/>
                  <w:szCs w:val="18"/>
                  <w:color w:val="0000EE"/>
                </w:rPr>
                <w:t>Incentive Plan and forms of agreements thereunder</w:t>
              </w:r>
            </w:hyperlink>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91"/>
              </w:rPr>
              <w:t>May 19, 2017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2017 Employee Stock Purchase Plan and forms of agreements</w:t>
              </w:r>
            </w:hyperlink>
          </w:p>
        </w:tc>
        <w:tc>
          <w:tcPr>
            <w:tcW w:w="5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5"/>
              </w:rPr>
              <w:t>8-K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May 19, 2017</w:t>
            </w:r>
          </w:p>
        </w:tc>
        <w:tc>
          <w:tcPr>
            <w:tcW w:w="0" w:type="dxa"/>
            <w:vAlign w:val="bottom"/>
          </w:tcPr>
          <w:p>
            <w:pPr>
              <w:spacing w:after="0"/>
              <w:rPr>
                <w:sz w:val="1"/>
                <w:szCs w:val="1"/>
                <w:color w:val="auto"/>
              </w:rPr>
            </w:pPr>
          </w:p>
        </w:tc>
      </w:tr>
      <w:tr>
        <w:trPr>
          <w:trHeight w:val="155"/>
        </w:trPr>
        <w:tc>
          <w:tcPr>
            <w:tcW w:w="5120" w:type="dxa"/>
            <w:vAlign w:val="bottom"/>
            <w:tcBorders>
              <w:top w:val="single" w:sz="8" w:color="0000EE"/>
            </w:tcBorders>
            <w:gridSpan w:val="42"/>
          </w:tcPr>
          <w:p>
            <w:pPr>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thereunder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r:id="rId134">
              <w:r>
                <w:rPr>
                  <w:rFonts w:ascii="Arial" w:cs="Arial" w:eastAsia="Arial" w:hAnsi="Arial"/>
                  <w:sz w:val="18"/>
                  <w:szCs w:val="18"/>
                  <w:color w:val="0000EE"/>
                </w:rPr>
                <w:t>Form of</w:t>
              </w:r>
            </w:hyperlink>
          </w:p>
        </w:tc>
        <w:tc>
          <w:tcPr>
            <w:tcW w:w="4480" w:type="dxa"/>
            <w:vAlign w:val="bottom"/>
            <w:gridSpan w:val="46"/>
          </w:tcPr>
          <w:p>
            <w:pPr>
              <w:jc w:val="right"/>
              <w:ind w:right="360"/>
              <w:spacing w:after="0" w:line="15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Director Option Agreement, not issued under the 2015</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5"/>
        </w:trPr>
        <w:tc>
          <w:tcPr>
            <w:tcW w:w="5100" w:type="dxa"/>
            <w:vAlign w:val="bottom"/>
            <w:tcBorders>
              <w:top w:val="single" w:sz="8" w:color="0000EE"/>
            </w:tcBorders>
            <w:gridSpan w:val="41"/>
          </w:tcPr>
          <w:p>
            <w:pPr>
              <w:spacing w:after="0" w:line="156" w:lineRule="exact"/>
              <w:rPr>
                <w:rFonts w:ascii="Arial" w:cs="Arial" w:eastAsia="Arial" w:hAnsi="Arial"/>
                <w:sz w:val="18"/>
                <w:szCs w:val="18"/>
                <w:color w:val="0000EE"/>
              </w:rPr>
            </w:pPr>
            <w:hyperlink r:id="rId134">
              <w:r>
                <w:rPr>
                  <w:rFonts w:ascii="Arial" w:cs="Arial" w:eastAsia="Arial" w:hAnsi="Arial"/>
                  <w:sz w:val="18"/>
                  <w:szCs w:val="18"/>
                  <w:color w:val="0000EE"/>
                </w:rPr>
                <w:t>Stock Incentive Plan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5"/>
        </w:trPr>
        <w:tc>
          <w:tcPr>
            <w:tcW w:w="1480" w:type="dxa"/>
            <w:vAlign w:val="bottom"/>
            <w:tcBorders>
              <w:top w:val="single" w:sz="8" w:color="0000EE"/>
            </w:tcBorders>
            <w:gridSpan w:val="6"/>
          </w:tcPr>
          <w:p>
            <w:pPr>
              <w:spacing w:after="0" w:line="156" w:lineRule="exact"/>
              <w:rPr>
                <w:rFonts w:ascii="Arial" w:cs="Arial" w:eastAsia="Arial" w:hAnsi="Arial"/>
                <w:sz w:val="18"/>
                <w:szCs w:val="18"/>
                <w:color w:val="0000EE"/>
                <w:w w:val="79"/>
              </w:rPr>
            </w:pPr>
            <w:hyperlink r:id="rId135">
              <w:r>
                <w:rPr>
                  <w:rFonts w:ascii="Arial" w:cs="Arial" w:eastAsia="Arial" w:hAnsi="Arial"/>
                  <w:sz w:val="18"/>
                  <w:szCs w:val="18"/>
                  <w:color w:val="0000EE"/>
                  <w:w w:val="79"/>
                </w:rPr>
                <w:t>Executive Employment</w:t>
              </w:r>
            </w:hyperlink>
          </w:p>
        </w:tc>
        <w:tc>
          <w:tcPr>
            <w:tcW w:w="3760" w:type="dxa"/>
            <w:vAlign w:val="bottom"/>
            <w:gridSpan w:val="42"/>
          </w:tcPr>
          <w:p>
            <w:pPr>
              <w:jc w:val="right"/>
              <w:ind w:right="360"/>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Agreement between Darrin R. Uecker and</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5160" w:type="dxa"/>
            <w:vAlign w:val="bottom"/>
            <w:tcBorders>
              <w:top w:val="single" w:sz="8" w:color="0000EE"/>
            </w:tcBorders>
            <w:gridSpan w:val="44"/>
          </w:tcPr>
          <w:p>
            <w:pPr>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the Registrant</w:t>
              </w:r>
            </w:hyperlink>
          </w:p>
        </w:tc>
        <w:tc>
          <w:tcPr>
            <w:tcW w:w="80" w:type="dxa"/>
            <w:vAlign w:val="bottom"/>
            <w:gridSpan w:val="4"/>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October 11,</w:t>
            </w:r>
          </w:p>
        </w:tc>
        <w:tc>
          <w:tcPr>
            <w:tcW w:w="0" w:type="dxa"/>
            <w:vAlign w:val="bottom"/>
          </w:tcPr>
          <w:p>
            <w:pPr>
              <w:spacing w:after="0" w:line="20" w:lineRule="exact"/>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w w:val="99"/>
              </w:rPr>
            </w:pPr>
            <w:hyperlink r:id="rId136">
              <w:r>
                <w:rPr>
                  <w:rFonts w:ascii="Arial" w:cs="Arial" w:eastAsia="Arial" w:hAnsi="Arial"/>
                  <w:sz w:val="18"/>
                  <w:szCs w:val="18"/>
                  <w:color w:val="0000EE"/>
                  <w:w w:val="99"/>
                </w:rPr>
                <w:t>Amendment to Employment Agreement between Darrin R. Uecker</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tcBorders>
              <w:top w:val="single" w:sz="8" w:color="0000EE"/>
            </w:tcBorders>
            <w:gridSpan w:val="39"/>
          </w:tcPr>
          <w:p>
            <w:pPr>
              <w:spacing w:after="0" w:line="156" w:lineRule="exact"/>
              <w:rPr>
                <w:rFonts w:ascii="Arial" w:cs="Arial" w:eastAsia="Arial" w:hAnsi="Arial"/>
                <w:sz w:val="18"/>
                <w:szCs w:val="18"/>
                <w:color w:val="0000EE"/>
              </w:rPr>
            </w:pPr>
            <w:hyperlink r:id="rId136">
              <w:r>
                <w:rPr>
                  <w:rFonts w:ascii="Arial" w:cs="Arial" w:eastAsia="Arial" w:hAnsi="Arial"/>
                  <w:sz w:val="18"/>
                  <w:szCs w:val="18"/>
                  <w:color w:val="0000EE"/>
                </w:rPr>
                <w:t>and Pulse Biosciences, Inc. dated October 5, 2016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line="20" w:lineRule="exact"/>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37">
              <w:r>
                <w:rPr>
                  <w:rFonts w:ascii="Arial" w:cs="Arial" w:eastAsia="Arial" w:hAnsi="Arial"/>
                  <w:sz w:val="18"/>
                  <w:szCs w:val="18"/>
                  <w:color w:val="0000EE"/>
                </w:rPr>
                <w:t>Form of At-Will Employment, Confidential Information, Invention</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Borders>
              <w:top w:val="single" w:sz="8" w:color="0000EE"/>
            </w:tcBorders>
            <w:gridSpan w:val="43"/>
          </w:tcPr>
          <w:p>
            <w:pPr>
              <w:spacing w:after="0" w:line="156" w:lineRule="exact"/>
              <w:rPr>
                <w:rFonts w:ascii="Arial" w:cs="Arial" w:eastAsia="Arial" w:hAnsi="Arial"/>
                <w:sz w:val="18"/>
                <w:szCs w:val="18"/>
                <w:color w:val="0000EE"/>
              </w:rPr>
            </w:pPr>
            <w:hyperlink r:id="rId137">
              <w:r>
                <w:rPr>
                  <w:rFonts w:ascii="Arial" w:cs="Arial" w:eastAsia="Arial" w:hAnsi="Arial"/>
                  <w:sz w:val="18"/>
                  <w:szCs w:val="18"/>
                  <w:color w:val="0000EE"/>
                </w:rPr>
                <w:t>Assignment, and Arbitration Agreement for Employees</w:t>
              </w:r>
            </w:hyperlink>
          </w:p>
        </w:tc>
        <w:tc>
          <w:tcPr>
            <w:tcW w:w="100" w:type="dxa"/>
            <w:vAlign w:val="bottom"/>
            <w:gridSpan w:val="5"/>
          </w:tcPr>
          <w:p>
            <w:pPr>
              <w:spacing w:after="0"/>
              <w:rPr>
                <w:sz w:val="13"/>
                <w:szCs w:val="13"/>
                <w:color w:val="auto"/>
              </w:rPr>
            </w:pPr>
          </w:p>
        </w:tc>
        <w:tc>
          <w:tcPr>
            <w:tcW w:w="54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78"/>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89"/>
              </w:rPr>
              <w:t>333-208694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5"/>
        </w:trPr>
        <w:tc>
          <w:tcPr>
            <w:tcW w:w="262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Form of Indemnification Agreement</w:t>
              </w:r>
            </w:hyperlink>
          </w:p>
        </w:tc>
        <w:tc>
          <w:tcPr>
            <w:tcW w:w="1380" w:type="dxa"/>
            <w:vAlign w:val="bottom"/>
            <w:tcBorders>
              <w:top w:val="single" w:sz="8" w:color="0000EE"/>
            </w:tcBorders>
            <w:gridSpan w:val="9"/>
          </w:tcPr>
          <w:p>
            <w:pPr>
              <w:spacing w:after="0"/>
              <w:rPr>
                <w:sz w:val="13"/>
                <w:szCs w:val="13"/>
                <w:color w:val="auto"/>
              </w:rPr>
            </w:pPr>
          </w:p>
        </w:tc>
        <w:tc>
          <w:tcPr>
            <w:tcW w:w="880" w:type="dxa"/>
            <w:vAlign w:val="bottom"/>
            <w:gridSpan w:val="8"/>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540" w:type="dxa"/>
            <w:vAlign w:val="bottom"/>
            <w:gridSpan w:val="2"/>
          </w:tcPr>
          <w:p>
            <w:pPr>
              <w:jc w:val="center"/>
              <w:ind w:right="160"/>
              <w:spacing w:after="0" w:line="155" w:lineRule="exact"/>
              <w:rPr>
                <w:sz w:val="20"/>
                <w:szCs w:val="20"/>
                <w:color w:val="auto"/>
              </w:rPr>
            </w:pPr>
            <w:r>
              <w:rPr>
                <w:rFonts w:ascii="Arial" w:cs="Arial" w:eastAsia="Arial" w:hAnsi="Arial"/>
                <w:sz w:val="16"/>
                <w:szCs w:val="16"/>
                <w:color w:val="auto"/>
                <w:w w:val="71"/>
              </w:rPr>
              <w:t>8-K12B</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7"/>
              </w:rPr>
              <w:t>June 18, 2018</w:t>
            </w:r>
          </w:p>
        </w:tc>
        <w:tc>
          <w:tcPr>
            <w:tcW w:w="0" w:type="dxa"/>
            <w:vAlign w:val="bottom"/>
          </w:tcPr>
          <w:p>
            <w:pPr>
              <w:spacing w:after="0"/>
              <w:rPr>
                <w:sz w:val="1"/>
                <w:szCs w:val="1"/>
                <w:color w:val="auto"/>
              </w:rPr>
            </w:pPr>
          </w:p>
        </w:tc>
      </w:tr>
      <w:tr>
        <w:trPr>
          <w:trHeight w:val="156"/>
        </w:trPr>
        <w:tc>
          <w:tcPr>
            <w:tcW w:w="5240" w:type="dxa"/>
            <w:vAlign w:val="bottom"/>
            <w:gridSpan w:val="48"/>
          </w:tcPr>
          <w:p>
            <w:pPr>
              <w:spacing w:after="0" w:line="156" w:lineRule="exact"/>
              <w:rPr>
                <w:rFonts w:ascii="Arial" w:cs="Arial" w:eastAsia="Arial" w:hAnsi="Arial"/>
                <w:sz w:val="18"/>
                <w:szCs w:val="18"/>
                <w:color w:val="0000EE"/>
                <w:w w:val="97"/>
              </w:rPr>
            </w:pPr>
            <w:hyperlink r:id="rId139">
              <w:r>
                <w:rPr>
                  <w:rFonts w:ascii="Arial" w:cs="Arial" w:eastAsia="Arial" w:hAnsi="Arial"/>
                  <w:sz w:val="18"/>
                  <w:szCs w:val="18"/>
                  <w:color w:val="0000EE"/>
                  <w:w w:val="97"/>
                </w:rPr>
                <w:t>First Amendment to the lease for facilities at 3955 Point Eden Way,</w:t>
              </w:r>
            </w:hyperlink>
          </w:p>
        </w:tc>
        <w:tc>
          <w:tcPr>
            <w:tcW w:w="5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5"/>
              </w:rPr>
              <w:t>8-K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May 31, 2019</w:t>
            </w:r>
          </w:p>
        </w:tc>
        <w:tc>
          <w:tcPr>
            <w:tcW w:w="0" w:type="dxa"/>
            <w:vAlign w:val="bottom"/>
          </w:tcPr>
          <w:p>
            <w:pPr>
              <w:spacing w:after="0"/>
              <w:rPr>
                <w:sz w:val="1"/>
                <w:szCs w:val="1"/>
                <w:color w:val="auto"/>
              </w:rPr>
            </w:pPr>
          </w:p>
        </w:tc>
      </w:tr>
      <w:tr>
        <w:trPr>
          <w:trHeight w:val="155"/>
        </w:trPr>
        <w:tc>
          <w:tcPr>
            <w:tcW w:w="4880" w:type="dxa"/>
            <w:vAlign w:val="bottom"/>
            <w:tcBorders>
              <w:top w:val="single" w:sz="8" w:color="0000EE"/>
            </w:tcBorders>
            <w:gridSpan w:val="30"/>
          </w:tcPr>
          <w:p>
            <w:pPr>
              <w:spacing w:after="0" w:line="156" w:lineRule="exact"/>
              <w:rPr>
                <w:rFonts w:ascii="Arial" w:cs="Arial" w:eastAsia="Arial" w:hAnsi="Arial"/>
                <w:sz w:val="18"/>
                <w:szCs w:val="18"/>
                <w:color w:val="0000EE"/>
              </w:rPr>
            </w:pPr>
            <w:hyperlink r:id="rId139">
              <w:r>
                <w:rPr>
                  <w:rFonts w:ascii="Arial" w:cs="Arial" w:eastAsia="Arial" w:hAnsi="Arial"/>
                  <w:sz w:val="18"/>
                  <w:szCs w:val="18"/>
                  <w:color w:val="0000EE"/>
                </w:rPr>
                <w:t>Hayward, California, dated May 28, 2019</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4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40">
              <w:r>
                <w:rPr>
                  <w:rFonts w:ascii="Arial" w:cs="Arial" w:eastAsia="Arial" w:hAnsi="Arial"/>
                  <w:sz w:val="18"/>
                  <w:szCs w:val="18"/>
                  <w:color w:val="0000EE"/>
                </w:rPr>
                <w:t>Executive Employment Agreement between Ed Ebbers and the</w:t>
              </w:r>
            </w:hyperlink>
          </w:p>
        </w:tc>
        <w:tc>
          <w:tcPr>
            <w:tcW w:w="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73"/>
              </w:rPr>
              <w:t>10-K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0001-34899</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10.17</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1"/>
              </w:rPr>
              <w:t>March 14, 2019</w:t>
            </w:r>
          </w:p>
        </w:tc>
        <w:tc>
          <w:tcPr>
            <w:tcW w:w="0" w:type="dxa"/>
            <w:vAlign w:val="bottom"/>
          </w:tcPr>
          <w:p>
            <w:pPr>
              <w:spacing w:after="0"/>
              <w:rPr>
                <w:sz w:val="1"/>
                <w:szCs w:val="1"/>
                <w:color w:val="auto"/>
              </w:rPr>
            </w:pPr>
          </w:p>
        </w:tc>
      </w:tr>
      <w:tr>
        <w:trPr>
          <w:trHeight w:val="155"/>
        </w:trPr>
        <w:tc>
          <w:tcPr>
            <w:tcW w:w="5040" w:type="dxa"/>
            <w:vAlign w:val="bottom"/>
            <w:tcBorders>
              <w:top w:val="single" w:sz="8" w:color="0000EE"/>
            </w:tcBorders>
            <w:gridSpan w:val="38"/>
          </w:tcPr>
          <w:p>
            <w:pPr>
              <w:spacing w:after="0" w:line="156" w:lineRule="exact"/>
              <w:rPr>
                <w:rFonts w:ascii="Arial" w:cs="Arial" w:eastAsia="Arial" w:hAnsi="Arial"/>
                <w:sz w:val="18"/>
                <w:szCs w:val="18"/>
                <w:color w:val="0000EE"/>
              </w:rPr>
            </w:pPr>
            <w:hyperlink r:id="rId140">
              <w:r>
                <w:rPr>
                  <w:rFonts w:ascii="Arial" w:cs="Arial" w:eastAsia="Arial" w:hAnsi="Arial"/>
                  <w:sz w:val="18"/>
                  <w:szCs w:val="18"/>
                  <w:color w:val="0000EE"/>
                </w:rPr>
                <w:t>Registrant</w:t>
              </w:r>
            </w:hyperlink>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Borders>
              <w:top w:val="single" w:sz="8" w:color="0000EE"/>
            </w:tcBorders>
          </w:tcPr>
          <w:p>
            <w:pPr>
              <w:spacing w:after="0" w:line="156" w:lineRule="exact"/>
              <w:rPr>
                <w:rFonts w:ascii="Arial" w:cs="Arial" w:eastAsia="Arial" w:hAnsi="Arial"/>
                <w:sz w:val="18"/>
                <w:szCs w:val="18"/>
                <w:color w:val="0000EE"/>
                <w:w w:val="71"/>
              </w:rPr>
            </w:pPr>
            <w:hyperlink r:id="rId141">
              <w:r>
                <w:rPr>
                  <w:rFonts w:ascii="Arial" w:cs="Arial" w:eastAsia="Arial" w:hAnsi="Arial"/>
                  <w:sz w:val="18"/>
                  <w:szCs w:val="18"/>
                  <w:color w:val="0000EE"/>
                  <w:w w:val="71"/>
                </w:rPr>
                <w:t>Employment</w:t>
              </w:r>
            </w:hyperlink>
          </w:p>
        </w:tc>
        <w:tc>
          <w:tcPr>
            <w:tcW w:w="4500" w:type="dxa"/>
            <w:vAlign w:val="bottom"/>
            <w:gridSpan w:val="47"/>
          </w:tcPr>
          <w:p>
            <w:pPr>
              <w:jc w:val="right"/>
              <w:ind w:right="360"/>
              <w:spacing w:after="0" w:line="156" w:lineRule="exact"/>
              <w:rPr>
                <w:rFonts w:ascii="Arial" w:cs="Arial" w:eastAsia="Arial" w:hAnsi="Arial"/>
                <w:sz w:val="18"/>
                <w:szCs w:val="18"/>
                <w:color w:val="0000EE"/>
              </w:rPr>
            </w:pPr>
            <w:hyperlink r:id="rId141">
              <w:r>
                <w:rPr>
                  <w:rFonts w:ascii="Arial" w:cs="Arial" w:eastAsia="Arial" w:hAnsi="Arial"/>
                  <w:sz w:val="18"/>
                  <w:szCs w:val="18"/>
                  <w:color w:val="0000EE"/>
                </w:rPr>
                <w:t>Agreement  between  Sandra  Gardiner  and  the</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91"/>
              </w:rPr>
              <w:t>November 7,</w:t>
            </w:r>
          </w:p>
        </w:tc>
        <w:tc>
          <w:tcPr>
            <w:tcW w:w="0" w:type="dxa"/>
            <w:vAlign w:val="bottom"/>
          </w:tcPr>
          <w:p>
            <w:pPr>
              <w:spacing w:after="0"/>
              <w:rPr>
                <w:sz w:val="1"/>
                <w:szCs w:val="1"/>
                <w:color w:val="auto"/>
              </w:rPr>
            </w:pPr>
          </w:p>
        </w:tc>
      </w:tr>
      <w:tr>
        <w:trPr>
          <w:trHeight w:val="155"/>
        </w:trPr>
        <w:tc>
          <w:tcPr>
            <w:tcW w:w="5000" w:type="dxa"/>
            <w:vAlign w:val="bottom"/>
            <w:tcBorders>
              <w:top w:val="single" w:sz="8" w:color="0000EE"/>
            </w:tcBorders>
            <w:gridSpan w:val="36"/>
          </w:tcPr>
          <w:p>
            <w:pPr>
              <w:spacing w:after="0" w:line="156" w:lineRule="exact"/>
              <w:rPr>
                <w:rFonts w:ascii="Arial" w:cs="Arial" w:eastAsia="Arial" w:hAnsi="Arial"/>
                <w:sz w:val="18"/>
                <w:szCs w:val="18"/>
                <w:color w:val="0000EE"/>
              </w:rPr>
            </w:pPr>
            <w:hyperlink r:id="rId141">
              <w:r>
                <w:rPr>
                  <w:rFonts w:ascii="Arial" w:cs="Arial" w:eastAsia="Arial" w:hAnsi="Arial"/>
                  <w:sz w:val="18"/>
                  <w:szCs w:val="18"/>
                  <w:color w:val="0000EE"/>
                </w:rPr>
                <w:t>Registrant</w:t>
              </w:r>
            </w:hyperlink>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c>
          <w:tcPr>
            <w:tcW w:w="54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85"/>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56"/>
        </w:trPr>
        <w:tc>
          <w:tcPr>
            <w:tcW w:w="740" w:type="dxa"/>
            <w:vAlign w:val="bottom"/>
            <w:tcBorders>
              <w:top w:val="single" w:sz="8" w:color="0000EE"/>
            </w:tcBorders>
          </w:tcPr>
          <w:p>
            <w:pPr>
              <w:spacing w:after="0" w:line="156" w:lineRule="exact"/>
              <w:rPr>
                <w:rFonts w:ascii="Arial" w:cs="Arial" w:eastAsia="Arial" w:hAnsi="Arial"/>
                <w:sz w:val="18"/>
                <w:szCs w:val="18"/>
                <w:color w:val="0000EE"/>
                <w:w w:val="82"/>
              </w:rPr>
            </w:pPr>
            <w:hyperlink w:anchor="page90">
              <w:r>
                <w:rPr>
                  <w:rFonts w:ascii="Arial" w:cs="Arial" w:eastAsia="Arial" w:hAnsi="Arial"/>
                  <w:sz w:val="18"/>
                  <w:szCs w:val="18"/>
                  <w:color w:val="0000EE"/>
                  <w:w w:val="82"/>
                </w:rPr>
                <w:t>Separation</w:t>
              </w:r>
            </w:hyperlink>
          </w:p>
        </w:tc>
        <w:tc>
          <w:tcPr>
            <w:tcW w:w="4500" w:type="dxa"/>
            <w:vAlign w:val="bottom"/>
            <w:gridSpan w:val="47"/>
          </w:tcPr>
          <w:p>
            <w:pPr>
              <w:jc w:val="right"/>
              <w:ind w:right="360"/>
              <w:spacing w:after="0" w:line="156" w:lineRule="exact"/>
              <w:rPr>
                <w:rFonts w:ascii="Arial" w:cs="Arial" w:eastAsia="Arial" w:hAnsi="Arial"/>
                <w:sz w:val="18"/>
                <w:szCs w:val="18"/>
                <w:color w:val="0000EE"/>
                <w:w w:val="93"/>
              </w:rPr>
            </w:pPr>
            <w:hyperlink w:anchor="page90">
              <w:r>
                <w:rPr>
                  <w:rFonts w:ascii="Arial" w:cs="Arial" w:eastAsia="Arial" w:hAnsi="Arial"/>
                  <w:sz w:val="18"/>
                  <w:szCs w:val="18"/>
                  <w:color w:val="0000EE"/>
                  <w:w w:val="93"/>
                </w:rPr>
                <w:t>Agreement and Release between Brian B. Dow and the</w:t>
              </w:r>
            </w:hyperlink>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7"/>
              </w:rPr>
            </w:pPr>
            <w:hyperlink w:anchor="page90">
              <w:r>
                <w:rPr>
                  <w:rFonts w:ascii="Arial" w:cs="Arial" w:eastAsia="Arial" w:hAnsi="Arial"/>
                  <w:sz w:val="18"/>
                  <w:szCs w:val="18"/>
                  <w:color w:val="0000EE"/>
                  <w:w w:val="87"/>
                </w:rPr>
                <w:t>Registrant</w:t>
              </w:r>
            </w:hyperlink>
          </w:p>
        </w:tc>
        <w:tc>
          <w:tcPr>
            <w:tcW w:w="4340" w:type="dxa"/>
            <w:vAlign w:val="bottom"/>
            <w:tcBorders>
              <w:top w:val="single" w:sz="8" w:color="0000EE"/>
            </w:tcBorders>
            <w:gridSpan w:val="39"/>
          </w:tcPr>
          <w:p>
            <w:pPr>
              <w:spacing w:after="0"/>
              <w:rPr>
                <w:sz w:val="13"/>
                <w:szCs w:val="13"/>
                <w:color w:val="auto"/>
              </w:rPr>
            </w:pPr>
          </w:p>
        </w:tc>
        <w:tc>
          <w:tcPr>
            <w:tcW w:w="160" w:type="dxa"/>
            <w:vAlign w:val="bottom"/>
            <w:gridSpan w:val="8"/>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40" w:type="dxa"/>
            <w:vAlign w:val="bottom"/>
            <w:gridSpan w:val="48"/>
          </w:tcPr>
          <w:p>
            <w:pPr>
              <w:spacing w:after="0" w:line="156" w:lineRule="exact"/>
              <w:rPr>
                <w:rFonts w:ascii="Arial" w:cs="Arial" w:eastAsia="Arial" w:hAnsi="Arial"/>
                <w:sz w:val="18"/>
                <w:szCs w:val="18"/>
                <w:color w:val="0000EE"/>
              </w:rPr>
            </w:pPr>
            <w:hyperlink r:id="rId142">
              <w:r>
                <w:rPr>
                  <w:rFonts w:ascii="Arial" w:cs="Arial" w:eastAsia="Arial" w:hAnsi="Arial"/>
                  <w:sz w:val="18"/>
                  <w:szCs w:val="18"/>
                  <w:color w:val="0000EE"/>
                </w:rPr>
                <w:t>Letter from Gumbiner Savett Inc. to the Securities and Exchange</w:t>
              </w:r>
            </w:hyperlink>
          </w:p>
        </w:tc>
        <w:tc>
          <w:tcPr>
            <w:tcW w:w="5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5"/>
              </w:rPr>
              <w:t>8-K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1"/>
              </w:rPr>
              <w:t>16.1</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3"/>
              </w:rPr>
              <w:t>April 11, 2018</w:t>
            </w:r>
          </w:p>
        </w:tc>
        <w:tc>
          <w:tcPr>
            <w:tcW w:w="0" w:type="dxa"/>
            <w:vAlign w:val="bottom"/>
          </w:tcPr>
          <w:p>
            <w:pPr>
              <w:spacing w:after="0"/>
              <w:rPr>
                <w:sz w:val="1"/>
                <w:szCs w:val="1"/>
                <w:color w:val="auto"/>
              </w:rPr>
            </w:pPr>
          </w:p>
        </w:tc>
      </w:tr>
      <w:tr>
        <w:trPr>
          <w:trHeight w:val="155"/>
        </w:trPr>
        <w:tc>
          <w:tcPr>
            <w:tcW w:w="236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Commission dated April 6, 2018</w:t>
              </w:r>
            </w:hyperlink>
          </w:p>
        </w:tc>
        <w:tc>
          <w:tcPr>
            <w:tcW w:w="2680" w:type="dxa"/>
            <w:vAlign w:val="bottom"/>
            <w:tcBorders>
              <w:top w:val="single" w:sz="8" w:color="0000EE"/>
            </w:tcBorders>
            <w:gridSpan w:val="27"/>
          </w:tcPr>
          <w:p>
            <w:pPr>
              <w:spacing w:after="0"/>
              <w:rPr>
                <w:sz w:val="13"/>
                <w:szCs w:val="13"/>
                <w:color w:val="auto"/>
              </w:rPr>
            </w:pPr>
          </w:p>
        </w:tc>
        <w:tc>
          <w:tcPr>
            <w:tcW w:w="200" w:type="dxa"/>
            <w:vAlign w:val="bottom"/>
            <w:gridSpan w:val="10"/>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-6017260</wp:posOffset>
            </wp:positionV>
            <wp:extent cx="5949315"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5949315" cy="1117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-5794375</wp:posOffset>
            </wp:positionV>
            <wp:extent cx="594931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5949315" cy="111760"/>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-5571490</wp:posOffset>
            </wp:positionV>
            <wp:extent cx="5949315"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-5236845</wp:posOffset>
            </wp:positionV>
            <wp:extent cx="594931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-4791075</wp:posOffset>
            </wp:positionV>
            <wp:extent cx="5949315"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-4345305</wp:posOffset>
            </wp:positionV>
            <wp:extent cx="594931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-3788410</wp:posOffset>
            </wp:positionV>
            <wp:extent cx="5949315"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-3342640</wp:posOffset>
            </wp:positionV>
            <wp:extent cx="594931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-2896870</wp:posOffset>
            </wp:positionV>
            <wp:extent cx="5949315"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-2451100</wp:posOffset>
            </wp:positionV>
            <wp:extent cx="5949315" cy="111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5949315" cy="11112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-2116455</wp:posOffset>
            </wp:positionV>
            <wp:extent cx="5949315"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-1670685</wp:posOffset>
            </wp:positionV>
            <wp:extent cx="5949315"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-1224915</wp:posOffset>
            </wp:positionV>
            <wp:extent cx="5949315"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5949315" cy="11112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-890905</wp:posOffset>
            </wp:positionV>
            <wp:extent cx="5949315"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-445135</wp:posOffset>
            </wp:positionV>
            <wp:extent cx="5949315" cy="2228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5949315" cy="222885"/>
                    </a:xfrm>
                    <a:prstGeom prst="rect">
                      <a:avLst/>
                    </a:prstGeom>
                    <a:noFill/>
                  </pic:spPr>
                </pic:pic>
              </a:graphicData>
            </a:graphic>
          </wp:anchor>
        </w:drawing>
        <w:drawing>
          <wp:anchor simplePos="0" relativeHeight="251657728" behindDoc="1" locked="0" layoutInCell="0" allowOverlap="1">
            <wp:simplePos x="0" y="0"/>
            <wp:positionH relativeFrom="column">
              <wp:posOffset>-481965</wp:posOffset>
            </wp:positionH>
            <wp:positionV relativeFrom="paragraph">
              <wp:posOffset>-6257290</wp:posOffset>
            </wp:positionV>
            <wp:extent cx="594931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594931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120"/>
            <w:col w:w="8600"/>
          </w:cols>
          <w:pgMar w:left="1300" w:top="108" w:right="1239" w:bottom="1440" w:gutter="0" w:footer="0" w:header="0"/>
          <w:type w:val="continuous"/>
        </w:sectPr>
      </w:pP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594042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360"/>
          </w:cols>
          <w:pgMar w:left="1300" w:top="108" w:right="1239" w:bottom="1440" w:gutter="0" w:footer="0" w:header="0"/>
          <w:type w:val="continuous"/>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9159"/>
          </w:cols>
          <w:pgMar w:left="1300" w:top="108" w:right="1440" w:bottom="1440" w:gutter="0" w:footer="0" w:header="0"/>
        </w:sectPr>
      </w:pPr>
    </w:p>
    <w:p>
      <w:pPr>
        <w:spacing w:after="0" w:line="115" w:lineRule="exact"/>
        <w:rPr>
          <w:sz w:val="20"/>
          <w:szCs w:val="20"/>
          <w:color w:val="auto"/>
        </w:rPr>
      </w:pPr>
    </w:p>
    <w:p>
      <w:pPr>
        <w:ind w:left="140"/>
        <w:spacing w:after="0"/>
        <w:rPr>
          <w:rFonts w:ascii="Arial" w:cs="Arial" w:eastAsia="Arial" w:hAnsi="Arial"/>
          <w:sz w:val="18"/>
          <w:szCs w:val="18"/>
          <w:color w:val="0000EE"/>
        </w:rPr>
      </w:pPr>
      <w:hyperlink w:anchor="page101">
        <w:r>
          <w:rPr>
            <w:rFonts w:ascii="Arial" w:cs="Arial" w:eastAsia="Arial" w:hAnsi="Arial"/>
            <w:sz w:val="18"/>
            <w:szCs w:val="18"/>
            <w:u w:val="single" w:color="auto"/>
            <w:color w:val="0000EE"/>
          </w:rPr>
          <w:t>21.1</w:t>
        </w:r>
      </w:hyperlink>
      <w:r>
        <w:rPr>
          <w:rFonts w:ascii="Arial" w:cs="Arial" w:eastAsia="Arial" w:hAnsi="Arial"/>
          <w:sz w:val="18"/>
          <w:szCs w:val="18"/>
          <w:color w:val="000000"/>
        </w:rPr>
        <w:t>*</w:t>
      </w:r>
    </w:p>
    <w:p>
      <w:pPr>
        <w:ind w:left="140"/>
        <w:spacing w:after="0" w:line="203" w:lineRule="auto"/>
        <w:rPr>
          <w:rFonts w:ascii="Arial" w:cs="Arial" w:eastAsia="Arial" w:hAnsi="Arial"/>
          <w:sz w:val="18"/>
          <w:szCs w:val="18"/>
          <w:color w:val="0000EE"/>
        </w:rPr>
      </w:pPr>
      <w:hyperlink w:anchor="page102">
        <w:r>
          <w:rPr>
            <w:rFonts w:ascii="Arial" w:cs="Arial" w:eastAsia="Arial" w:hAnsi="Arial"/>
            <w:sz w:val="18"/>
            <w:szCs w:val="18"/>
            <w:u w:val="single" w:color="auto"/>
            <w:color w:val="0000EE"/>
          </w:rPr>
          <w:t>23.1</w:t>
        </w:r>
      </w:hyperlink>
      <w:r>
        <w:rPr>
          <w:rFonts w:ascii="Arial" w:cs="Arial" w:eastAsia="Arial" w:hAnsi="Arial"/>
          <w:sz w:val="18"/>
          <w:szCs w:val="18"/>
          <w:color w:val="000000"/>
        </w:rPr>
        <w:t>*</w:t>
      </w:r>
    </w:p>
    <w:p>
      <w:pPr>
        <w:ind w:left="140"/>
        <w:spacing w:after="0"/>
        <w:rPr>
          <w:rFonts w:ascii="Arial" w:cs="Arial" w:eastAsia="Arial" w:hAnsi="Arial"/>
          <w:sz w:val="18"/>
          <w:szCs w:val="18"/>
          <w:color w:val="0000EE"/>
        </w:rPr>
      </w:pPr>
      <w:hyperlink w:anchor="page103">
        <w:r>
          <w:rPr>
            <w:rFonts w:ascii="Arial" w:cs="Arial" w:eastAsia="Arial" w:hAnsi="Arial"/>
            <w:sz w:val="18"/>
            <w:szCs w:val="18"/>
            <w:u w:val="single" w:color="auto"/>
            <w:color w:val="0000EE"/>
          </w:rPr>
          <w:t>23.2</w:t>
        </w:r>
      </w:hyperlink>
      <w:r>
        <w:rPr>
          <w:rFonts w:ascii="Arial" w:cs="Arial" w:eastAsia="Arial" w:hAnsi="Arial"/>
          <w:sz w:val="18"/>
          <w:szCs w:val="18"/>
          <w:color w:val="000000"/>
        </w:rPr>
        <w:t>*</w:t>
      </w:r>
    </w:p>
    <w:p>
      <w:pPr>
        <w:spacing w:after="0" w:line="34" w:lineRule="exact"/>
        <w:rPr>
          <w:sz w:val="20"/>
          <w:szCs w:val="20"/>
          <w:color w:val="auto"/>
        </w:rPr>
      </w:pPr>
    </w:p>
    <w:p>
      <w:pPr>
        <w:ind w:left="140"/>
        <w:spacing w:after="0"/>
        <w:rPr>
          <w:rFonts w:ascii="Arial" w:cs="Arial" w:eastAsia="Arial" w:hAnsi="Arial"/>
          <w:sz w:val="18"/>
          <w:szCs w:val="18"/>
          <w:color w:val="0000EE"/>
        </w:rPr>
      </w:pPr>
      <w:hyperlink w:anchor="page104">
        <w:r>
          <w:rPr>
            <w:rFonts w:ascii="Arial" w:cs="Arial" w:eastAsia="Arial" w:hAnsi="Arial"/>
            <w:sz w:val="18"/>
            <w:szCs w:val="18"/>
            <w:u w:val="single" w:color="auto"/>
            <w:color w:val="0000EE"/>
          </w:rPr>
          <w:t>31.1</w:t>
        </w:r>
      </w:hyperlink>
      <w:r>
        <w:rPr>
          <w:rFonts w:ascii="Arial" w:cs="Arial" w:eastAsia="Arial" w:hAnsi="Arial"/>
          <w:sz w:val="18"/>
          <w:szCs w:val="18"/>
          <w:color w:val="000000"/>
        </w:rPr>
        <w:t>*</w:t>
      </w:r>
    </w:p>
    <w:p>
      <w:pPr>
        <w:spacing w:after="0" w:line="144" w:lineRule="exact"/>
        <w:rPr>
          <w:sz w:val="20"/>
          <w:szCs w:val="20"/>
          <w:color w:val="auto"/>
        </w:rPr>
      </w:pPr>
    </w:p>
    <w:p>
      <w:pPr>
        <w:ind w:left="140"/>
        <w:spacing w:after="0"/>
        <w:rPr>
          <w:rFonts w:ascii="Arial" w:cs="Arial" w:eastAsia="Arial" w:hAnsi="Arial"/>
          <w:sz w:val="18"/>
          <w:szCs w:val="18"/>
          <w:color w:val="0000EE"/>
        </w:rPr>
      </w:pPr>
      <w:hyperlink w:anchor="page105">
        <w:r>
          <w:rPr>
            <w:rFonts w:ascii="Arial" w:cs="Arial" w:eastAsia="Arial" w:hAnsi="Arial"/>
            <w:sz w:val="18"/>
            <w:szCs w:val="18"/>
            <w:u w:val="single" w:color="auto"/>
            <w:color w:val="0000EE"/>
          </w:rPr>
          <w:t>31.2</w:t>
        </w:r>
      </w:hyperlink>
      <w:r>
        <w:rPr>
          <w:rFonts w:ascii="Arial" w:cs="Arial" w:eastAsia="Arial" w:hAnsi="Arial"/>
          <w:sz w:val="18"/>
          <w:szCs w:val="18"/>
          <w:color w:val="000000"/>
        </w:rPr>
        <w:t>*</w:t>
      </w:r>
    </w:p>
    <w:p>
      <w:pPr>
        <w:spacing w:after="0" w:line="239" w:lineRule="exact"/>
        <w:rPr>
          <w:sz w:val="20"/>
          <w:szCs w:val="20"/>
          <w:color w:val="auto"/>
        </w:rPr>
      </w:pPr>
    </w:p>
    <w:p>
      <w:pPr>
        <w:jc w:val="center"/>
        <w:ind w:left="20"/>
        <w:spacing w:after="0"/>
        <w:rPr>
          <w:rFonts w:ascii="Arial" w:cs="Arial" w:eastAsia="Arial" w:hAnsi="Arial"/>
          <w:sz w:val="18"/>
          <w:szCs w:val="18"/>
          <w:color w:val="0000EE"/>
        </w:rPr>
      </w:pPr>
      <w:hyperlink w:anchor="page106">
        <w:r>
          <w:rPr>
            <w:rFonts w:ascii="Arial" w:cs="Arial" w:eastAsia="Arial" w:hAnsi="Arial"/>
            <w:sz w:val="18"/>
            <w:szCs w:val="18"/>
            <w:u w:val="single" w:color="auto"/>
            <w:color w:val="0000EE"/>
          </w:rPr>
          <w:t>32.1</w:t>
        </w:r>
      </w:hyperlink>
      <w:r>
        <w:rPr>
          <w:rFonts w:ascii="Arial" w:cs="Arial" w:eastAsia="Arial" w:hAnsi="Arial"/>
          <w:sz w:val="18"/>
          <w:szCs w:val="18"/>
          <w:color w:val="000000"/>
        </w:rPr>
        <w: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101.INS</w:t>
      </w:r>
    </w:p>
    <w:p>
      <w:pPr>
        <w:ind w:left="20"/>
        <w:spacing w:after="0"/>
        <w:rPr>
          <w:sz w:val="20"/>
          <w:szCs w:val="20"/>
          <w:color w:val="auto"/>
        </w:rPr>
      </w:pPr>
      <w:r>
        <w:rPr>
          <w:rFonts w:ascii="Arial" w:cs="Arial" w:eastAsia="Arial" w:hAnsi="Arial"/>
          <w:sz w:val="16"/>
          <w:szCs w:val="16"/>
          <w:color w:val="auto"/>
        </w:rPr>
        <w:t>101.SCH</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101.CAL</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101.DEF</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4"/>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-103505</wp:posOffset>
            </wp:positionV>
            <wp:extent cx="5949315"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5949315" cy="111760"/>
                    </a:xfrm>
                    <a:prstGeom prst="rect">
                      <a:avLst/>
                    </a:prstGeom>
                    <a:noFill/>
                  </pic:spPr>
                </pic:pic>
              </a:graphicData>
            </a:graphic>
          </wp:anchor>
        </w:drawing>
      </w:r>
    </w:p>
    <w:p>
      <w:pPr>
        <w:ind w:left="4" w:right="3579"/>
        <w:spacing w:after="0" w:line="203" w:lineRule="auto"/>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Consent of Independent Registered Public Accounting Firm.</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Consent of Independent Registered Public Accounting Firm</w:t>
        </w:r>
      </w:hyperlink>
      <w:r>
        <w:rPr>
          <w:rFonts w:ascii="Arial" w:cs="Arial" w:eastAsia="Arial" w:hAnsi="Arial"/>
          <w:sz w:val="18"/>
          <w:szCs w:val="18"/>
          <w:u w:val="single" w:color="auto"/>
          <w:color w:val="0000EE"/>
        </w:rPr>
        <w:t xml:space="preserve"> </w:t>
      </w:r>
      <w:hyperlink w:anchor="page104">
        <w:r>
          <w:rPr>
            <w:rFonts w:ascii="Arial" w:cs="Arial" w:eastAsia="Arial" w:hAnsi="Arial"/>
            <w:sz w:val="18"/>
            <w:szCs w:val="18"/>
            <w:u w:val="single" w:color="auto"/>
            <w:color w:val="0000EE"/>
          </w:rPr>
          <w:t>Certification of Chief Executive Officer pursuant to Section 302 of</w:t>
        </w:r>
      </w:hyperlink>
      <w:r>
        <w:rPr>
          <w:rFonts w:ascii="Arial" w:cs="Arial" w:eastAsia="Arial" w:hAnsi="Arial"/>
          <w:sz w:val="18"/>
          <w:szCs w:val="18"/>
          <w:u w:val="single" w:color="auto"/>
          <w:color w:val="0000EE"/>
        </w:rPr>
        <w:t xml:space="preserve"> </w:t>
      </w:r>
      <w:hyperlink w:anchor="page104">
        <w:r>
          <w:rPr>
            <w:rFonts w:ascii="Arial" w:cs="Arial" w:eastAsia="Arial" w:hAnsi="Arial"/>
            <w:sz w:val="18"/>
            <w:szCs w:val="18"/>
            <w:u w:val="single" w:color="auto"/>
            <w:color w:val="0000EE"/>
          </w:rPr>
          <w:t>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-325120</wp:posOffset>
            </wp:positionV>
            <wp:extent cx="5949315"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5949315" cy="111760"/>
                    </a:xfrm>
                    <a:prstGeom prst="rect">
                      <a:avLst/>
                    </a:prstGeom>
                    <a:noFill/>
                  </pic:spPr>
                </pic:pic>
              </a:graphicData>
            </a:graphic>
          </wp:anchor>
        </w:drawing>
      </w:r>
    </w:p>
    <w:p>
      <w:pPr>
        <w:ind w:left="4" w:right="3639"/>
        <w:spacing w:after="0" w:line="203" w:lineRule="auto"/>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Certification of Chief Financial Officer pursuant to Section 302 of</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-213995</wp:posOffset>
            </wp:positionV>
            <wp:extent cx="5949315"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5949315" cy="222885"/>
                    </a:xfrm>
                    <a:prstGeom prst="rect">
                      <a:avLst/>
                    </a:prstGeom>
                    <a:noFill/>
                  </pic:spPr>
                </pic:pic>
              </a:graphicData>
            </a:graphic>
          </wp:anchor>
        </w:drawing>
      </w:r>
    </w:p>
    <w:p>
      <w:pPr>
        <w:ind w:left="4" w:right="3739"/>
        <w:spacing w:after="0" w:line="203" w:lineRule="auto"/>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Certification of the Chief Executive and Chief Financial Officers</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pursuant to Section 906 of the Sarbanes-Oxley Act of 2002 (18</w:t>
        </w:r>
      </w:hyperlink>
      <w:r>
        <w:rPr>
          <w:rFonts w:ascii="Arial" w:cs="Arial" w:eastAsia="Arial" w:hAnsi="Arial"/>
          <w:sz w:val="18"/>
          <w:szCs w:val="18"/>
          <w:u w:val="single" w:color="auto"/>
          <w:color w:val="0000EE"/>
        </w:rPr>
        <w:t xml:space="preserve"> </w:t>
      </w:r>
      <w:hyperlink w:anchor="page106">
        <w:r>
          <w:rPr>
            <w:rFonts w:ascii="Arial" w:cs="Arial" w:eastAsia="Arial" w:hAnsi="Arial"/>
            <w:sz w:val="18"/>
            <w:szCs w:val="18"/>
            <w:u w:val="single" w:color="auto"/>
            <w:color w:val="0000EE"/>
          </w:rPr>
          <w:t>U.S.C. Section 1350).</w:t>
        </w:r>
      </w:hyperlink>
    </w:p>
    <w:p>
      <w:pPr>
        <w:ind w:left="4"/>
        <w:spacing w:after="0" w:line="204" w:lineRule="auto"/>
        <w:rPr>
          <w:sz w:val="20"/>
          <w:szCs w:val="20"/>
          <w:color w:val="auto"/>
        </w:rPr>
      </w:pPr>
      <w:r>
        <w:rPr>
          <w:rFonts w:ascii="Arial" w:cs="Arial" w:eastAsia="Arial" w:hAnsi="Arial"/>
          <w:sz w:val="18"/>
          <w:szCs w:val="18"/>
          <w:color w:val="auto"/>
        </w:rPr>
        <w:t>Inline XBRL Instance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-102870</wp:posOffset>
            </wp:positionV>
            <wp:extent cx="5949315"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5949315" cy="111760"/>
                    </a:xfrm>
                    <a:prstGeom prst="rect">
                      <a:avLst/>
                    </a:prstGeom>
                    <a:noFill/>
                  </pic:spPr>
                </pic:pic>
              </a:graphicData>
            </a:graphic>
          </wp:anchor>
        </w:drawing>
      </w:r>
    </w:p>
    <w:p>
      <w:pPr>
        <w:ind w:left="4"/>
        <w:spacing w:after="0" w:line="204" w:lineRule="auto"/>
        <w:rPr>
          <w:sz w:val="20"/>
          <w:szCs w:val="20"/>
          <w:color w:val="auto"/>
        </w:rPr>
      </w:pPr>
      <w:r>
        <w:rPr>
          <w:rFonts w:ascii="Arial" w:cs="Arial" w:eastAsia="Arial" w:hAnsi="Arial"/>
          <w:sz w:val="18"/>
          <w:szCs w:val="18"/>
          <w:color w:val="auto"/>
        </w:rPr>
        <w:t>Inline XBRL Taxonomy Extension Schema Document</w:t>
      </w:r>
    </w:p>
    <w:p>
      <w:pPr>
        <w:ind w:left="4"/>
        <w:spacing w:after="0" w:line="203" w:lineRule="auto"/>
        <w:rPr>
          <w:sz w:val="20"/>
          <w:szCs w:val="20"/>
          <w:color w:val="auto"/>
        </w:rPr>
      </w:pPr>
      <w:r>
        <w:rPr>
          <w:rFonts w:ascii="Arial" w:cs="Arial" w:eastAsia="Arial" w:hAnsi="Arial"/>
          <w:sz w:val="18"/>
          <w:szCs w:val="18"/>
          <w:color w:val="auto"/>
        </w:rPr>
        <w:t>Inline XBRL Taxonomy Extension Calculation Linkbase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-102870</wp:posOffset>
            </wp:positionV>
            <wp:extent cx="5949315"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5949315" cy="222885"/>
                    </a:xfrm>
                    <a:prstGeom prst="rect">
                      <a:avLst/>
                    </a:prstGeom>
                    <a:noFill/>
                  </pic:spPr>
                </pic:pic>
              </a:graphicData>
            </a:graphic>
          </wp:anchor>
        </w:drawing>
      </w:r>
    </w:p>
    <w:p>
      <w:pPr>
        <w:ind w:left="4"/>
        <w:spacing w:after="0" w:line="204" w:lineRule="auto"/>
        <w:rPr>
          <w:sz w:val="20"/>
          <w:szCs w:val="20"/>
          <w:color w:val="auto"/>
        </w:rPr>
      </w:pPr>
      <w:r>
        <w:rPr>
          <w:rFonts w:ascii="Arial" w:cs="Arial" w:eastAsia="Arial" w:hAnsi="Arial"/>
          <w:sz w:val="18"/>
          <w:szCs w:val="18"/>
          <w:color w:val="auto"/>
        </w:rPr>
        <w:t>Document</w:t>
      </w:r>
    </w:p>
    <w:p>
      <w:pPr>
        <w:ind w:left="4" w:right="3599"/>
        <w:spacing w:after="0" w:line="203" w:lineRule="auto"/>
        <w:rPr>
          <w:sz w:val="20"/>
          <w:szCs w:val="20"/>
          <w:color w:val="auto"/>
        </w:rPr>
      </w:pPr>
      <w:r>
        <w:rPr>
          <w:rFonts w:ascii="Arial" w:cs="Arial" w:eastAsia="Arial" w:hAnsi="Arial"/>
          <w:sz w:val="18"/>
          <w:szCs w:val="18"/>
          <w:color w:val="auto"/>
        </w:rPr>
        <w:t>Inline XBRL Taxonomy Extension Definition Linkbase Document Inline XBRL Taxonomy Extension Label Linkbase Document Inline XBRL Taxonomy Extension Presentation Linkbase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-325120</wp:posOffset>
            </wp:positionV>
            <wp:extent cx="5949315"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5949315" cy="111125"/>
                    </a:xfrm>
                    <a:prstGeom prst="rect">
                      <a:avLst/>
                    </a:prstGeom>
                    <a:noFill/>
                  </pic:spPr>
                </pic:pic>
              </a:graphicData>
            </a:graphic>
          </wp:anchor>
        </w:drawing>
      </w:r>
    </w:p>
    <w:p>
      <w:pPr>
        <w:ind w:left="4" w:right="3759"/>
        <w:spacing w:after="0" w:line="226"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-239395</wp:posOffset>
            </wp:positionV>
            <wp:extent cx="5949315" cy="2228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5949315" cy="222885"/>
                    </a:xfrm>
                    <a:prstGeom prst="rect">
                      <a:avLst/>
                    </a:prstGeom>
                    <a:noFill/>
                  </pic:spPr>
                </pic:pic>
              </a:graphicData>
            </a:graphic>
          </wp:anchor>
        </w:drawing>
      </w:r>
    </w:p>
    <w:p>
      <w:pPr>
        <w:spacing w:after="0" w:line="85" w:lineRule="exact"/>
        <w:rPr>
          <w:rFonts w:ascii="Arial" w:cs="Arial" w:eastAsia="Arial" w:hAnsi="Arial"/>
          <w:sz w:val="18"/>
          <w:szCs w:val="18"/>
          <w:u w:val="single" w:color="auto"/>
          <w:color w:val="0000EE"/>
        </w:rPr>
      </w:pPr>
    </w:p>
    <w:p>
      <w:pPr>
        <w:ind w:left="4"/>
        <w:spacing w:after="0"/>
        <w:rPr>
          <w:sz w:val="20"/>
          <w:szCs w:val="20"/>
          <w:color w:val="auto"/>
        </w:rPr>
      </w:pPr>
      <w:r>
        <w:rPr>
          <w:rFonts w:ascii="Arial" w:cs="Arial" w:eastAsia="Arial" w:hAnsi="Arial"/>
          <w:sz w:val="18"/>
          <w:szCs w:val="18"/>
          <w:color w:val="auto"/>
        </w:rPr>
        <w:t>* Filed herewith</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-103505</wp:posOffset>
            </wp:positionV>
            <wp:extent cx="5949315"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5949315" cy="111760"/>
                    </a:xfrm>
                    <a:prstGeom prst="rect">
                      <a:avLst/>
                    </a:prstGeom>
                    <a:noFill/>
                  </pic:spPr>
                </pic:pic>
              </a:graphicData>
            </a:graphic>
          </wp:anchor>
        </w:drawing>
      </w:r>
    </w:p>
    <w:p>
      <w:pPr>
        <w:ind w:left="4" w:right="4099" w:hanging="4"/>
        <w:spacing w:after="0" w:line="203" w:lineRule="auto"/>
        <w:tabs>
          <w:tab w:leader="none" w:pos="1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ind w:left="4" w:right="3539"/>
        <w:spacing w:after="0" w:line="226" w:lineRule="auto"/>
        <w:rPr>
          <w:rFonts w:ascii="Arial" w:cs="Arial" w:eastAsia="Arial" w:hAnsi="Arial"/>
          <w:sz w:val="18"/>
          <w:szCs w:val="18"/>
          <w:color w:val="auto"/>
        </w:rPr>
      </w:pPr>
      <w:r>
        <w:rPr>
          <w:rFonts w:ascii="Arial" w:cs="Arial" w:eastAsia="Arial" w:hAnsi="Arial"/>
          <w:sz w:val="18"/>
          <w:szCs w:val="18"/>
          <w:color w:val="auto"/>
        </w:rPr>
        <w:t># Portions of this exhibit (indicated by asterisks) have been omitted pursuant to a grant of confidential treatment.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-479425</wp:posOffset>
            </wp:positionH>
            <wp:positionV relativeFrom="paragraph">
              <wp:posOffset>-239395</wp:posOffset>
            </wp:positionV>
            <wp:extent cx="5949315" cy="2228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5949315" cy="22288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680" w:space="76"/>
            <w:col w:w="8403"/>
          </w:cols>
          <w:pgMar w:left="1300" w:top="108" w:right="1440" w:bottom="1440" w:gutter="0" w:footer="0" w:header="0"/>
          <w:type w:val="continuous"/>
        </w:sectPr>
      </w:pPr>
    </w:p>
    <w:p>
      <w:pPr>
        <w:spacing w:after="0" w:line="326" w:lineRule="exact"/>
        <w:rPr>
          <w:rFonts w:ascii="Arial" w:cs="Arial" w:eastAsia="Arial" w:hAnsi="Arial"/>
          <w:sz w:val="18"/>
          <w:szCs w:val="18"/>
          <w:u w:val="single" w:color="auto"/>
          <w:color w:val="0000EE"/>
        </w:rPr>
      </w:pPr>
    </w:p>
    <w:p>
      <w:pPr>
        <w:jc w:val="center"/>
        <w:ind w:right="-140"/>
        <w:spacing w:after="0"/>
        <w:rPr>
          <w:sz w:val="20"/>
          <w:szCs w:val="20"/>
          <w:color w:val="auto"/>
        </w:rPr>
      </w:pPr>
      <w:r>
        <w:rPr>
          <w:rFonts w:ascii="Arial" w:cs="Arial" w:eastAsia="Arial" w:hAnsi="Arial"/>
          <w:sz w:val="16"/>
          <w:szCs w:val="16"/>
          <w:color w:val="auto"/>
        </w:rPr>
        <w:t>82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594042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159"/>
          </w:cols>
          <w:pgMar w:left="1300" w:top="108" w:right="1440"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594042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159"/>
          </w:cols>
          <w:pgMar w:left="1300" w:top="108"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Pursuant to the requirements of the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00" w:val="left"/>
          <w:tab w:leader="none" w:pos="6100" w:val="left"/>
          <w:tab w:leader="none" w:pos="644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3248660</wp:posOffset>
            </wp:positionH>
            <wp:positionV relativeFrom="paragraph">
              <wp:posOffset>-635</wp:posOffset>
            </wp:positionV>
            <wp:extent cx="23831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jc w:val="center"/>
        <w:ind w:left="4680"/>
        <w:spacing w:after="0" w:line="225" w:lineRule="auto"/>
        <w:rPr>
          <w:sz w:val="20"/>
          <w:szCs w:val="20"/>
          <w:color w:val="auto"/>
        </w:rPr>
      </w:pPr>
      <w:r>
        <w:rPr>
          <w:rFonts w:ascii="Arial" w:cs="Arial" w:eastAsia="Arial" w:hAnsi="Arial"/>
          <w:sz w:val="18"/>
          <w:szCs w:val="18"/>
          <w:b w:val="1"/>
          <w:bCs w:val="1"/>
          <w:color w:val="auto"/>
        </w:rPr>
        <w:t>Sandra A. Gardiner</w:t>
      </w:r>
    </w:p>
    <w:p>
      <w:pPr>
        <w:jc w:val="center"/>
        <w:ind w:left="4680"/>
        <w:spacing w:after="0" w:line="221" w:lineRule="auto"/>
        <w:rPr>
          <w:sz w:val="20"/>
          <w:szCs w:val="20"/>
          <w:color w:val="auto"/>
        </w:rPr>
      </w:pPr>
      <w:r>
        <w:rPr>
          <w:rFonts w:ascii="Arial" w:cs="Arial" w:eastAsia="Arial" w:hAnsi="Arial"/>
          <w:sz w:val="14"/>
          <w:szCs w:val="14"/>
          <w:b w:val="1"/>
          <w:bCs w:val="1"/>
          <w:color w:val="auto"/>
        </w:rPr>
        <w:t>Chief Financial Officer, Executive Vice President of Finance</w:t>
      </w:r>
    </w:p>
    <w:p>
      <w:pPr>
        <w:jc w:val="center"/>
        <w:ind w:left="4680"/>
        <w:spacing w:after="0" w:line="221" w:lineRule="auto"/>
        <w:rPr>
          <w:sz w:val="20"/>
          <w:szCs w:val="20"/>
          <w:color w:val="auto"/>
        </w:rPr>
      </w:pPr>
      <w:r>
        <w:rPr>
          <w:rFonts w:ascii="Arial" w:cs="Arial" w:eastAsia="Arial" w:hAnsi="Arial"/>
          <w:sz w:val="14"/>
          <w:szCs w:val="14"/>
          <w:b w:val="1"/>
          <w:bCs w:val="1"/>
          <w:color w:val="auto"/>
        </w:rPr>
        <w:t>and Administration, Secretary and Treasurer</w:t>
      </w:r>
    </w:p>
    <w:p>
      <w:pPr>
        <w:spacing w:after="0" w:line="1"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Darrin R. Uecker and Sandra A. Gardiner,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1031"/>
              <w:spacing w:after="0"/>
              <w:rPr>
                <w:sz w:val="20"/>
                <w:szCs w:val="20"/>
                <w:color w:val="auto"/>
              </w:rPr>
            </w:pPr>
            <w:r>
              <w:rPr>
                <w:rFonts w:ascii="Arial" w:cs="Arial" w:eastAsia="Arial" w:hAnsi="Arial"/>
                <w:sz w:val="18"/>
                <w:szCs w:val="18"/>
                <w:b w:val="1"/>
                <w:bCs w:val="1"/>
                <w:color w:val="auto"/>
                <w:w w:val="89"/>
              </w:rPr>
              <w:t>Signature</w:t>
            </w:r>
          </w:p>
        </w:tc>
        <w:tc>
          <w:tcPr>
            <w:tcW w:w="180" w:type="dxa"/>
            <w:vAlign w:val="bottom"/>
          </w:tcPr>
          <w:p>
            <w:pPr>
              <w:spacing w:after="0"/>
              <w:rPr>
                <w:sz w:val="18"/>
                <w:szCs w:val="18"/>
                <w:color w:val="auto"/>
              </w:rPr>
            </w:pPr>
          </w:p>
        </w:tc>
        <w:tc>
          <w:tcPr>
            <w:tcW w:w="386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18"/>
                <w:szCs w:val="18"/>
                <w:color w:val="auto"/>
              </w:rPr>
            </w:pPr>
          </w:p>
        </w:tc>
        <w:tc>
          <w:tcPr>
            <w:tcW w:w="15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120" w:type="dxa"/>
            <w:vAlign w:val="bottom"/>
            <w:tcBorders>
              <w:bottom w:val="single" w:sz="8" w:color="CCEEFF"/>
            </w:tcBorders>
            <w:shd w:val="clear" w:color="auto" w:fill="CCEEFF"/>
          </w:tcPr>
          <w:p>
            <w:pPr>
              <w:ind w:left="960"/>
              <w:spacing w:after="0" w:line="149" w:lineRule="exact"/>
              <w:rPr>
                <w:sz w:val="20"/>
                <w:szCs w:val="20"/>
                <w:color w:val="auto"/>
              </w:rPr>
            </w:pPr>
            <w:r>
              <w:rPr>
                <w:rFonts w:ascii="Arial" w:cs="Arial" w:eastAsia="Arial" w:hAnsi="Arial"/>
                <w:sz w:val="17"/>
                <w:szCs w:val="17"/>
                <w:color w:val="auto"/>
                <w:w w:val="77"/>
              </w:rPr>
              <w:t>/s/</w:t>
            </w:r>
          </w:p>
        </w:tc>
        <w:tc>
          <w:tcPr>
            <w:tcW w:w="2380" w:type="dxa"/>
            <w:vAlign w:val="bottom"/>
            <w:tcBorders>
              <w:bottom w:val="single" w:sz="8" w:color="CCEEFF"/>
            </w:tcBorders>
            <w:shd w:val="clear" w:color="auto" w:fill="CCEEFF"/>
          </w:tcPr>
          <w:p>
            <w:pPr>
              <w:jc w:val="center"/>
              <w:ind w:right="691"/>
              <w:spacing w:after="0" w:line="149" w:lineRule="exact"/>
              <w:rPr>
                <w:sz w:val="20"/>
                <w:szCs w:val="20"/>
                <w:color w:val="auto"/>
              </w:rPr>
            </w:pPr>
            <w:r>
              <w:rPr>
                <w:rFonts w:ascii="Arial" w:cs="Arial" w:eastAsia="Arial" w:hAnsi="Arial"/>
                <w:sz w:val="17"/>
                <w:szCs w:val="17"/>
                <w:color w:val="auto"/>
                <w:w w:val="97"/>
              </w:rPr>
              <w:t>Darrin R. Uecker</w:t>
            </w:r>
          </w:p>
        </w:tc>
        <w:tc>
          <w:tcPr>
            <w:tcW w:w="18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President, Chief Executive Officer and Director</w:t>
            </w: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183"/>
        </w:trPr>
        <w:tc>
          <w:tcPr>
            <w:tcW w:w="1120" w:type="dxa"/>
            <w:vAlign w:val="bottom"/>
            <w:tcBorders>
              <w:top w:val="single" w:sz="8" w:color="auto"/>
            </w:tcBorders>
            <w:shd w:val="clear" w:color="auto" w:fill="CCEEFF"/>
          </w:tcPr>
          <w:p>
            <w:pPr>
              <w:spacing w:after="0"/>
              <w:rPr>
                <w:sz w:val="15"/>
                <w:szCs w:val="15"/>
                <w:color w:val="auto"/>
              </w:rPr>
            </w:pPr>
          </w:p>
        </w:tc>
        <w:tc>
          <w:tcPr>
            <w:tcW w:w="2380" w:type="dxa"/>
            <w:vAlign w:val="bottom"/>
            <w:tcBorders>
              <w:top w:val="single" w:sz="8" w:color="auto"/>
            </w:tcBorders>
            <w:vMerge w:val="restart"/>
            <w:shd w:val="clear" w:color="auto" w:fill="CCEEFF"/>
          </w:tcPr>
          <w:p>
            <w:pPr>
              <w:jc w:val="center"/>
              <w:ind w:right="1031"/>
              <w:spacing w:after="0"/>
              <w:rPr>
                <w:sz w:val="20"/>
                <w:szCs w:val="20"/>
                <w:color w:val="auto"/>
              </w:rPr>
            </w:pPr>
            <w:r>
              <w:rPr>
                <w:rFonts w:ascii="Arial" w:cs="Arial" w:eastAsia="Arial" w:hAnsi="Arial"/>
                <w:sz w:val="18"/>
                <w:szCs w:val="18"/>
                <w:color w:val="auto"/>
                <w:w w:val="93"/>
              </w:rPr>
              <w:t>Darrin R. Uecker</w:t>
            </w:r>
          </w:p>
        </w:tc>
        <w:tc>
          <w:tcPr>
            <w:tcW w:w="180" w:type="dxa"/>
            <w:vAlign w:val="bottom"/>
            <w:tcBorders>
              <w:top w:val="single" w:sz="8" w:color="CCEEFF"/>
            </w:tcBorders>
            <w:shd w:val="clear" w:color="auto" w:fill="CCEEFF"/>
          </w:tcPr>
          <w:p>
            <w:pPr>
              <w:spacing w:after="0"/>
              <w:rPr>
                <w:sz w:val="15"/>
                <w:szCs w:val="15"/>
                <w:color w:val="auto"/>
              </w:rPr>
            </w:pPr>
          </w:p>
        </w:tc>
        <w:tc>
          <w:tcPr>
            <w:tcW w:w="3860" w:type="dxa"/>
            <w:vAlign w:val="bottom"/>
            <w:tcBorders>
              <w:top w:val="single" w:sz="8" w:color="CCEEFF"/>
            </w:tcBorders>
            <w:shd w:val="clear" w:color="auto" w:fill="CCEEFF"/>
          </w:tcPr>
          <w:p>
            <w:pPr>
              <w:jc w:val="center"/>
              <w:spacing w:after="0" w:line="183"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p>
        </w:tc>
        <w:tc>
          <w:tcPr>
            <w:tcW w:w="2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20" w:type="dxa"/>
            <w:vAlign w:val="bottom"/>
            <w:shd w:val="clear" w:color="auto" w:fill="CCEEFF"/>
          </w:tcPr>
          <w:p>
            <w:pPr>
              <w:spacing w:after="0"/>
              <w:rPr>
                <w:sz w:val="14"/>
                <w:szCs w:val="14"/>
                <w:color w:val="auto"/>
              </w:rPr>
            </w:pPr>
          </w:p>
        </w:tc>
        <w:tc>
          <w:tcPr>
            <w:tcW w:w="23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ind w:left="900"/>
              <w:spacing w:after="0" w:line="176" w:lineRule="exact"/>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tcPr>
          <w:p>
            <w:pPr>
              <w:jc w:val="center"/>
              <w:ind w:right="691"/>
              <w:spacing w:after="0" w:line="176" w:lineRule="exact"/>
              <w:rPr>
                <w:sz w:val="20"/>
                <w:szCs w:val="20"/>
                <w:color w:val="auto"/>
              </w:rPr>
            </w:pPr>
            <w:r>
              <w:rPr>
                <w:rFonts w:ascii="Arial" w:cs="Arial" w:eastAsia="Arial" w:hAnsi="Arial"/>
                <w:sz w:val="18"/>
                <w:szCs w:val="18"/>
                <w:color w:val="auto"/>
                <w:w w:val="91"/>
              </w:rPr>
              <w:t>Robert W. Duggan</w:t>
            </w:r>
          </w:p>
        </w:tc>
        <w:tc>
          <w:tcPr>
            <w:tcW w:w="180" w:type="dxa"/>
            <w:vAlign w:val="bottom"/>
          </w:tcPr>
          <w:p>
            <w:pPr>
              <w:spacing w:after="0"/>
              <w:rPr>
                <w:sz w:val="15"/>
                <w:szCs w:val="15"/>
                <w:color w:val="auto"/>
              </w:rPr>
            </w:pPr>
          </w:p>
        </w:tc>
        <w:tc>
          <w:tcPr>
            <w:tcW w:w="3860" w:type="dxa"/>
            <w:vAlign w:val="bottom"/>
          </w:tcPr>
          <w:p>
            <w:pPr>
              <w:jc w:val="center"/>
              <w:spacing w:after="0" w:line="176" w:lineRule="exact"/>
              <w:rPr>
                <w:sz w:val="20"/>
                <w:szCs w:val="20"/>
                <w:color w:val="auto"/>
              </w:rPr>
            </w:pPr>
            <w:r>
              <w:rPr>
                <w:rFonts w:ascii="Arial" w:cs="Arial" w:eastAsia="Arial" w:hAnsi="Arial"/>
                <w:sz w:val="18"/>
                <w:szCs w:val="18"/>
                <w:color w:val="auto"/>
                <w:w w:val="92"/>
              </w:rPr>
              <w:t>Chairman of the Board of Directors</w:t>
            </w:r>
          </w:p>
        </w:tc>
        <w:tc>
          <w:tcPr>
            <w:tcW w:w="200" w:type="dxa"/>
            <w:vAlign w:val="bottom"/>
          </w:tcPr>
          <w:p>
            <w:pPr>
              <w:spacing w:after="0"/>
              <w:rPr>
                <w:sz w:val="15"/>
                <w:szCs w:val="15"/>
                <w:color w:val="auto"/>
              </w:rPr>
            </w:pPr>
          </w:p>
        </w:tc>
        <w:tc>
          <w:tcPr>
            <w:tcW w:w="1540" w:type="dxa"/>
            <w:vAlign w:val="bottom"/>
          </w:tcPr>
          <w:p>
            <w:pPr>
              <w:ind w:left="140"/>
              <w:spacing w:after="0" w:line="176" w:lineRule="exact"/>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372"/>
        </w:trPr>
        <w:tc>
          <w:tcPr>
            <w:tcW w:w="3500" w:type="dxa"/>
            <w:vAlign w:val="bottom"/>
            <w:gridSpan w:val="2"/>
          </w:tcPr>
          <w:p>
            <w:pPr>
              <w:jc w:val="center"/>
              <w:spacing w:after="0"/>
              <w:rPr>
                <w:sz w:val="20"/>
                <w:szCs w:val="20"/>
                <w:color w:val="auto"/>
              </w:rPr>
            </w:pPr>
            <w:r>
              <w:rPr>
                <w:rFonts w:ascii="Arial" w:cs="Arial" w:eastAsia="Arial" w:hAnsi="Arial"/>
                <w:sz w:val="18"/>
                <w:szCs w:val="18"/>
                <w:color w:val="auto"/>
                <w:w w:val="89"/>
              </w:rPr>
              <w:t>Robert W. Duggan</w:t>
            </w: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20" w:type="dxa"/>
            <w:vAlign w:val="bottom"/>
            <w:tcBorders>
              <w:bottom w:val="single" w:sz="8" w:color="CCEEFF"/>
            </w:tcBorders>
            <w:shd w:val="clear" w:color="auto" w:fill="CCEEFF"/>
          </w:tcPr>
          <w:p>
            <w:pPr>
              <w:ind w:left="880"/>
              <w:spacing w:after="0" w:line="149" w:lineRule="exact"/>
              <w:rPr>
                <w:sz w:val="20"/>
                <w:szCs w:val="20"/>
                <w:color w:val="auto"/>
              </w:rPr>
            </w:pPr>
            <w:r>
              <w:rPr>
                <w:rFonts w:ascii="Arial" w:cs="Arial" w:eastAsia="Arial" w:hAnsi="Arial"/>
                <w:sz w:val="17"/>
                <w:szCs w:val="17"/>
                <w:color w:val="auto"/>
              </w:rPr>
              <w:t>/s/</w:t>
            </w:r>
          </w:p>
        </w:tc>
        <w:tc>
          <w:tcPr>
            <w:tcW w:w="2380" w:type="dxa"/>
            <w:vAlign w:val="bottom"/>
            <w:tcBorders>
              <w:bottom w:val="single" w:sz="8" w:color="CCEEFF"/>
            </w:tcBorders>
            <w:shd w:val="clear" w:color="auto" w:fill="CCEEFF"/>
          </w:tcPr>
          <w:p>
            <w:pPr>
              <w:jc w:val="center"/>
              <w:ind w:right="691"/>
              <w:spacing w:after="0" w:line="149" w:lineRule="exact"/>
              <w:rPr>
                <w:sz w:val="20"/>
                <w:szCs w:val="20"/>
                <w:color w:val="auto"/>
              </w:rPr>
            </w:pPr>
            <w:r>
              <w:rPr>
                <w:rFonts w:ascii="Arial" w:cs="Arial" w:eastAsia="Arial" w:hAnsi="Arial"/>
                <w:sz w:val="17"/>
                <w:szCs w:val="17"/>
                <w:color w:val="auto"/>
                <w:w w:val="95"/>
              </w:rPr>
              <w:t>Sandra A. Gardiner</w:t>
            </w:r>
          </w:p>
        </w:tc>
        <w:tc>
          <w:tcPr>
            <w:tcW w:w="18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Chief Financial Officer, Executive Vice President,</w:t>
            </w: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140"/>
              <w:spacing w:after="0" w:line="149" w:lineRule="exact"/>
              <w:rPr>
                <w:sz w:val="20"/>
                <w:szCs w:val="20"/>
                <w:color w:val="auto"/>
              </w:rPr>
            </w:pPr>
            <w:r>
              <w:rPr>
                <w:rFonts w:ascii="Arial" w:cs="Arial" w:eastAsia="Arial" w:hAnsi="Arial"/>
                <w:sz w:val="17"/>
                <w:szCs w:val="17"/>
                <w:color w:val="auto"/>
              </w:rPr>
              <w:t>March 16, 2020</w:t>
            </w:r>
          </w:p>
        </w:tc>
        <w:tc>
          <w:tcPr>
            <w:tcW w:w="0" w:type="dxa"/>
            <w:vAlign w:val="bottom"/>
          </w:tcPr>
          <w:p>
            <w:pPr>
              <w:spacing w:after="0"/>
              <w:rPr>
                <w:sz w:val="1"/>
                <w:szCs w:val="1"/>
                <w:color w:val="auto"/>
              </w:rPr>
            </w:pPr>
          </w:p>
        </w:tc>
      </w:tr>
      <w:tr>
        <w:trPr>
          <w:trHeight w:val="128"/>
        </w:trPr>
        <w:tc>
          <w:tcPr>
            <w:tcW w:w="1120" w:type="dxa"/>
            <w:vAlign w:val="bottom"/>
            <w:tcBorders>
              <w:top w:val="single" w:sz="8" w:color="auto"/>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860" w:type="dxa"/>
            <w:vAlign w:val="bottom"/>
            <w:tcBorders>
              <w:top w:val="single" w:sz="8" w:color="CCEEFF"/>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Secretary and Treasurer</w:t>
            </w:r>
          </w:p>
        </w:tc>
        <w:tc>
          <w:tcPr>
            <w:tcW w:w="20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Sandra A. Gardiner</w:t>
            </w:r>
          </w:p>
        </w:tc>
        <w:tc>
          <w:tcPr>
            <w:tcW w:w="180" w:type="dxa"/>
            <w:vAlign w:val="bottom"/>
            <w:shd w:val="clear" w:color="auto" w:fill="CCEEFF"/>
          </w:tcPr>
          <w:p>
            <w:pPr>
              <w:spacing w:after="0"/>
              <w:rPr>
                <w:sz w:val="18"/>
                <w:szCs w:val="18"/>
                <w:color w:val="auto"/>
              </w:rPr>
            </w:pP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tcPr>
          <w:p>
            <w:pPr>
              <w:ind w:left="820"/>
              <w:spacing w:after="0" w:line="176" w:lineRule="exact"/>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tcPr>
          <w:p>
            <w:pPr>
              <w:jc w:val="center"/>
              <w:ind w:right="691"/>
              <w:spacing w:after="0" w:line="176" w:lineRule="exact"/>
              <w:rPr>
                <w:sz w:val="20"/>
                <w:szCs w:val="20"/>
                <w:color w:val="auto"/>
              </w:rPr>
            </w:pPr>
            <w:r>
              <w:rPr>
                <w:rFonts w:ascii="Arial" w:cs="Arial" w:eastAsia="Arial" w:hAnsi="Arial"/>
                <w:sz w:val="18"/>
                <w:szCs w:val="18"/>
                <w:color w:val="auto"/>
                <w:w w:val="94"/>
              </w:rPr>
              <w:t>Mitchell E. Levinson</w:t>
            </w:r>
          </w:p>
        </w:tc>
        <w:tc>
          <w:tcPr>
            <w:tcW w:w="180" w:type="dxa"/>
            <w:vAlign w:val="bottom"/>
          </w:tcPr>
          <w:p>
            <w:pPr>
              <w:spacing w:after="0"/>
              <w:rPr>
                <w:sz w:val="15"/>
                <w:szCs w:val="15"/>
                <w:color w:val="auto"/>
              </w:rPr>
            </w:pPr>
          </w:p>
        </w:tc>
        <w:tc>
          <w:tcPr>
            <w:tcW w:w="3860" w:type="dxa"/>
            <w:vAlign w:val="bottom"/>
          </w:tcPr>
          <w:p>
            <w:pPr>
              <w:jc w:val="center"/>
              <w:spacing w:after="0" w:line="176" w:lineRule="exact"/>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5"/>
                <w:szCs w:val="15"/>
                <w:color w:val="auto"/>
              </w:rPr>
            </w:pPr>
          </w:p>
        </w:tc>
        <w:tc>
          <w:tcPr>
            <w:tcW w:w="1540" w:type="dxa"/>
            <w:vAlign w:val="bottom"/>
          </w:tcPr>
          <w:p>
            <w:pPr>
              <w:ind w:left="140"/>
              <w:spacing w:after="0" w:line="176" w:lineRule="exact"/>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372"/>
        </w:trPr>
        <w:tc>
          <w:tcPr>
            <w:tcW w:w="3500" w:type="dxa"/>
            <w:vAlign w:val="bottom"/>
            <w:gridSpan w:val="2"/>
          </w:tcPr>
          <w:p>
            <w:pPr>
              <w:jc w:val="center"/>
              <w:spacing w:after="0"/>
              <w:rPr>
                <w:sz w:val="20"/>
                <w:szCs w:val="20"/>
                <w:color w:val="auto"/>
              </w:rPr>
            </w:pPr>
            <w:r>
              <w:rPr>
                <w:rFonts w:ascii="Arial" w:cs="Arial" w:eastAsia="Arial" w:hAnsi="Arial"/>
                <w:sz w:val="18"/>
                <w:szCs w:val="18"/>
                <w:color w:val="auto"/>
                <w:w w:val="96"/>
              </w:rPr>
              <w:t>Mitchell E. Levinson</w:t>
            </w: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shd w:val="clear" w:color="auto" w:fill="CCEEFF"/>
          </w:tcPr>
          <w:p>
            <w:pPr>
              <w:ind w:left="940"/>
              <w:spacing w:after="0" w:line="176" w:lineRule="exact"/>
              <w:rPr>
                <w:sz w:val="20"/>
                <w:szCs w:val="20"/>
                <w:color w:val="auto"/>
              </w:rPr>
            </w:pPr>
            <w:r>
              <w:rPr>
                <w:rFonts w:ascii="Arial" w:cs="Arial" w:eastAsia="Arial" w:hAnsi="Arial"/>
                <w:sz w:val="18"/>
                <w:szCs w:val="18"/>
                <w:color w:val="auto"/>
                <w:w w:val="83"/>
              </w:rPr>
              <w:t>/s/</w:t>
            </w:r>
          </w:p>
        </w:tc>
        <w:tc>
          <w:tcPr>
            <w:tcW w:w="2380" w:type="dxa"/>
            <w:vAlign w:val="bottom"/>
            <w:tcBorders>
              <w:bottom w:val="single" w:sz="8" w:color="auto"/>
            </w:tcBorders>
            <w:shd w:val="clear" w:color="auto" w:fill="CCEEFF"/>
          </w:tcPr>
          <w:p>
            <w:pPr>
              <w:jc w:val="center"/>
              <w:ind w:right="691"/>
              <w:spacing w:after="0" w:line="176" w:lineRule="exact"/>
              <w:rPr>
                <w:sz w:val="20"/>
                <w:szCs w:val="20"/>
                <w:color w:val="auto"/>
              </w:rPr>
            </w:pPr>
            <w:r>
              <w:rPr>
                <w:rFonts w:ascii="Arial" w:cs="Arial" w:eastAsia="Arial" w:hAnsi="Arial"/>
                <w:sz w:val="18"/>
                <w:szCs w:val="18"/>
                <w:color w:val="auto"/>
                <w:w w:val="94"/>
              </w:rPr>
              <w:t>Kenneth A. Clark</w:t>
            </w:r>
          </w:p>
        </w:tc>
        <w:tc>
          <w:tcPr>
            <w:tcW w:w="18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Director</w:t>
            </w:r>
          </w:p>
        </w:tc>
        <w:tc>
          <w:tcPr>
            <w:tcW w:w="2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344"/>
        </w:trPr>
        <w:tc>
          <w:tcPr>
            <w:tcW w:w="3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Kenneth A. Clark</w:t>
            </w:r>
          </w:p>
        </w:tc>
        <w:tc>
          <w:tcPr>
            <w:tcW w:w="18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Borders>
              <w:bottom w:val="single" w:sz="8" w:color="auto"/>
            </w:tcBorders>
          </w:tcPr>
          <w:p>
            <w:pPr>
              <w:ind w:left="960"/>
              <w:spacing w:after="0" w:line="176" w:lineRule="exact"/>
              <w:rPr>
                <w:sz w:val="20"/>
                <w:szCs w:val="20"/>
                <w:color w:val="auto"/>
              </w:rPr>
            </w:pPr>
            <w:r>
              <w:rPr>
                <w:rFonts w:ascii="Arial" w:cs="Arial" w:eastAsia="Arial" w:hAnsi="Arial"/>
                <w:sz w:val="18"/>
                <w:szCs w:val="18"/>
                <w:color w:val="auto"/>
                <w:w w:val="73"/>
              </w:rPr>
              <w:t>/s/</w:t>
            </w:r>
          </w:p>
        </w:tc>
        <w:tc>
          <w:tcPr>
            <w:tcW w:w="2380" w:type="dxa"/>
            <w:vAlign w:val="bottom"/>
            <w:tcBorders>
              <w:bottom w:val="single" w:sz="8" w:color="auto"/>
            </w:tcBorders>
          </w:tcPr>
          <w:p>
            <w:pPr>
              <w:jc w:val="center"/>
              <w:ind w:right="691"/>
              <w:spacing w:after="0" w:line="176" w:lineRule="exact"/>
              <w:rPr>
                <w:sz w:val="20"/>
                <w:szCs w:val="20"/>
                <w:color w:val="auto"/>
              </w:rPr>
            </w:pPr>
            <w:r>
              <w:rPr>
                <w:rFonts w:ascii="Arial" w:cs="Arial" w:eastAsia="Arial" w:hAnsi="Arial"/>
                <w:sz w:val="18"/>
                <w:szCs w:val="18"/>
                <w:color w:val="auto"/>
                <w:w w:val="89"/>
              </w:rPr>
              <w:t>Manmeet S. Soni</w:t>
            </w:r>
          </w:p>
        </w:tc>
        <w:tc>
          <w:tcPr>
            <w:tcW w:w="180" w:type="dxa"/>
            <w:vAlign w:val="bottom"/>
          </w:tcPr>
          <w:p>
            <w:pPr>
              <w:spacing w:after="0"/>
              <w:rPr>
                <w:sz w:val="15"/>
                <w:szCs w:val="15"/>
                <w:color w:val="auto"/>
              </w:rPr>
            </w:pPr>
          </w:p>
        </w:tc>
        <w:tc>
          <w:tcPr>
            <w:tcW w:w="3860" w:type="dxa"/>
            <w:vAlign w:val="bottom"/>
          </w:tcPr>
          <w:p>
            <w:pPr>
              <w:jc w:val="center"/>
              <w:spacing w:after="0" w:line="176" w:lineRule="exact"/>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5"/>
                <w:szCs w:val="15"/>
                <w:color w:val="auto"/>
              </w:rPr>
            </w:pPr>
          </w:p>
        </w:tc>
        <w:tc>
          <w:tcPr>
            <w:tcW w:w="1540" w:type="dxa"/>
            <w:vAlign w:val="bottom"/>
          </w:tcPr>
          <w:p>
            <w:pPr>
              <w:ind w:left="140"/>
              <w:spacing w:after="0" w:line="176" w:lineRule="exact"/>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4"/>
                <w:szCs w:val="24"/>
                <w:color w:val="auto"/>
              </w:rPr>
            </w:pPr>
          </w:p>
        </w:tc>
        <w:tc>
          <w:tcPr>
            <w:tcW w:w="2380" w:type="dxa"/>
            <w:vAlign w:val="bottom"/>
          </w:tcPr>
          <w:p>
            <w:pPr>
              <w:jc w:val="center"/>
              <w:ind w:right="1031"/>
              <w:spacing w:after="0"/>
              <w:rPr>
                <w:sz w:val="20"/>
                <w:szCs w:val="20"/>
                <w:color w:val="auto"/>
              </w:rPr>
            </w:pPr>
            <w:r>
              <w:rPr>
                <w:rFonts w:ascii="Arial" w:cs="Arial" w:eastAsia="Arial" w:hAnsi="Arial"/>
                <w:sz w:val="18"/>
                <w:szCs w:val="18"/>
                <w:color w:val="auto"/>
                <w:w w:val="91"/>
              </w:rPr>
              <w:t>Manmeet S. Soni</w:t>
            </w:r>
          </w:p>
        </w:tc>
        <w:tc>
          <w:tcPr>
            <w:tcW w:w="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Mahkam Zanganeh</w:t>
            </w:r>
          </w:p>
        </w:tc>
        <w:tc>
          <w:tcPr>
            <w:tcW w:w="1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March 16,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5897880" cy="454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5897880" cy="454660"/>
                    </a:xfrm>
                    <a:prstGeom prst="rect">
                      <a:avLst/>
                    </a:prstGeom>
                    <a:noFill/>
                  </pic:spPr>
                </pic:pic>
              </a:graphicData>
            </a:graphic>
          </wp:anchor>
        </w:drawing>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Mahkam Zanganeh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594042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4.6</w:t>
      </w:r>
    </w:p>
    <w:p>
      <w:pPr>
        <w:spacing w:after="0" w:line="242" w:lineRule="exact"/>
        <w:rPr>
          <w:sz w:val="20"/>
          <w:szCs w:val="20"/>
          <w:color w:val="auto"/>
        </w:rPr>
      </w:pPr>
    </w:p>
    <w:p>
      <w:pPr>
        <w:jc w:val="center"/>
        <w:ind w:left="2280" w:right="1160"/>
        <w:spacing w:after="0" w:line="253" w:lineRule="auto"/>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183" w:lineRule="exact"/>
        <w:rPr>
          <w:sz w:val="20"/>
          <w:szCs w:val="20"/>
          <w:color w:val="auto"/>
        </w:rPr>
      </w:pPr>
    </w:p>
    <w:p>
      <w:pPr>
        <w:jc w:val="both"/>
        <w:ind w:left="180" w:firstLine="648"/>
        <w:spacing w:after="0" w:line="278" w:lineRule="auto"/>
        <w:rPr>
          <w:sz w:val="20"/>
          <w:szCs w:val="20"/>
          <w:color w:val="auto"/>
        </w:rPr>
      </w:pPr>
      <w:r>
        <w:rPr>
          <w:rFonts w:ascii="Arial" w:cs="Arial" w:eastAsia="Arial" w:hAnsi="Arial"/>
          <w:sz w:val="18"/>
          <w:szCs w:val="18"/>
          <w:color w:val="auto"/>
        </w:rPr>
        <w:t>The following description of the capital stock of Pulse Biosciences, Inc. (“us,” “our,” “we” or the “Company”) is a summary of the rights of our capital stock and summarizes certain provisions of our certificate of incorporation and our bylaws. This summary does not purport to be complete and is qualified in its entirety by the provisions of our certificate of incorporation and bylaws, copies of which have been filed as exhibits to this Annual Report on Form 10-K, as well as to the applicable provisions of the Delaware General Corporation Law.</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authorized capital stock consists of 550,000,000 shares, with a par value of $0.001 per share, of</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which:</w:t>
      </w:r>
    </w:p>
    <w:p>
      <w:pPr>
        <w:spacing w:after="0" w:line="200" w:lineRule="exact"/>
        <w:rPr>
          <w:sz w:val="20"/>
          <w:szCs w:val="20"/>
          <w:color w:val="auto"/>
        </w:rPr>
      </w:pPr>
    </w:p>
    <w:p>
      <w:pPr>
        <w:ind w:left="1000" w:hanging="168"/>
        <w:spacing w:after="0"/>
        <w:tabs>
          <w:tab w:leader="none" w:pos="10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500,000,000 shares are designated as common stock; and</w:t>
      </w:r>
    </w:p>
    <w:p>
      <w:pPr>
        <w:spacing w:after="0" w:line="215" w:lineRule="exact"/>
        <w:rPr>
          <w:rFonts w:ascii="Arial" w:cs="Arial" w:eastAsia="Arial" w:hAnsi="Arial"/>
          <w:sz w:val="20"/>
          <w:szCs w:val="20"/>
          <w:color w:val="auto"/>
        </w:rPr>
      </w:pPr>
    </w:p>
    <w:p>
      <w:pPr>
        <w:ind w:left="940" w:hanging="108"/>
        <w:spacing w:after="0"/>
        <w:tabs>
          <w:tab w:leader="none" w:pos="9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50,000,000 shares are designated as preferred stock.</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Common Stock</w:t>
      </w:r>
    </w:p>
    <w:p>
      <w:pPr>
        <w:spacing w:after="0" w:line="114" w:lineRule="exact"/>
        <w:rPr>
          <w:sz w:val="20"/>
          <w:szCs w:val="20"/>
          <w:color w:val="auto"/>
        </w:rPr>
      </w:pPr>
    </w:p>
    <w:p>
      <w:pPr>
        <w:jc w:val="both"/>
        <w:ind w:left="180" w:firstLine="360"/>
        <w:spacing w:after="0" w:line="273" w:lineRule="auto"/>
        <w:rPr>
          <w:sz w:val="20"/>
          <w:szCs w:val="20"/>
          <w:color w:val="auto"/>
        </w:rPr>
      </w:pPr>
      <w:r>
        <w:rPr>
          <w:rFonts w:ascii="Arial" w:cs="Arial" w:eastAsia="Arial" w:hAnsi="Arial"/>
          <w:sz w:val="18"/>
          <w:szCs w:val="18"/>
          <w:color w:val="auto"/>
        </w:rPr>
        <w:t>Holders of shares of common stock are entitled to one vote per share on all matters to be voted upon by the stockholders generally and do not have cumulative voting rights. Subject to the preferences that may be applicable to any preferred stock outstanding at the time, the holders of outstanding shares of our common stock are entitled to receive such dividends as may be declared from time to time by the board of directors out of funds legally available therefor, and in the event of liquidation, dissolution or winding up of the company to share ratably in all assets remaining after payment of liabilities and the liquidation preference of any then outstanding shares of preferred stock. The holders of shares of common stock have no preemptive or conversion rights. There are no redemption or sinking fund provisions applicable to the common stock.</w:t>
      </w:r>
    </w:p>
    <w:p>
      <w:pPr>
        <w:spacing w:after="0" w:line="60" w:lineRule="exact"/>
        <w:rPr>
          <w:sz w:val="20"/>
          <w:szCs w:val="20"/>
          <w:color w:val="auto"/>
        </w:rPr>
      </w:pPr>
    </w:p>
    <w:p>
      <w:pPr>
        <w:jc w:val="both"/>
        <w:ind w:left="180" w:firstLine="360"/>
        <w:spacing w:after="0" w:line="260" w:lineRule="auto"/>
        <w:rPr>
          <w:sz w:val="20"/>
          <w:szCs w:val="20"/>
          <w:color w:val="auto"/>
        </w:rPr>
      </w:pPr>
      <w:r>
        <w:rPr>
          <w:rFonts w:ascii="Arial" w:cs="Arial" w:eastAsia="Arial" w:hAnsi="Arial"/>
          <w:sz w:val="20"/>
          <w:szCs w:val="20"/>
          <w:color w:val="auto"/>
        </w:rPr>
        <w:t>Our common stock is listed on the Nasdaq Stock Market under the symbol “PLSE.” The transfer agent and registrar for our common stock is Broadridge Corporate Issuers Solutions, Inc.</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Preferred Stock</w:t>
      </w:r>
    </w:p>
    <w:p>
      <w:pPr>
        <w:spacing w:after="0" w:line="114" w:lineRule="exact"/>
        <w:rPr>
          <w:sz w:val="20"/>
          <w:szCs w:val="20"/>
          <w:color w:val="auto"/>
        </w:rPr>
      </w:pPr>
    </w:p>
    <w:p>
      <w:pPr>
        <w:jc w:val="both"/>
        <w:ind w:left="180" w:firstLine="360"/>
        <w:spacing w:after="0" w:line="271" w:lineRule="auto"/>
        <w:rPr>
          <w:sz w:val="20"/>
          <w:szCs w:val="20"/>
          <w:color w:val="auto"/>
        </w:rPr>
      </w:pPr>
      <w:r>
        <w:rPr>
          <w:rFonts w:ascii="Arial" w:cs="Arial" w:eastAsia="Arial" w:hAnsi="Arial"/>
          <w:sz w:val="18"/>
          <w:szCs w:val="18"/>
          <w:color w:val="auto"/>
        </w:rPr>
        <w:t>The following description of preferred stock is not complete. These descriptions are qualified in their entirety by reference to our certificate of incorporation and the certificate of designation relating to any series of preferred stock. The rights, preferences, rights and restrictions of the preferred stock of each series will be fixed by the certificate of designation relating to that series. Under the terms of our certificate of incorporation, our board of directors is authorized to issue shares of preferred stock in one or more series without stockholder approval. Our board of directors may designate the powers, designations, preferences, and relative participation, optional or other rights, if any, and the qualifications, limitations or restrictions thereof, including dividend rights, conversion rights, voting rights, redemption rights, liquidation preference, sinking fund terms and the number of shares constituting any series or the designation or any series. There are no restrictions presently on the repurchase or redemption of any shares of our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108585</wp:posOffset>
            </wp:positionV>
            <wp:extent cx="573468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8" w:right="1319" w:bottom="1440" w:gutter="0" w:footer="0" w:header="0"/>
        </w:sectPr>
      </w:pPr>
    </w:p>
    <w:bookmarkStart w:id="86" w:name="page87"/>
    <w:bookmarkEnd w:id="86"/>
    <w:p>
      <w:pPr>
        <w:jc w:val="both"/>
        <w:ind w:left="180" w:firstLine="360"/>
        <w:spacing w:after="0" w:line="283" w:lineRule="auto"/>
        <w:rPr>
          <w:sz w:val="20"/>
          <w:szCs w:val="20"/>
          <w:color w:val="auto"/>
        </w:rPr>
      </w:pPr>
      <w:r>
        <w:rPr>
          <w:rFonts w:ascii="Arial" w:cs="Arial" w:eastAsia="Arial" w:hAnsi="Arial"/>
          <w:sz w:val="18"/>
          <w:szCs w:val="18"/>
          <w:color w:val="auto"/>
        </w:rPr>
        <w:t>The issuance of shares of preferred stock will affect, and may adversely affect, the rights of holders of common stock. It is not possible to state the actual effect of the issuance of any shares of preferred stock on the rights of holders of common stock until our board of directors determines the specific rights attached to that preferred stock. The effects of issuing additional preferred stock could include one or more of the following:</w:t>
      </w:r>
    </w:p>
    <w:p>
      <w:pPr>
        <w:ind w:left="500" w:hanging="316"/>
        <w:spacing w:after="0" w:line="216" w:lineRule="auto"/>
        <w:tabs>
          <w:tab w:leader="none" w:pos="500" w:val="left"/>
        </w:tabs>
        <w:numPr>
          <w:ilvl w:val="0"/>
          <w:numId w:val="37"/>
        </w:numPr>
        <w:rPr>
          <w:rFonts w:ascii="Arial" w:cs="Arial" w:eastAsia="Arial" w:hAnsi="Arial"/>
          <w:sz w:val="29"/>
          <w:szCs w:val="29"/>
          <w:color w:val="auto"/>
          <w:vertAlign w:val="superscript"/>
        </w:rPr>
      </w:pPr>
      <w:r>
        <w:rPr>
          <w:rFonts w:ascii="Arial" w:cs="Arial" w:eastAsia="Arial" w:hAnsi="Arial"/>
          <w:sz w:val="20"/>
          <w:szCs w:val="20"/>
          <w:color w:val="auto"/>
        </w:rPr>
        <w:t>restricting dividends on the common stock;</w:t>
      </w:r>
    </w:p>
    <w:p>
      <w:pPr>
        <w:spacing w:after="0" w:line="104" w:lineRule="exact"/>
        <w:rPr>
          <w:rFonts w:ascii="Arial" w:cs="Arial" w:eastAsia="Arial" w:hAnsi="Arial"/>
          <w:sz w:val="29"/>
          <w:szCs w:val="29"/>
          <w:color w:val="auto"/>
          <w:vertAlign w:val="superscript"/>
        </w:rPr>
      </w:pPr>
    </w:p>
    <w:p>
      <w:pPr>
        <w:ind w:left="500" w:hanging="316"/>
        <w:spacing w:after="0" w:line="181" w:lineRule="auto"/>
        <w:tabs>
          <w:tab w:leader="none" w:pos="500" w:val="left"/>
        </w:tabs>
        <w:numPr>
          <w:ilvl w:val="0"/>
          <w:numId w:val="37"/>
        </w:numPr>
        <w:rPr>
          <w:rFonts w:ascii="Arial" w:cs="Arial" w:eastAsia="Arial" w:hAnsi="Arial"/>
          <w:sz w:val="27"/>
          <w:szCs w:val="27"/>
          <w:color w:val="auto"/>
          <w:vertAlign w:val="superscript"/>
        </w:rPr>
      </w:pPr>
      <w:r>
        <w:rPr>
          <w:rFonts w:ascii="Arial" w:cs="Arial" w:eastAsia="Arial" w:hAnsi="Arial"/>
          <w:sz w:val="19"/>
          <w:szCs w:val="19"/>
          <w:color w:val="auto"/>
        </w:rPr>
        <w:t>diluting the voting power of the common stock;</w:t>
      </w:r>
    </w:p>
    <w:p>
      <w:pPr>
        <w:spacing w:after="0" w:line="103" w:lineRule="exact"/>
        <w:rPr>
          <w:rFonts w:ascii="Arial" w:cs="Arial" w:eastAsia="Arial" w:hAnsi="Arial"/>
          <w:sz w:val="27"/>
          <w:szCs w:val="27"/>
          <w:color w:val="auto"/>
          <w:vertAlign w:val="superscript"/>
        </w:rPr>
      </w:pPr>
    </w:p>
    <w:p>
      <w:pPr>
        <w:ind w:left="500" w:hanging="316"/>
        <w:spacing w:after="0" w:line="181" w:lineRule="auto"/>
        <w:tabs>
          <w:tab w:leader="none" w:pos="500" w:val="left"/>
        </w:tabs>
        <w:numPr>
          <w:ilvl w:val="0"/>
          <w:numId w:val="37"/>
        </w:numPr>
        <w:rPr>
          <w:rFonts w:ascii="Arial" w:cs="Arial" w:eastAsia="Arial" w:hAnsi="Arial"/>
          <w:sz w:val="27"/>
          <w:szCs w:val="27"/>
          <w:color w:val="auto"/>
          <w:vertAlign w:val="superscript"/>
        </w:rPr>
      </w:pPr>
      <w:r>
        <w:rPr>
          <w:rFonts w:ascii="Arial" w:cs="Arial" w:eastAsia="Arial" w:hAnsi="Arial"/>
          <w:sz w:val="19"/>
          <w:szCs w:val="19"/>
          <w:color w:val="auto"/>
        </w:rPr>
        <w:t>impairing the liquidation rights of the common stock; or</w:t>
      </w:r>
    </w:p>
    <w:p>
      <w:pPr>
        <w:spacing w:after="0" w:line="103" w:lineRule="exact"/>
        <w:rPr>
          <w:rFonts w:ascii="Arial" w:cs="Arial" w:eastAsia="Arial" w:hAnsi="Arial"/>
          <w:sz w:val="27"/>
          <w:szCs w:val="27"/>
          <w:color w:val="auto"/>
          <w:vertAlign w:val="superscript"/>
        </w:rPr>
      </w:pPr>
    </w:p>
    <w:p>
      <w:pPr>
        <w:ind w:left="500" w:hanging="316"/>
        <w:spacing w:after="0" w:line="181" w:lineRule="auto"/>
        <w:tabs>
          <w:tab w:leader="none" w:pos="500" w:val="left"/>
        </w:tabs>
        <w:numPr>
          <w:ilvl w:val="0"/>
          <w:numId w:val="37"/>
        </w:numPr>
        <w:rPr>
          <w:rFonts w:ascii="Arial" w:cs="Arial" w:eastAsia="Arial" w:hAnsi="Arial"/>
          <w:sz w:val="27"/>
          <w:szCs w:val="27"/>
          <w:color w:val="auto"/>
          <w:vertAlign w:val="superscript"/>
        </w:rPr>
      </w:pPr>
      <w:r>
        <w:rPr>
          <w:rFonts w:ascii="Arial" w:cs="Arial" w:eastAsia="Arial" w:hAnsi="Arial"/>
          <w:sz w:val="19"/>
          <w:szCs w:val="19"/>
          <w:color w:val="auto"/>
        </w:rPr>
        <w:t>delaying or preventing changes in control or management of our company.</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Registration Rights</w:t>
      </w:r>
    </w:p>
    <w:p>
      <w:pPr>
        <w:spacing w:after="0" w:line="343"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Warrant Holders’ Rights Agreement</w:t>
      </w:r>
    </w:p>
    <w:p>
      <w:pPr>
        <w:spacing w:after="0" w:line="108" w:lineRule="exact"/>
        <w:rPr>
          <w:sz w:val="20"/>
          <w:szCs w:val="20"/>
          <w:color w:val="auto"/>
        </w:rPr>
      </w:pPr>
    </w:p>
    <w:p>
      <w:pPr>
        <w:jc w:val="both"/>
        <w:ind w:left="180" w:firstLine="360"/>
        <w:spacing w:after="0" w:line="243" w:lineRule="auto"/>
        <w:rPr>
          <w:sz w:val="20"/>
          <w:szCs w:val="20"/>
          <w:color w:val="auto"/>
        </w:rPr>
      </w:pPr>
      <w:r>
        <w:rPr>
          <w:rFonts w:ascii="Arial" w:cs="Arial" w:eastAsia="Arial" w:hAnsi="Arial"/>
          <w:sz w:val="20"/>
          <w:szCs w:val="20"/>
          <w:color w:val="auto"/>
        </w:rPr>
        <w:t>In connection with a private placement offering of shares of common stock and an Investment Banking Agreement dated September 30, 2014, we entered into a Registration Rights Agreement for Warrants, dated November 6, 2014, with MDB Capital Group, LLC (“MDB”) pursuant to which we agreed, upon request, to file a registration statement to cover the resale of up to 299,625 shares of common stock issuable upon exercise of warrants, and to keep such registration statement effective for 12 months starting from the date of effectiveness of such registration statement.</w:t>
      </w:r>
    </w:p>
    <w:p>
      <w:pPr>
        <w:spacing w:after="0" w:line="88"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Underwriters’ Warrants</w:t>
      </w:r>
    </w:p>
    <w:p>
      <w:pPr>
        <w:spacing w:after="0" w:line="108" w:lineRule="exact"/>
        <w:rPr>
          <w:sz w:val="20"/>
          <w:szCs w:val="20"/>
          <w:color w:val="auto"/>
        </w:rPr>
      </w:pPr>
    </w:p>
    <w:p>
      <w:pPr>
        <w:jc w:val="both"/>
        <w:ind w:left="180" w:firstLine="360"/>
        <w:spacing w:after="0" w:line="243" w:lineRule="auto"/>
        <w:rPr>
          <w:sz w:val="20"/>
          <w:szCs w:val="20"/>
          <w:color w:val="auto"/>
        </w:rPr>
      </w:pPr>
      <w:r>
        <w:rPr>
          <w:rFonts w:ascii="Arial" w:cs="Arial" w:eastAsia="Arial" w:hAnsi="Arial"/>
          <w:sz w:val="20"/>
          <w:szCs w:val="20"/>
          <w:color w:val="auto"/>
        </w:rPr>
        <w:t>In connection with the Underwriting Agreement, dated May 17, 2016, between the Company and MDB, as representative of the underwriters, we issued warrants to purchase up to 575,000 shares of our common stock. Pursuant to such warrants, we agreed, upon request, to file a registration statement to cover the resale of shares issuable upon exercise of such warrants, and to keep such registration statement effective until the date on which all of the shares registered for sale or resale under such registration statement are either sold pursuant to such registration statement or can be sold publicly without restriction or limitation under Rule 144 under the Securities Act.</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Purchase Agreements</w:t>
      </w:r>
    </w:p>
    <w:p>
      <w:pPr>
        <w:spacing w:after="0" w:line="108" w:lineRule="exact"/>
        <w:rPr>
          <w:sz w:val="20"/>
          <w:szCs w:val="20"/>
          <w:color w:val="auto"/>
        </w:rPr>
      </w:pPr>
    </w:p>
    <w:p>
      <w:pPr>
        <w:jc w:val="both"/>
        <w:ind w:left="180" w:firstLine="360"/>
        <w:spacing w:after="0" w:line="243" w:lineRule="auto"/>
        <w:rPr>
          <w:sz w:val="20"/>
          <w:szCs w:val="20"/>
          <w:color w:val="auto"/>
        </w:rPr>
      </w:pPr>
      <w:r>
        <w:rPr>
          <w:rFonts w:ascii="Arial" w:cs="Arial" w:eastAsia="Arial" w:hAnsi="Arial"/>
          <w:sz w:val="20"/>
          <w:szCs w:val="20"/>
          <w:color w:val="auto"/>
        </w:rPr>
        <w:t>On February 7, 2017, we entered into a Purchase Agreement (the “February Purchase Agreement”) with certain investors pursuant to which we issued and sold in a private placement a total of 819,673 shares of common stock. Pursuant to the February Purchase Agreement, we agreed to file a registration statement to cover the resale of the shares issued to the investors, and to keep such registration statement effective until the date on which all of the shares registered for sale or resale under such registration statement are either sold pursuant to such registration statement or can be sold publicly without restriction or limitation under Rule 144 under the Securities Act.</w:t>
      </w:r>
    </w:p>
    <w:p>
      <w:pPr>
        <w:spacing w:after="0" w:line="85" w:lineRule="exact"/>
        <w:rPr>
          <w:sz w:val="20"/>
          <w:szCs w:val="20"/>
          <w:color w:val="auto"/>
        </w:rPr>
      </w:pPr>
    </w:p>
    <w:p>
      <w:pPr>
        <w:jc w:val="both"/>
        <w:ind w:left="180" w:firstLine="360"/>
        <w:spacing w:after="0" w:line="243" w:lineRule="auto"/>
        <w:rPr>
          <w:sz w:val="20"/>
          <w:szCs w:val="20"/>
          <w:color w:val="auto"/>
        </w:rPr>
      </w:pPr>
      <w:r>
        <w:rPr>
          <w:rFonts w:ascii="Arial" w:cs="Arial" w:eastAsia="Arial" w:hAnsi="Arial"/>
          <w:sz w:val="20"/>
          <w:szCs w:val="20"/>
          <w:color w:val="auto"/>
        </w:rPr>
        <w:t>On September 24, 2017, we entered into a Purchase Agreement (the “September Purchase Agreement”) with an investor pursuant to which we issued and sold in a private placement a total of 2,000,000 shares of common stock. Pursuant to the September Purchase Agreement, we agreed to file a registration statement to cover the resale of the shares issued to the investor, and to keep such registration statement effective until the date on which all of the shares registered for sale or resale under such registration statement are either sold pursuant to such registration statement or can be sold publicly without restriction or limitation under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334645</wp:posOffset>
            </wp:positionV>
            <wp:extent cx="573468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21" w:right="1319" w:bottom="1440" w:gutter="0" w:footer="0" w:header="0"/>
        </w:sectPr>
      </w:pPr>
    </w:p>
    <w:bookmarkStart w:id="87" w:name="page88"/>
    <w:bookmarkEnd w:id="87"/>
    <w:p>
      <w:pPr>
        <w:ind w:left="180" w:right="620"/>
        <w:spacing w:after="0" w:line="267" w:lineRule="auto"/>
        <w:rPr>
          <w:sz w:val="20"/>
          <w:szCs w:val="20"/>
          <w:color w:val="auto"/>
        </w:rPr>
      </w:pPr>
      <w:r>
        <w:rPr>
          <w:rFonts w:ascii="Arial" w:cs="Arial" w:eastAsia="Arial" w:hAnsi="Arial"/>
          <w:sz w:val="20"/>
          <w:szCs w:val="20"/>
          <w:b w:val="1"/>
          <w:bCs w:val="1"/>
          <w:color w:val="auto"/>
        </w:rPr>
        <w:t>Effect of Certain Provisions of our Certificate of Incorporation and Bylaws and the Delaware Anti-Takeover Statute</w:t>
      </w:r>
    </w:p>
    <w:p>
      <w:pPr>
        <w:spacing w:after="0" w:line="61" w:lineRule="exact"/>
        <w:rPr>
          <w:sz w:val="20"/>
          <w:szCs w:val="20"/>
          <w:color w:val="auto"/>
        </w:rPr>
      </w:pPr>
    </w:p>
    <w:p>
      <w:pPr>
        <w:ind w:left="180" w:firstLine="360"/>
        <w:spacing w:after="0" w:line="260" w:lineRule="auto"/>
        <w:rPr>
          <w:sz w:val="20"/>
          <w:szCs w:val="20"/>
          <w:color w:val="auto"/>
        </w:rPr>
      </w:pPr>
      <w:r>
        <w:rPr>
          <w:rFonts w:ascii="Arial" w:cs="Arial" w:eastAsia="Arial" w:hAnsi="Arial"/>
          <w:sz w:val="20"/>
          <w:szCs w:val="20"/>
          <w:color w:val="auto"/>
        </w:rPr>
        <w:t>Some provisions of Delaware law and our certificate of incorporation and bylaws contain provisions that could make the following transactions more difficult:</w:t>
      </w:r>
    </w:p>
    <w:p>
      <w:pPr>
        <w:ind w:left="500" w:hanging="316"/>
        <w:spacing w:after="0" w:line="229" w:lineRule="auto"/>
        <w:tabs>
          <w:tab w:leader="none" w:pos="500" w:val="left"/>
        </w:tabs>
        <w:numPr>
          <w:ilvl w:val="0"/>
          <w:numId w:val="38"/>
        </w:numPr>
        <w:rPr>
          <w:rFonts w:ascii="Arial" w:cs="Arial" w:eastAsia="Arial" w:hAnsi="Arial"/>
          <w:sz w:val="29"/>
          <w:szCs w:val="29"/>
          <w:color w:val="auto"/>
          <w:vertAlign w:val="superscript"/>
        </w:rPr>
      </w:pPr>
      <w:r>
        <w:rPr>
          <w:rFonts w:ascii="Arial" w:cs="Arial" w:eastAsia="Arial" w:hAnsi="Arial"/>
          <w:sz w:val="20"/>
          <w:szCs w:val="20"/>
          <w:color w:val="auto"/>
        </w:rPr>
        <w:t>acquisition of us by means of a tender offer;</w:t>
      </w:r>
    </w:p>
    <w:p>
      <w:pPr>
        <w:spacing w:after="0" w:line="104" w:lineRule="exact"/>
        <w:rPr>
          <w:rFonts w:ascii="Arial" w:cs="Arial" w:eastAsia="Arial" w:hAnsi="Arial"/>
          <w:sz w:val="29"/>
          <w:szCs w:val="29"/>
          <w:color w:val="auto"/>
          <w:vertAlign w:val="superscript"/>
        </w:rPr>
      </w:pPr>
    </w:p>
    <w:p>
      <w:pPr>
        <w:ind w:left="500" w:hanging="316"/>
        <w:spacing w:after="0" w:line="181" w:lineRule="auto"/>
        <w:tabs>
          <w:tab w:leader="none" w:pos="500" w:val="left"/>
        </w:tabs>
        <w:numPr>
          <w:ilvl w:val="0"/>
          <w:numId w:val="38"/>
        </w:numPr>
        <w:rPr>
          <w:rFonts w:ascii="Arial" w:cs="Arial" w:eastAsia="Arial" w:hAnsi="Arial"/>
          <w:sz w:val="27"/>
          <w:szCs w:val="27"/>
          <w:color w:val="auto"/>
          <w:vertAlign w:val="superscript"/>
        </w:rPr>
      </w:pPr>
      <w:r>
        <w:rPr>
          <w:rFonts w:ascii="Arial" w:cs="Arial" w:eastAsia="Arial" w:hAnsi="Arial"/>
          <w:sz w:val="19"/>
          <w:szCs w:val="19"/>
          <w:color w:val="auto"/>
        </w:rPr>
        <w:t>acquisition of us by means of a proxy contest or otherwise; or</w:t>
      </w:r>
    </w:p>
    <w:p>
      <w:pPr>
        <w:spacing w:after="0" w:line="103" w:lineRule="exact"/>
        <w:rPr>
          <w:rFonts w:ascii="Arial" w:cs="Arial" w:eastAsia="Arial" w:hAnsi="Arial"/>
          <w:sz w:val="27"/>
          <w:szCs w:val="27"/>
          <w:color w:val="auto"/>
          <w:vertAlign w:val="superscript"/>
        </w:rPr>
      </w:pPr>
    </w:p>
    <w:p>
      <w:pPr>
        <w:ind w:left="500" w:hanging="316"/>
        <w:spacing w:after="0" w:line="181" w:lineRule="auto"/>
        <w:tabs>
          <w:tab w:leader="none" w:pos="500" w:val="left"/>
        </w:tabs>
        <w:numPr>
          <w:ilvl w:val="0"/>
          <w:numId w:val="38"/>
        </w:numPr>
        <w:rPr>
          <w:rFonts w:ascii="Arial" w:cs="Arial" w:eastAsia="Arial" w:hAnsi="Arial"/>
          <w:sz w:val="27"/>
          <w:szCs w:val="27"/>
          <w:color w:val="auto"/>
          <w:vertAlign w:val="superscript"/>
        </w:rPr>
      </w:pPr>
      <w:r>
        <w:rPr>
          <w:rFonts w:ascii="Arial" w:cs="Arial" w:eastAsia="Arial" w:hAnsi="Arial"/>
          <w:sz w:val="19"/>
          <w:szCs w:val="19"/>
          <w:color w:val="auto"/>
        </w:rPr>
        <w:t>removal of our incumbent officers and directors.</w:t>
      </w:r>
    </w:p>
    <w:p>
      <w:pPr>
        <w:spacing w:after="0" w:line="103" w:lineRule="exact"/>
        <w:rPr>
          <w:sz w:val="20"/>
          <w:szCs w:val="20"/>
          <w:color w:val="auto"/>
        </w:rPr>
      </w:pPr>
    </w:p>
    <w:p>
      <w:pPr>
        <w:jc w:val="both"/>
        <w:ind w:left="180" w:firstLine="360"/>
        <w:spacing w:after="0" w:line="260" w:lineRule="auto"/>
        <w:rPr>
          <w:sz w:val="20"/>
          <w:szCs w:val="20"/>
          <w:color w:val="auto"/>
        </w:rPr>
      </w:pPr>
      <w:r>
        <w:rPr>
          <w:rFonts w:ascii="Arial" w:cs="Arial" w:eastAsia="Arial" w:hAnsi="Arial"/>
          <w:sz w:val="19"/>
          <w:szCs w:val="19"/>
          <w:color w:val="auto"/>
        </w:rPr>
        <w:t>Those provisions, summarized below, are expected to discourage coercive takeover practices and inadequate takeover bids and to promote stability in our management. These provisions are also designed to encourage persons seeking to acquire control of us to first negotiate with our board of directors.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Certificate of Incorporation and Bylaws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Our certificate of incorporation and our bylaws provide for the following:</w:t>
      </w:r>
    </w:p>
    <w:p>
      <w:pPr>
        <w:spacing w:after="0" w:line="108" w:lineRule="exact"/>
        <w:rPr>
          <w:sz w:val="20"/>
          <w:szCs w:val="20"/>
          <w:color w:val="auto"/>
        </w:rPr>
      </w:pPr>
    </w:p>
    <w:p>
      <w:pPr>
        <w:jc w:val="both"/>
        <w:ind w:left="500" w:hanging="316"/>
        <w:spacing w:after="0" w:line="223" w:lineRule="auto"/>
        <w:tabs>
          <w:tab w:leader="none" w:pos="500" w:val="left"/>
        </w:tabs>
        <w:numPr>
          <w:ilvl w:val="0"/>
          <w:numId w:val="39"/>
        </w:numPr>
        <w:rPr>
          <w:rFonts w:ascii="Arial" w:cs="Arial" w:eastAsia="Arial" w:hAnsi="Arial"/>
          <w:sz w:val="29"/>
          <w:szCs w:val="29"/>
          <w:color w:val="auto"/>
          <w:vertAlign w:val="superscript"/>
        </w:rPr>
      </w:pPr>
      <w:r>
        <w:rPr>
          <w:rFonts w:ascii="Arial" w:cs="Arial" w:eastAsia="Arial" w:hAnsi="Arial"/>
          <w:sz w:val="20"/>
          <w:szCs w:val="20"/>
          <w:i w:val="1"/>
          <w:iCs w:val="1"/>
          <w:color w:val="auto"/>
        </w:rPr>
        <w:t>Undesignated Preferred Stock</w:t>
      </w:r>
      <w:r>
        <w:rPr>
          <w:rFonts w:ascii="Arial" w:cs="Arial" w:eastAsia="Arial" w:hAnsi="Arial"/>
          <w:sz w:val="20"/>
          <w:szCs w:val="20"/>
          <w:color w:val="auto"/>
        </w:rPr>
        <w:t>. The ability to authorize undesignated preferred stock makes it possible for</w:t>
      </w:r>
      <w:r>
        <w:rPr>
          <w:rFonts w:ascii="Arial" w:cs="Arial" w:eastAsia="Arial" w:hAnsi="Arial"/>
          <w:sz w:val="20"/>
          <w:szCs w:val="20"/>
          <w:i w:val="1"/>
          <w:iCs w:val="1"/>
          <w:color w:val="auto"/>
        </w:rPr>
        <w:t xml:space="preserve"> </w:t>
      </w:r>
      <w:r>
        <w:rPr>
          <w:rFonts w:ascii="Arial" w:cs="Arial" w:eastAsia="Arial" w:hAnsi="Arial"/>
          <w:sz w:val="20"/>
          <w:szCs w:val="20"/>
          <w:color w:val="auto"/>
        </w:rPr>
        <w:t>our board of directors to issue one or more series of preferred stock with voting or other rights or preferences that could impede the success of any attempt to change control of our company. These and other provisions may have the effect of deferring hostile takeovers or delaying changes in control or management of our company.</w:t>
      </w:r>
    </w:p>
    <w:p>
      <w:pPr>
        <w:spacing w:after="0" w:line="90" w:lineRule="exact"/>
        <w:rPr>
          <w:rFonts w:ascii="Arial" w:cs="Arial" w:eastAsia="Arial" w:hAnsi="Arial"/>
          <w:sz w:val="29"/>
          <w:szCs w:val="29"/>
          <w:color w:val="auto"/>
          <w:vertAlign w:val="superscript"/>
        </w:rPr>
      </w:pPr>
    </w:p>
    <w:p>
      <w:pPr>
        <w:jc w:val="both"/>
        <w:ind w:left="500" w:hanging="316"/>
        <w:spacing w:after="0" w:line="220" w:lineRule="auto"/>
        <w:tabs>
          <w:tab w:leader="none" w:pos="500" w:val="left"/>
        </w:tabs>
        <w:numPr>
          <w:ilvl w:val="0"/>
          <w:numId w:val="39"/>
        </w:numPr>
        <w:rPr>
          <w:rFonts w:ascii="Arial" w:cs="Arial" w:eastAsia="Arial" w:hAnsi="Arial"/>
          <w:sz w:val="29"/>
          <w:szCs w:val="29"/>
          <w:color w:val="auto"/>
          <w:vertAlign w:val="superscript"/>
        </w:rPr>
      </w:pPr>
      <w:r>
        <w:rPr>
          <w:rFonts w:ascii="Arial" w:cs="Arial" w:eastAsia="Arial" w:hAnsi="Arial"/>
          <w:sz w:val="20"/>
          <w:szCs w:val="20"/>
          <w:i w:val="1"/>
          <w:iCs w:val="1"/>
          <w:color w:val="auto"/>
        </w:rPr>
        <w:t>Stockholder Meetings</w:t>
      </w:r>
      <w:r>
        <w:rPr>
          <w:rFonts w:ascii="Arial" w:cs="Arial" w:eastAsia="Arial" w:hAnsi="Arial"/>
          <w:sz w:val="20"/>
          <w:szCs w:val="20"/>
          <w:color w:val="auto"/>
        </w:rPr>
        <w:t>. Our bylaws provide that in general a special meeting of stockholders may be called</w:t>
      </w:r>
      <w:r>
        <w:rPr>
          <w:rFonts w:ascii="Arial" w:cs="Arial" w:eastAsia="Arial" w:hAnsi="Arial"/>
          <w:sz w:val="20"/>
          <w:szCs w:val="20"/>
          <w:i w:val="1"/>
          <w:iCs w:val="1"/>
          <w:color w:val="auto"/>
        </w:rPr>
        <w:t xml:space="preserve"> </w:t>
      </w:r>
      <w:r>
        <w:rPr>
          <w:rFonts w:ascii="Arial" w:cs="Arial" w:eastAsia="Arial" w:hAnsi="Arial"/>
          <w:sz w:val="20"/>
          <w:szCs w:val="20"/>
          <w:color w:val="auto"/>
        </w:rPr>
        <w:t>only by our board of directors, the chairman of our board of directors, any of our officers, or any stockholder holding at least fifteen percent (15%) of the voting power of the capital stock issued and outstanding and entitled to vote.</w:t>
      </w:r>
    </w:p>
    <w:p>
      <w:pPr>
        <w:spacing w:after="0" w:line="87" w:lineRule="exact"/>
        <w:rPr>
          <w:rFonts w:ascii="Arial" w:cs="Arial" w:eastAsia="Arial" w:hAnsi="Arial"/>
          <w:sz w:val="29"/>
          <w:szCs w:val="29"/>
          <w:color w:val="auto"/>
          <w:vertAlign w:val="superscript"/>
        </w:rPr>
      </w:pPr>
    </w:p>
    <w:p>
      <w:pPr>
        <w:jc w:val="both"/>
        <w:ind w:left="500" w:hanging="316"/>
        <w:spacing w:after="0" w:line="220" w:lineRule="auto"/>
        <w:tabs>
          <w:tab w:leader="none" w:pos="500" w:val="left"/>
        </w:tabs>
        <w:numPr>
          <w:ilvl w:val="0"/>
          <w:numId w:val="39"/>
        </w:numPr>
        <w:rPr>
          <w:rFonts w:ascii="Arial" w:cs="Arial" w:eastAsia="Arial" w:hAnsi="Arial"/>
          <w:sz w:val="29"/>
          <w:szCs w:val="29"/>
          <w:color w:val="auto"/>
          <w:vertAlign w:val="superscript"/>
        </w:rPr>
      </w:pPr>
      <w:r>
        <w:rPr>
          <w:rFonts w:ascii="Arial" w:cs="Arial" w:eastAsia="Arial" w:hAnsi="Arial"/>
          <w:sz w:val="20"/>
          <w:szCs w:val="20"/>
          <w:i w:val="1"/>
          <w:iCs w:val="1"/>
          <w:color w:val="auto"/>
        </w:rPr>
        <w:t>Requirements for Advance Notification of Stockholder Nominations and Proposals</w:t>
      </w:r>
      <w:r>
        <w:rPr>
          <w:rFonts w:ascii="Arial" w:cs="Arial" w:eastAsia="Arial" w:hAnsi="Arial"/>
          <w:sz w:val="20"/>
          <w:szCs w:val="20"/>
          <w:color w:val="auto"/>
        </w:rPr>
        <w:t>. Our bylaws establish</w:t>
      </w:r>
      <w:r>
        <w:rPr>
          <w:rFonts w:ascii="Arial" w:cs="Arial" w:eastAsia="Arial" w:hAnsi="Arial"/>
          <w:sz w:val="20"/>
          <w:szCs w:val="20"/>
          <w:i w:val="1"/>
          <w:iCs w:val="1"/>
          <w:color w:val="auto"/>
        </w:rPr>
        <w:t xml:space="preserve"> </w:t>
      </w:r>
      <w:r>
        <w:rPr>
          <w:rFonts w:ascii="Arial" w:cs="Arial" w:eastAsia="Arial" w:hAnsi="Arial"/>
          <w:sz w:val="20"/>
          <w:szCs w:val="20"/>
          <w:color w:val="auto"/>
        </w:rPr>
        <w:t>advance notice procedures with respect to stockholder proposals and the nomination of candidates for election as directors, other than nominations made by or at the direction of our board of directors or a committee of the board of directors.</w:t>
      </w:r>
    </w:p>
    <w:p>
      <w:pPr>
        <w:spacing w:after="0" w:line="87" w:lineRule="exact"/>
        <w:rPr>
          <w:rFonts w:ascii="Arial" w:cs="Arial" w:eastAsia="Arial" w:hAnsi="Arial"/>
          <w:sz w:val="29"/>
          <w:szCs w:val="29"/>
          <w:color w:val="auto"/>
          <w:vertAlign w:val="superscript"/>
        </w:rPr>
      </w:pPr>
    </w:p>
    <w:p>
      <w:pPr>
        <w:jc w:val="both"/>
        <w:ind w:left="500" w:hanging="316"/>
        <w:spacing w:after="0" w:line="234" w:lineRule="auto"/>
        <w:tabs>
          <w:tab w:leader="none" w:pos="500" w:val="left"/>
        </w:tabs>
        <w:numPr>
          <w:ilvl w:val="0"/>
          <w:numId w:val="39"/>
        </w:numPr>
        <w:rPr>
          <w:rFonts w:ascii="Arial" w:cs="Arial" w:eastAsia="Arial" w:hAnsi="Arial"/>
          <w:sz w:val="28"/>
          <w:szCs w:val="28"/>
          <w:color w:val="auto"/>
          <w:vertAlign w:val="superscript"/>
        </w:rPr>
      </w:pPr>
      <w:r>
        <w:rPr>
          <w:rFonts w:ascii="Arial" w:cs="Arial" w:eastAsia="Arial" w:hAnsi="Arial"/>
          <w:sz w:val="19"/>
          <w:szCs w:val="19"/>
          <w:i w:val="1"/>
          <w:iCs w:val="1"/>
          <w:color w:val="auto"/>
        </w:rPr>
        <w:t>Limits on Ability of Stockholders to Act by Written Consent</w:t>
      </w:r>
      <w:r>
        <w:rPr>
          <w:rFonts w:ascii="Arial" w:cs="Arial" w:eastAsia="Arial" w:hAnsi="Arial"/>
          <w:sz w:val="19"/>
          <w:szCs w:val="19"/>
          <w:color w:val="auto"/>
        </w:rPr>
        <w:t>. We have provided in our bylaws that our</w:t>
      </w:r>
      <w:r>
        <w:rPr>
          <w:rFonts w:ascii="Arial" w:cs="Arial" w:eastAsia="Arial" w:hAnsi="Arial"/>
          <w:sz w:val="19"/>
          <w:szCs w:val="19"/>
          <w:i w:val="1"/>
          <w:iCs w:val="1"/>
          <w:color w:val="auto"/>
        </w:rPr>
        <w:t xml:space="preserve"> </w:t>
      </w:r>
      <w:r>
        <w:rPr>
          <w:rFonts w:ascii="Arial" w:cs="Arial" w:eastAsia="Arial" w:hAnsi="Arial"/>
          <w:sz w:val="19"/>
          <w:szCs w:val="19"/>
          <w:color w:val="auto"/>
        </w:rPr>
        <w:t>stockholders may not act by written consent. This limit on the ability of our stockholders to act by written consent may lengthen the amount of time required to take stockholder actions. As a result, a holder controlling a majority of our capital stock would not be able to amend our bylaws or remove directors without holding a meeting of our stockholders called in accordance with our bylaws.</w:t>
      </w:r>
    </w:p>
    <w:p>
      <w:pPr>
        <w:spacing w:after="0" w:line="89" w:lineRule="exact"/>
        <w:rPr>
          <w:rFonts w:ascii="Arial" w:cs="Arial" w:eastAsia="Arial" w:hAnsi="Arial"/>
          <w:sz w:val="28"/>
          <w:szCs w:val="28"/>
          <w:color w:val="auto"/>
          <w:vertAlign w:val="superscript"/>
        </w:rPr>
      </w:pPr>
    </w:p>
    <w:p>
      <w:pPr>
        <w:jc w:val="both"/>
        <w:ind w:left="500" w:hanging="316"/>
        <w:spacing w:after="0" w:line="214" w:lineRule="auto"/>
        <w:tabs>
          <w:tab w:leader="none" w:pos="500" w:val="left"/>
        </w:tabs>
        <w:numPr>
          <w:ilvl w:val="0"/>
          <w:numId w:val="39"/>
        </w:numPr>
        <w:rPr>
          <w:rFonts w:ascii="Arial" w:cs="Arial" w:eastAsia="Arial" w:hAnsi="Arial"/>
          <w:sz w:val="29"/>
          <w:szCs w:val="29"/>
          <w:color w:val="auto"/>
          <w:vertAlign w:val="superscript"/>
        </w:rPr>
      </w:pPr>
      <w:r>
        <w:rPr>
          <w:rFonts w:ascii="Arial" w:cs="Arial" w:eastAsia="Arial" w:hAnsi="Arial"/>
          <w:sz w:val="20"/>
          <w:szCs w:val="20"/>
          <w:color w:val="auto"/>
        </w:rPr>
        <w:t>Amendment of Certificate of Incorporation and Bylaws. The amendment of the above provisions of our certificate of incorporation and bylaws requires approval by holders of at least two-thirds of our outstanding capital stock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123190</wp:posOffset>
            </wp:positionV>
            <wp:extent cx="573468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333" w:right="1319" w:bottom="1440" w:gutter="0" w:footer="0" w:header="0"/>
        </w:sectPr>
      </w:pPr>
    </w:p>
    <w:bookmarkStart w:id="88" w:name="page89"/>
    <w:bookmarkEnd w:id="88"/>
    <w:p>
      <w:pPr>
        <w:ind w:left="180"/>
        <w:spacing w:after="0"/>
        <w:rPr>
          <w:sz w:val="20"/>
          <w:szCs w:val="20"/>
          <w:color w:val="auto"/>
        </w:rPr>
      </w:pPr>
      <w:r>
        <w:rPr>
          <w:rFonts w:ascii="Arial" w:cs="Arial" w:eastAsia="Arial" w:hAnsi="Arial"/>
          <w:sz w:val="20"/>
          <w:szCs w:val="20"/>
          <w:b w:val="1"/>
          <w:bCs w:val="1"/>
          <w:i w:val="1"/>
          <w:iCs w:val="1"/>
          <w:color w:val="auto"/>
        </w:rPr>
        <w:t>Delaware Anti-Takeover Statute</w:t>
      </w:r>
    </w:p>
    <w:p>
      <w:pPr>
        <w:spacing w:after="0" w:line="109" w:lineRule="exact"/>
        <w:rPr>
          <w:sz w:val="20"/>
          <w:szCs w:val="20"/>
          <w:color w:val="auto"/>
        </w:rPr>
      </w:pPr>
    </w:p>
    <w:p>
      <w:pPr>
        <w:jc w:val="both"/>
        <w:ind w:left="180" w:firstLine="360"/>
        <w:spacing w:after="0" w:line="263" w:lineRule="auto"/>
        <w:rPr>
          <w:sz w:val="20"/>
          <w:szCs w:val="20"/>
          <w:color w:val="auto"/>
        </w:rPr>
      </w:pPr>
      <w:r>
        <w:rPr>
          <w:rFonts w:ascii="Arial" w:cs="Arial" w:eastAsia="Arial" w:hAnsi="Arial"/>
          <w:sz w:val="19"/>
          <w:szCs w:val="19"/>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68" w:lineRule="exact"/>
        <w:rPr>
          <w:sz w:val="20"/>
          <w:szCs w:val="20"/>
          <w:color w:val="auto"/>
        </w:rPr>
      </w:pPr>
    </w:p>
    <w:p>
      <w:pPr>
        <w:ind w:left="500" w:hanging="316"/>
        <w:spacing w:after="0" w:line="227" w:lineRule="auto"/>
        <w:tabs>
          <w:tab w:leader="none" w:pos="500" w:val="left"/>
        </w:tabs>
        <w:numPr>
          <w:ilvl w:val="0"/>
          <w:numId w:val="40"/>
        </w:numPr>
        <w:rPr>
          <w:rFonts w:ascii="Arial" w:cs="Arial" w:eastAsia="Arial" w:hAnsi="Arial"/>
          <w:sz w:val="26"/>
          <w:szCs w:val="26"/>
          <w:color w:val="auto"/>
          <w:vertAlign w:val="superscript"/>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8" w:lineRule="exact"/>
        <w:rPr>
          <w:rFonts w:ascii="Arial" w:cs="Arial" w:eastAsia="Arial" w:hAnsi="Arial"/>
          <w:sz w:val="26"/>
          <w:szCs w:val="26"/>
          <w:color w:val="auto"/>
          <w:vertAlign w:val="superscript"/>
        </w:rPr>
      </w:pPr>
    </w:p>
    <w:p>
      <w:pPr>
        <w:jc w:val="both"/>
        <w:ind w:left="500" w:hanging="316"/>
        <w:spacing w:after="0" w:line="239" w:lineRule="auto"/>
        <w:tabs>
          <w:tab w:leader="none" w:pos="500" w:val="left"/>
        </w:tabs>
        <w:numPr>
          <w:ilvl w:val="0"/>
          <w:numId w:val="40"/>
        </w:numPr>
        <w:rPr>
          <w:rFonts w:ascii="Arial" w:cs="Arial" w:eastAsia="Arial" w:hAnsi="Arial"/>
          <w:sz w:val="28"/>
          <w:szCs w:val="28"/>
          <w:color w:val="auto"/>
          <w:vertAlign w:val="superscript"/>
        </w:rPr>
      </w:pPr>
      <w:r>
        <w:rPr>
          <w:rFonts w:ascii="Arial" w:cs="Arial" w:eastAsia="Arial" w:hAnsi="Arial"/>
          <w:sz w:val="19"/>
          <w:szCs w:val="19"/>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Arial" w:cs="Arial" w:eastAsia="Arial" w:hAnsi="Arial"/>
          <w:sz w:val="28"/>
          <w:szCs w:val="28"/>
          <w:color w:val="auto"/>
          <w:vertAlign w:val="superscript"/>
        </w:rPr>
      </w:pPr>
    </w:p>
    <w:p>
      <w:pPr>
        <w:jc w:val="both"/>
        <w:ind w:left="500" w:hanging="316"/>
        <w:spacing w:after="0" w:line="220" w:lineRule="auto"/>
        <w:tabs>
          <w:tab w:leader="none" w:pos="500" w:val="left"/>
        </w:tabs>
        <w:numPr>
          <w:ilvl w:val="0"/>
          <w:numId w:val="40"/>
        </w:numPr>
        <w:rPr>
          <w:rFonts w:ascii="Arial" w:cs="Arial" w:eastAsia="Arial" w:hAnsi="Arial"/>
          <w:sz w:val="29"/>
          <w:szCs w:val="29"/>
          <w:color w:val="auto"/>
          <w:vertAlign w:val="superscript"/>
        </w:rPr>
      </w:pPr>
      <w:r>
        <w:rPr>
          <w:rFonts w:ascii="Arial" w:cs="Arial" w:eastAsia="Arial" w:hAnsi="Arial"/>
          <w:sz w:val="20"/>
          <w:szCs w:val="20"/>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66-2/3% of the outstanding voting stock which is not owned by the interested stockholder.</w:t>
      </w:r>
    </w:p>
    <w:p>
      <w:pPr>
        <w:spacing w:after="0" w:line="88" w:lineRule="exact"/>
        <w:rPr>
          <w:sz w:val="20"/>
          <w:szCs w:val="20"/>
          <w:color w:val="auto"/>
        </w:rPr>
      </w:pPr>
    </w:p>
    <w:p>
      <w:pPr>
        <w:jc w:val="both"/>
        <w:ind w:left="180" w:firstLine="360"/>
        <w:spacing w:after="0" w:line="260" w:lineRule="auto"/>
        <w:rPr>
          <w:sz w:val="20"/>
          <w:szCs w:val="20"/>
          <w:color w:val="auto"/>
        </w:rPr>
      </w:pPr>
      <w:r>
        <w:rPr>
          <w:rFonts w:ascii="Arial" w:cs="Arial" w:eastAsia="Arial" w:hAnsi="Arial"/>
          <w:sz w:val="19"/>
          <w:szCs w:val="19"/>
          <w:color w:val="auto"/>
        </w:rPr>
        <w:t>Generally, a business combination includes a merger, asset or stock sale, or other transaction resulting in a financial benefit to the interested stockholder. An interested stockholder is a person who, together with affiliates and associates, owns 15% or more of a corporation’s outstanding voting stock or is an affiliate or associate of a corporation and was the owner of 15% or more of the corporation’s outstanding voting stock within three years prior to the determination of interested stockholder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112395</wp:posOffset>
            </wp:positionV>
            <wp:extent cx="5734685" cy="50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21" w:right="1319"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20"/>
          <w:szCs w:val="20"/>
          <w:b w:val="1"/>
          <w:bCs w:val="1"/>
          <w:color w:val="auto"/>
        </w:rPr>
        <w:t>Exhibit 10.20</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SEPARATION AGREEMENT AND RELEASE</w:t>
      </w:r>
    </w:p>
    <w:p>
      <w:pPr>
        <w:spacing w:after="0" w:line="266" w:lineRule="exact"/>
        <w:rPr>
          <w:sz w:val="20"/>
          <w:szCs w:val="20"/>
          <w:color w:val="auto"/>
        </w:rPr>
      </w:pPr>
    </w:p>
    <w:p>
      <w:pPr>
        <w:jc w:val="both"/>
        <w:ind w:right="179" w:firstLine="648"/>
        <w:spacing w:after="0" w:line="252" w:lineRule="auto"/>
        <w:rPr>
          <w:sz w:val="20"/>
          <w:szCs w:val="20"/>
          <w:color w:val="auto"/>
        </w:rPr>
      </w:pPr>
      <w:r>
        <w:rPr>
          <w:rFonts w:ascii="Arial" w:cs="Arial" w:eastAsia="Arial" w:hAnsi="Arial"/>
          <w:sz w:val="21"/>
          <w:szCs w:val="21"/>
          <w:color w:val="auto"/>
        </w:rPr>
        <w:t>This Separation Agreement and Release (“Agreement”) is made by and between Brian Dow (“Executive”) and Pulse Biosciences, Inc. (formerly known as Electroblate, Inc.) (together, Pulse Biosciences, Inc. and Electroblate, Inc. are the “Company”) (collectively, Executive and the Company referred to as the “Parties” or individually referred to as a “Party”).</w:t>
      </w:r>
    </w:p>
    <w:p>
      <w:pPr>
        <w:spacing w:after="0" w:line="18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was employed by the Company;</w:t>
      </w:r>
    </w:p>
    <w:p>
      <w:pPr>
        <w:spacing w:after="0" w:line="206" w:lineRule="exact"/>
        <w:rPr>
          <w:sz w:val="20"/>
          <w:szCs w:val="20"/>
          <w:color w:val="auto"/>
        </w:rPr>
      </w:pPr>
    </w:p>
    <w:p>
      <w:pPr>
        <w:jc w:val="both"/>
        <w:ind w:right="179" w:firstLine="648"/>
        <w:spacing w:after="0" w:line="250" w:lineRule="auto"/>
        <w:rPr>
          <w:sz w:val="20"/>
          <w:szCs w:val="20"/>
          <w:color w:val="auto"/>
        </w:rPr>
      </w:pPr>
      <w:r>
        <w:rPr>
          <w:rFonts w:ascii="Arial" w:cs="Arial" w:eastAsia="Arial" w:hAnsi="Arial"/>
          <w:sz w:val="22"/>
          <w:szCs w:val="22"/>
          <w:color w:val="auto"/>
        </w:rPr>
        <w:t>WHEREAS, Executive signed an Employment Agreement with the Company on November 20, 2015 (the “Employment Agreement”);</w:t>
      </w:r>
    </w:p>
    <w:p>
      <w:pPr>
        <w:spacing w:after="0" w:line="175" w:lineRule="exact"/>
        <w:rPr>
          <w:sz w:val="20"/>
          <w:szCs w:val="20"/>
          <w:color w:val="auto"/>
        </w:rPr>
      </w:pPr>
    </w:p>
    <w:p>
      <w:pPr>
        <w:jc w:val="both"/>
        <w:ind w:right="179" w:firstLine="648"/>
        <w:spacing w:after="0"/>
        <w:rPr>
          <w:sz w:val="20"/>
          <w:szCs w:val="20"/>
          <w:color w:val="auto"/>
        </w:rPr>
      </w:pPr>
      <w:r>
        <w:rPr>
          <w:rFonts w:ascii="Arial" w:cs="Arial" w:eastAsia="Arial" w:hAnsi="Arial"/>
          <w:sz w:val="22"/>
          <w:szCs w:val="22"/>
          <w:color w:val="auto"/>
        </w:rPr>
        <w:t>WHEREAS, Executive signed an At-Will Employment, Confidential Information, Invention Assignment, and Arbitration Agreement with the Company on July 28, 2017 (the “Confidentiality Agreement”);</w:t>
      </w:r>
    </w:p>
    <w:p>
      <w:pPr>
        <w:spacing w:after="0" w:line="186" w:lineRule="exact"/>
        <w:rPr>
          <w:sz w:val="20"/>
          <w:szCs w:val="20"/>
          <w:color w:val="auto"/>
        </w:rPr>
      </w:pPr>
    </w:p>
    <w:p>
      <w:pPr>
        <w:jc w:val="both"/>
        <w:ind w:right="179" w:firstLine="648"/>
        <w:spacing w:after="0" w:line="250" w:lineRule="auto"/>
        <w:rPr>
          <w:sz w:val="20"/>
          <w:szCs w:val="20"/>
          <w:color w:val="auto"/>
        </w:rPr>
      </w:pPr>
      <w:r>
        <w:rPr>
          <w:rFonts w:ascii="Arial" w:cs="Arial" w:eastAsia="Arial" w:hAnsi="Arial"/>
          <w:sz w:val="22"/>
          <w:szCs w:val="22"/>
          <w:color w:val="auto"/>
        </w:rPr>
        <w:t>WHEREAS, Company and Executive signed an Indemnification Agreement on January 29, 2018 (the “Indemnification Agreement”);</w:t>
      </w:r>
    </w:p>
    <w:p>
      <w:pPr>
        <w:spacing w:after="0" w:line="175" w:lineRule="exact"/>
        <w:rPr>
          <w:sz w:val="20"/>
          <w:szCs w:val="20"/>
          <w:color w:val="auto"/>
        </w:rPr>
      </w:pPr>
    </w:p>
    <w:p>
      <w:pPr>
        <w:jc w:val="both"/>
        <w:ind w:right="179" w:firstLine="648"/>
        <w:spacing w:after="0" w:line="235" w:lineRule="auto"/>
        <w:rPr>
          <w:sz w:val="20"/>
          <w:szCs w:val="20"/>
          <w:color w:val="auto"/>
        </w:rPr>
      </w:pPr>
      <w:r>
        <w:rPr>
          <w:rFonts w:ascii="Arial" w:cs="Arial" w:eastAsia="Arial" w:hAnsi="Arial"/>
          <w:sz w:val="22"/>
          <w:szCs w:val="22"/>
          <w:color w:val="auto"/>
        </w:rPr>
        <w:t>WHEREAS, the Company and Executive have entered into certain Stock Option Agreements, dated November 30, 2015 and July 25, 2017, granting Executive the options to purchase 140,672 shares and 95,000 shares, respectively, of the Company’s common stock (the “Options”) subject to the terms and conditions of the Company’s 2015 Stock Incentive Plan (the “2015 Plan”), the 2017 Stock Incentive Plan (the “2017 Plan”) and the Stock Option Agreement (collectively, the “Stock Agreements”),</w:t>
      </w:r>
    </w:p>
    <w:p>
      <w:pPr>
        <w:spacing w:after="0" w:line="188" w:lineRule="exact"/>
        <w:rPr>
          <w:sz w:val="20"/>
          <w:szCs w:val="20"/>
          <w:color w:val="auto"/>
        </w:rPr>
      </w:pPr>
    </w:p>
    <w:p>
      <w:pPr>
        <w:jc w:val="both"/>
        <w:ind w:right="199" w:firstLine="648"/>
        <w:spacing w:after="0"/>
        <w:rPr>
          <w:sz w:val="20"/>
          <w:szCs w:val="20"/>
          <w:color w:val="auto"/>
        </w:rPr>
      </w:pPr>
      <w:r>
        <w:rPr>
          <w:rFonts w:ascii="Arial" w:cs="Arial" w:eastAsia="Arial" w:hAnsi="Arial"/>
          <w:sz w:val="22"/>
          <w:szCs w:val="22"/>
          <w:color w:val="auto"/>
        </w:rPr>
        <w:t>WHEREAS, Executive signed a Transition Agreement and Limited Release with the Company in connection with the transition of his services on November 18, 2019 (the “Limited Release”);</w:t>
      </w:r>
    </w:p>
    <w:p>
      <w:pPr>
        <w:spacing w:after="0" w:line="186" w:lineRule="exact"/>
        <w:rPr>
          <w:sz w:val="20"/>
          <w:szCs w:val="20"/>
          <w:color w:val="auto"/>
        </w:rPr>
      </w:pPr>
    </w:p>
    <w:p>
      <w:pPr>
        <w:jc w:val="both"/>
        <w:ind w:right="179" w:firstLine="648"/>
        <w:spacing w:after="0" w:line="250" w:lineRule="auto"/>
        <w:rPr>
          <w:sz w:val="20"/>
          <w:szCs w:val="20"/>
          <w:color w:val="auto"/>
        </w:rPr>
      </w:pPr>
      <w:r>
        <w:rPr>
          <w:rFonts w:ascii="Arial" w:cs="Arial" w:eastAsia="Arial" w:hAnsi="Arial"/>
          <w:sz w:val="22"/>
          <w:szCs w:val="22"/>
          <w:color w:val="auto"/>
        </w:rPr>
        <w:t>WHEREAS, Executive separated from employment with the Company effective December 31, 2019 (the “Separation Date”);</w:t>
      </w:r>
    </w:p>
    <w:p>
      <w:pPr>
        <w:spacing w:after="0" w:line="175" w:lineRule="exact"/>
        <w:rPr>
          <w:sz w:val="20"/>
          <w:szCs w:val="20"/>
          <w:color w:val="auto"/>
        </w:rPr>
      </w:pPr>
    </w:p>
    <w:p>
      <w:pPr>
        <w:jc w:val="both"/>
        <w:ind w:right="179" w:firstLine="648"/>
        <w:spacing w:after="0" w:line="252" w:lineRule="auto"/>
        <w:rPr>
          <w:sz w:val="20"/>
          <w:szCs w:val="20"/>
          <w:color w:val="auto"/>
        </w:rPr>
      </w:pPr>
      <w:r>
        <w:rPr>
          <w:rFonts w:ascii="Arial" w:cs="Arial" w:eastAsia="Arial" w:hAnsi="Arial"/>
          <w:sz w:val="21"/>
          <w:szCs w:val="21"/>
          <w:color w:val="auto"/>
        </w:rPr>
        <w:t>WHEREAS, as of November 18, 2019, Executive has resigned as the Chief Financial Officer (“CFO”) and Senior Vice President of Finance and Administration (“SVP”) of the Company, and has resigned from all of Executive’s positions on the Company’s Board of Directors (the “Board”), including, but not limited to, as Secretary and Treasurer; and</w:t>
      </w:r>
    </w:p>
    <w:p>
      <w:pPr>
        <w:spacing w:after="0" w:line="174" w:lineRule="exact"/>
        <w:rPr>
          <w:sz w:val="20"/>
          <w:szCs w:val="20"/>
          <w:color w:val="auto"/>
        </w:rPr>
      </w:pPr>
    </w:p>
    <w:p>
      <w:pPr>
        <w:jc w:val="both"/>
        <w:ind w:right="179" w:firstLine="648"/>
        <w:spacing w:after="0" w:line="287" w:lineRule="auto"/>
        <w:rPr>
          <w:sz w:val="20"/>
          <w:szCs w:val="20"/>
          <w:color w:val="auto"/>
        </w:rPr>
      </w:pPr>
      <w:r>
        <w:rPr>
          <w:rFonts w:ascii="Arial" w:cs="Arial" w:eastAsia="Arial" w:hAnsi="Arial"/>
          <w:sz w:val="19"/>
          <w:szCs w:val="19"/>
          <w:color w:val="auto"/>
        </w:rPr>
        <w:t>WHEREAS, the Parties wish to resolve any and all disputes, claims, complaints, grievances, charges, actions, petitions, and demands that the Executive may have against the Company and any of the Releasees as defined below, including, but not limited to, any and all claims arising out of or in any way related to Executive’s employment with or separation from the Company.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made herein, the Company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702945</wp:posOffset>
            </wp:positionV>
            <wp:extent cx="5751830"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90" w:name="page91"/>
    <w:bookmarkEnd w:id="90"/>
    <w:p>
      <w:pPr>
        <w:jc w:val="center"/>
        <w:ind w:right="59"/>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jc w:val="both"/>
        <w:ind w:left="60" w:right="119" w:firstLine="639"/>
        <w:spacing w:after="0" w:line="236" w:lineRule="auto"/>
        <w:tabs>
          <w:tab w:leader="none" w:pos="1167"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Consideration. In accordance with Sections 7 and 8 of the Employment Agreement, in consideration of Executive’s execution and non-revocation of this Agreement under the “Acknowledgment of Waiver of Claims under ADEA” provision below, and in consideration of Executive’s fulfillment of all of the Agreement’s terms and conditions, the Company agrees to the following:</w:t>
      </w:r>
    </w:p>
    <w:p>
      <w:pPr>
        <w:spacing w:after="0" w:line="187" w:lineRule="exact"/>
        <w:rPr>
          <w:rFonts w:ascii="Arial" w:cs="Arial" w:eastAsia="Arial" w:hAnsi="Arial"/>
          <w:sz w:val="22"/>
          <w:szCs w:val="22"/>
          <w:color w:val="auto"/>
        </w:rPr>
      </w:pPr>
    </w:p>
    <w:p>
      <w:pPr>
        <w:jc w:val="both"/>
        <w:ind w:left="60" w:right="119" w:firstLine="1287"/>
        <w:spacing w:after="0" w:line="246" w:lineRule="auto"/>
        <w:tabs>
          <w:tab w:leader="none" w:pos="1750" w:val="left"/>
        </w:tabs>
        <w:numPr>
          <w:ilvl w:val="1"/>
          <w:numId w:val="41"/>
        </w:numPr>
        <w:rPr>
          <w:rFonts w:ascii="Arial" w:cs="Arial" w:eastAsia="Arial" w:hAnsi="Arial"/>
          <w:sz w:val="21"/>
          <w:szCs w:val="21"/>
          <w:color w:val="auto"/>
        </w:rPr>
      </w:pPr>
      <w:r>
        <w:rPr>
          <w:rFonts w:ascii="Arial" w:cs="Arial" w:eastAsia="Arial" w:hAnsi="Arial"/>
          <w:sz w:val="21"/>
          <w:szCs w:val="21"/>
          <w:i w:val="1"/>
          <w:iCs w:val="1"/>
          <w:color w:val="auto"/>
        </w:rPr>
        <w:t xml:space="preserve">Severance Payment. </w:t>
      </w:r>
      <w:r>
        <w:rPr>
          <w:rFonts w:ascii="Arial" w:cs="Arial" w:eastAsia="Arial" w:hAnsi="Arial"/>
          <w:sz w:val="21"/>
          <w:szCs w:val="21"/>
          <w:color w:val="auto"/>
        </w:rPr>
        <w:t>The Company agrees to pay Executive a total of one hundred</w:t>
      </w:r>
      <w:r>
        <w:rPr>
          <w:rFonts w:ascii="Arial" w:cs="Arial" w:eastAsia="Arial" w:hAnsi="Arial"/>
          <w:sz w:val="21"/>
          <w:szCs w:val="21"/>
          <w:i w:val="1"/>
          <w:iCs w:val="1"/>
          <w:color w:val="auto"/>
        </w:rPr>
        <w:t xml:space="preserve"> </w:t>
      </w:r>
      <w:r>
        <w:rPr>
          <w:rFonts w:ascii="Arial" w:cs="Arial" w:eastAsia="Arial" w:hAnsi="Arial"/>
          <w:sz w:val="21"/>
          <w:szCs w:val="21"/>
          <w:color w:val="auto"/>
        </w:rPr>
        <w:t>sixty-eight thousand dollars ($168,000), less applicable withholdings, which amount represents the sum of six (6) months of Executive’s annual base salary in effect immediately prior to the Separation Date (the “Severance Payment”). The Severance Payment will be paid to Executive in twelve (12) semi-monthly equal installments, commencing on the first regular payroll date following the Effective Date (as defined below) in accordance with the Company’s regular payroll practices. Executive acknowledges that the Company will issue a Form W-2 in connection with the payments set forth in this Section.</w:t>
      </w:r>
    </w:p>
    <w:p>
      <w:pPr>
        <w:spacing w:after="0" w:line="179" w:lineRule="exact"/>
        <w:rPr>
          <w:rFonts w:ascii="Arial" w:cs="Arial" w:eastAsia="Arial" w:hAnsi="Arial"/>
          <w:sz w:val="21"/>
          <w:szCs w:val="21"/>
          <w:color w:val="auto"/>
        </w:rPr>
      </w:pPr>
    </w:p>
    <w:p>
      <w:pPr>
        <w:jc w:val="both"/>
        <w:ind w:left="60" w:right="119" w:firstLine="1287"/>
        <w:spacing w:after="0" w:line="261" w:lineRule="auto"/>
        <w:tabs>
          <w:tab w:leader="none" w:pos="1844" w:val="left"/>
        </w:tabs>
        <w:numPr>
          <w:ilvl w:val="1"/>
          <w:numId w:val="41"/>
        </w:numPr>
        <w:rPr>
          <w:rFonts w:ascii="Arial" w:cs="Arial" w:eastAsia="Arial" w:hAnsi="Arial"/>
          <w:sz w:val="20"/>
          <w:szCs w:val="20"/>
          <w:color w:val="auto"/>
        </w:rPr>
      </w:pPr>
      <w:r>
        <w:rPr>
          <w:rFonts w:ascii="Arial" w:cs="Arial" w:eastAsia="Arial" w:hAnsi="Arial"/>
          <w:sz w:val="20"/>
          <w:szCs w:val="20"/>
          <w:i w:val="1"/>
          <w:iCs w:val="1"/>
          <w:color w:val="auto"/>
        </w:rPr>
        <w:t xml:space="preserve">Additional Consideration. </w:t>
      </w:r>
      <w:r>
        <w:rPr>
          <w:rFonts w:ascii="Arial" w:cs="Arial" w:eastAsia="Arial" w:hAnsi="Arial"/>
          <w:sz w:val="20"/>
          <w:szCs w:val="20"/>
          <w:color w:val="auto"/>
        </w:rPr>
        <w:t>The Company agrees to pay Executive an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severance payment of one hundred thousand eight hundred dollars ($100,800), less applicable withholdings, which amount is calculated based on Executive’s target Annual Bonus for 2019 for the calendar year of the Separation Date, or portion thereof, that the Company might and/or would have owed to Executive had such amounts been earned. This payment will be paid on the first regular payroll date following the Effective Date (as defined below). Executive acknowledges that the Company will issue a Form W-2 in connection with the payments set forth in this Section.</w:t>
      </w:r>
    </w:p>
    <w:p>
      <w:pPr>
        <w:spacing w:after="0" w:line="166" w:lineRule="exact"/>
        <w:rPr>
          <w:rFonts w:ascii="Arial" w:cs="Arial" w:eastAsia="Arial" w:hAnsi="Arial"/>
          <w:sz w:val="20"/>
          <w:szCs w:val="20"/>
          <w:color w:val="auto"/>
        </w:rPr>
      </w:pPr>
    </w:p>
    <w:p>
      <w:pPr>
        <w:jc w:val="both"/>
        <w:ind w:left="60" w:right="119" w:firstLine="1287"/>
        <w:spacing w:after="0" w:line="256" w:lineRule="auto"/>
        <w:tabs>
          <w:tab w:leader="none" w:pos="1804" w:val="left"/>
        </w:tabs>
        <w:numPr>
          <w:ilvl w:val="1"/>
          <w:numId w:val="41"/>
        </w:numPr>
        <w:rPr>
          <w:rFonts w:ascii="Arial" w:cs="Arial" w:eastAsia="Arial" w:hAnsi="Arial"/>
          <w:sz w:val="20"/>
          <w:szCs w:val="20"/>
          <w:color w:val="auto"/>
        </w:rPr>
      </w:pPr>
      <w:r>
        <w:rPr>
          <w:rFonts w:ascii="Arial" w:cs="Arial" w:eastAsia="Arial" w:hAnsi="Arial"/>
          <w:sz w:val="20"/>
          <w:szCs w:val="20"/>
          <w:i w:val="1"/>
          <w:iCs w:val="1"/>
          <w:color w:val="auto"/>
        </w:rPr>
        <w:t xml:space="preserve">COBRA. </w:t>
      </w:r>
      <w:r>
        <w:rPr>
          <w:rFonts w:ascii="Arial" w:cs="Arial" w:eastAsia="Arial" w:hAnsi="Arial"/>
          <w:sz w:val="20"/>
          <w:szCs w:val="20"/>
          <w:color w:val="auto"/>
        </w:rPr>
        <w:t>Provided Executive timely elects for continuation coverage pursuant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Consolidated Omnibus Budget Reconciliation Act of 1985, as amended (“COBRA”), within the time period prescribed pursuant to COBRA. COBRA payments shall be made by the Company for the benefit of the Executive for COBRA coverage (at the coverage levels in effect for Executive and the dependents covered immediately prior to Executive’s termination) until either: 1) the date upon which Executive and/or Executive’s eligible dependents becomes covered under similar plans, or 2) until the date upon which Executive ceases to be eligible for coverage under COBRA, whichever occurs first., Notwithstanding the preceding, if the Company determines in its sole discretion that it cannot provide COBRA reimbursement benefits without potentially violating applicable law (including, without limitation, Section 2716 of the Public Health Service Act), the Company will instead provide the Executive a taxable payment in an amount that the Executive would be required pay for Executive to obtain coverage at the coverage levels in effect for Executive and the dependents covered immediately prior to Executive’s termination until either: 1) the date upon which Executive and/or Executive’s eligible dependents becomes covered under similar plans, or 2) until the date upon which Executive would otherwise cease to be eligible for coverage under COBRA, whichever occurs first., to pay to continue the Executive’s group health coverage in effect on the date of termination of employment (which amount will be based on the premium for the first month of COBRA coverage), which payments will be made regardless of whether the Executive elects COBRA continuation coverage and will commence in the month following the month of the Separation Date and continue for the period of months indicated in this section.</w:t>
      </w:r>
    </w:p>
    <w:p>
      <w:pPr>
        <w:spacing w:after="0" w:line="169" w:lineRule="exact"/>
        <w:rPr>
          <w:rFonts w:ascii="Arial" w:cs="Arial" w:eastAsia="Arial" w:hAnsi="Arial"/>
          <w:sz w:val="20"/>
          <w:szCs w:val="20"/>
          <w:color w:val="auto"/>
        </w:rPr>
      </w:pPr>
    </w:p>
    <w:p>
      <w:pPr>
        <w:jc w:val="both"/>
        <w:ind w:left="60" w:right="119" w:firstLine="1287"/>
        <w:spacing w:after="0" w:line="238" w:lineRule="auto"/>
        <w:tabs>
          <w:tab w:leader="none" w:pos="1950" w:val="left"/>
        </w:tabs>
        <w:numPr>
          <w:ilvl w:val="1"/>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Acceleration. </w:t>
      </w:r>
      <w:r>
        <w:rPr>
          <w:rFonts w:ascii="Arial" w:cs="Arial" w:eastAsia="Arial" w:hAnsi="Arial"/>
          <w:sz w:val="22"/>
          <w:szCs w:val="22"/>
          <w:color w:val="auto"/>
        </w:rPr>
        <w:t xml:space="preserve">The unvested portion of Executive’s Option (and any Board-approved and issued and outstanding equity grants) that would normally vest over twelve (12) months from the Separation Date, will </w:t>
      </w:r>
      <w:r>
        <w:rPr>
          <w:rFonts w:ascii="Arial" w:cs="Arial" w:eastAsia="Arial" w:hAnsi="Arial"/>
          <w:sz w:val="22"/>
          <w:szCs w:val="22"/>
          <w:i w:val="1"/>
          <w:iCs w:val="1"/>
          <w:color w:val="auto"/>
        </w:rPr>
        <w:t>immediately</w:t>
      </w:r>
      <w:r>
        <w:rPr>
          <w:rFonts w:ascii="Arial" w:cs="Arial" w:eastAsia="Arial" w:hAnsi="Arial"/>
          <w:sz w:val="22"/>
          <w:szCs w:val="22"/>
          <w:color w:val="auto"/>
        </w:rPr>
        <w:t xml:space="preserve"> vest prior to Executive’s termination and become exercisable (the “Vesting Acceleration”).</w:t>
      </w:r>
    </w:p>
    <w:p>
      <w:pPr>
        <w:spacing w:after="0" w:line="184" w:lineRule="exact"/>
        <w:rPr>
          <w:rFonts w:ascii="Arial" w:cs="Arial" w:eastAsia="Arial" w:hAnsi="Arial"/>
          <w:sz w:val="22"/>
          <w:szCs w:val="22"/>
          <w:color w:val="auto"/>
        </w:rPr>
      </w:pPr>
    </w:p>
    <w:p>
      <w:pPr>
        <w:jc w:val="both"/>
        <w:ind w:left="60" w:right="119" w:firstLine="1287"/>
        <w:spacing w:after="0"/>
        <w:tabs>
          <w:tab w:leader="none" w:pos="1722" w:val="left"/>
        </w:tabs>
        <w:numPr>
          <w:ilvl w:val="1"/>
          <w:numId w:val="41"/>
        </w:numPr>
        <w:rPr>
          <w:rFonts w:ascii="Arial" w:cs="Arial" w:eastAsia="Arial" w:hAnsi="Arial"/>
          <w:sz w:val="22"/>
          <w:szCs w:val="22"/>
          <w:color w:val="auto"/>
        </w:rPr>
      </w:pPr>
      <w:r>
        <w:rPr>
          <w:rFonts w:ascii="Arial" w:cs="Arial" w:eastAsia="Arial" w:hAnsi="Arial"/>
          <w:sz w:val="22"/>
          <w:szCs w:val="22"/>
          <w:i w:val="1"/>
          <w:iCs w:val="1"/>
          <w:color w:val="auto"/>
        </w:rPr>
        <w:t xml:space="preserve">Extended Exercise Period. </w:t>
      </w:r>
      <w:r>
        <w:rPr>
          <w:rFonts w:ascii="Arial" w:cs="Arial" w:eastAsia="Arial" w:hAnsi="Arial"/>
          <w:sz w:val="22"/>
          <w:szCs w:val="22"/>
          <w:color w:val="auto"/>
        </w:rPr>
        <w:t>The period in which Executive must exercise his vested</w:t>
      </w:r>
      <w:r>
        <w:rPr>
          <w:rFonts w:ascii="Arial" w:cs="Arial" w:eastAsia="Arial" w:hAnsi="Arial"/>
          <w:sz w:val="22"/>
          <w:szCs w:val="22"/>
          <w:i w:val="1"/>
          <w:iCs w:val="1"/>
          <w:color w:val="auto"/>
        </w:rPr>
        <w:t xml:space="preserve"> </w:t>
      </w:r>
      <w:r>
        <w:rPr>
          <w:rFonts w:ascii="Arial" w:cs="Arial" w:eastAsia="Arial" w:hAnsi="Arial"/>
          <w:sz w:val="22"/>
          <w:szCs w:val="22"/>
          <w:color w:val="auto"/>
        </w:rPr>
        <w:t>Options pursuant to the Stock Agreements will be extended from 90-days following the Separation Date,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119380</wp:posOffset>
            </wp:positionV>
            <wp:extent cx="575183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91" w:name="page92"/>
    <w:bookmarkEnd w:id="91"/>
    <w:p>
      <w:pPr>
        <w:jc w:val="both"/>
        <w:ind w:left="60" w:right="119"/>
        <w:spacing w:after="0"/>
        <w:rPr>
          <w:sz w:val="20"/>
          <w:szCs w:val="20"/>
          <w:color w:val="auto"/>
        </w:rPr>
      </w:pPr>
      <w:r>
        <w:rPr>
          <w:rFonts w:ascii="Arial" w:cs="Arial" w:eastAsia="Arial" w:hAnsi="Arial"/>
          <w:sz w:val="22"/>
          <w:szCs w:val="22"/>
          <w:color w:val="auto"/>
        </w:rPr>
        <w:t>currently provided in the Stock Agreements, to a period of twelve (12) months following the Separation Date. The exercise of Executives Options shall in all other respects continue to be governed by the Stock Agreements.</w:t>
      </w:r>
    </w:p>
    <w:p>
      <w:pPr>
        <w:spacing w:after="0" w:line="186" w:lineRule="exact"/>
        <w:rPr>
          <w:sz w:val="20"/>
          <w:szCs w:val="20"/>
          <w:color w:val="auto"/>
        </w:rPr>
      </w:pPr>
    </w:p>
    <w:p>
      <w:pPr>
        <w:jc w:val="both"/>
        <w:ind w:left="60" w:right="119" w:firstLine="1287"/>
        <w:spacing w:after="0" w:line="273" w:lineRule="auto"/>
        <w:tabs>
          <w:tab w:leader="none" w:pos="2063"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Resignation. </w:t>
      </w:r>
      <w:r>
        <w:rPr>
          <w:rFonts w:ascii="Arial" w:cs="Arial" w:eastAsia="Arial" w:hAnsi="Arial"/>
          <w:sz w:val="19"/>
          <w:szCs w:val="19"/>
          <w:color w:val="auto"/>
        </w:rPr>
        <w:t>The Company shall process the separation of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with the Company as a resignation and shall represent that Executive resigned from Executive’s employment to any potential future employer who contacts the Company’s human resources department and requests confirmation of this information. Executive agrees to execute any documentation deemed reasonably necessary by the Company to confirm Executive’s resignation from employment and resignation from the Board. Executive acknowledges that while said resignation occurred in expectation of this Agreement, Executive’s resignation itself shall not be considered a part of, or a term or condition of, this Agreement, and that if the Executive subsequently revokes this Agreement as provided for herein, said revocation does not affect or nullify in any way his resignation and termination of employment.</w:t>
      </w:r>
    </w:p>
    <w:p>
      <w:pPr>
        <w:spacing w:after="0" w:line="160" w:lineRule="exact"/>
        <w:rPr>
          <w:rFonts w:ascii="Arial" w:cs="Arial" w:eastAsia="Arial" w:hAnsi="Arial"/>
          <w:sz w:val="19"/>
          <w:szCs w:val="19"/>
          <w:color w:val="auto"/>
        </w:rPr>
      </w:pPr>
    </w:p>
    <w:p>
      <w:pPr>
        <w:jc w:val="both"/>
        <w:ind w:left="60" w:right="119" w:firstLine="1287"/>
        <w:spacing w:after="0" w:line="271" w:lineRule="auto"/>
        <w:tabs>
          <w:tab w:leader="none" w:pos="1748" w:val="left"/>
        </w:tabs>
        <w:numPr>
          <w:ilvl w:val="1"/>
          <w:numId w:val="42"/>
        </w:numPr>
        <w:rPr>
          <w:rFonts w:ascii="Arial" w:cs="Arial" w:eastAsia="Arial" w:hAnsi="Arial"/>
          <w:sz w:val="19"/>
          <w:szCs w:val="19"/>
          <w:color w:val="auto"/>
        </w:rPr>
      </w:pPr>
      <w:r>
        <w:rPr>
          <w:rFonts w:ascii="Arial" w:cs="Arial" w:eastAsia="Arial" w:hAnsi="Arial"/>
          <w:sz w:val="19"/>
          <w:szCs w:val="19"/>
          <w:i w:val="1"/>
          <w:iCs w:val="1"/>
          <w:color w:val="auto"/>
        </w:rPr>
        <w:t xml:space="preserve">No Further Severance and Acknowledgement. </w:t>
      </w:r>
      <w:r>
        <w:rPr>
          <w:rFonts w:ascii="Arial" w:cs="Arial" w:eastAsia="Arial" w:hAnsi="Arial"/>
          <w:sz w:val="19"/>
          <w:szCs w:val="19"/>
          <w:color w:val="auto"/>
        </w:rPr>
        <w:t>Except as explicitly set forth in this</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Executive acknowledges and agrees that Executive is not entitled to receive any severance benefits or other post-employment benefits from the Company, including, but not limited to, under the Employment Agreement or the Stock Agreements. Executive further specifically acknowledges and agrees that the consideration provided to Executive hereunder fully satisfies any obligation that the Company had to pay Executive wages or any other compensation for any of the services that Executive rendered to the Company, that the amount paid is in excess of any disputed wage claim that Executive may have, that the consideration paid shall be deemed to be paid first in satisfaction of any disputed wage claim with the remainder sufficient to act as consideration for the release of claims set forth herein, and that Executive has not earned and is not entitled to receive any additional wages or other form of compensation from the Company. Executive acknowledges and agrees that no payment or other consideration provided herein constitutes a raise, a bonus, or continued employment and that this Agreement is not a condition of employment or continued employment. Executive hereby acknowledges that without this Agreement, Executive is not otherwise entitled to the consideration listed in this Section 1.</w:t>
      </w:r>
    </w:p>
    <w:p>
      <w:pPr>
        <w:spacing w:after="0" w:line="160" w:lineRule="exact"/>
        <w:rPr>
          <w:rFonts w:ascii="Arial" w:cs="Arial" w:eastAsia="Arial" w:hAnsi="Arial"/>
          <w:sz w:val="19"/>
          <w:szCs w:val="19"/>
          <w:color w:val="auto"/>
        </w:rPr>
      </w:pPr>
    </w:p>
    <w:p>
      <w:pPr>
        <w:jc w:val="both"/>
        <w:ind w:left="60" w:right="119" w:firstLine="639"/>
        <w:spacing w:after="0" w:line="274" w:lineRule="auto"/>
        <w:tabs>
          <w:tab w:leader="none" w:pos="1167"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xml:space="preserve"> The Parties agree that for purposes of determining the number of shares of the Company’s common stock that Executive is entitled to purchase from the Company, pursuant to the exercise of the Options, Executive will be considered to have vested only up to the Separation Date. Executive acknowledges that, without the Vesting Acceleration set forth in Section 1 of this Agreement, as of the Separation Date, Executive will have vested in 211,922 shares subject to the Options and no more. However, after accounting for the Vesting Acceleration set forth in Section 1, Employee will have vested instead in 231,713 shares subject to the Options and no more. The exercise of the vested portion of the Options and any shares acquired through such exercise shall continue to be governed by the terms and conditions of the applicable Stock Agreements.</w:t>
      </w:r>
    </w:p>
    <w:p>
      <w:pPr>
        <w:spacing w:after="0" w:line="158" w:lineRule="exact"/>
        <w:rPr>
          <w:rFonts w:ascii="Arial" w:cs="Arial" w:eastAsia="Arial" w:hAnsi="Arial"/>
          <w:sz w:val="19"/>
          <w:szCs w:val="19"/>
          <w:color w:val="auto"/>
        </w:rPr>
      </w:pPr>
    </w:p>
    <w:p>
      <w:pPr>
        <w:jc w:val="both"/>
        <w:ind w:left="60" w:right="119" w:firstLine="639"/>
        <w:spacing w:after="0" w:line="236" w:lineRule="auto"/>
        <w:tabs>
          <w:tab w:leader="none" w:pos="119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Executive’s health insurance benefits shall cease on or before December 31, 2019, subject to Executive’s right to continue Executive’s health insurance under COBRA. Executive’s participation in all benefits and incidents of employment, including, but not limited to, vesting in stock options, and the accrual of bonuses, vacation, and paid time off, ceased as of the Separation Date.</w:t>
      </w:r>
    </w:p>
    <w:p>
      <w:pPr>
        <w:spacing w:after="0" w:line="187" w:lineRule="exact"/>
        <w:rPr>
          <w:rFonts w:ascii="Arial" w:cs="Arial" w:eastAsia="Arial" w:hAnsi="Arial"/>
          <w:sz w:val="22"/>
          <w:szCs w:val="22"/>
          <w:color w:val="auto"/>
        </w:rPr>
      </w:pPr>
    </w:p>
    <w:p>
      <w:pPr>
        <w:jc w:val="both"/>
        <w:ind w:left="60" w:right="119" w:firstLine="639"/>
        <w:spacing w:after="0" w:line="282" w:lineRule="auto"/>
        <w:tabs>
          <w:tab w:leader="none" w:pos="115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Payment of Salary and Receipt of All Benefits.</w:t>
      </w:r>
      <w:r>
        <w:rPr>
          <w:rFonts w:ascii="Arial" w:cs="Arial" w:eastAsia="Arial" w:hAnsi="Arial"/>
          <w:sz w:val="19"/>
          <w:szCs w:val="19"/>
          <w:color w:val="auto"/>
        </w:rPr>
        <w:t xml:space="preserve"> Executive acknowledges and represents that, other than the consideration set forth in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94615</wp:posOffset>
            </wp:positionV>
            <wp:extent cx="575183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575183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2" w:name="page93"/>
    <w:bookmarkEnd w:id="92"/>
    <w:p>
      <w:pPr>
        <w:jc w:val="both"/>
        <w:ind w:left="60" w:right="119" w:firstLine="639"/>
        <w:spacing w:after="0" w:line="244" w:lineRule="auto"/>
        <w:tabs>
          <w:tab w:leader="none" w:pos="137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xml:space="preserve"> Executive agrees that the foregoing consideration represents settlement in full of all outstanding obligations owed to Executive, other than the Company’s continuing obligations pursuant to the Indemnification Agreement, by the Company and its current and former officers, directors, employees, agents, investors, attorneys, shareholders, administrators, affiliates, benefit plans, plan administrators, professional employer organization or co-employer, insurers, trustees, divisions, subsidiaries,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80" w:lineRule="exact"/>
        <w:rPr>
          <w:rFonts w:ascii="Arial" w:cs="Arial" w:eastAsia="Arial" w:hAnsi="Arial"/>
          <w:sz w:val="21"/>
          <w:szCs w:val="21"/>
          <w:color w:val="auto"/>
        </w:rPr>
      </w:pPr>
    </w:p>
    <w:p>
      <w:pPr>
        <w:ind w:left="60" w:right="119" w:firstLine="1287"/>
        <w:spacing w:after="0" w:line="250" w:lineRule="auto"/>
        <w:tabs>
          <w:tab w:leader="none" w:pos="1735"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employment relationship with the Company and the termination of that relationship;</w:t>
      </w:r>
    </w:p>
    <w:p>
      <w:pPr>
        <w:spacing w:after="0" w:line="174" w:lineRule="exact"/>
        <w:rPr>
          <w:rFonts w:ascii="Arial" w:cs="Arial" w:eastAsia="Arial" w:hAnsi="Arial"/>
          <w:sz w:val="22"/>
          <w:szCs w:val="22"/>
          <w:color w:val="auto"/>
        </w:rPr>
      </w:pPr>
    </w:p>
    <w:p>
      <w:pPr>
        <w:jc w:val="both"/>
        <w:ind w:left="60" w:right="119" w:firstLine="1287"/>
        <w:spacing w:after="0" w:line="238" w:lineRule="auto"/>
        <w:tabs>
          <w:tab w:leader="none" w:pos="1815"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4" w:lineRule="exact"/>
        <w:rPr>
          <w:rFonts w:ascii="Arial" w:cs="Arial" w:eastAsia="Arial" w:hAnsi="Arial"/>
          <w:sz w:val="22"/>
          <w:szCs w:val="22"/>
          <w:color w:val="auto"/>
        </w:rPr>
      </w:pPr>
    </w:p>
    <w:p>
      <w:pPr>
        <w:jc w:val="both"/>
        <w:ind w:left="60" w:right="119" w:firstLine="1287"/>
        <w:spacing w:after="0" w:line="277" w:lineRule="auto"/>
        <w:tabs>
          <w:tab w:leader="none" w:pos="1735" w:val="left"/>
        </w:tabs>
        <w:numPr>
          <w:ilvl w:val="1"/>
          <w:numId w:val="44"/>
        </w:numPr>
        <w:rPr>
          <w:rFonts w:ascii="Arial" w:cs="Arial" w:eastAsia="Arial" w:hAnsi="Arial"/>
          <w:sz w:val="19"/>
          <w:szCs w:val="19"/>
          <w:color w:val="auto"/>
        </w:rPr>
      </w:pPr>
      <w:r>
        <w:rPr>
          <w:rFonts w:ascii="Arial" w:cs="Arial" w:eastAsia="Arial" w:hAnsi="Arial"/>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1" w:lineRule="exact"/>
        <w:rPr>
          <w:rFonts w:ascii="Arial" w:cs="Arial" w:eastAsia="Arial" w:hAnsi="Arial"/>
          <w:sz w:val="19"/>
          <w:szCs w:val="19"/>
          <w:color w:val="auto"/>
        </w:rPr>
      </w:pPr>
    </w:p>
    <w:p>
      <w:pPr>
        <w:jc w:val="both"/>
        <w:ind w:left="60" w:right="119" w:firstLine="1287"/>
        <w:spacing w:after="0" w:line="274" w:lineRule="auto"/>
        <w:tabs>
          <w:tab w:leader="none" w:pos="1937" w:val="left"/>
        </w:tabs>
        <w:numPr>
          <w:ilvl w:val="1"/>
          <w:numId w:val="44"/>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Immigration Reform and Control Act, the National Labor Relations Act, the California Family Rights Act, the California Labor Code, the California Workers’ Compensation Act, and the California Fair Employment and Housing Act (the “FEHA”);</w:t>
      </w:r>
    </w:p>
    <w:p>
      <w:pPr>
        <w:spacing w:after="0" w:line="158" w:lineRule="exact"/>
        <w:rPr>
          <w:rFonts w:ascii="Arial" w:cs="Arial" w:eastAsia="Arial" w:hAnsi="Arial"/>
          <w:sz w:val="19"/>
          <w:szCs w:val="19"/>
          <w:color w:val="auto"/>
        </w:rPr>
      </w:pPr>
    </w:p>
    <w:p>
      <w:pPr>
        <w:ind w:left="1720" w:hanging="373"/>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left="60" w:right="119" w:firstLine="1287"/>
        <w:spacing w:after="0" w:line="250" w:lineRule="auto"/>
        <w:tabs>
          <w:tab w:leader="none" w:pos="1887"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claims arising out of any other laws and regulations relating to employment or employment discrimination;</w:t>
      </w:r>
    </w:p>
    <w:p>
      <w:pPr>
        <w:spacing w:after="0" w:line="174" w:lineRule="exact"/>
        <w:rPr>
          <w:rFonts w:ascii="Arial" w:cs="Arial" w:eastAsia="Arial" w:hAnsi="Arial"/>
          <w:sz w:val="22"/>
          <w:szCs w:val="22"/>
          <w:color w:val="auto"/>
        </w:rPr>
      </w:pPr>
    </w:p>
    <w:p>
      <w:pPr>
        <w:jc w:val="both"/>
        <w:ind w:left="60" w:right="119" w:firstLine="1287"/>
        <w:spacing w:after="0"/>
        <w:tabs>
          <w:tab w:leader="none" w:pos="1802"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 and</w:t>
      </w:r>
    </w:p>
    <w:p>
      <w:pPr>
        <w:spacing w:after="0" w:line="186" w:lineRule="exact"/>
        <w:rPr>
          <w:rFonts w:ascii="Arial" w:cs="Arial" w:eastAsia="Arial" w:hAnsi="Arial"/>
          <w:sz w:val="22"/>
          <w:szCs w:val="22"/>
          <w:color w:val="auto"/>
        </w:rPr>
      </w:pPr>
    </w:p>
    <w:p>
      <w:pPr>
        <w:ind w:left="1720" w:hanging="373"/>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131445</wp:posOffset>
            </wp:positionV>
            <wp:extent cx="5751830"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575183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3" w:name="page94"/>
    <w:bookmarkEnd w:id="93"/>
    <w:p>
      <w:pPr>
        <w:jc w:val="both"/>
        <w:ind w:left="60" w:right="119"/>
        <w:spacing w:after="0" w:line="246" w:lineRule="auto"/>
        <w:rPr>
          <w:sz w:val="20"/>
          <w:szCs w:val="20"/>
          <w:color w:val="auto"/>
        </w:rPr>
      </w:pPr>
      <w:r>
        <w:rPr>
          <w:rFonts w:ascii="Arial" w:cs="Arial" w:eastAsia="Arial" w:hAnsi="Arial"/>
          <w:sz w:val="21"/>
          <w:szCs w:val="21"/>
          <w:color w:val="auto"/>
        </w:rPr>
        <w:t>Executive agrees that the release set forth in this section shall be and remain in effect in all respects as a complete general release as to the matters released. This release does not extend to any obligations incurred under this Agreement or the Indemnification Agreement. This release does not release claims that cannot be released as a matter of law. Any and all disputed wage claims that are released herein shall be subject to binding arbitration in accordance with this Agreement, except as required by applicable law. This release does not extend to any right Executive may have to unemployment compensation benefits.</w:t>
      </w:r>
    </w:p>
    <w:p>
      <w:pPr>
        <w:spacing w:after="0" w:line="184" w:lineRule="exact"/>
        <w:rPr>
          <w:sz w:val="20"/>
          <w:szCs w:val="20"/>
          <w:color w:val="auto"/>
        </w:rPr>
      </w:pPr>
    </w:p>
    <w:p>
      <w:pPr>
        <w:jc w:val="both"/>
        <w:ind w:left="60" w:right="119" w:firstLine="574"/>
        <w:spacing w:after="0" w:line="268" w:lineRule="auto"/>
        <w:tabs>
          <w:tab w:leader="none" w:pos="123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date Executive signs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freely and voluntarily chosen to waive the time period allotted for considering this Agreement. Executive acknowledges and understands that revocation</w:t>
      </w:r>
    </w:p>
    <w:p>
      <w:pPr>
        <w:spacing w:after="0" w:line="1" w:lineRule="exact"/>
        <w:rPr>
          <w:sz w:val="20"/>
          <w:szCs w:val="20"/>
          <w:color w:val="auto"/>
        </w:rPr>
      </w:pPr>
    </w:p>
    <w:p>
      <w:pPr>
        <w:jc w:val="both"/>
        <w:ind w:left="60" w:right="119"/>
        <w:spacing w:after="0" w:line="234" w:lineRule="auto"/>
        <w:rPr>
          <w:sz w:val="20"/>
          <w:szCs w:val="20"/>
          <w:color w:val="auto"/>
        </w:rPr>
      </w:pPr>
      <w:r>
        <w:rPr>
          <w:rFonts w:ascii="Arial" w:cs="Arial" w:eastAsia="Arial" w:hAnsi="Arial"/>
          <w:sz w:val="22"/>
          <w:szCs w:val="22"/>
          <w:color w:val="auto"/>
        </w:rPr>
        <w:t>must be accomplished by a written notification to the person executing this Agreement on the Company’s behalf that is received prior to the Effective Date. The Parties agree that changes, whether material or immaterial, do not restart the running of the 21-day period.</w:t>
      </w:r>
    </w:p>
    <w:p>
      <w:pPr>
        <w:spacing w:after="0" w:line="187" w:lineRule="exact"/>
        <w:rPr>
          <w:sz w:val="20"/>
          <w:szCs w:val="20"/>
          <w:color w:val="auto"/>
        </w:rPr>
      </w:pPr>
    </w:p>
    <w:p>
      <w:pPr>
        <w:jc w:val="both"/>
        <w:ind w:left="60" w:right="119" w:firstLine="639"/>
        <w:spacing w:after="0" w:line="238" w:lineRule="auto"/>
        <w:tabs>
          <w:tab w:leader="none" w:pos="119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California Civil Code Section 1542.</w:t>
      </w:r>
      <w:r>
        <w:rPr>
          <w:rFonts w:ascii="Arial" w:cs="Arial" w:eastAsia="Arial" w:hAnsi="Arial"/>
          <w:sz w:val="22"/>
          <w:szCs w:val="22"/>
          <w:color w:val="auto"/>
        </w:rPr>
        <w:t xml:space="preserve">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85" w:lineRule="exact"/>
        <w:rPr>
          <w:sz w:val="20"/>
          <w:szCs w:val="20"/>
          <w:color w:val="auto"/>
        </w:rPr>
      </w:pPr>
    </w:p>
    <w:p>
      <w:pPr>
        <w:jc w:val="both"/>
        <w:ind w:left="820" w:right="899"/>
        <w:spacing w:after="0" w:line="235"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WOULDHAVE MATERIALLY AFFECTED HIS OR HER SETTLEMENT WITH THE DEBTOR OR RELEASED PARTY.</w:t>
      </w:r>
    </w:p>
    <w:p>
      <w:pPr>
        <w:spacing w:after="0" w:line="188" w:lineRule="exact"/>
        <w:rPr>
          <w:sz w:val="20"/>
          <w:szCs w:val="20"/>
          <w:color w:val="auto"/>
        </w:rPr>
      </w:pPr>
    </w:p>
    <w:p>
      <w:pPr>
        <w:ind w:left="60" w:right="119"/>
        <w:spacing w:after="0" w:line="328" w:lineRule="auto"/>
        <w:rPr>
          <w:sz w:val="20"/>
          <w:szCs w:val="20"/>
          <w:color w:val="auto"/>
        </w:rPr>
      </w:pPr>
      <w:r>
        <w:rPr>
          <w:rFonts w:ascii="Arial" w:cs="Arial" w:eastAsia="Arial" w:hAnsi="Arial"/>
          <w:sz w:val="19"/>
          <w:szCs w:val="19"/>
          <w:color w:val="auto"/>
        </w:rPr>
        <w:t>Executive, being aware of said code section, agrees to expressly waive any rights Executive may have thereunder, as well as under any other statute or common law principles of similar effect.</w:t>
      </w:r>
    </w:p>
    <w:p>
      <w:pPr>
        <w:spacing w:after="0" w:line="105" w:lineRule="exact"/>
        <w:rPr>
          <w:sz w:val="20"/>
          <w:szCs w:val="20"/>
          <w:color w:val="auto"/>
        </w:rPr>
      </w:pPr>
    </w:p>
    <w:p>
      <w:pPr>
        <w:jc w:val="both"/>
        <w:ind w:left="60" w:right="119" w:firstLine="639"/>
        <w:spacing w:after="0" w:line="282" w:lineRule="auto"/>
        <w:tabs>
          <w:tab w:leader="none" w:pos="120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No Pending or Future Lawsuits.</w:t>
      </w:r>
      <w:r>
        <w:rPr>
          <w:rFonts w:ascii="Arial" w:cs="Arial" w:eastAsia="Arial" w:hAnsi="Arial"/>
          <w:sz w:val="19"/>
          <w:szCs w:val="19"/>
          <w:color w:val="auto"/>
        </w:rPr>
        <w:t xml:space="preserve"> Executive represents that, with respect to the claims released herein,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94615</wp:posOffset>
            </wp:positionV>
            <wp:extent cx="5751830" cy="50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4" w:name="page95"/>
    <w:bookmarkEnd w:id="94"/>
    <w:p>
      <w:pPr>
        <w:jc w:val="both"/>
        <w:ind w:left="60" w:right="119" w:firstLine="639"/>
        <w:spacing w:after="0" w:line="297" w:lineRule="auto"/>
        <w:tabs>
          <w:tab w:leader="none" w:pos="108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Application for Employment.</w:t>
      </w:r>
      <w:r>
        <w:rPr>
          <w:rFonts w:ascii="Arial" w:cs="Arial" w:eastAsia="Arial" w:hAnsi="Arial"/>
          <w:sz w:val="19"/>
          <w:szCs w:val="19"/>
          <w:color w:val="auto"/>
        </w:rPr>
        <w:t xml:space="preserve"> Executive understands and agrees that, as a condition of this Agreement, Executive shall not be entitled to any employment with the Company, and Executive hereby waives any right, or alleged right, of employment or re-employment with the Company.</w:t>
      </w:r>
    </w:p>
    <w:p>
      <w:pPr>
        <w:spacing w:after="0" w:line="133" w:lineRule="exact"/>
        <w:rPr>
          <w:rFonts w:ascii="Arial" w:cs="Arial" w:eastAsia="Arial" w:hAnsi="Arial"/>
          <w:sz w:val="19"/>
          <w:szCs w:val="19"/>
          <w:color w:val="auto"/>
        </w:rPr>
      </w:pPr>
    </w:p>
    <w:p>
      <w:pPr>
        <w:jc w:val="both"/>
        <w:ind w:left="60" w:right="119" w:firstLine="639"/>
        <w:spacing w:after="0" w:line="245" w:lineRule="auto"/>
        <w:tabs>
          <w:tab w:leader="none" w:pos="119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Subject to the Protected Activity provision, Executive agrees to maintain in complete confidence the existence of this Agreement, the contents and terms of this Agreement, and the consideration for this Agreement (hereinafter collectively referred to as “Separation Information”). Except as required by law, Executive may disclose Separation Information only to Executive’s immediate family members, the Court in any proceedings to enforce the terms of this Agreement, Executive’s attorney(s), and Executive’s accountant(s) and any professional tax advisor(s) to the extent that they need to know the Separation Information in order to provide advice on tax treatment or to prepare tax returns, and must prevent disclosure of any Separation Information to all other third parties. Executive agrees that Executive will not publicize, directly or indirectly, any Separation Information.</w:t>
      </w:r>
    </w:p>
    <w:p>
      <w:pPr>
        <w:spacing w:after="0" w:line="180" w:lineRule="exact"/>
        <w:rPr>
          <w:rFonts w:ascii="Arial" w:cs="Arial" w:eastAsia="Arial" w:hAnsi="Arial"/>
          <w:sz w:val="21"/>
          <w:szCs w:val="21"/>
          <w:color w:val="auto"/>
        </w:rPr>
      </w:pPr>
    </w:p>
    <w:p>
      <w:pPr>
        <w:jc w:val="both"/>
        <w:ind w:left="60" w:right="119" w:firstLine="639"/>
        <w:spacing w:after="0" w:line="244" w:lineRule="auto"/>
        <w:tabs>
          <w:tab w:leader="none" w:pos="1213"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Trade Secrets and Confidential Information/Company Property.</w:t>
      </w:r>
      <w:r>
        <w:rPr>
          <w:rFonts w:ascii="Arial" w:cs="Arial" w:eastAsia="Arial" w:hAnsi="Arial"/>
          <w:sz w:val="21"/>
          <w:szCs w:val="21"/>
          <w:color w:val="auto"/>
        </w:rPr>
        <w:t xml:space="preserve"> Subject to the Protected Activity provision, Employee reaffirms and agrees to observe and abide by the terms of the Confidentiality Agreement, specifically including the provisions therein regarding nondisclosure of the Company’s trade secrets and confidential and proprietary information. Notwithstanding the foregoing, the Company agrees that it will not seek to enforce Section 15 (Non-Compete) of the Confidentiality Agreement, but does reserve all rights should it contend Executive has breached his obligations to maintain the Company’s trade secrets. Employee’s signature below constitutes Employee’s certification under penalty of perjury that Employee has returned all documents and other items provided to Employee by the Company (with the exception of a copy of the Employee Handbook and personnel documents specifically relating to Employee), developed or obtained by Employee in connection with Employee’s employment with the Company, or otherwise belonging to the Company.</w:t>
      </w:r>
    </w:p>
    <w:p>
      <w:pPr>
        <w:spacing w:after="0" w:line="185" w:lineRule="exact"/>
        <w:rPr>
          <w:rFonts w:ascii="Arial" w:cs="Arial" w:eastAsia="Arial" w:hAnsi="Arial"/>
          <w:sz w:val="21"/>
          <w:szCs w:val="21"/>
          <w:color w:val="auto"/>
        </w:rPr>
      </w:pPr>
    </w:p>
    <w:p>
      <w:pPr>
        <w:jc w:val="both"/>
        <w:ind w:left="60" w:right="119" w:firstLine="639"/>
        <w:spacing w:after="0" w:line="272" w:lineRule="auto"/>
        <w:tabs>
          <w:tab w:leader="none" w:pos="135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Cooperation.</w:t>
      </w:r>
      <w:r>
        <w:rPr>
          <w:rFonts w:ascii="Arial" w:cs="Arial" w:eastAsia="Arial" w:hAnsi="Arial"/>
          <w:sz w:val="19"/>
          <w:szCs w:val="19"/>
          <w:color w:val="auto"/>
        </w:rPr>
        <w:t xml:space="preserve"> Subject to the Protected Activity provision,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Executive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pacing w:after="0" w:line="160" w:lineRule="exact"/>
        <w:rPr>
          <w:rFonts w:ascii="Arial" w:cs="Arial" w:eastAsia="Arial" w:hAnsi="Arial"/>
          <w:sz w:val="19"/>
          <w:szCs w:val="19"/>
          <w:color w:val="auto"/>
        </w:rPr>
      </w:pPr>
    </w:p>
    <w:p>
      <w:pPr>
        <w:jc w:val="both"/>
        <w:ind w:left="60" w:right="119" w:firstLine="639"/>
        <w:spacing w:after="0" w:line="244" w:lineRule="auto"/>
        <w:tabs>
          <w:tab w:leader="none" w:pos="1208"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Protected Activity Not Prohibited.</w:t>
      </w:r>
      <w:r>
        <w:rPr>
          <w:rFonts w:ascii="Arial" w:cs="Arial" w:eastAsia="Arial" w:hAnsi="Arial"/>
          <w:sz w:val="21"/>
          <w:szCs w:val="21"/>
          <w:color w:val="auto"/>
        </w:rPr>
        <w:t xml:space="preserve"> Executive understands that nothing in this Agreement shall in any way limit or prohibit Executive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disclosing information pertaining to sexual harassment or any other unlawful or potentially unlawful conduct in the workplace, to the extent protected by applicable law. Executive understands that in connection with such Protected Activity under prong (i) of this section, Executive is permitted to disclose documents or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120650</wp:posOffset>
            </wp:positionV>
            <wp:extent cx="5751830"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5751830" cy="514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5" w:name="page96"/>
    <w:bookmarkEnd w:id="95"/>
    <w:p>
      <w:pPr>
        <w:jc w:val="both"/>
        <w:ind w:left="60" w:right="119"/>
        <w:spacing w:after="0" w:line="270" w:lineRule="auto"/>
        <w:rPr>
          <w:sz w:val="20"/>
          <w:szCs w:val="20"/>
          <w:color w:val="auto"/>
        </w:rPr>
      </w:pPr>
      <w:r>
        <w:rPr>
          <w:rFonts w:ascii="Arial" w:cs="Arial" w:eastAsia="Arial" w:hAnsi="Arial"/>
          <w:sz w:val="19"/>
          <w:szCs w:val="19"/>
          <w:color w:val="auto"/>
        </w:rPr>
        <w:t xml:space="preserve">as permitted by law, without giving notice to, or receiving authorization from, the Company. Notwithstanding the foregoing, Executive agrees to take all reasonable precautions to prevent any unauthorized use or disclosure of any information that may constitute the Company’s confidential information under the Confidentiality Agreement, to any parties other than the Government Agencies. Executive further understands that “Protected Activity” does not include the disclosure of any Company attorney-client privileged communications or attorney work product. Any language in the Confidentiality Agreement or the Employment Agreement regarding Executive’s right to engage in Protected Activity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Arial" w:cs="Arial" w:eastAsia="Arial" w:hAnsi="Arial"/>
          <w:sz w:val="19"/>
          <w:szCs w:val="19"/>
          <w:i w:val="1"/>
          <w:iCs w:val="1"/>
          <w:color w:val="auto"/>
        </w:rPr>
        <w:t>solely</w:t>
      </w:r>
      <w:r>
        <w:rPr>
          <w:rFonts w:ascii="Arial" w:cs="Arial" w:eastAsia="Arial" w:hAnsi="Arial"/>
          <w:sz w:val="19"/>
          <w:szCs w:val="19"/>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00" w:lineRule="exact"/>
        <w:rPr>
          <w:sz w:val="20"/>
          <w:szCs w:val="20"/>
          <w:color w:val="auto"/>
        </w:rPr>
      </w:pPr>
    </w:p>
    <w:p>
      <w:pPr>
        <w:spacing w:after="0" w:line="211" w:lineRule="exact"/>
        <w:rPr>
          <w:sz w:val="20"/>
          <w:szCs w:val="20"/>
          <w:color w:val="auto"/>
        </w:rPr>
      </w:pPr>
    </w:p>
    <w:p>
      <w:pPr>
        <w:jc w:val="both"/>
        <w:ind w:left="60" w:right="119" w:firstLine="639"/>
        <w:spacing w:after="0" w:line="274" w:lineRule="auto"/>
        <w:tabs>
          <w:tab w:leader="none" w:pos="139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Mutual Nondisparagement.</w:t>
      </w:r>
      <w:r>
        <w:rPr>
          <w:rFonts w:ascii="Arial" w:cs="Arial" w:eastAsia="Arial" w:hAnsi="Arial"/>
          <w:sz w:val="19"/>
          <w:szCs w:val="19"/>
          <w:color w:val="auto"/>
        </w:rPr>
        <w:t xml:space="preserve"> Subject to the Protected Activity provision above, the Company and Executive mutually agree to refrain from any disparagement, defamation, libel, or slander of any of the Releasees (including the Chief Financial Officer hired/to be hired to replace Executive) or Executive. Executive shall direct any inquiries by potential future employers to the Company’s human resources department. The Company’s obligations under this provision apply only to its current executive officers, the Chief Financial Officer hired/to be hired to replace Executive and members of its Board of Directors, and only for so long as such individuals are directors or employees of the Company. Company agrees to instruct its current executive officers, the Chief Financial Officer and its Board of Directors of their obligation not to disparage or defame Executive.</w:t>
      </w:r>
    </w:p>
    <w:p>
      <w:pPr>
        <w:spacing w:after="0" w:line="158" w:lineRule="exact"/>
        <w:rPr>
          <w:rFonts w:ascii="Arial" w:cs="Arial" w:eastAsia="Arial" w:hAnsi="Arial"/>
          <w:sz w:val="19"/>
          <w:szCs w:val="19"/>
          <w:color w:val="auto"/>
        </w:rPr>
      </w:pPr>
    </w:p>
    <w:p>
      <w:pPr>
        <w:jc w:val="both"/>
        <w:ind w:left="60" w:right="119" w:firstLine="639"/>
        <w:spacing w:after="0" w:line="235" w:lineRule="auto"/>
        <w:tabs>
          <w:tab w:leader="none" w:pos="137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 xml:space="preserve"> In addition to the rights provided in the “Attorneys’ Fees” section below, Executive acknowledges and agrees that any material breach of this Agreement, unless such breach constitutes a legal action by Executive challenging or seeking a determination in good faith of the validity of the waiver herein under the ADEA, shall entitle the Company immediately to cease providing the consideration provided to Executive under this Agreement and to obtain damages, except as provided by law.</w:t>
      </w:r>
    </w:p>
    <w:p>
      <w:pPr>
        <w:spacing w:after="0" w:line="187" w:lineRule="exact"/>
        <w:rPr>
          <w:rFonts w:ascii="Arial" w:cs="Arial" w:eastAsia="Arial" w:hAnsi="Arial"/>
          <w:sz w:val="22"/>
          <w:szCs w:val="22"/>
          <w:color w:val="auto"/>
        </w:rPr>
      </w:pPr>
    </w:p>
    <w:p>
      <w:pPr>
        <w:jc w:val="both"/>
        <w:ind w:left="60" w:right="119" w:firstLine="639"/>
        <w:spacing w:after="0" w:line="277" w:lineRule="auto"/>
        <w:tabs>
          <w:tab w:leader="none" w:pos="1194"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Admission of Liability.</w:t>
      </w:r>
      <w:r>
        <w:rPr>
          <w:rFonts w:ascii="Arial" w:cs="Arial" w:eastAsia="Arial" w:hAnsi="Arial"/>
          <w:sz w:val="19"/>
          <w:szCs w:val="19"/>
          <w:color w:val="auto"/>
        </w:rPr>
        <w:t xml:space="preserve"> Executive understands and acknowledges that with respect to all claims released herein, this Agreement constitutes a compromise and settlement of any and all actual or potential disputed claims by Executive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w:t>
      </w:r>
    </w:p>
    <w:p>
      <w:pPr>
        <w:spacing w:after="0" w:line="151" w:lineRule="exact"/>
        <w:rPr>
          <w:rFonts w:ascii="Arial" w:cs="Arial" w:eastAsia="Arial" w:hAnsi="Arial"/>
          <w:sz w:val="19"/>
          <w:szCs w:val="19"/>
          <w:color w:val="auto"/>
        </w:rPr>
      </w:pPr>
    </w:p>
    <w:p>
      <w:pPr>
        <w:jc w:val="both"/>
        <w:ind w:left="60" w:right="119" w:firstLine="639"/>
        <w:spacing w:after="0" w:line="277" w:lineRule="auto"/>
        <w:tabs>
          <w:tab w:leader="none" w:pos="145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Cooperation and Assistance.</w:t>
      </w:r>
      <w:r>
        <w:rPr>
          <w:rFonts w:ascii="Arial" w:cs="Arial" w:eastAsia="Arial" w:hAnsi="Arial"/>
          <w:sz w:val="19"/>
          <w:szCs w:val="19"/>
          <w:color w:val="auto"/>
        </w:rPr>
        <w:t xml:space="preserve"> Executive agrees to voluntarily cooperate with the Company if Executive has knowledge of facts relevant to any threatened or pending litigation against the Company by making Executive reasonably available without further compensation for interviews with the Company or its legal counsel, for up to five (5) hours for preparing for and providing deposition testimony, and for preparing for and providing trial testimony. Additional cooperation and assistance provided will be subject to compensation to be determined by Executive in good faith at the time such cooperation and assistance is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97155</wp:posOffset>
            </wp:positionV>
            <wp:extent cx="5751830" cy="50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6" w:name="page97"/>
    <w:bookmarkEnd w:id="96"/>
    <w:p>
      <w:pPr>
        <w:ind w:left="60" w:right="119" w:firstLine="639"/>
        <w:spacing w:after="0" w:line="250" w:lineRule="auto"/>
        <w:tabs>
          <w:tab w:leader="none" w:pos="137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xml:space="preserve"> The Parties shall each bear their own costs, attorneys’ fees, and other fees incurred in connection with the preparation of this Agreement.</w:t>
      </w:r>
    </w:p>
    <w:p>
      <w:pPr>
        <w:spacing w:after="0" w:line="174" w:lineRule="exact"/>
        <w:rPr>
          <w:rFonts w:ascii="Arial" w:cs="Arial" w:eastAsia="Arial" w:hAnsi="Arial"/>
          <w:sz w:val="22"/>
          <w:szCs w:val="22"/>
          <w:color w:val="auto"/>
        </w:rPr>
      </w:pPr>
    </w:p>
    <w:p>
      <w:pPr>
        <w:jc w:val="both"/>
        <w:ind w:left="60" w:right="119" w:firstLine="639"/>
        <w:spacing w:after="0" w:line="243" w:lineRule="auto"/>
        <w:tabs>
          <w:tab w:leader="none" w:pos="1194"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xml:space="preserve"> EXCEPT AS PROHIBITED BY LAW, THE PARTIES AGREE THAT ANY AND ALL DISPUTES ARISING OUT OF THE TERMS OF THIS AGREEMENT, THEIR INTERPRETATION, EXECUTIVE’S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EXECUTIVE AGREES THAT, TO THE FULLEST EXTENT PERMITTED BY LAW,</w:t>
      </w:r>
    </w:p>
    <w:p>
      <w:pPr>
        <w:spacing w:after="0" w:line="2" w:lineRule="exact"/>
        <w:rPr>
          <w:sz w:val="20"/>
          <w:szCs w:val="20"/>
          <w:color w:val="auto"/>
        </w:rPr>
      </w:pPr>
    </w:p>
    <w:p>
      <w:pPr>
        <w:jc w:val="both"/>
        <w:ind w:left="60" w:right="119"/>
        <w:spacing w:after="0" w:line="241" w:lineRule="auto"/>
        <w:rPr>
          <w:sz w:val="20"/>
          <w:szCs w:val="20"/>
          <w:color w:val="auto"/>
        </w:rPr>
      </w:pPr>
      <w:r>
        <w:rPr>
          <w:rFonts w:ascii="Arial" w:cs="Arial" w:eastAsia="Arial" w:hAnsi="Arial"/>
          <w:sz w:val="21"/>
          <w:szCs w:val="21"/>
          <w:color w:val="auto"/>
        </w:rPr>
        <w:t>EXECUTIVE MAY BRING ANY SUCH ARBITRATION PROCEEDING ONLY IN EXECUTIVE’S INDIVIDUAL CAPACITY. ANY ARBITRATION WILL OCCUR IN SAN MATEO COUNTY,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AGREE THAT THE COMPANY SHALL PAY THE ARBITRATOR’S FEES FOR ANY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THE PARTIES AGREE THAT THIS ARBITRATION AGREEMENT IN THIS SECTION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428625</wp:posOffset>
            </wp:positionV>
            <wp:extent cx="5751830" cy="50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7" w:name="page98"/>
    <w:bookmarkEnd w:id="97"/>
    <w:p>
      <w:pPr>
        <w:jc w:val="both"/>
        <w:ind w:left="60" w:right="119" w:firstLine="639"/>
        <w:spacing w:after="0" w:line="272" w:lineRule="auto"/>
        <w:tabs>
          <w:tab w:leader="none" w:pos="1194"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xml:space="preserve">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Releasees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 The Parties agree and acknowledge that the payments made pursuant to section 1 of this Agreement are not related to sexual harassment or sexual abuse and not intended to fall within the scope of 26 U.S.C. Section 162(q).</w:t>
      </w:r>
    </w:p>
    <w:p>
      <w:pPr>
        <w:spacing w:after="0" w:line="160" w:lineRule="exact"/>
        <w:rPr>
          <w:rFonts w:ascii="Arial" w:cs="Arial" w:eastAsia="Arial" w:hAnsi="Arial"/>
          <w:sz w:val="19"/>
          <w:szCs w:val="19"/>
          <w:color w:val="auto"/>
        </w:rPr>
      </w:pPr>
    </w:p>
    <w:p>
      <w:pPr>
        <w:jc w:val="both"/>
        <w:ind w:left="60" w:right="119" w:firstLine="639"/>
        <w:spacing w:after="0" w:line="273" w:lineRule="auto"/>
        <w:tabs>
          <w:tab w:leader="none" w:pos="122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reimburse Executive for any taxes that may be imposed on Executive as a result of Section 409A.</w:t>
      </w:r>
    </w:p>
    <w:p>
      <w:pPr>
        <w:spacing w:after="0" w:line="160" w:lineRule="exact"/>
        <w:rPr>
          <w:rFonts w:ascii="Arial" w:cs="Arial" w:eastAsia="Arial" w:hAnsi="Arial"/>
          <w:sz w:val="19"/>
          <w:szCs w:val="19"/>
          <w:color w:val="auto"/>
        </w:rPr>
      </w:pPr>
    </w:p>
    <w:p>
      <w:pPr>
        <w:jc w:val="both"/>
        <w:ind w:left="60" w:right="119" w:firstLine="639"/>
        <w:spacing w:after="0" w:line="246" w:lineRule="auto"/>
        <w:tabs>
          <w:tab w:leader="none" w:pos="123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xml:space="preserve">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4" w:lineRule="exact"/>
        <w:rPr>
          <w:rFonts w:ascii="Arial" w:cs="Arial" w:eastAsia="Arial" w:hAnsi="Arial"/>
          <w:sz w:val="21"/>
          <w:szCs w:val="21"/>
          <w:color w:val="auto"/>
        </w:rPr>
      </w:pPr>
    </w:p>
    <w:p>
      <w:pPr>
        <w:jc w:val="both"/>
        <w:ind w:left="60" w:right="119" w:firstLine="639"/>
        <w:spacing w:after="0" w:line="238" w:lineRule="auto"/>
        <w:tabs>
          <w:tab w:leader="none" w:pos="126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4" w:lineRule="exact"/>
        <w:rPr>
          <w:rFonts w:ascii="Arial" w:cs="Arial" w:eastAsia="Arial" w:hAnsi="Arial"/>
          <w:sz w:val="22"/>
          <w:szCs w:val="22"/>
          <w:color w:val="auto"/>
        </w:rPr>
      </w:pPr>
    </w:p>
    <w:p>
      <w:pPr>
        <w:jc w:val="both"/>
        <w:ind w:left="60" w:right="119" w:firstLine="639"/>
        <w:spacing w:after="0" w:line="282" w:lineRule="auto"/>
        <w:tabs>
          <w:tab w:leader="none" w:pos="143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xml:space="preserve">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47" w:lineRule="exact"/>
        <w:rPr>
          <w:rFonts w:ascii="Arial" w:cs="Arial" w:eastAsia="Arial" w:hAnsi="Arial"/>
          <w:sz w:val="19"/>
          <w:szCs w:val="19"/>
          <w:color w:val="auto"/>
        </w:rPr>
      </w:pPr>
    </w:p>
    <w:p>
      <w:pPr>
        <w:jc w:val="both"/>
        <w:ind w:left="60" w:right="119" w:firstLine="639"/>
        <w:spacing w:after="0" w:line="275" w:lineRule="auto"/>
        <w:tabs>
          <w:tab w:leader="none" w:pos="127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including, but not limited to, the Limited Release, and understandings concerning the subject matter of this Agreement and Executive’s relationship with the Company, with the exception of the Confidentiality Agreement, any surviving obligations under the Employment Agreement, and the Stock Agreements, except as otherwise modified or superseded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100965</wp:posOffset>
            </wp:positionV>
            <wp:extent cx="5751830" cy="50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98" w:name="page99"/>
    <w:bookmarkEnd w:id="98"/>
    <w:p>
      <w:pPr>
        <w:ind w:left="60" w:right="119" w:firstLine="639"/>
        <w:spacing w:after="0" w:line="263" w:lineRule="auto"/>
        <w:tabs>
          <w:tab w:leader="none" w:pos="128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xml:space="preserve"> This Agreement may only be amended in a writing signed by Executive and the Company’s Chief Executive Officer.</w:t>
      </w:r>
    </w:p>
    <w:p>
      <w:pPr>
        <w:spacing w:after="0" w:line="161" w:lineRule="exact"/>
        <w:rPr>
          <w:rFonts w:ascii="Arial" w:cs="Arial" w:eastAsia="Arial" w:hAnsi="Arial"/>
          <w:sz w:val="22"/>
          <w:szCs w:val="22"/>
          <w:color w:val="auto"/>
        </w:rPr>
      </w:pPr>
    </w:p>
    <w:p>
      <w:pPr>
        <w:jc w:val="both"/>
        <w:ind w:left="60" w:right="119" w:firstLine="639"/>
        <w:spacing w:after="0" w:line="252" w:lineRule="auto"/>
        <w:tabs>
          <w:tab w:leader="none" w:pos="1424"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Agreement shall be governed by the laws of the State of California, without regard for choice-of-law provisions, except that any dispute regarding the enforceability of the arbitration section of this Agreement shall be governed by the FAA. Executive consents to personal and exclusive jurisdiction and venue in the State of California.</w:t>
      </w:r>
    </w:p>
    <w:p>
      <w:pPr>
        <w:spacing w:after="0" w:line="173" w:lineRule="exact"/>
        <w:rPr>
          <w:rFonts w:ascii="Arial" w:cs="Arial" w:eastAsia="Arial" w:hAnsi="Arial"/>
          <w:sz w:val="21"/>
          <w:szCs w:val="21"/>
          <w:color w:val="auto"/>
        </w:rPr>
      </w:pPr>
    </w:p>
    <w:p>
      <w:pPr>
        <w:jc w:val="both"/>
        <w:ind w:left="60" w:right="119" w:firstLine="639"/>
        <w:spacing w:after="0" w:line="249" w:lineRule="auto"/>
        <w:tabs>
          <w:tab w:leader="none" w:pos="123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Executive understands that this Agreement shall be null and void if not executed by Executive within twenty-one (21) days.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“Effective Date”).</w:t>
      </w:r>
    </w:p>
    <w:p>
      <w:pPr>
        <w:spacing w:after="0" w:line="178" w:lineRule="exact"/>
        <w:rPr>
          <w:rFonts w:ascii="Arial" w:cs="Arial" w:eastAsia="Arial" w:hAnsi="Arial"/>
          <w:sz w:val="21"/>
          <w:szCs w:val="21"/>
          <w:color w:val="auto"/>
        </w:rPr>
      </w:pPr>
    </w:p>
    <w:p>
      <w:pPr>
        <w:jc w:val="both"/>
        <w:ind w:left="60" w:right="119" w:firstLine="639"/>
        <w:spacing w:after="0" w:line="249" w:lineRule="auto"/>
        <w:tabs>
          <w:tab w:leader="none" w:pos="162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[THE REMAINDER OF THIS PAGE IS INTENTIONALLY LEFT BLANK;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266065</wp:posOffset>
            </wp:positionV>
            <wp:extent cx="5751830" cy="508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5751830" cy="50800"/>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99" w:name="page100"/>
    <w:bookmarkEnd w:id="99"/>
    <w:p>
      <w:pPr>
        <w:jc w:val="both"/>
        <w:ind w:right="119" w:firstLine="654"/>
        <w:spacing w:after="0" w:line="287" w:lineRule="auto"/>
        <w:tabs>
          <w:tab w:leader="none" w:pos="125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xml:space="preserve"> Executive understands and agrees that Executive executed this Agreement voluntarily and without any duress or undue influence on the part or behalf of the Company or any third party, with the full intent of releasing all of Executive’s claims against the Company and any of the other Releasees. Executive acknowledges that:</w:t>
      </w:r>
    </w:p>
    <w:p>
      <w:pPr>
        <w:spacing w:after="0" w:line="169" w:lineRule="exact"/>
        <w:rPr>
          <w:rFonts w:ascii="Arial" w:cs="Arial" w:eastAsia="Arial" w:hAnsi="Arial"/>
          <w:sz w:val="19"/>
          <w:szCs w:val="19"/>
          <w:color w:val="auto"/>
        </w:rPr>
      </w:pPr>
    </w:p>
    <w:p>
      <w:pPr>
        <w:ind w:left="1760" w:hanging="458"/>
        <w:spacing w:after="0"/>
        <w:tabs>
          <w:tab w:leader="none" w:pos="17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Executive has read this Agreement;</w:t>
      </w:r>
    </w:p>
    <w:p>
      <w:pPr>
        <w:spacing w:after="0" w:line="233" w:lineRule="exact"/>
        <w:rPr>
          <w:rFonts w:ascii="Arial" w:cs="Arial" w:eastAsia="Arial" w:hAnsi="Arial"/>
          <w:sz w:val="22"/>
          <w:szCs w:val="22"/>
          <w:color w:val="auto"/>
        </w:rPr>
      </w:pPr>
    </w:p>
    <w:p>
      <w:pPr>
        <w:ind w:left="1960" w:right="119" w:hanging="658"/>
        <w:spacing w:after="0"/>
        <w:tabs>
          <w:tab w:leader="none" w:pos="1834"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Executive has been represented in the preparation, negotiation, and execution of this Agreement by legal counsel of Executive’s own choice or has elected not to retain legal counsel;</w:t>
      </w:r>
    </w:p>
    <w:p>
      <w:pPr>
        <w:spacing w:after="0" w:line="199" w:lineRule="exact"/>
        <w:rPr>
          <w:rFonts w:ascii="Arial" w:cs="Arial" w:eastAsia="Arial" w:hAnsi="Arial"/>
          <w:sz w:val="22"/>
          <w:szCs w:val="22"/>
          <w:color w:val="auto"/>
        </w:rPr>
      </w:pPr>
    </w:p>
    <w:p>
      <w:pPr>
        <w:ind w:left="1960" w:right="119" w:hanging="658"/>
        <w:spacing w:after="0" w:line="250" w:lineRule="auto"/>
        <w:tabs>
          <w:tab w:leader="none" w:pos="1822"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Executive understands the terms and consequences of this Agreement and of the releases it contains;</w:t>
      </w:r>
    </w:p>
    <w:p>
      <w:pPr>
        <w:spacing w:after="0" w:line="201" w:lineRule="exact"/>
        <w:rPr>
          <w:rFonts w:ascii="Arial" w:cs="Arial" w:eastAsia="Arial" w:hAnsi="Arial"/>
          <w:sz w:val="22"/>
          <w:szCs w:val="22"/>
          <w:color w:val="auto"/>
        </w:rPr>
      </w:pPr>
    </w:p>
    <w:p>
      <w:pPr>
        <w:ind w:left="1760" w:hanging="458"/>
        <w:spacing w:after="0"/>
        <w:tabs>
          <w:tab w:leader="none" w:pos="17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Executive is fully aware of the legal and binding effect of this Agreement; and</w:t>
      </w:r>
    </w:p>
    <w:p>
      <w:pPr>
        <w:spacing w:after="0" w:line="258" w:lineRule="exact"/>
        <w:rPr>
          <w:rFonts w:ascii="Arial" w:cs="Arial" w:eastAsia="Arial" w:hAnsi="Arial"/>
          <w:sz w:val="21"/>
          <w:szCs w:val="21"/>
          <w:color w:val="auto"/>
        </w:rPr>
      </w:pPr>
    </w:p>
    <w:p>
      <w:pPr>
        <w:ind w:left="1960" w:right="119" w:hanging="658"/>
        <w:spacing w:after="0" w:line="250" w:lineRule="auto"/>
        <w:tabs>
          <w:tab w:leader="none" w:pos="1916" w:val="left"/>
        </w:tabs>
        <w:numPr>
          <w:ilvl w:val="1"/>
          <w:numId w:val="53"/>
        </w:numPr>
        <w:rPr>
          <w:rFonts w:ascii="Arial" w:cs="Arial" w:eastAsia="Arial" w:hAnsi="Arial"/>
          <w:sz w:val="22"/>
          <w:szCs w:val="22"/>
          <w:color w:val="auto"/>
        </w:rPr>
      </w:pPr>
      <w:r>
        <w:rPr>
          <w:rFonts w:ascii="Arial" w:cs="Arial" w:eastAsia="Arial" w:hAnsi="Arial"/>
          <w:sz w:val="22"/>
          <w:szCs w:val="22"/>
          <w:color w:val="auto"/>
        </w:rPr>
        <w:t>Executive has not relied upon any representations or statements made by the Company that are not specifically set forth in this Agreement.</w:t>
      </w:r>
    </w:p>
    <w:p>
      <w:pPr>
        <w:spacing w:after="0" w:line="200" w:lineRule="exact"/>
        <w:rPr>
          <w:sz w:val="20"/>
          <w:szCs w:val="20"/>
          <w:color w:val="auto"/>
        </w:rPr>
      </w:pPr>
    </w:p>
    <w:p>
      <w:pPr>
        <w:spacing w:after="0" w:line="218" w:lineRule="exact"/>
        <w:rPr>
          <w:sz w:val="20"/>
          <w:szCs w:val="20"/>
          <w:color w:val="auto"/>
        </w:rPr>
      </w:pPr>
    </w:p>
    <w:p>
      <w:pPr>
        <w:ind w:left="120" w:right="3959"/>
        <w:spacing w:after="0" w:line="276" w:lineRule="auto"/>
        <w:rPr>
          <w:sz w:val="20"/>
          <w:szCs w:val="20"/>
          <w:color w:val="auto"/>
        </w:rPr>
      </w:pPr>
      <w:r>
        <w:rPr>
          <w:rFonts w:ascii="Arial" w:cs="Arial" w:eastAsia="Arial" w:hAnsi="Arial"/>
          <w:sz w:val="19"/>
          <w:szCs w:val="19"/>
          <w:color w:val="auto"/>
        </w:rPr>
        <w:t>IN WITNESS WHEREOF, the Parties have executed this Agreement on the respective dates set forth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80" w:type="dxa"/>
            <w:vAlign w:val="bottom"/>
          </w:tcPr>
          <w:p>
            <w:pPr>
              <w:spacing w:after="0"/>
              <w:rPr>
                <w:sz w:val="23"/>
                <w:szCs w:val="23"/>
                <w:color w:val="auto"/>
              </w:rPr>
            </w:pPr>
          </w:p>
        </w:tc>
        <w:tc>
          <w:tcPr>
            <w:tcW w:w="3440" w:type="dxa"/>
            <w:vAlign w:val="bottom"/>
            <w:gridSpan w:val="2"/>
          </w:tcPr>
          <w:p>
            <w:pPr>
              <w:ind w:left="100"/>
              <w:spacing w:after="0"/>
              <w:rPr>
                <w:sz w:val="20"/>
                <w:szCs w:val="20"/>
                <w:color w:val="auto"/>
              </w:rPr>
            </w:pPr>
            <w:r>
              <w:rPr>
                <w:rFonts w:ascii="Arial" w:cs="Arial" w:eastAsia="Arial" w:hAnsi="Arial"/>
                <w:sz w:val="22"/>
                <w:szCs w:val="22"/>
                <w:color w:val="auto"/>
              </w:rPr>
              <w:t>BRIAN DOW, an individual</w:t>
            </w:r>
          </w:p>
        </w:tc>
      </w:tr>
      <w:tr>
        <w:trPr>
          <w:trHeight w:val="458"/>
        </w:trPr>
        <w:tc>
          <w:tcPr>
            <w:tcW w:w="5580" w:type="dxa"/>
            <w:vAlign w:val="bottom"/>
          </w:tcPr>
          <w:p>
            <w:pPr>
              <w:ind w:left="120"/>
              <w:spacing w:after="0"/>
              <w:rPr>
                <w:sz w:val="20"/>
                <w:szCs w:val="20"/>
                <w:color w:val="auto"/>
              </w:rPr>
            </w:pPr>
            <w:r>
              <w:rPr>
                <w:rFonts w:ascii="Arial" w:cs="Arial" w:eastAsia="Arial" w:hAnsi="Arial"/>
                <w:sz w:val="22"/>
                <w:szCs w:val="22"/>
                <w:color w:val="auto"/>
              </w:rPr>
              <w:t>Dated: December 31, 2019</w:t>
            </w:r>
          </w:p>
        </w:tc>
        <w:tc>
          <w:tcPr>
            <w:tcW w:w="3440" w:type="dxa"/>
            <w:vAlign w:val="bottom"/>
            <w:gridSpan w:val="2"/>
          </w:tcPr>
          <w:p>
            <w:pPr>
              <w:ind w:left="100"/>
              <w:spacing w:after="0"/>
              <w:rPr>
                <w:sz w:val="20"/>
                <w:szCs w:val="20"/>
                <w:color w:val="auto"/>
              </w:rPr>
            </w:pPr>
            <w:r>
              <w:rPr>
                <w:rFonts w:ascii="Arial" w:cs="Arial" w:eastAsia="Arial" w:hAnsi="Arial"/>
                <w:sz w:val="22"/>
                <w:szCs w:val="22"/>
                <w:color w:val="auto"/>
              </w:rPr>
              <w:t>/s/ Brian Dow</w:t>
            </w:r>
          </w:p>
        </w:tc>
      </w:tr>
      <w:tr>
        <w:trPr>
          <w:trHeight w:val="268"/>
        </w:trPr>
        <w:tc>
          <w:tcPr>
            <w:tcW w:w="5580" w:type="dxa"/>
            <w:vAlign w:val="bottom"/>
          </w:tcPr>
          <w:p>
            <w:pPr>
              <w:spacing w:after="0"/>
              <w:rPr>
                <w:sz w:val="23"/>
                <w:szCs w:val="23"/>
                <w:color w:val="auto"/>
              </w:rPr>
            </w:pPr>
          </w:p>
        </w:tc>
        <w:tc>
          <w:tcPr>
            <w:tcW w:w="342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Brian Dow</w:t>
            </w:r>
          </w:p>
        </w:tc>
        <w:tc>
          <w:tcPr>
            <w:tcW w:w="20" w:type="dxa"/>
            <w:vAlign w:val="bottom"/>
          </w:tcPr>
          <w:p>
            <w:pPr>
              <w:spacing w:after="0"/>
              <w:rPr>
                <w:sz w:val="23"/>
                <w:szCs w:val="23"/>
                <w:color w:val="auto"/>
              </w:rPr>
            </w:pPr>
          </w:p>
        </w:tc>
      </w:tr>
      <w:tr>
        <w:trPr>
          <w:trHeight w:val="465"/>
        </w:trPr>
        <w:tc>
          <w:tcPr>
            <w:tcW w:w="5580" w:type="dxa"/>
            <w:vAlign w:val="bottom"/>
          </w:tcPr>
          <w:p>
            <w:pPr>
              <w:spacing w:after="0"/>
              <w:rPr>
                <w:sz w:val="24"/>
                <w:szCs w:val="24"/>
                <w:color w:val="auto"/>
              </w:rPr>
            </w:pPr>
          </w:p>
        </w:tc>
        <w:tc>
          <w:tcPr>
            <w:tcW w:w="3440" w:type="dxa"/>
            <w:vAlign w:val="bottom"/>
            <w:gridSpan w:val="2"/>
          </w:tcPr>
          <w:p>
            <w:pPr>
              <w:ind w:left="100"/>
              <w:spacing w:after="0"/>
              <w:rPr>
                <w:sz w:val="20"/>
                <w:szCs w:val="20"/>
                <w:color w:val="auto"/>
              </w:rPr>
            </w:pPr>
            <w:r>
              <w:rPr>
                <w:rFonts w:ascii="Arial" w:cs="Arial" w:eastAsia="Arial" w:hAnsi="Arial"/>
                <w:sz w:val="22"/>
                <w:szCs w:val="22"/>
                <w:color w:val="auto"/>
              </w:rPr>
              <w:t>PULSE BIOSCIENCES, INC.</w:t>
            </w:r>
          </w:p>
        </w:tc>
      </w:tr>
      <w:tr>
        <w:trPr>
          <w:trHeight w:val="476"/>
        </w:trPr>
        <w:tc>
          <w:tcPr>
            <w:tcW w:w="5580" w:type="dxa"/>
            <w:vAlign w:val="bottom"/>
          </w:tcPr>
          <w:p>
            <w:pPr>
              <w:ind w:left="120"/>
              <w:spacing w:after="0"/>
              <w:rPr>
                <w:sz w:val="20"/>
                <w:szCs w:val="20"/>
                <w:color w:val="auto"/>
              </w:rPr>
            </w:pPr>
            <w:r>
              <w:rPr>
                <w:rFonts w:ascii="Arial" w:cs="Arial" w:eastAsia="Arial" w:hAnsi="Arial"/>
                <w:sz w:val="22"/>
                <w:szCs w:val="22"/>
                <w:color w:val="auto"/>
              </w:rPr>
              <w:t>Dated: December 31, 2019</w:t>
            </w:r>
          </w:p>
        </w:tc>
        <w:tc>
          <w:tcPr>
            <w:tcW w:w="3440" w:type="dxa"/>
            <w:vAlign w:val="bottom"/>
            <w:gridSpan w:val="2"/>
          </w:tcPr>
          <w:p>
            <w:pPr>
              <w:ind w:left="100"/>
              <w:spacing w:after="0"/>
              <w:rPr>
                <w:sz w:val="20"/>
                <w:szCs w:val="20"/>
                <w:color w:val="auto"/>
              </w:rPr>
            </w:pPr>
            <w:r>
              <w:rPr>
                <w:rFonts w:ascii="Arial" w:cs="Arial" w:eastAsia="Arial" w:hAnsi="Arial"/>
                <w:sz w:val="22"/>
                <w:szCs w:val="22"/>
                <w:color w:val="auto"/>
              </w:rPr>
              <w:t>By: /s/ Darrin Uecker</w:t>
            </w:r>
          </w:p>
        </w:tc>
      </w:tr>
      <w:tr>
        <w:trPr>
          <w:trHeight w:val="215"/>
        </w:trPr>
        <w:tc>
          <w:tcPr>
            <w:tcW w:w="5580" w:type="dxa"/>
            <w:vAlign w:val="bottom"/>
          </w:tcPr>
          <w:p>
            <w:pPr>
              <w:spacing w:after="0"/>
              <w:rPr>
                <w:sz w:val="18"/>
                <w:szCs w:val="18"/>
                <w:color w:val="auto"/>
              </w:rPr>
            </w:pPr>
          </w:p>
        </w:tc>
        <w:tc>
          <w:tcPr>
            <w:tcW w:w="3420" w:type="dxa"/>
            <w:vAlign w:val="bottom"/>
            <w:tcBorders>
              <w:top w:val="single" w:sz="8" w:color="auto"/>
            </w:tcBorders>
          </w:tcPr>
          <w:p>
            <w:pPr>
              <w:ind w:left="100"/>
              <w:spacing w:after="0" w:line="216" w:lineRule="exact"/>
              <w:rPr>
                <w:sz w:val="20"/>
                <w:szCs w:val="20"/>
                <w:color w:val="auto"/>
              </w:rPr>
            </w:pPr>
            <w:r>
              <w:rPr>
                <w:rFonts w:ascii="Arial" w:cs="Arial" w:eastAsia="Arial" w:hAnsi="Arial"/>
                <w:sz w:val="22"/>
                <w:szCs w:val="22"/>
                <w:color w:val="auto"/>
              </w:rPr>
              <w:t>Darrin Uecker</w:t>
            </w:r>
          </w:p>
        </w:tc>
        <w:tc>
          <w:tcPr>
            <w:tcW w:w="20" w:type="dxa"/>
            <w:vAlign w:val="bottom"/>
          </w:tcPr>
          <w:p>
            <w:pPr>
              <w:spacing w:after="0"/>
              <w:rPr>
                <w:sz w:val="18"/>
                <w:szCs w:val="18"/>
                <w:color w:val="auto"/>
              </w:rPr>
            </w:pPr>
          </w:p>
        </w:tc>
      </w:tr>
      <w:tr>
        <w:trPr>
          <w:trHeight w:val="274"/>
        </w:trPr>
        <w:tc>
          <w:tcPr>
            <w:tcW w:w="5580" w:type="dxa"/>
            <w:vAlign w:val="bottom"/>
          </w:tcPr>
          <w:p>
            <w:pPr>
              <w:spacing w:after="0"/>
              <w:rPr>
                <w:sz w:val="23"/>
                <w:szCs w:val="23"/>
                <w:color w:val="auto"/>
              </w:rPr>
            </w:pPr>
          </w:p>
        </w:tc>
        <w:tc>
          <w:tcPr>
            <w:tcW w:w="3440" w:type="dxa"/>
            <w:vAlign w:val="bottom"/>
            <w:gridSpan w:val="2"/>
          </w:tcPr>
          <w:p>
            <w:pPr>
              <w:ind w:left="100"/>
              <w:spacing w:after="0"/>
              <w:rPr>
                <w:sz w:val="20"/>
                <w:szCs w:val="20"/>
                <w:color w:val="auto"/>
              </w:rPr>
            </w:pPr>
            <w:r>
              <w:rPr>
                <w:rFonts w:ascii="Arial" w:cs="Arial" w:eastAsia="Arial" w:hAnsi="Arial"/>
                <w:sz w:val="22"/>
                <w:szCs w:val="22"/>
                <w:color w:val="auto"/>
              </w:rPr>
              <w:t>Chief Executive Officer</w:t>
            </w:r>
          </w:p>
        </w:tc>
      </w:tr>
      <w:tr>
        <w:trPr>
          <w:trHeight w:val="435"/>
        </w:trPr>
        <w:tc>
          <w:tcPr>
            <w:tcW w:w="55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558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-37465</wp:posOffset>
            </wp:positionV>
            <wp:extent cx="33655" cy="50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-37465</wp:posOffset>
            </wp:positionV>
            <wp:extent cx="34290" cy="508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39"/>
          </w:cols>
          <w:pgMar w:left="1420" w:top="145" w:right="1440" w:bottom="1440" w:gutter="0" w:footer="0" w:header="0"/>
        </w:sectPr>
      </w:pPr>
    </w:p>
    <w:bookmarkStart w:id="100" w:name="page101"/>
    <w:bookmarkEnd w:id="100"/>
    <w:tbl>
      <w:tblPr>
        <w:tblLayout w:type="fixed"/>
        <w:tblInd w:w="18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gridSpan w:val="2"/>
          </w:tcPr>
          <w:p>
            <w:pPr>
              <w:ind w:left="1400"/>
              <w:spacing w:after="0"/>
              <w:rPr>
                <w:sz w:val="20"/>
                <w:szCs w:val="20"/>
                <w:color w:val="auto"/>
              </w:rPr>
            </w:pPr>
            <w:r>
              <w:rPr>
                <w:rFonts w:ascii="Arial" w:cs="Arial" w:eastAsia="Arial" w:hAnsi="Arial"/>
                <w:sz w:val="18"/>
                <w:szCs w:val="18"/>
                <w:color w:val="auto"/>
                <w:w w:val="95"/>
              </w:rPr>
              <w:t>Exhibit 21.1</w:t>
            </w:r>
          </w:p>
        </w:tc>
      </w:tr>
      <w:tr>
        <w:trPr>
          <w:trHeight w:val="365"/>
        </w:trPr>
        <w:tc>
          <w:tcPr>
            <w:tcW w:w="3520" w:type="dxa"/>
            <w:vAlign w:val="bottom"/>
          </w:tcPr>
          <w:p>
            <w:pPr>
              <w:spacing w:after="0"/>
              <w:rPr>
                <w:sz w:val="24"/>
                <w:szCs w:val="24"/>
                <w:color w:val="auto"/>
              </w:rPr>
            </w:pPr>
          </w:p>
        </w:tc>
        <w:tc>
          <w:tcPr>
            <w:tcW w:w="2840" w:type="dxa"/>
            <w:vAlign w:val="bottom"/>
            <w:gridSpan w:val="4"/>
          </w:tcPr>
          <w:p>
            <w:pPr>
              <w:ind w:left="100"/>
              <w:spacing w:after="0"/>
              <w:rPr>
                <w:sz w:val="20"/>
                <w:szCs w:val="20"/>
                <w:color w:val="auto"/>
              </w:rPr>
            </w:pPr>
            <w:r>
              <w:rPr>
                <w:rFonts w:ascii="Arial" w:cs="Arial" w:eastAsia="Arial" w:hAnsi="Arial"/>
                <w:sz w:val="18"/>
                <w:szCs w:val="18"/>
                <w:color w:val="auto"/>
              </w:rPr>
              <w:t>List of Subsidiaries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9"/>
        </w:trPr>
        <w:tc>
          <w:tcPr>
            <w:tcW w:w="3520" w:type="dxa"/>
            <w:vAlign w:val="bottom"/>
          </w:tcPr>
          <w:p>
            <w:pPr>
              <w:spacing w:after="0"/>
              <w:rPr>
                <w:sz w:val="20"/>
                <w:szCs w:val="20"/>
                <w:color w:val="auto"/>
              </w:rPr>
            </w:pPr>
            <w:r>
              <w:rPr>
                <w:rFonts w:ascii="Arial" w:cs="Arial" w:eastAsia="Arial" w:hAnsi="Arial"/>
                <w:sz w:val="18"/>
                <w:szCs w:val="18"/>
                <w:color w:val="auto"/>
              </w:rPr>
              <w:t>Subsidiary</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Jurisdiction of Incorporation</w:t>
            </w:r>
          </w:p>
        </w:tc>
        <w:tc>
          <w:tcPr>
            <w:tcW w:w="23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Ownership Position</w:t>
            </w:r>
          </w:p>
        </w:tc>
      </w:tr>
      <w:tr>
        <w:trPr>
          <w:trHeight w:val="216"/>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Nanoblate Corp., a Delaware Corporation</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18"/>
                <w:szCs w:val="18"/>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w w:val="95"/>
              </w:rPr>
              <w:t>BioElectroMed Corp., a California Corporation</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California</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21"/>
                <w:szCs w:val="21"/>
                <w:color w:val="auto"/>
              </w:rPr>
            </w:pPr>
          </w:p>
        </w:tc>
      </w:tr>
      <w:tr>
        <w:trPr>
          <w:trHeight w:val="405"/>
        </w:trPr>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151765</wp:posOffset>
            </wp:positionV>
            <wp:extent cx="2014220" cy="8058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20142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54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To the Board of Directors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Pulse Biosciences, Inc.</w:t>
      </w:r>
    </w:p>
    <w:p>
      <w:pPr>
        <w:spacing w:after="0" w:line="200"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9"/>
          <w:szCs w:val="19"/>
          <w:color w:val="auto"/>
        </w:rPr>
        <w:t>We hereby consent to the use in the Form 10-K for the year ended December 31, 2019 of our report dated March 16, 2018, relating to Pulse Biosciences, Inc.’s consolidated statements of operations and comprehensive loss, stockholders” equity and cash flows for the year ended December 31, 2017, and the related notes, which is included in the Form 10-K for the year ended December 31, 2019.</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 Gumbiner Savett Inc.</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16, 2020</w:t>
      </w:r>
    </w:p>
    <w:p>
      <w:pPr>
        <w:ind w:left="180"/>
        <w:spacing w:after="0"/>
        <w:rPr>
          <w:sz w:val="20"/>
          <w:szCs w:val="20"/>
          <w:color w:val="auto"/>
        </w:rPr>
      </w:pPr>
      <w:r>
        <w:rPr>
          <w:rFonts w:ascii="Arial" w:cs="Arial" w:eastAsia="Arial" w:hAnsi="Arial"/>
          <w:sz w:val="20"/>
          <w:szCs w:val="20"/>
          <w:color w:val="auto"/>
        </w:rPr>
        <w:t>Santa Monica,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398780</wp:posOffset>
            </wp:positionV>
            <wp:extent cx="573468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5" w:right="1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t>Exhibit 23.2</w:t>
      </w:r>
    </w:p>
    <w:p>
      <w:pPr>
        <w:spacing w:after="0" w:line="217"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jc w:val="both"/>
        <w:ind w:left="180"/>
        <w:spacing w:after="0" w:line="244" w:lineRule="auto"/>
        <w:rPr>
          <w:sz w:val="20"/>
          <w:szCs w:val="20"/>
          <w:color w:val="auto"/>
        </w:rPr>
      </w:pPr>
      <w:r>
        <w:rPr>
          <w:rFonts w:ascii="Arial" w:cs="Arial" w:eastAsia="Arial" w:hAnsi="Arial"/>
          <w:sz w:val="20"/>
          <w:szCs w:val="20"/>
          <w:color w:val="auto"/>
        </w:rPr>
        <w:t>We consent to the incorporation by reference in the Registration Statement Nos. 333-227974, 333-224800, 333-219104 and 333-219096 on Form S-3 and Nos. 333-229320, 333-222582, 333-221788, 333-218164, and 333-216897 on Form S-8 of our report dated March 16, 2020, relating to the financial statements of Pulse Biosciences, Inc. and its subsidiaries appearing in this Annual Report on Form 10-K of Pulse Biosciences, Inc. for the year ended December 31, 2019.</w:t>
      </w:r>
    </w:p>
    <w:p>
      <w:pPr>
        <w:spacing w:after="0" w:line="200" w:lineRule="exact"/>
        <w:rPr>
          <w:sz w:val="20"/>
          <w:szCs w:val="20"/>
          <w:color w:val="auto"/>
        </w:rPr>
      </w:pPr>
    </w:p>
    <w:p>
      <w:pPr>
        <w:spacing w:after="0" w:line="224" w:lineRule="exact"/>
        <w:rPr>
          <w:sz w:val="20"/>
          <w:szCs w:val="20"/>
          <w:color w:val="auto"/>
        </w:rPr>
      </w:pPr>
    </w:p>
    <w:p>
      <w:pPr>
        <w:ind w:left="1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i w:val="1"/>
          <w:iCs w:val="1"/>
          <w:color w:val="auto"/>
        </w:rPr>
        <w:t>DELOITTE &amp; TOUCHE LLP</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San Jose, California</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398780</wp:posOffset>
            </wp:positionV>
            <wp:extent cx="573468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5" w:right="1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certify that:</w:t>
      </w:r>
    </w:p>
    <w:p>
      <w:pPr>
        <w:spacing w:after="0" w:line="117" w:lineRule="exact"/>
        <w:rPr>
          <w:sz w:val="20"/>
          <w:szCs w:val="20"/>
          <w:color w:val="auto"/>
        </w:rPr>
      </w:pPr>
    </w:p>
    <w:p>
      <w:pPr>
        <w:ind w:left="320" w:hanging="320"/>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120" w:hanging="320"/>
        <w:spacing w:after="0" w:line="22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40" w:hanging="320"/>
        <w:spacing w:after="0" w:line="22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320" w:hanging="320"/>
        <w:spacing w:after="0" w:line="237"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640" w:right="200" w:hanging="316"/>
        <w:spacing w:after="0" w:line="219" w:lineRule="auto"/>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40" w:right="100" w:hanging="316"/>
        <w:spacing w:after="0" w:line="259" w:lineRule="auto"/>
        <w:tabs>
          <w:tab w:leader="none" w:pos="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280" w:hanging="316"/>
        <w:spacing w:after="0" w:line="224" w:lineRule="auto"/>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140" w:hanging="316"/>
        <w:spacing w:after="0" w:line="219" w:lineRule="auto"/>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260" w:hanging="320"/>
        <w:spacing w:after="0" w:line="224" w:lineRule="auto"/>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460" w:hanging="316"/>
        <w:spacing w:after="0" w:line="224" w:lineRule="auto"/>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sz w:val="20"/>
          <w:szCs w:val="20"/>
          <w:color w:val="auto"/>
        </w:rPr>
      </w:pPr>
    </w:p>
    <w:p>
      <w:pPr>
        <w:ind w:left="640" w:right="280" w:hanging="316"/>
        <w:spacing w:after="0" w:line="235"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40" w:val="left"/>
          <w:tab w:leader="none" w:pos="50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Darrin R. Uecker</w:t>
      </w:r>
    </w:p>
    <w:p>
      <w:pPr>
        <w:ind w:left="502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5940425" cy="50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Sandra Gardiner, certify that:</w:t>
      </w:r>
    </w:p>
    <w:p>
      <w:pPr>
        <w:spacing w:after="0" w:line="117" w:lineRule="exact"/>
        <w:rPr>
          <w:sz w:val="20"/>
          <w:szCs w:val="20"/>
          <w:color w:val="auto"/>
        </w:rPr>
      </w:pPr>
    </w:p>
    <w:p>
      <w:pPr>
        <w:ind w:left="320" w:hanging="320"/>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120" w:hanging="320"/>
        <w:spacing w:after="0" w:line="224"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40" w:hanging="320"/>
        <w:spacing w:after="0" w:line="224"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320" w:hanging="320"/>
        <w:spacing w:after="0" w:line="237"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17"/>
          <w:szCs w:val="17"/>
          <w:color w:val="auto"/>
        </w:rPr>
      </w:pPr>
    </w:p>
    <w:p>
      <w:pPr>
        <w:ind w:left="640" w:right="200" w:hanging="316"/>
        <w:spacing w:after="0" w:line="219"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40" w:right="100" w:hanging="316"/>
        <w:spacing w:after="0" w:line="259" w:lineRule="auto"/>
        <w:tabs>
          <w:tab w:leader="none" w:pos="6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280" w:hanging="316"/>
        <w:spacing w:after="0" w:line="224"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140" w:hanging="316"/>
        <w:spacing w:after="0" w:line="219"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260" w:hanging="320"/>
        <w:spacing w:after="0" w:line="224"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460" w:hanging="316"/>
        <w:spacing w:after="0" w:line="224"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280" w:hanging="316"/>
        <w:spacing w:after="0" w:line="235" w:lineRule="auto"/>
        <w:tabs>
          <w:tab w:leader="none" w:pos="6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40" w:val="left"/>
          <w:tab w:leader="none" w:pos="50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Sandra Gardiner</w:t>
      </w:r>
    </w:p>
    <w:p>
      <w:pPr>
        <w:ind w:left="5020"/>
        <w:spacing w:after="0" w:line="203" w:lineRule="auto"/>
        <w:rPr>
          <w:sz w:val="20"/>
          <w:szCs w:val="20"/>
          <w:color w:val="auto"/>
        </w:rPr>
      </w:pPr>
      <w:r>
        <w:rPr>
          <w:rFonts w:ascii="Arial" w:cs="Arial" w:eastAsia="Arial" w:hAnsi="Arial"/>
          <w:sz w:val="18"/>
          <w:szCs w:val="18"/>
          <w:color w:val="auto"/>
        </w:rPr>
        <w:t>Chief Financial Officer, Executive Vice President of</w:t>
      </w:r>
    </w:p>
    <w:p>
      <w:pPr>
        <w:ind w:left="5020"/>
        <w:spacing w:after="0" w:line="204" w:lineRule="auto"/>
        <w:rPr>
          <w:sz w:val="20"/>
          <w:szCs w:val="20"/>
          <w:color w:val="auto"/>
        </w:rPr>
      </w:pPr>
      <w:r>
        <w:rPr>
          <w:rFonts w:ascii="Arial" w:cs="Arial" w:eastAsia="Arial" w:hAnsi="Arial"/>
          <w:sz w:val="18"/>
          <w:szCs w:val="18"/>
          <w:color w:val="auto"/>
        </w:rPr>
        <w:t>Finance and Administration, Secretary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334645</wp:posOffset>
            </wp:positionV>
            <wp:extent cx="5940425"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5940425" cy="50800"/>
                    </a:xfrm>
                    <a:prstGeom prst="rect">
                      <a:avLst/>
                    </a:prstGeom>
                    <a:noFill/>
                  </pic:spPr>
                </pic:pic>
              </a:graphicData>
            </a:graphic>
          </wp:anchor>
        </w:drawing>
      </w:r>
    </w:p>
    <w:p>
      <w:pPr>
        <w:sectPr>
          <w:pgSz w:w="11900" w:h="16838" w:orient="portrait"/>
          <w:cols w:equalWidth="0" w:num="1">
            <w:col w:w="9280"/>
          </w:cols>
          <w:pgMar w:left="1300" w:top="108" w:right="1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300" w:right="230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In connection with the Annual Report of Pulse Biosciences, Inc. (the “Company”) on Form 10-K for the fiscal year ended December 31, 2019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700" w:hanging="259"/>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180" w:firstLine="441"/>
        <w:spacing w:after="0" w:line="235"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0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Darrin R. Uecker</w:t>
      </w:r>
    </w:p>
    <w:p>
      <w:pPr>
        <w:ind w:left="502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-635</wp:posOffset>
            </wp:positionV>
            <wp:extent cx="2665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ind w:left="5020"/>
        <w:spacing w:after="0" w:line="203" w:lineRule="auto"/>
        <w:rPr>
          <w:sz w:val="20"/>
          <w:szCs w:val="20"/>
          <w:color w:val="auto"/>
        </w:rPr>
      </w:pPr>
      <w:r>
        <w:rPr>
          <w:rFonts w:ascii="Arial" w:cs="Arial" w:eastAsia="Arial" w:hAnsi="Arial"/>
          <w:sz w:val="18"/>
          <w:szCs w:val="18"/>
          <w:color w:val="auto"/>
        </w:rPr>
        <w:t>Sandra Gardiner</w:t>
      </w:r>
    </w:p>
    <w:p>
      <w:pPr>
        <w:ind w:left="5020"/>
        <w:spacing w:after="0" w:line="203" w:lineRule="auto"/>
        <w:rPr>
          <w:sz w:val="20"/>
          <w:szCs w:val="20"/>
          <w:color w:val="auto"/>
        </w:rPr>
      </w:pPr>
      <w:r>
        <w:rPr>
          <w:rFonts w:ascii="Arial" w:cs="Arial" w:eastAsia="Arial" w:hAnsi="Arial"/>
          <w:sz w:val="18"/>
          <w:szCs w:val="18"/>
          <w:color w:val="auto"/>
        </w:rPr>
        <w:t>Chief Financial Officer, Executive Vice President of</w:t>
      </w:r>
    </w:p>
    <w:p>
      <w:pPr>
        <w:ind w:left="5020"/>
        <w:spacing w:after="0" w:line="204" w:lineRule="auto"/>
        <w:rPr>
          <w:sz w:val="20"/>
          <w:szCs w:val="20"/>
          <w:color w:val="auto"/>
        </w:rPr>
      </w:pPr>
      <w:r>
        <w:rPr>
          <w:rFonts w:ascii="Arial" w:cs="Arial" w:eastAsia="Arial" w:hAnsi="Arial"/>
          <w:sz w:val="18"/>
          <w:szCs w:val="18"/>
          <w:color w:val="auto"/>
        </w:rPr>
        <w:t>Finance and Administration, Secretary and Treasurer</w:t>
      </w:r>
    </w:p>
    <w:p>
      <w:pPr>
        <w:ind w:left="50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594042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5940425" cy="51435"/>
                    </a:xfrm>
                    <a:prstGeom prst="rect">
                      <a:avLst/>
                    </a:prstGeom>
                    <a:noFill/>
                  </pic:spPr>
                </pic:pic>
              </a:graphicData>
            </a:graphic>
          </wp:anchor>
        </w:drawing>
      </w:r>
    </w:p>
    <w:sectPr>
      <w:pgSz w:w="11900" w:h="16838" w:orient="portrait"/>
      <w:cols w:equalWidth="0" w:num="1">
        <w:col w:w="9280"/>
      </w:cols>
      <w:pgMar w:left="1300" w:top="108"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4"/>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3"/>
    </w:lvl>
  </w:abstractNum>
  <w:abstractNum w:abstractNumId="31">
    <w:nsid w:val="2CD89A32"/>
    <w:multiLevelType w:val="hybridMultilevel"/>
    <w:lvl w:ilvl="0">
      <w:lvlJc w:val="left"/>
      <w:lvlText w:val="%1."/>
      <w:numFmt w:val="decimal"/>
      <w:start w:val="4"/>
    </w:lvl>
  </w:abstractNum>
  <w:abstractNum w:abstractNumId="32">
    <w:nsid w:val="57E4CCAF"/>
    <w:multiLevelType w:val="hybridMultilevel"/>
    <w:lvl w:ilvl="0">
      <w:lvlJc w:val="left"/>
      <w:lvlText w:val="%1."/>
      <w:numFmt w:val="decimal"/>
      <w:start w:val="10"/>
    </w:lvl>
  </w:abstractNum>
  <w:abstractNum w:abstractNumId="33">
    <w:nsid w:val="7A6D8D3C"/>
    <w:multiLevelType w:val="hybridMultilevel"/>
    <w:lvl w:ilvl="0">
      <w:lvlJc w:val="left"/>
      <w:lvlText w:val="(%1)"/>
      <w:numFmt w:val="lowerLetter"/>
      <w:start w:val="1"/>
    </w:lvl>
    <w:lvl w:ilvl="1">
      <w:lvlJc w:val="left"/>
      <w:lvlText w:val="%2."/>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lvl w:ilvl="1">
      <w:lvlJc w:val="left"/>
      <w:lvlText w:val="%2."/>
      <w:numFmt w:val="lowerLetter"/>
      <w:start w:val="1"/>
    </w:lvl>
  </w:abstractNum>
  <w:abstractNum w:abstractNumId="41">
    <w:nsid w:val="579478FE"/>
    <w:multiLevelType w:val="hybridMultilevel"/>
    <w:lvl w:ilvl="0">
      <w:lvlJc w:val="left"/>
      <w:lvlText w:val="%1"/>
      <w:numFmt w:val="decimal"/>
      <w:start w:val="1"/>
    </w:lvl>
    <w:lvl w:ilvl="1">
      <w:lvlJc w:val="left"/>
      <w:lvlText w:val="%2."/>
      <w:numFmt w:val="lowerLetter"/>
      <w:start w:val="6"/>
    </w:lvl>
  </w:abstractNum>
  <w:abstractNum w:abstractNumId="42">
    <w:nsid w:val="749ABB43"/>
    <w:multiLevelType w:val="hybridMultilevel"/>
    <w:lvl w:ilvl="0">
      <w:lvlJc w:val="left"/>
      <w:lvlText w:val="%1."/>
      <w:numFmt w:val="decimal"/>
      <w:start w:val="2"/>
    </w:lvl>
    <w:lvl w:ilvl="1">
      <w:lvlJc w:val="left"/>
      <w:lvlText w:val="%2"/>
      <w:numFmt w:val="lowerLetter"/>
      <w:start w:val="1"/>
    </w:lvl>
  </w:abstractNum>
  <w:abstractNum w:abstractNumId="43">
    <w:nsid w:val="3DC240FB"/>
    <w:multiLevelType w:val="hybridMultilevel"/>
    <w:lvl w:ilvl="0">
      <w:lvlJc w:val="left"/>
      <w:lvlText w:val="%1."/>
      <w:numFmt w:val="decimal"/>
      <w:start w:val="5"/>
    </w:lvl>
    <w:lvl w:ilvl="1">
      <w:lvlJc w:val="left"/>
      <w:lvlText w:val="%2."/>
      <w:numFmt w:val="lowerLetter"/>
      <w:start w:val="1"/>
    </w:lvl>
  </w:abstractNum>
  <w:abstractNum w:abstractNumId="44">
    <w:nsid w:val="1BA026FA"/>
    <w:multiLevelType w:val="hybridMultilevel"/>
    <w:lvl w:ilvl="0">
      <w:lvlJc w:val="left"/>
      <w:lvlText w:val="%1."/>
      <w:numFmt w:val="decimal"/>
      <w:start w:val="6"/>
    </w:lvl>
  </w:abstractNum>
  <w:abstractNum w:abstractNumId="45">
    <w:nsid w:val="79A1DEAA"/>
    <w:multiLevelType w:val="hybridMultilevel"/>
    <w:lvl w:ilvl="0">
      <w:lvlJc w:val="left"/>
      <w:lvlText w:val="%1."/>
      <w:numFmt w:val="decimal"/>
      <w:start w:val="7"/>
    </w:lvl>
  </w:abstractNum>
  <w:abstractNum w:abstractNumId="46">
    <w:nsid w:val="75C6C33A"/>
    <w:multiLevelType w:val="hybridMultilevel"/>
    <w:lvl w:ilvl="0">
      <w:lvlJc w:val="left"/>
      <w:lvlText w:val="%1."/>
      <w:numFmt w:val="decimal"/>
      <w:start w:val="8"/>
    </w:lvl>
  </w:abstractNum>
  <w:abstractNum w:abstractNumId="47">
    <w:nsid w:val="12E685FB"/>
    <w:multiLevelType w:val="hybridMultilevel"/>
    <w:lvl w:ilvl="0">
      <w:lvlJc w:val="left"/>
      <w:lvlText w:val="%1."/>
      <w:numFmt w:val="decimal"/>
      <w:start w:val="9"/>
    </w:lvl>
  </w:abstractNum>
  <w:abstractNum w:abstractNumId="48">
    <w:nsid w:val="70C6A529"/>
    <w:multiLevelType w:val="hybridMultilevel"/>
    <w:lvl w:ilvl="0">
      <w:lvlJc w:val="left"/>
      <w:lvlText w:val="%1."/>
      <w:numFmt w:val="decimal"/>
      <w:start w:val="14"/>
    </w:lvl>
  </w:abstractNum>
  <w:abstractNum w:abstractNumId="49">
    <w:nsid w:val="520EEDD1"/>
    <w:multiLevelType w:val="hybridMultilevel"/>
    <w:lvl w:ilvl="0">
      <w:lvlJc w:val="left"/>
      <w:lvlText w:val="%1."/>
      <w:numFmt w:val="decimal"/>
      <w:start w:val="18"/>
    </w:lvl>
  </w:abstractNum>
  <w:abstractNum w:abstractNumId="50">
    <w:nsid w:val="374A3FE6"/>
    <w:multiLevelType w:val="hybridMultilevel"/>
    <w:lvl w:ilvl="0">
      <w:lvlJc w:val="left"/>
      <w:lvlText w:val="%1."/>
      <w:numFmt w:val="decimal"/>
      <w:start w:val="20"/>
    </w:lvl>
  </w:abstractNum>
  <w:abstractNum w:abstractNumId="51">
    <w:nsid w:val="4F4EF005"/>
    <w:multiLevelType w:val="hybridMultilevel"/>
    <w:lvl w:ilvl="0">
      <w:lvlJc w:val="left"/>
      <w:lvlText w:val="%1."/>
      <w:numFmt w:val="decimal"/>
      <w:start w:val="26"/>
    </w:lvl>
  </w:abstractNum>
  <w:abstractNum w:abstractNumId="52">
    <w:nsid w:val="23F9C13C"/>
    <w:multiLevelType w:val="hybridMultilevel"/>
    <w:lvl w:ilvl="0">
      <w:lvlJc w:val="left"/>
      <w:lvlText w:val="%1."/>
      <w:numFmt w:val="decimal"/>
      <w:start w:val="30"/>
    </w:lvl>
    <w:lvl w:ilvl="1">
      <w:lvlJc w:val="left"/>
      <w:lvlText w:val="(%2)"/>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jpe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113" Type="http://schemas.openxmlformats.org/officeDocument/2006/relationships/hyperlink" Target="http://www.sec.gov/Archives/edgar/data/1625101/000162510118000036/plse-20180618xex2_1.htm" TargetMode="External"/><Relationship Id="rId114" Type="http://schemas.openxmlformats.org/officeDocument/2006/relationships/hyperlink" Target="http://www.sec.gov/Archives/edgar/data/1625101/000162510118000036/plse-20180618xex3_1.htm" TargetMode="External"/><Relationship Id="rId115" Type="http://schemas.openxmlformats.org/officeDocument/2006/relationships/hyperlink" Target="http://www.sec.gov/Archives/edgar/data/1625101/000162510118000036/plse-20180618xex3_2.htm" TargetMode="External"/><Relationship Id="rId116" Type="http://schemas.openxmlformats.org/officeDocument/2006/relationships/hyperlink" Target="http://www.sec.gov/Archives/edgar/data/1625101/000162510118000036/plse-20180618xex3_3.htm" TargetMode="External"/><Relationship Id="rId117" Type="http://schemas.openxmlformats.org/officeDocument/2006/relationships/hyperlink" Target="http://www.sec.gov/Archives/edgar/data/1625101/000162510118000036/plse-20180618xex3_4.htm" TargetMode="External"/><Relationship Id="rId118" Type="http://schemas.openxmlformats.org/officeDocument/2006/relationships/hyperlink" Target="http://www.sec.gov/Archives/edgar/data/1625101/000162510118000036/plse-20180618xex4_1.htm" TargetMode="External"/><Relationship Id="rId119" Type="http://schemas.openxmlformats.org/officeDocument/2006/relationships/hyperlink" Target="http://www.sec.gov/Archives/edgar/data/1625101/000119312515410608/d11949dex42.htm" TargetMode="External"/><Relationship Id="rId120" Type="http://schemas.openxmlformats.org/officeDocument/2006/relationships/hyperlink" Target="http://www.sec.gov/Archives/edgar/data/1625101/000119312516519840/d11949dex43.htm" TargetMode="External"/><Relationship Id="rId121" Type="http://schemas.openxmlformats.org/officeDocument/2006/relationships/hyperlink" Target="http://www.sec.gov/Archives/edgar/data/1625101/000119312515410608/d11949dex106.htm" TargetMode="External"/><Relationship Id="rId122" Type="http://schemas.openxmlformats.org/officeDocument/2006/relationships/hyperlink" Target="http://www.sec.gov/Archives/edgar/data/1625101/000119312515410608/d11949dex107.htm" TargetMode="External"/><Relationship Id="rId123" Type="http://schemas.openxmlformats.org/officeDocument/2006/relationships/hyperlink" Target="http://www.sec.gov/Archives/edgar/data/1625101/000162510117000011/plse-20161231xex10_1.htm" TargetMode="External"/><Relationship Id="rId124" Type="http://schemas.openxmlformats.org/officeDocument/2006/relationships/hyperlink" Target="http://www.sec.gov/Archives/edgar/data/1625101/000119312516575202/d11949dex1012.htm" TargetMode="External"/><Relationship Id="rId125" Type="http://schemas.openxmlformats.org/officeDocument/2006/relationships/hyperlink" Target="http://www.sec.gov/Archives/edgar/data/1625101/000119312516495268/d11949dex1013.htm" TargetMode="External"/><Relationship Id="rId126" Type="http://schemas.openxmlformats.org/officeDocument/2006/relationships/hyperlink" Target="http://www.sec.gov/Archives/edgar/data/1625101/000119312516575202/d11949dex1014.htm" TargetMode="External"/><Relationship Id="rId127" Type="http://schemas.openxmlformats.org/officeDocument/2006/relationships/hyperlink" Target="http://www.sec.gov/Archives/edgar/data/1625101/000119312516575202/d11949dex1015.htm" TargetMode="External"/><Relationship Id="rId128" Type="http://schemas.openxmlformats.org/officeDocument/2006/relationships/hyperlink" Target="http://www.sec.gov/Archives/edgar/data/1625101/000156276217000015/plse-20170210xex10_1.htm" TargetMode="External"/><Relationship Id="rId129" Type="http://schemas.openxmlformats.org/officeDocument/2006/relationships/hyperlink" Target="http://www.sec.gov/Archives/edgar/data/1625101/000162510117000030/plse-20170925xex10_1.htm" TargetMode="External"/><Relationship Id="rId130" Type="http://schemas.openxmlformats.org/officeDocument/2006/relationships/hyperlink" Target="http://www.sec.gov/Archives/edgar/data/1625101/000119312515410608/d11949dex102.htm" TargetMode="External"/><Relationship Id="rId131" Type="http://schemas.openxmlformats.org/officeDocument/2006/relationships/hyperlink" Target="http://www.sec.gov/Archives/edgar/data/1625101/000162510117000044/plse-20171128xex10_1.htm" TargetMode="External"/><Relationship Id="rId132" Type="http://schemas.openxmlformats.org/officeDocument/2006/relationships/hyperlink" Target="http://www.sec.gov/Archives/edgar/data/1625101/000156276217000071/plse-20170519xex10_1.htm" TargetMode="External"/><Relationship Id="rId133" Type="http://schemas.openxmlformats.org/officeDocument/2006/relationships/hyperlink" Target="http://www.sec.gov/Archives/edgar/data/1625101/000156276217000071/plse-20170519xex10_2.htm" TargetMode="External"/><Relationship Id="rId134" Type="http://schemas.openxmlformats.org/officeDocument/2006/relationships/hyperlink" Target="http://www.sec.gov/Archives/edgar/data/1625101/000119312515410608/d11949dex103.htm" TargetMode="External"/><Relationship Id="rId135" Type="http://schemas.openxmlformats.org/officeDocument/2006/relationships/hyperlink" Target="http://www.sec.gov/Archives/edgar/data/1625101/000119312515410608/d11949dex109.htm" TargetMode="External"/><Relationship Id="rId136" Type="http://schemas.openxmlformats.org/officeDocument/2006/relationships/hyperlink" Target="http://www.sec.gov/Archives/edgar/data/1625101/000156276216000431/plse-20161011xex10_1.htm" TargetMode="External"/><Relationship Id="rId137" Type="http://schemas.openxmlformats.org/officeDocument/2006/relationships/hyperlink" Target="http://www.sec.gov/Archives/edgar/data/1625101/000119312515410608/d11949dex1010.htm" TargetMode="External"/><Relationship Id="rId138" Type="http://schemas.openxmlformats.org/officeDocument/2006/relationships/hyperlink" Target="http://www.sec.gov/Archives/edgar/data/1625101/000162510118000036/plse-20180618xex10_1.htm" TargetMode="External"/><Relationship Id="rId139" Type="http://schemas.openxmlformats.org/officeDocument/2006/relationships/hyperlink" Target="http://www.sec.gov/Archives/edgar/data/1625101/000162510119000025/plse-20190531xex10_19.htm" TargetMode="External"/><Relationship Id="rId140" Type="http://schemas.openxmlformats.org/officeDocument/2006/relationships/hyperlink" Target="http://www.sec.gov/Archives/edgar/data/1625101/000162510119000008/plse-20181231xex10_17.htm" TargetMode="External"/><Relationship Id="rId141" Type="http://schemas.openxmlformats.org/officeDocument/2006/relationships/hyperlink" Target="http://www.sec.gov/Archives/edgar/data/1625101/000162510119000037/plse-20191107xex10_1.htm" TargetMode="External"/><Relationship Id="rId142" Type="http://schemas.openxmlformats.org/officeDocument/2006/relationships/hyperlink" Target="http://www.sec.gov/Archives/edgar/data/1625101/000162510118000018/plse-20180411xex16_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2020-03-16T15:52:48Z</dcterms:created>
  <dcterms:modified xsi:type="dcterms:W3CDTF">2020-03-16T15:52:48Z</dcterms:modified>
</cp:coreProperties>
</file>