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774700</wp:posOffset>
            </wp:positionH>
            <wp:positionV relativeFrom="page">
              <wp:posOffset>260350</wp:posOffset>
            </wp:positionV>
            <wp:extent cx="60115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26035"/>
                    </a:xfrm>
                    <a:prstGeom prst="rect">
                      <a:avLst/>
                    </a:prstGeom>
                    <a:noFill/>
                  </pic:spPr>
                </pic:pic>
              </a:graphicData>
            </a:graphic>
          </wp:anchor>
        </w:drawing>
        <w:t>UNITED STATES</w:t>
      </w:r>
    </w:p>
    <w:p>
      <w:pPr>
        <w:jc w:val="center"/>
        <w:ind w:right="-19"/>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00" w:lineRule="auto"/>
        <w:rPr>
          <w:sz w:val="20"/>
          <w:szCs w:val="20"/>
          <w:color w:val="auto"/>
        </w:rPr>
      </w:pPr>
      <w:r>
        <w:rPr>
          <w:rFonts w:ascii="Arial" w:cs="Arial" w:eastAsia="Arial" w:hAnsi="Arial"/>
          <w:sz w:val="20"/>
          <w:szCs w:val="20"/>
          <w:b w:val="1"/>
          <w:bCs w:val="1"/>
          <w:color w:val="auto"/>
        </w:rPr>
        <w:t>Washington, D.C. 20549</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jc w:val="center"/>
        <w:ind w:right="-19"/>
        <w:spacing w:after="0"/>
        <w:rPr>
          <w:sz w:val="20"/>
          <w:szCs w:val="20"/>
          <w:color w:val="auto"/>
        </w:rPr>
      </w:pPr>
      <w:r>
        <w:rPr>
          <w:rFonts w:ascii="Arial" w:cs="Arial" w:eastAsia="Arial" w:hAnsi="Arial"/>
          <w:sz w:val="29"/>
          <w:szCs w:val="29"/>
          <w:b w:val="1"/>
          <w:bCs w:val="1"/>
          <w:color w:val="auto"/>
        </w:rPr>
        <w:t>Form 10-Q</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440" w:right="200" w:hanging="440"/>
        <w:spacing w:after="0" w:line="224" w:lineRule="auto"/>
        <w:tabs>
          <w:tab w:leader="none" w:pos="4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right="180" w:hanging="440"/>
        <w:spacing w:after="0" w:line="224" w:lineRule="auto"/>
        <w:tabs>
          <w:tab w:leader="none" w:pos="4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4" w:lineRule="exact"/>
        <w:rPr>
          <w:sz w:val="24"/>
          <w:szCs w:val="24"/>
          <w:color w:val="auto"/>
        </w:rPr>
      </w:pPr>
    </w:p>
    <w:p>
      <w:pPr>
        <w:ind w:left="3200"/>
        <w:spacing w:after="0"/>
        <w:tabs>
          <w:tab w:leader="none" w:pos="6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001-34899</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jc w:val="center"/>
        <w:ind w:right="-19"/>
        <w:spacing w:after="0" w:line="225" w:lineRule="auto"/>
        <w:rPr>
          <w:sz w:val="20"/>
          <w:szCs w:val="20"/>
          <w:color w:val="auto"/>
        </w:rPr>
      </w:pPr>
      <w:r>
        <w:rPr>
          <w:rFonts w:ascii="Arial" w:cs="Arial" w:eastAsia="Arial" w:hAnsi="Arial"/>
          <w:sz w:val="40"/>
          <w:szCs w:val="40"/>
          <w:b w:val="1"/>
          <w:bCs w:val="1"/>
          <w:color w:val="auto"/>
        </w:rPr>
        <w:t>Pulse Biosciences, Inc.</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4" w:lineRule="exact"/>
        <w:rPr>
          <w:sz w:val="24"/>
          <w:szCs w:val="24"/>
          <w:color w:val="auto"/>
        </w:rPr>
      </w:pPr>
    </w:p>
    <w:tbl>
      <w:tblPr>
        <w:tblLayout w:type="fixed"/>
        <w:tblInd w:w="240" w:type="dxa"/>
        <w:tblCellMar>
          <w:top w:w="0" w:type="dxa"/>
          <w:left w:w="0" w:type="dxa"/>
          <w:bottom w:w="0" w:type="dxa"/>
          <w:right w:w="0" w:type="dxa"/>
        </w:tblCellMar>
      </w:tblPr>
      <w:tr>
        <w:trPr>
          <w:trHeight w:val="184"/>
        </w:trPr>
        <w:tc>
          <w:tcPr>
            <w:tcW w:w="3620" w:type="dxa"/>
            <w:vAlign w:val="bottom"/>
          </w:tcPr>
          <w:p>
            <w:pPr>
              <w:jc w:val="center"/>
              <w:ind w:left="559"/>
              <w:spacing w:after="0"/>
              <w:rPr>
                <w:sz w:val="20"/>
                <w:szCs w:val="20"/>
                <w:color w:val="auto"/>
              </w:rPr>
            </w:pPr>
            <w:r>
              <w:rPr>
                <w:rFonts w:ascii="Arial" w:cs="Arial" w:eastAsia="Arial" w:hAnsi="Arial"/>
                <w:sz w:val="16"/>
                <w:szCs w:val="16"/>
                <w:b w:val="1"/>
                <w:bCs w:val="1"/>
                <w:color w:val="auto"/>
                <w:w w:val="93"/>
              </w:rPr>
              <w:t>Delaware</w:t>
            </w:r>
          </w:p>
        </w:tc>
        <w:tc>
          <w:tcPr>
            <w:tcW w:w="2300" w:type="dxa"/>
            <w:vAlign w:val="bottom"/>
          </w:tcPr>
          <w:p>
            <w:pPr>
              <w:spacing w:after="0"/>
              <w:rPr>
                <w:sz w:val="16"/>
                <w:szCs w:val="16"/>
                <w:color w:val="auto"/>
              </w:rPr>
            </w:pPr>
          </w:p>
        </w:tc>
        <w:tc>
          <w:tcPr>
            <w:tcW w:w="2900" w:type="dxa"/>
            <w:vAlign w:val="bottom"/>
          </w:tcPr>
          <w:p>
            <w:pPr>
              <w:jc w:val="right"/>
              <w:ind w:right="1479"/>
              <w:spacing w:after="0"/>
              <w:rPr>
                <w:sz w:val="20"/>
                <w:szCs w:val="20"/>
                <w:color w:val="auto"/>
              </w:rPr>
            </w:pPr>
            <w:r>
              <w:rPr>
                <w:rFonts w:ascii="Arial" w:cs="Arial" w:eastAsia="Arial" w:hAnsi="Arial"/>
                <w:sz w:val="16"/>
                <w:szCs w:val="16"/>
                <w:b w:val="1"/>
                <w:bCs w:val="1"/>
                <w:color w:val="auto"/>
              </w:rPr>
              <w:t>46-5696597</w:t>
            </w:r>
          </w:p>
        </w:tc>
        <w:tc>
          <w:tcPr>
            <w:tcW w:w="0" w:type="dxa"/>
            <w:vAlign w:val="bottom"/>
          </w:tcPr>
          <w:p>
            <w:pPr>
              <w:spacing w:after="0"/>
              <w:rPr>
                <w:sz w:val="1"/>
                <w:szCs w:val="1"/>
                <w:color w:val="auto"/>
              </w:rPr>
            </w:pPr>
          </w:p>
        </w:tc>
      </w:tr>
      <w:tr>
        <w:trPr>
          <w:trHeight w:val="162"/>
        </w:trPr>
        <w:tc>
          <w:tcPr>
            <w:tcW w:w="3620" w:type="dxa"/>
            <w:vAlign w:val="bottom"/>
          </w:tcPr>
          <w:p>
            <w:pPr>
              <w:jc w:val="center"/>
              <w:ind w:left="559"/>
              <w:spacing w:after="0" w:line="162" w:lineRule="exact"/>
              <w:rPr>
                <w:sz w:val="20"/>
                <w:szCs w:val="20"/>
                <w:color w:val="auto"/>
              </w:rPr>
            </w:pPr>
            <w:r>
              <w:rPr>
                <w:rFonts w:ascii="Arial" w:cs="Arial" w:eastAsia="Arial" w:hAnsi="Arial"/>
                <w:sz w:val="16"/>
                <w:szCs w:val="16"/>
                <w:b w:val="1"/>
                <w:bCs w:val="1"/>
                <w:color w:val="auto"/>
                <w:w w:val="91"/>
              </w:rPr>
              <w:t>(State or other jurisdiction of</w:t>
            </w:r>
          </w:p>
        </w:tc>
        <w:tc>
          <w:tcPr>
            <w:tcW w:w="2300" w:type="dxa"/>
            <w:vAlign w:val="bottom"/>
          </w:tcPr>
          <w:p>
            <w:pPr>
              <w:spacing w:after="0"/>
              <w:rPr>
                <w:sz w:val="14"/>
                <w:szCs w:val="14"/>
                <w:color w:val="auto"/>
              </w:rPr>
            </w:pPr>
          </w:p>
        </w:tc>
        <w:tc>
          <w:tcPr>
            <w:tcW w:w="2900" w:type="dxa"/>
            <w:vAlign w:val="bottom"/>
          </w:tcPr>
          <w:p>
            <w:pPr>
              <w:jc w:val="center"/>
              <w:ind w:right="939"/>
              <w:spacing w:after="0" w:line="162" w:lineRule="exact"/>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10"/>
        </w:trPr>
        <w:tc>
          <w:tcPr>
            <w:tcW w:w="3620" w:type="dxa"/>
            <w:vAlign w:val="bottom"/>
          </w:tcPr>
          <w:p>
            <w:pPr>
              <w:jc w:val="center"/>
              <w:ind w:left="559"/>
              <w:spacing w:after="0"/>
              <w:rPr>
                <w:sz w:val="20"/>
                <w:szCs w:val="20"/>
                <w:color w:val="auto"/>
              </w:rPr>
            </w:pPr>
            <w:r>
              <w:rPr>
                <w:rFonts w:ascii="Arial" w:cs="Arial" w:eastAsia="Arial" w:hAnsi="Arial"/>
                <w:sz w:val="16"/>
                <w:szCs w:val="16"/>
                <w:b w:val="1"/>
                <w:bCs w:val="1"/>
                <w:color w:val="auto"/>
                <w:w w:val="91"/>
              </w:rPr>
              <w:t>incorporation or organization)</w:t>
            </w:r>
          </w:p>
        </w:tc>
        <w:tc>
          <w:tcPr>
            <w:tcW w:w="2300" w:type="dxa"/>
            <w:vAlign w:val="bottom"/>
          </w:tcPr>
          <w:p>
            <w:pPr>
              <w:spacing w:after="0"/>
              <w:rPr>
                <w:sz w:val="18"/>
                <w:szCs w:val="18"/>
                <w:color w:val="auto"/>
              </w:rPr>
            </w:pPr>
          </w:p>
        </w:tc>
        <w:tc>
          <w:tcPr>
            <w:tcW w:w="2900" w:type="dxa"/>
            <w:vAlign w:val="bottom"/>
          </w:tcPr>
          <w:p>
            <w:pPr>
              <w:jc w:val="center"/>
              <w:ind w:right="939"/>
              <w:spacing w:after="0"/>
              <w:rPr>
                <w:sz w:val="20"/>
                <w:szCs w:val="20"/>
                <w:color w:val="auto"/>
              </w:rPr>
            </w:pPr>
            <w:r>
              <w:rPr>
                <w:rFonts w:ascii="Arial" w:cs="Arial" w:eastAsia="Arial" w:hAnsi="Arial"/>
                <w:sz w:val="16"/>
                <w:szCs w:val="16"/>
                <w:b w:val="1"/>
                <w:bCs w:val="1"/>
                <w:color w:val="auto"/>
                <w:w w:val="94"/>
              </w:rPr>
              <w:t>Identification No.)</w:t>
            </w:r>
          </w:p>
        </w:tc>
        <w:tc>
          <w:tcPr>
            <w:tcW w:w="0" w:type="dxa"/>
            <w:vAlign w:val="bottom"/>
          </w:tcPr>
          <w:p>
            <w:pPr>
              <w:spacing w:after="0"/>
              <w:rPr>
                <w:sz w:val="1"/>
                <w:szCs w:val="1"/>
                <w:color w:val="auto"/>
              </w:rPr>
            </w:pPr>
          </w:p>
        </w:tc>
      </w:tr>
      <w:tr>
        <w:trPr>
          <w:trHeight w:val="289"/>
        </w:trPr>
        <w:tc>
          <w:tcPr>
            <w:tcW w:w="3620" w:type="dxa"/>
            <w:vAlign w:val="bottom"/>
          </w:tcPr>
          <w:p>
            <w:pPr>
              <w:jc w:val="center"/>
              <w:ind w:left="559"/>
              <w:spacing w:after="0"/>
              <w:rPr>
                <w:sz w:val="20"/>
                <w:szCs w:val="20"/>
                <w:color w:val="auto"/>
              </w:rPr>
            </w:pPr>
            <w:r>
              <w:rPr>
                <w:rFonts w:ascii="Arial" w:cs="Arial" w:eastAsia="Arial" w:hAnsi="Arial"/>
                <w:sz w:val="16"/>
                <w:szCs w:val="16"/>
                <w:b w:val="1"/>
                <w:bCs w:val="1"/>
                <w:color w:val="auto"/>
                <w:w w:val="93"/>
              </w:rPr>
              <w:t>3957 Point Eden Way</w:t>
            </w:r>
          </w:p>
        </w:tc>
        <w:tc>
          <w:tcPr>
            <w:tcW w:w="2300" w:type="dxa"/>
            <w:vAlign w:val="bottom"/>
          </w:tcPr>
          <w:p>
            <w:pPr>
              <w:spacing w:after="0"/>
              <w:rPr>
                <w:sz w:val="24"/>
                <w:szCs w:val="24"/>
                <w:color w:val="auto"/>
              </w:rPr>
            </w:pPr>
          </w:p>
        </w:tc>
        <w:tc>
          <w:tcPr>
            <w:tcW w:w="2900" w:type="dxa"/>
            <w:vAlign w:val="bottom"/>
            <w:vMerge w:val="restart"/>
          </w:tcPr>
          <w:p>
            <w:pPr>
              <w:jc w:val="right"/>
              <w:ind w:right="1679"/>
              <w:spacing w:after="0"/>
              <w:rPr>
                <w:sz w:val="20"/>
                <w:szCs w:val="20"/>
                <w:color w:val="auto"/>
              </w:rPr>
            </w:pPr>
            <w:r>
              <w:rPr>
                <w:rFonts w:ascii="Arial" w:cs="Arial" w:eastAsia="Arial" w:hAnsi="Arial"/>
                <w:sz w:val="16"/>
                <w:szCs w:val="16"/>
                <w:b w:val="1"/>
                <w:bCs w:val="1"/>
                <w:color w:val="auto"/>
              </w:rPr>
              <w:t>94545</w:t>
            </w:r>
          </w:p>
        </w:tc>
        <w:tc>
          <w:tcPr>
            <w:tcW w:w="0" w:type="dxa"/>
            <w:vAlign w:val="bottom"/>
          </w:tcPr>
          <w:p>
            <w:pPr>
              <w:spacing w:after="0"/>
              <w:rPr>
                <w:sz w:val="1"/>
                <w:szCs w:val="1"/>
                <w:color w:val="auto"/>
              </w:rPr>
            </w:pPr>
          </w:p>
        </w:tc>
      </w:tr>
      <w:tr>
        <w:trPr>
          <w:trHeight w:val="162"/>
        </w:trPr>
        <w:tc>
          <w:tcPr>
            <w:tcW w:w="3620" w:type="dxa"/>
            <w:vAlign w:val="bottom"/>
          </w:tcPr>
          <w:p>
            <w:pPr>
              <w:jc w:val="center"/>
              <w:ind w:left="559"/>
              <w:spacing w:after="0" w:line="162" w:lineRule="exact"/>
              <w:rPr>
                <w:sz w:val="20"/>
                <w:szCs w:val="20"/>
                <w:color w:val="auto"/>
              </w:rPr>
            </w:pPr>
            <w:r>
              <w:rPr>
                <w:rFonts w:ascii="Arial" w:cs="Arial" w:eastAsia="Arial" w:hAnsi="Arial"/>
                <w:sz w:val="16"/>
                <w:szCs w:val="16"/>
                <w:b w:val="1"/>
                <w:bCs w:val="1"/>
                <w:color w:val="auto"/>
                <w:w w:val="99"/>
              </w:rPr>
              <w:t>Hayward, CA</w:t>
            </w:r>
          </w:p>
        </w:tc>
        <w:tc>
          <w:tcPr>
            <w:tcW w:w="230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Pr>
          <w:p>
            <w:pPr>
              <w:jc w:val="center"/>
              <w:ind w:left="5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300" w:type="dxa"/>
            <w:vAlign w:val="bottom"/>
            <w:vMerge w:val="restart"/>
          </w:tcPr>
          <w:p>
            <w:pPr>
              <w:jc w:val="right"/>
              <w:ind w:right="839"/>
              <w:spacing w:after="0"/>
              <w:rPr>
                <w:sz w:val="20"/>
                <w:szCs w:val="20"/>
                <w:color w:val="auto"/>
              </w:rPr>
            </w:pPr>
            <w:r>
              <w:rPr>
                <w:rFonts w:ascii="Arial" w:cs="Arial" w:eastAsia="Arial" w:hAnsi="Arial"/>
                <w:sz w:val="16"/>
                <w:szCs w:val="16"/>
                <w:b w:val="1"/>
                <w:bCs w:val="1"/>
                <w:color w:val="auto"/>
              </w:rPr>
              <w:t>(510) 906-4600</w:t>
            </w:r>
          </w:p>
        </w:tc>
        <w:tc>
          <w:tcPr>
            <w:tcW w:w="2900" w:type="dxa"/>
            <w:vAlign w:val="bottom"/>
          </w:tcPr>
          <w:p>
            <w:pPr>
              <w:jc w:val="center"/>
              <w:ind w:right="939"/>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114"/>
        </w:trPr>
        <w:tc>
          <w:tcPr>
            <w:tcW w:w="3620" w:type="dxa"/>
            <w:vAlign w:val="bottom"/>
          </w:tcPr>
          <w:p>
            <w:pPr>
              <w:spacing w:after="0"/>
              <w:rPr>
                <w:sz w:val="9"/>
                <w:szCs w:val="9"/>
                <w:color w:val="auto"/>
              </w:rPr>
            </w:pPr>
          </w:p>
        </w:tc>
        <w:tc>
          <w:tcPr>
            <w:tcW w:w="230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820" w:type="dxa"/>
            <w:vAlign w:val="bottom"/>
            <w:gridSpan w:val="3"/>
          </w:tcPr>
          <w:p>
            <w:pPr>
              <w:jc w:val="center"/>
              <w:ind w:left="79"/>
              <w:spacing w:after="0" w:line="162" w:lineRule="exact"/>
              <w:rPr>
                <w:sz w:val="20"/>
                <w:szCs w:val="20"/>
                <w:color w:val="auto"/>
              </w:rPr>
            </w:pPr>
            <w:r>
              <w:rPr>
                <w:rFonts w:ascii="Arial" w:cs="Arial" w:eastAsia="Arial" w:hAnsi="Arial"/>
                <w:sz w:val="16"/>
                <w:szCs w:val="16"/>
                <w:b w:val="1"/>
                <w:bCs w:val="1"/>
                <w:color w:val="auto"/>
                <w:w w:val="90"/>
              </w:rPr>
              <w:t>(Registrant’s telephone number, including area code)</w:t>
            </w:r>
          </w:p>
        </w:tc>
        <w:tc>
          <w:tcPr>
            <w:tcW w:w="0" w:type="dxa"/>
            <w:vAlign w:val="bottom"/>
          </w:tcPr>
          <w:p>
            <w:pPr>
              <w:spacing w:after="0"/>
              <w:rPr>
                <w:sz w:val="1"/>
                <w:szCs w:val="1"/>
                <w:color w:val="auto"/>
              </w:rPr>
            </w:pPr>
          </w:p>
        </w:tc>
      </w:tr>
      <w:tr>
        <w:trPr>
          <w:trHeight w:val="166"/>
        </w:trPr>
        <w:tc>
          <w:tcPr>
            <w:tcW w:w="5920" w:type="dxa"/>
            <w:vAlign w:val="bottom"/>
            <w:gridSpan w:val="2"/>
          </w:tcPr>
          <w:p>
            <w:pPr>
              <w:jc w:val="right"/>
              <w:spacing w:after="0" w:line="166" w:lineRule="exact"/>
              <w:rPr>
                <w:sz w:val="20"/>
                <w:szCs w:val="20"/>
                <w:color w:val="auto"/>
              </w:rPr>
            </w:pPr>
            <w:r>
              <w:rPr>
                <w:rFonts w:ascii="Arial" w:cs="Arial" w:eastAsia="Arial" w:hAnsi="Arial"/>
                <w:sz w:val="16"/>
                <w:szCs w:val="16"/>
                <w:b w:val="1"/>
                <w:bCs w:val="1"/>
                <w:color w:val="auto"/>
              </w:rPr>
              <w:t>___________________________________</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82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0" w:type="dxa"/>
            <w:vAlign w:val="bottom"/>
          </w:tcPr>
          <w:p>
            <w:pPr>
              <w:spacing w:after="0"/>
              <w:rPr>
                <w:sz w:val="1"/>
                <w:szCs w:val="1"/>
                <w:color w:val="auto"/>
              </w:rPr>
            </w:pPr>
          </w:p>
        </w:tc>
      </w:tr>
      <w:tr>
        <w:trPr>
          <w:trHeight w:val="338"/>
        </w:trPr>
        <w:tc>
          <w:tcPr>
            <w:tcW w:w="3620" w:type="dxa"/>
            <w:vAlign w:val="bottom"/>
          </w:tcPr>
          <w:p>
            <w:pPr>
              <w:jc w:val="center"/>
              <w:ind w:right="539"/>
              <w:spacing w:after="0"/>
              <w:rPr>
                <w:sz w:val="20"/>
                <w:szCs w:val="20"/>
                <w:color w:val="auto"/>
              </w:rPr>
            </w:pPr>
            <w:r>
              <w:rPr>
                <w:rFonts w:ascii="Arial" w:cs="Arial" w:eastAsia="Arial" w:hAnsi="Arial"/>
                <w:sz w:val="16"/>
                <w:szCs w:val="16"/>
                <w:color w:val="auto"/>
                <w:w w:val="90"/>
              </w:rPr>
              <w:t>Title of each class</w:t>
            </w:r>
          </w:p>
        </w:tc>
        <w:tc>
          <w:tcPr>
            <w:tcW w:w="2300" w:type="dxa"/>
            <w:vAlign w:val="bottom"/>
          </w:tcPr>
          <w:p>
            <w:pPr>
              <w:jc w:val="center"/>
              <w:ind w:right="699"/>
              <w:spacing w:after="0"/>
              <w:rPr>
                <w:sz w:val="20"/>
                <w:szCs w:val="20"/>
                <w:color w:val="auto"/>
              </w:rPr>
            </w:pPr>
            <w:r>
              <w:rPr>
                <w:rFonts w:ascii="Arial" w:cs="Arial" w:eastAsia="Arial" w:hAnsi="Arial"/>
                <w:sz w:val="16"/>
                <w:szCs w:val="16"/>
                <w:color w:val="auto"/>
                <w:w w:val="94"/>
              </w:rPr>
              <w:t>Trading Symbol(s)</w:t>
            </w:r>
          </w:p>
        </w:tc>
        <w:tc>
          <w:tcPr>
            <w:tcW w:w="290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270"/>
        </w:trPr>
        <w:tc>
          <w:tcPr>
            <w:tcW w:w="3620" w:type="dxa"/>
            <w:vAlign w:val="bottom"/>
          </w:tcPr>
          <w:p>
            <w:pPr>
              <w:jc w:val="center"/>
              <w:ind w:right="559"/>
              <w:spacing w:after="0"/>
              <w:rPr>
                <w:sz w:val="20"/>
                <w:szCs w:val="20"/>
                <w:color w:val="auto"/>
              </w:rPr>
            </w:pPr>
            <w:r>
              <w:rPr>
                <w:rFonts w:ascii="Arial" w:cs="Arial" w:eastAsia="Arial" w:hAnsi="Arial"/>
                <w:sz w:val="16"/>
                <w:szCs w:val="16"/>
                <w:b w:val="1"/>
                <w:bCs w:val="1"/>
                <w:color w:val="auto"/>
                <w:w w:val="91"/>
              </w:rPr>
              <w:t>Common Stock, par value $0.001 per share</w:t>
            </w:r>
          </w:p>
        </w:tc>
        <w:tc>
          <w:tcPr>
            <w:tcW w:w="2300" w:type="dxa"/>
            <w:vAlign w:val="bottom"/>
          </w:tcPr>
          <w:p>
            <w:pPr>
              <w:jc w:val="center"/>
              <w:ind w:right="699"/>
              <w:spacing w:after="0"/>
              <w:rPr>
                <w:sz w:val="20"/>
                <w:szCs w:val="20"/>
                <w:color w:val="auto"/>
              </w:rPr>
            </w:pPr>
            <w:r>
              <w:rPr>
                <w:rFonts w:ascii="Arial" w:cs="Arial" w:eastAsia="Arial" w:hAnsi="Arial"/>
                <w:sz w:val="16"/>
                <w:szCs w:val="16"/>
                <w:b w:val="1"/>
                <w:bCs w:val="1"/>
                <w:color w:val="auto"/>
                <w:w w:val="95"/>
              </w:rPr>
              <w:t>PLSE</w:t>
            </w:r>
          </w:p>
        </w:tc>
        <w:tc>
          <w:tcPr>
            <w:tcW w:w="2900" w:type="dxa"/>
            <w:vAlign w:val="bottom"/>
          </w:tcPr>
          <w:p>
            <w:pPr>
              <w:jc w:val="center"/>
              <w:spacing w:after="0"/>
              <w:rPr>
                <w:sz w:val="20"/>
                <w:szCs w:val="20"/>
                <w:color w:val="auto"/>
              </w:rPr>
            </w:pPr>
            <w:r>
              <w:rPr>
                <w:rFonts w:ascii="Arial" w:cs="Arial" w:eastAsia="Arial" w:hAnsi="Arial"/>
                <w:sz w:val="16"/>
                <w:szCs w:val="16"/>
                <w:b w:val="1"/>
                <w:bCs w:val="1"/>
                <w:color w:val="auto"/>
                <w:w w:val="93"/>
              </w:rPr>
              <w:t>The Nasdaq Stock Market</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firstLine="441"/>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101" w:lineRule="exact"/>
        <w:rPr>
          <w:sz w:val="24"/>
          <w:szCs w:val="24"/>
          <w:color w:val="auto"/>
        </w:rPr>
      </w:pPr>
    </w:p>
    <w:p>
      <w:pPr>
        <w:jc w:val="both"/>
        <w:ind w:right="40" w:firstLine="441"/>
        <w:spacing w:after="0" w:line="18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101" w:lineRule="exact"/>
        <w:rPr>
          <w:sz w:val="24"/>
          <w:szCs w:val="24"/>
          <w:color w:val="auto"/>
        </w:rPr>
      </w:pPr>
    </w:p>
    <w:p>
      <w:pPr>
        <w:ind w:right="120" w:firstLine="441"/>
        <w:spacing w:after="0" w:line="22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52"/>
        </w:trPr>
        <w:tc>
          <w:tcPr>
            <w:tcW w:w="2580" w:type="dxa"/>
            <w:vAlign w:val="bottom"/>
          </w:tcPr>
          <w:p>
            <w:pPr>
              <w:spacing w:after="0" w:line="152" w:lineRule="exact"/>
              <w:rPr>
                <w:sz w:val="20"/>
                <w:szCs w:val="20"/>
                <w:color w:val="auto"/>
              </w:rPr>
            </w:pPr>
            <w:r>
              <w:rPr>
                <w:rFonts w:ascii="Arial" w:cs="Arial" w:eastAsia="Arial" w:hAnsi="Arial"/>
                <w:sz w:val="16"/>
                <w:szCs w:val="16"/>
                <w:color w:val="auto"/>
              </w:rPr>
              <w:t>Large accelerated filer</w:t>
            </w:r>
          </w:p>
        </w:tc>
        <w:tc>
          <w:tcPr>
            <w:tcW w:w="1580" w:type="dxa"/>
            <w:vAlign w:val="bottom"/>
          </w:tcPr>
          <w:p>
            <w:pPr>
              <w:ind w:left="800"/>
              <w:spacing w:after="0" w:line="153" w:lineRule="exact"/>
              <w:rPr>
                <w:sz w:val="20"/>
                <w:szCs w:val="20"/>
                <w:color w:val="auto"/>
              </w:rPr>
            </w:pPr>
            <w:r>
              <w:rPr>
                <w:rFonts w:ascii="MS PGothic" w:cs="MS PGothic" w:eastAsia="MS PGothic" w:hAnsi="MS PGothic"/>
                <w:sz w:val="16"/>
                <w:szCs w:val="16"/>
                <w:color w:val="auto"/>
                <w:highlight w:val="black"/>
              </w:rPr>
              <w:t>☐</w:t>
            </w:r>
          </w:p>
        </w:tc>
        <w:tc>
          <w:tcPr>
            <w:tcW w:w="3760" w:type="dxa"/>
            <w:vAlign w:val="bottom"/>
          </w:tcPr>
          <w:p>
            <w:pPr>
              <w:ind w:left="640"/>
              <w:spacing w:after="0" w:line="152" w:lineRule="exact"/>
              <w:rPr>
                <w:sz w:val="20"/>
                <w:szCs w:val="20"/>
                <w:color w:val="auto"/>
              </w:rPr>
            </w:pPr>
            <w:r>
              <w:rPr>
                <w:rFonts w:ascii="Arial" w:cs="Arial" w:eastAsia="Arial" w:hAnsi="Arial"/>
                <w:sz w:val="16"/>
                <w:szCs w:val="16"/>
                <w:color w:val="auto"/>
              </w:rPr>
              <w:t>Accelerated filer</w:t>
            </w:r>
          </w:p>
        </w:tc>
        <w:tc>
          <w:tcPr>
            <w:tcW w:w="1480" w:type="dxa"/>
            <w:vAlign w:val="bottom"/>
          </w:tcPr>
          <w:p>
            <w:pPr>
              <w:ind w:left="1340"/>
              <w:spacing w:after="0" w:line="153" w:lineRule="exact"/>
              <w:rPr>
                <w:sz w:val="20"/>
                <w:szCs w:val="20"/>
                <w:color w:val="auto"/>
              </w:rPr>
            </w:pPr>
            <w:r>
              <w:rPr>
                <w:rFonts w:ascii="MS PGothic" w:cs="MS PGothic" w:eastAsia="MS PGothic" w:hAnsi="MS PGothic"/>
                <w:sz w:val="16"/>
                <w:szCs w:val="16"/>
                <w:color w:val="auto"/>
                <w:highlight w:val="black"/>
                <w:w w:val="74"/>
              </w:rPr>
              <w:t>☒</w:t>
            </w:r>
          </w:p>
        </w:tc>
      </w:tr>
      <w:tr>
        <w:trPr>
          <w:trHeight w:val="162"/>
        </w:trPr>
        <w:tc>
          <w:tcPr>
            <w:tcW w:w="2580" w:type="dxa"/>
            <w:vAlign w:val="bottom"/>
          </w:tcPr>
          <w:p>
            <w:pPr>
              <w:spacing w:after="0" w:line="162" w:lineRule="exact"/>
              <w:rPr>
                <w:sz w:val="20"/>
                <w:szCs w:val="20"/>
                <w:color w:val="auto"/>
              </w:rPr>
            </w:pPr>
            <w:r>
              <w:rPr>
                <w:rFonts w:ascii="Arial" w:cs="Arial" w:eastAsia="Arial" w:hAnsi="Arial"/>
                <w:sz w:val="16"/>
                <w:szCs w:val="16"/>
                <w:color w:val="auto"/>
              </w:rPr>
              <w:t>Non-accelerated filer</w:t>
            </w:r>
          </w:p>
        </w:tc>
        <w:tc>
          <w:tcPr>
            <w:tcW w:w="1580" w:type="dxa"/>
            <w:vAlign w:val="bottom"/>
          </w:tcPr>
          <w:p>
            <w:pPr>
              <w:ind w:left="80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760" w:type="dxa"/>
            <w:vAlign w:val="bottom"/>
          </w:tcPr>
          <w:p>
            <w:pPr>
              <w:ind w:left="640"/>
              <w:spacing w:after="0" w:line="162" w:lineRule="exact"/>
              <w:rPr>
                <w:sz w:val="20"/>
                <w:szCs w:val="20"/>
                <w:color w:val="auto"/>
              </w:rPr>
            </w:pPr>
            <w:r>
              <w:rPr>
                <w:rFonts w:ascii="Arial" w:cs="Arial" w:eastAsia="Arial" w:hAnsi="Arial"/>
                <w:sz w:val="16"/>
                <w:szCs w:val="16"/>
                <w:color w:val="auto"/>
              </w:rPr>
              <w:t>Smaller reporting company</w:t>
            </w:r>
          </w:p>
        </w:tc>
        <w:tc>
          <w:tcPr>
            <w:tcW w:w="1480" w:type="dxa"/>
            <w:vAlign w:val="bottom"/>
          </w:tcPr>
          <w:p>
            <w:pPr>
              <w:ind w:left="13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54"/>
        </w:trPr>
        <w:tc>
          <w:tcPr>
            <w:tcW w:w="25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580" w:type="dxa"/>
            <w:vAlign w:val="bottom"/>
          </w:tcPr>
          <w:p>
            <w:pPr>
              <w:ind w:left="80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76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87" w:lineRule="exact"/>
        <w:rPr>
          <w:sz w:val="24"/>
          <w:szCs w:val="24"/>
          <w:color w:val="auto"/>
        </w:rPr>
      </w:pPr>
    </w:p>
    <w:p>
      <w:pPr>
        <w:ind w:right="700" w:firstLine="441"/>
        <w:spacing w:after="0" w:line="16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highlight w:val="black"/>
        </w:rPr>
        <w:t>☒</w:t>
      </w:r>
    </w:p>
    <w:p>
      <w:pPr>
        <w:ind w:left="440" w:right="520"/>
        <w:spacing w:after="0" w:line="2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As of October 31, 2019, there were 20,788,149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403225</wp:posOffset>
            </wp:positionV>
            <wp:extent cx="60540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535" w:right="12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20" w:firstLine="2768"/>
        <w:spacing w:after="0" w:line="245" w:lineRule="auto"/>
        <w:rPr>
          <w:rFonts w:ascii="Arial" w:cs="Arial" w:eastAsia="Arial" w:hAnsi="Arial"/>
          <w:sz w:val="18"/>
          <w:szCs w:val="18"/>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r>
        <w:rPr>
          <w:rFonts w:ascii="Arial" w:cs="Arial" w:eastAsia="Arial" w:hAnsi="Arial"/>
          <w:sz w:val="18"/>
          <w:szCs w:val="18"/>
          <w:b w:val="1"/>
          <w:bCs w:val="1"/>
          <w:u w:val="single" w:color="auto"/>
          <w:color w:val="0000EE"/>
        </w:rPr>
        <w:t xml:space="preserve"> </w:t>
      </w:r>
      <w:hyperlink w:anchor="page3">
        <w:r>
          <w:rPr>
            <w:rFonts w:ascii="Arial" w:cs="Arial" w:eastAsia="Arial" w:hAnsi="Arial"/>
            <w:sz w:val="18"/>
            <w:szCs w:val="18"/>
            <w:u w:val="single" w:color="auto"/>
            <w:color w:val="0000EE"/>
          </w:rPr>
          <w:t>Item 1.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6011545" cy="111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11545" cy="111760"/>
                    </a:xfrm>
                    <a:prstGeom prst="rect">
                      <a:avLst/>
                    </a:prstGeom>
                    <a:noFill/>
                  </pic:spPr>
                </pic:pic>
              </a:graphicData>
            </a:graphic>
          </wp:anchor>
        </w:drawing>
      </w:r>
    </w:p>
    <w:p>
      <w:pPr>
        <w:ind w:left="18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Condensed Consolidated Balance Sheets as of September 30, 2019 and December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6011545"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jc w:val="both"/>
        <w:ind w:left="180" w:right="2560"/>
        <w:spacing w:after="0" w:line="215" w:lineRule="auto"/>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Condensed Consolidated Statements of Operations and Comprehensive Loss</w:t>
        </w:r>
      </w:hyperlink>
      <w:r>
        <w:rPr>
          <w:rFonts w:ascii="Arial" w:cs="Arial" w:eastAsia="Arial" w:hAnsi="Arial"/>
          <w:sz w:val="17"/>
          <w:szCs w:val="17"/>
          <w:u w:val="single" w:color="auto"/>
          <w:color w:val="0000EE"/>
        </w:rPr>
        <w:t xml:space="preserve"> </w:t>
      </w:r>
      <w:hyperlink w:anchor="page4">
        <w:r>
          <w:rPr>
            <w:rFonts w:ascii="Arial" w:cs="Arial" w:eastAsia="Arial" w:hAnsi="Arial"/>
            <w:sz w:val="17"/>
            <w:szCs w:val="17"/>
            <w:u w:val="single" w:color="auto"/>
            <w:color w:val="0000EE"/>
          </w:rPr>
          <w:t>for the Three- and Nine-Month Periods Ended September 30, 2019 and 2018</w:t>
        </w:r>
      </w:hyperlink>
      <w:r>
        <w:rPr>
          <w:rFonts w:ascii="Arial" w:cs="Arial" w:eastAsia="Arial" w:hAnsi="Arial"/>
          <w:sz w:val="17"/>
          <w:szCs w:val="17"/>
          <w:u w:val="single" w:color="auto"/>
          <w:color w:val="0000EE"/>
        </w:rPr>
        <w:t xml:space="preserve"> </w:t>
      </w:r>
      <w:hyperlink w:anchor="page5">
        <w:r>
          <w:rPr>
            <w:rFonts w:ascii="Arial" w:cs="Arial" w:eastAsia="Arial" w:hAnsi="Arial"/>
            <w:sz w:val="17"/>
            <w:szCs w:val="17"/>
            <w:u w:val="single" w:color="auto"/>
            <w:color w:val="0000EE"/>
          </w:rPr>
          <w:t>Condensed Consolidated Statements of Cash Flows</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-102235</wp:posOffset>
            </wp:positionV>
            <wp:extent cx="6011545"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11545" cy="222885"/>
                    </a:xfrm>
                    <a:prstGeom prst="rect">
                      <a:avLst/>
                    </a:prstGeom>
                    <a:noFill/>
                  </pic:spPr>
                </pic:pic>
              </a:graphicData>
            </a:graphic>
          </wp:anchor>
        </w:drawing>
      </w:r>
    </w:p>
    <w:p>
      <w:pPr>
        <w:ind w:left="180" w:right="3380"/>
        <w:spacing w:after="0" w:line="229" w:lineRule="auto"/>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for the Nine-Month Periods Ended September 30, 2019 and 2018</w:t>
        </w:r>
      </w:hyperlink>
      <w:r>
        <w:rPr>
          <w:rFonts w:ascii="Arial" w:cs="Arial" w:eastAsia="Arial" w:hAnsi="Arial"/>
          <w:sz w:val="16"/>
          <w:szCs w:val="16"/>
          <w:u w:val="single" w:color="auto"/>
          <w:color w:val="0000EE"/>
        </w:rPr>
        <w:t xml:space="preserve"> </w:t>
      </w:r>
      <w:hyperlink w:anchor="page6">
        <w:r>
          <w:rPr>
            <w:rFonts w:ascii="Arial" w:cs="Arial" w:eastAsia="Arial" w:hAnsi="Arial"/>
            <w:sz w:val="16"/>
            <w:szCs w:val="16"/>
            <w:u w:val="single" w:color="auto"/>
            <w:color w:val="0000EE"/>
          </w:rPr>
          <w:t>Condensed Consolidated Statements of Stockholders’ Equity</w:t>
        </w:r>
      </w:hyperlink>
    </w:p>
    <w:p>
      <w:pPr>
        <w:ind w:left="180" w:right="2560"/>
        <w:spacing w:after="0" w:line="233"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for the Three- and Nine-Month Periods Ended September 30, 2019 and 2018</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Notes to Condensed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01154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right="1240"/>
        <w:spacing w:after="0" w:line="255" w:lineRule="auto"/>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Item 4. Controls and Procedures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0</wp:posOffset>
            </wp:positionH>
            <wp:positionV relativeFrom="paragraph">
              <wp:posOffset>-281305</wp:posOffset>
            </wp:positionV>
            <wp:extent cx="601154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8" w:lineRule="exact"/>
        <w:rPr>
          <w:rFonts w:ascii="Arial" w:cs="Arial" w:eastAsia="Arial" w:hAnsi="Arial"/>
          <w:sz w:val="18"/>
          <w:szCs w:val="18"/>
          <w:u w:val="single" w:color="auto"/>
          <w:color w:val="0000EE"/>
        </w:rPr>
      </w:pPr>
    </w:p>
    <w:p>
      <w:pPr>
        <w:jc w:val="right"/>
        <w:ind w:right="40"/>
        <w:spacing w:after="0"/>
        <w:rPr>
          <w:sz w:val="20"/>
          <w:szCs w:val="20"/>
          <w:color w:val="auto"/>
        </w:rPr>
      </w:pPr>
      <w:r>
        <w:rPr>
          <w:rFonts w:ascii="Arial" w:cs="Arial" w:eastAsia="Arial" w:hAnsi="Arial"/>
          <w:sz w:val="16"/>
          <w:szCs w:val="16"/>
          <w:b w:val="1"/>
          <w:bCs w:val="1"/>
          <w:color w:val="auto"/>
        </w:rPr>
        <w:t>PAGE</w:t>
      </w:r>
    </w:p>
    <w:p>
      <w:pPr>
        <w:spacing w:after="0" w:line="12" w:lineRule="exact"/>
        <w:rPr>
          <w:rFonts w:ascii="Arial" w:cs="Arial" w:eastAsia="Arial" w:hAnsi="Arial"/>
          <w:sz w:val="18"/>
          <w:szCs w:val="18"/>
          <w:u w:val="single" w:color="auto"/>
          <w:color w:val="0000EE"/>
        </w:rPr>
      </w:pPr>
    </w:p>
    <w:p>
      <w:pPr>
        <w:jc w:val="right"/>
        <w:ind w:right="40"/>
        <w:spacing w:after="0"/>
        <w:rPr>
          <w:sz w:val="20"/>
          <w:szCs w:val="20"/>
          <w:color w:val="auto"/>
        </w:rPr>
      </w:pPr>
      <w:r>
        <w:rPr>
          <w:rFonts w:ascii="Arial" w:cs="Arial" w:eastAsia="Arial" w:hAnsi="Arial"/>
          <w:sz w:val="18"/>
          <w:szCs w:val="18"/>
          <w:b w:val="1"/>
          <w:bCs w:val="1"/>
          <w:color w:val="auto"/>
        </w:rPr>
        <w:t>No.</w:t>
      </w:r>
    </w:p>
    <w:p>
      <w:pPr>
        <w:spacing w:after="0" w:line="142"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3</w:t>
      </w:r>
    </w:p>
    <w:p>
      <w:pPr>
        <w:spacing w:after="0" w:line="23"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3</w:t>
      </w:r>
    </w:p>
    <w:p>
      <w:pPr>
        <w:spacing w:after="0" w:line="62"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4</w:t>
      </w:r>
    </w:p>
    <w:p>
      <w:pPr>
        <w:spacing w:after="0" w:line="144"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5</w:t>
      </w:r>
    </w:p>
    <w:p>
      <w:pPr>
        <w:spacing w:after="0" w:line="144"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6</w:t>
      </w:r>
    </w:p>
    <w:p>
      <w:pPr>
        <w:spacing w:after="0" w:line="77"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8</w:t>
      </w:r>
    </w:p>
    <w:p>
      <w:pPr>
        <w:spacing w:after="0" w:line="23"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17</w:t>
      </w:r>
    </w:p>
    <w:p>
      <w:pPr>
        <w:spacing w:after="0" w:line="9"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23</w:t>
      </w:r>
    </w:p>
    <w:p>
      <w:pPr>
        <w:spacing w:after="0" w:line="9"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23</w:t>
      </w:r>
    </w:p>
    <w:p>
      <w:pPr>
        <w:spacing w:after="0" w:line="28" w:lineRule="exact"/>
        <w:rPr>
          <w:rFonts w:ascii="Arial" w:cs="Arial" w:eastAsia="Arial" w:hAnsi="Arial"/>
          <w:sz w:val="18"/>
          <w:szCs w:val="18"/>
          <w:u w:val="single" w:color="auto"/>
          <w:color w:val="0000EE"/>
        </w:rPr>
      </w:pPr>
    </w:p>
    <w:p>
      <w:pPr>
        <w:sectPr>
          <w:pgSz w:w="11900" w:h="16838" w:orient="portrait"/>
          <w:cols w:equalWidth="0" w:num="2">
            <w:col w:w="8260" w:space="720"/>
            <w:col w:w="520"/>
          </w:cols>
          <w:pgMar w:left="1220" w:top="108" w:right="1179" w:bottom="1440" w:gutter="0" w:footer="0" w:header="0"/>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40" w:type="dxa"/>
            <w:vAlign w:val="bottom"/>
            <w:gridSpan w:val="3"/>
          </w:tcPr>
          <w:p>
            <w:pPr>
              <w:spacing w:after="0" w:line="16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gridSpan w:val="9"/>
            <w:shd w:val="clear" w:color="auto" w:fill="CCEEFF"/>
          </w:tcPr>
          <w:p>
            <w:pPr>
              <w:spacing w:after="0" w:line="170" w:lineRule="exact"/>
              <w:rPr>
                <w:rFonts w:ascii="Arial" w:cs="Arial" w:eastAsia="Arial" w:hAnsi="Arial"/>
                <w:sz w:val="18"/>
                <w:szCs w:val="18"/>
                <w:color w:val="0000EE"/>
              </w:rPr>
            </w:pPr>
            <w:hyperlink w:anchor="page24">
              <w:r>
                <w:rPr>
                  <w:rFonts w:ascii="Arial" w:cs="Arial" w:eastAsia="Arial" w:hAnsi="Arial"/>
                  <w:sz w:val="18"/>
                  <w:szCs w:val="18"/>
                  <w:color w:val="0000EE"/>
                </w:rPr>
                <w:t>Item 1. Legal Proceedings</w:t>
              </w:r>
            </w:hyperlink>
          </w:p>
        </w:tc>
        <w:tc>
          <w:tcPr>
            <w:tcW w:w="2760" w:type="dxa"/>
            <w:vAlign w:val="bottom"/>
            <w:tcBorders>
              <w:top w:val="single" w:sz="8" w:color="0000EE"/>
            </w:tcBorders>
            <w:gridSpan w:val="2"/>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1A. Risk Factors</w:t>
              </w:r>
            </w:hyperlink>
          </w:p>
        </w:tc>
        <w:tc>
          <w:tcPr>
            <w:tcW w:w="5580" w:type="dxa"/>
            <w:vAlign w:val="bottom"/>
            <w:tcBorders>
              <w:top w:val="single" w:sz="8" w:color="CCEEFF"/>
            </w:tcBorders>
            <w:gridSpan w:val="6"/>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40" w:type="dxa"/>
            <w:vAlign w:val="bottom"/>
            <w:gridSpan w:val="12"/>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2. Unregistered Sales of Equity Securities and Use of Proceeds</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3.</w:t>
              </w:r>
            </w:hyperlink>
          </w:p>
        </w:tc>
        <w:tc>
          <w:tcPr>
            <w:tcW w:w="4360" w:type="dxa"/>
            <w:vAlign w:val="bottom"/>
            <w:tcBorders>
              <w:top w:val="single" w:sz="8" w:color="0000EE"/>
            </w:tcBorders>
            <w:gridSpan w:val="9"/>
          </w:tcPr>
          <w:p>
            <w:pPr>
              <w:ind w:left="2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Default Upon Senior Securities</w:t>
              </w:r>
            </w:hyperlink>
          </w:p>
        </w:tc>
        <w:tc>
          <w:tcPr>
            <w:tcW w:w="2560" w:type="dxa"/>
            <w:vAlign w:val="bottom"/>
            <w:tcBorders>
              <w:top w:val="single" w:sz="8" w:color="CCEEFF"/>
            </w:tcBorders>
            <w:gridSpan w:val="2"/>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4.</w:t>
              </w:r>
            </w:hyperlink>
          </w:p>
        </w:tc>
        <w:tc>
          <w:tcPr>
            <w:tcW w:w="692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5.</w:t>
              </w:r>
            </w:hyperlink>
          </w:p>
        </w:tc>
        <w:tc>
          <w:tcPr>
            <w:tcW w:w="1780" w:type="dxa"/>
            <w:vAlign w:val="bottom"/>
            <w:tcBorders>
              <w:top w:val="single" w:sz="8" w:color="0000EE"/>
            </w:tcBorders>
            <w:gridSpan w:val="6"/>
          </w:tcPr>
          <w:p>
            <w:pPr>
              <w:ind w:left="2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5140" w:type="dxa"/>
            <w:vAlign w:val="bottom"/>
            <w:tcBorders>
              <w:top w:val="single" w:sz="8" w:color="CCEEFF"/>
            </w:tcBorders>
            <w:gridSpan w:val="5"/>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6.</w:t>
              </w:r>
            </w:hyperlink>
          </w:p>
        </w:tc>
        <w:tc>
          <w:tcPr>
            <w:tcW w:w="620" w:type="dxa"/>
            <w:vAlign w:val="bottom"/>
            <w:tcBorders>
              <w:bottom w:val="single" w:sz="8" w:color="0000EE"/>
            </w:tcBorders>
            <w:gridSpan w:val="2"/>
            <w:shd w:val="clear" w:color="auto" w:fill="CCEEFF"/>
          </w:tcPr>
          <w:p>
            <w:pPr>
              <w:ind w:left="20"/>
              <w:spacing w:after="0" w:line="17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Exhibits</w:t>
              </w:r>
            </w:hyperlink>
          </w:p>
        </w:tc>
        <w:tc>
          <w:tcPr>
            <w:tcW w:w="6300" w:type="dxa"/>
            <w:vAlign w:val="bottom"/>
            <w:tcBorders>
              <w:bottom w:val="single" w:sz="8" w:color="CCEEFF"/>
            </w:tcBorders>
            <w:gridSpan w:val="9"/>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40" w:type="dxa"/>
            <w:vAlign w:val="bottom"/>
            <w:gridSpan w:val="12"/>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200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140" w:type="dxa"/>
            <w:vAlign w:val="bottom"/>
            <w:gridSpan w:val="8"/>
          </w:tcPr>
          <w:p>
            <w:pPr>
              <w:jc w:val="right"/>
              <w:ind w:right="3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08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6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 thousands except par value amounts)</w:t>
            </w:r>
          </w:p>
        </w:tc>
        <w:tc>
          <w:tcPr>
            <w:tcW w:w="140" w:type="dxa"/>
            <w:vAlign w:val="bottom"/>
          </w:tcPr>
          <w:p>
            <w:pPr>
              <w:spacing w:after="0"/>
              <w:rPr>
                <w:sz w:val="15"/>
                <w:szCs w:val="15"/>
                <w:color w:val="auto"/>
              </w:rPr>
            </w:pPr>
          </w:p>
        </w:tc>
        <w:tc>
          <w:tcPr>
            <w:tcW w:w="1100" w:type="dxa"/>
            <w:vAlign w:val="bottom"/>
          </w:tcPr>
          <w:p>
            <w:pPr>
              <w:jc w:val="right"/>
              <w:ind w:right="391"/>
              <w:spacing w:after="0" w:line="158"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71"/>
              <w:spacing w:after="0" w:line="158"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ASSETS</w:t>
            </w:r>
          </w:p>
        </w:tc>
        <w:tc>
          <w:tcPr>
            <w:tcW w:w="43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1,816</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Deferred rent, current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Lease liability, current</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Deferred rent, net of current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 net of current</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color w:val="auto"/>
              </w:rPr>
              <w:t>Commitments and contingencies (Note 10)</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7"/>
                <w:szCs w:val="17"/>
                <w:color w:val="auto"/>
              </w:rPr>
              <w:t>Preferred stock, $0.001 par value;</w:t>
            </w: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authorized – 50,000 shares; no shares issued and outstanding</w:t>
            </w: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Common stock, $0.001 par value:</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authorized – 500,000 shares; issued and outstanding –</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20,788 shares and 20,593 shares at September 30, 2019 and</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December 31, 2018, respectively</w:t>
            </w: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(108,901)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40,981</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ind w:left="46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Three-Month Periods Ended</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jc w:val="right"/>
              <w:ind w:right="371"/>
              <w:spacing w:after="0"/>
              <w:rPr>
                <w:sz w:val="20"/>
                <w:szCs w:val="20"/>
                <w:color w:val="auto"/>
              </w:rPr>
            </w:pPr>
            <w:r>
              <w:rPr>
                <w:rFonts w:ascii="Arial" w:cs="Arial" w:eastAsia="Arial" w:hAnsi="Arial"/>
                <w:sz w:val="14"/>
                <w:szCs w:val="14"/>
                <w:b w:val="1"/>
                <w:bCs w:val="1"/>
                <w:color w:val="auto"/>
              </w:rPr>
              <w:t>Nine-Month Periods Ended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 except per share amounts)</w:t>
            </w: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391"/>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3"/>
        </w:trPr>
        <w:tc>
          <w:tcPr>
            <w:tcW w:w="380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70"/>
              <w:spacing w:after="0" w:line="16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30"/>
              <w:spacing w:after="0" w:line="16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90"/>
              <w:spacing w:after="0" w:line="16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65"/>
              <w:spacing w:after="0" w:line="163"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3800" w:type="dxa"/>
            <w:vAlign w:val="bottom"/>
            <w:gridSpan w:val="2"/>
          </w:tcPr>
          <w:p>
            <w:pPr>
              <w:spacing w:after="0" w:line="170" w:lineRule="exact"/>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16,230</w:t>
            </w:r>
          </w:p>
        </w:tc>
        <w:tc>
          <w:tcPr>
            <w:tcW w:w="0" w:type="dxa"/>
            <w:vAlign w:val="bottom"/>
          </w:tcPr>
          <w:p>
            <w:pPr>
              <w:spacing w:after="0"/>
              <w:rPr>
                <w:sz w:val="1"/>
                <w:szCs w:val="1"/>
                <w:color w:val="auto"/>
              </w:rPr>
            </w:pPr>
          </w:p>
        </w:tc>
      </w:tr>
      <w:tr>
        <w:trPr>
          <w:trHeight w:val="216"/>
        </w:trPr>
        <w:tc>
          <w:tcPr>
            <w:tcW w:w="380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6,192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12,174</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11,964</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28,903</w:t>
            </w:r>
          </w:p>
        </w:tc>
        <w:tc>
          <w:tcPr>
            <w:tcW w:w="0" w:type="dxa"/>
            <w:vAlign w:val="bottom"/>
          </w:tcPr>
          <w:p>
            <w:pPr>
              <w:spacing w:after="0"/>
              <w:rPr>
                <w:sz w:val="1"/>
                <w:szCs w:val="1"/>
                <w:color w:val="auto"/>
              </w:rPr>
            </w:pPr>
          </w:p>
        </w:tc>
      </w:tr>
      <w:tr>
        <w:trPr>
          <w:trHeight w:val="169"/>
        </w:trPr>
        <w:tc>
          <w:tcPr>
            <w:tcW w:w="38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0"/>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(11,746)</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(28,592)</w:t>
            </w:r>
          </w:p>
        </w:tc>
        <w:tc>
          <w:tcPr>
            <w:tcW w:w="0" w:type="dxa"/>
            <w:vAlign w:val="bottom"/>
          </w:tcPr>
          <w:p>
            <w:pPr>
              <w:spacing w:after="0"/>
              <w:rPr>
                <w:sz w:val="1"/>
                <w:szCs w:val="1"/>
                <w:color w:val="auto"/>
              </w:rPr>
            </w:pPr>
          </w:p>
        </w:tc>
      </w:tr>
      <w:tr>
        <w:trPr>
          <w:trHeight w:val="169"/>
        </w:trPr>
        <w:tc>
          <w:tcPr>
            <w:tcW w:w="38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Other comprehensive loss:</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gridSpan w:val="2"/>
          </w:tcPr>
          <w:p>
            <w:pPr>
              <w:ind w:left="100"/>
              <w:spacing w:after="0" w:line="149" w:lineRule="exact"/>
              <w:rPr>
                <w:sz w:val="20"/>
                <w:szCs w:val="20"/>
                <w:color w:val="auto"/>
              </w:rPr>
            </w:pPr>
            <w:r>
              <w:rPr>
                <w:rFonts w:ascii="Arial" w:cs="Arial" w:eastAsia="Arial" w:hAnsi="Arial"/>
                <w:sz w:val="17"/>
                <w:szCs w:val="17"/>
                <w:color w:val="auto"/>
              </w:rPr>
              <w:t>Unrealized gains (losses) on available-for-sale</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4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380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securities</w:t>
            </w:r>
          </w:p>
        </w:tc>
        <w:tc>
          <w:tcPr>
            <w:tcW w:w="3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(10,764)</w:t>
            </w: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(33,174)</w:t>
            </w:r>
          </w:p>
        </w:tc>
        <w:tc>
          <w:tcPr>
            <w:tcW w:w="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(28,544)</w:t>
            </w:r>
          </w:p>
        </w:tc>
        <w:tc>
          <w:tcPr>
            <w:tcW w:w="0" w:type="dxa"/>
            <w:vAlign w:val="bottom"/>
          </w:tcPr>
          <w:p>
            <w:pPr>
              <w:spacing w:after="0"/>
              <w:rPr>
                <w:sz w:val="1"/>
                <w:szCs w:val="1"/>
                <w:color w:val="auto"/>
              </w:rPr>
            </w:pPr>
          </w:p>
        </w:tc>
      </w:tr>
      <w:tr>
        <w:trPr>
          <w:trHeight w:val="163"/>
        </w:trPr>
        <w:tc>
          <w:tcPr>
            <w:tcW w:w="3800" w:type="dxa"/>
            <w:vAlign w:val="bottom"/>
            <w:tcBorders>
              <w:top w:val="single" w:sz="8" w:color="CCEEFF"/>
            </w:tcBorders>
            <w:gridSpan w:val="2"/>
          </w:tcPr>
          <w:p>
            <w:pPr>
              <w:spacing w:after="0" w:line="163" w:lineRule="exact"/>
              <w:rPr>
                <w:sz w:val="20"/>
                <w:szCs w:val="20"/>
                <w:color w:val="auto"/>
              </w:rPr>
            </w:pPr>
            <w:r>
              <w:rPr>
                <w:rFonts w:ascii="Arial" w:cs="Arial" w:eastAsia="Arial" w:hAnsi="Arial"/>
                <w:sz w:val="18"/>
                <w:szCs w:val="18"/>
                <w:color w:val="auto"/>
              </w:rPr>
              <w:t>Net loss per share:</w:t>
            </w:r>
          </w:p>
        </w:tc>
        <w:tc>
          <w:tcPr>
            <w:tcW w:w="30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(0.64)</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22"/>
        </w:trPr>
        <w:tc>
          <w:tcPr>
            <w:tcW w:w="3800" w:type="dxa"/>
            <w:vAlign w:val="bottom"/>
            <w:tcBorders>
              <w:top w:val="single" w:sz="8" w:color="CCEEFF"/>
            </w:tcBorders>
            <w:gridSpan w:val="2"/>
          </w:tcPr>
          <w:p>
            <w:pPr>
              <w:spacing w:after="0" w:line="122" w:lineRule="exact"/>
              <w:rPr>
                <w:sz w:val="20"/>
                <w:szCs w:val="20"/>
                <w:color w:val="auto"/>
              </w:rPr>
            </w:pPr>
            <w:r>
              <w:rPr>
                <w:rFonts w:ascii="Arial" w:cs="Arial" w:eastAsia="Arial" w:hAnsi="Arial"/>
                <w:sz w:val="14"/>
                <w:szCs w:val="14"/>
                <w:color w:val="auto"/>
              </w:rPr>
              <w:t>Weighted-average shares used to compute</w:t>
            </w:r>
          </w:p>
        </w:tc>
        <w:tc>
          <w:tcPr>
            <w:tcW w:w="30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20,774</w:t>
            </w:r>
          </w:p>
        </w:tc>
        <w:tc>
          <w:tcPr>
            <w:tcW w:w="140" w:type="dxa"/>
            <w:vAlign w:val="bottom"/>
            <w:tcBorders>
              <w:top w:val="single" w:sz="8" w:color="CCEE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16,927</w:t>
            </w: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20,728</w:t>
            </w: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196"/>
        </w:trPr>
        <w:tc>
          <w:tcPr>
            <w:tcW w:w="3800" w:type="dxa"/>
            <w:vAlign w:val="bottom"/>
            <w:gridSpan w:val="2"/>
          </w:tcPr>
          <w:p>
            <w:pPr>
              <w:ind w:left="100"/>
              <w:spacing w:after="0" w:line="189" w:lineRule="exact"/>
              <w:rPr>
                <w:sz w:val="20"/>
                <w:szCs w:val="20"/>
                <w:color w:val="auto"/>
              </w:rPr>
            </w:pPr>
            <w:r>
              <w:rPr>
                <w:rFonts w:ascii="Arial" w:cs="Arial" w:eastAsia="Arial" w:hAnsi="Arial"/>
                <w:sz w:val="18"/>
                <w:szCs w:val="18"/>
                <w:color w:val="auto"/>
                <w:w w:val="96"/>
              </w:rPr>
              <w:t>net loss per common share — basic and diluted</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ind w:left="200"/>
              <w:spacing w:after="0"/>
              <w:rPr>
                <w:sz w:val="20"/>
                <w:szCs w:val="20"/>
                <w:color w:val="auto"/>
              </w:rPr>
            </w:pPr>
            <w:r>
              <w:rPr>
                <w:rFonts w:ascii="Arial" w:cs="Arial" w:eastAsia="Arial" w:hAnsi="Arial"/>
                <w:sz w:val="14"/>
                <w:szCs w:val="14"/>
                <w:b w:val="1"/>
                <w:bCs w:val="1"/>
                <w:color w:val="auto"/>
              </w:rPr>
              <w:t>Nine-Month Periods Ended</w:t>
            </w:r>
          </w:p>
        </w:tc>
      </w:tr>
      <w:tr>
        <w:trPr>
          <w:trHeight w:val="188"/>
        </w:trPr>
        <w:tc>
          <w:tcPr>
            <w:tcW w:w="8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89"/>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ind w:left="20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(33,183)</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(28,592)</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7,739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9,988</w:t>
            </w:r>
          </w:p>
        </w:tc>
      </w:tr>
      <w:tr>
        <w:trPr>
          <w:trHeight w:val="230"/>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premium amortization on investments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30"/>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(2,734)</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current and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10"/>
        </w:trPr>
        <w:tc>
          <w:tcPr>
            <w:tcW w:w="684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(24,989)</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(17,588)</w:t>
            </w: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(645)</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(72,981)</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(39,799)</w:t>
            </w: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Maturities of investments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57,000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35,065</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of investments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24,875</w:t>
            </w:r>
          </w:p>
        </w:tc>
      </w:tr>
      <w:tr>
        <w:trPr>
          <w:trHeight w:val="210"/>
        </w:trPr>
        <w:tc>
          <w:tcPr>
            <w:tcW w:w="684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(16,626)</w:t>
            </w:r>
          </w:p>
        </w:tc>
        <w:tc>
          <w:tcPr>
            <w:tcW w:w="1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19,898</w:t>
            </w: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payments related to shares withheld for vested restricted stock units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Proceeds from exercises of stock options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10"/>
        </w:trPr>
        <w:tc>
          <w:tcPr>
            <w:tcW w:w="6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10"/>
        </w:trPr>
        <w:tc>
          <w:tcPr>
            <w:tcW w:w="684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(41,533)</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w:t>
            </w: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51,103</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r>
      <w:tr>
        <w:trPr>
          <w:trHeight w:val="217"/>
        </w:trPr>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w:t>
            </w:r>
          </w:p>
        </w:tc>
      </w:tr>
      <w:tr>
        <w:trPr>
          <w:trHeight w:val="216"/>
        </w:trPr>
        <w:tc>
          <w:tcPr>
            <w:tcW w:w="88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 in unrealized gains (losses) on available-for-sale securities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7"/>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Equipment purchased in 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w w:val="91"/>
              </w:rPr>
              <w:t>Common Stock</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Paid-in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63"/>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2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6"/>
                <w:szCs w:val="16"/>
                <w:b w:val="1"/>
                <w:bCs w:val="1"/>
                <w:color w:val="auto"/>
              </w:rPr>
              <w:t>Shares</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7"/>
              </w:rPr>
              <w:t>Capital</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9"/>
              <w:spacing w:after="0" w:line="155" w:lineRule="exact"/>
              <w:rPr>
                <w:sz w:val="20"/>
                <w:szCs w:val="20"/>
                <w:color w:val="auto"/>
              </w:rPr>
            </w:pPr>
            <w:r>
              <w:rPr>
                <w:rFonts w:ascii="Arial" w:cs="Arial" w:eastAsia="Arial" w:hAnsi="Arial"/>
                <w:sz w:val="16"/>
                <w:szCs w:val="16"/>
                <w:b w:val="1"/>
                <w:bCs w:val="1"/>
                <w:color w:val="auto"/>
                <w:w w:val="90"/>
              </w:rPr>
              <w:t>Income (Loss)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w w:val="93"/>
              </w:rPr>
              <w:t>Deficit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20,593</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142,032</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66,334</w:t>
            </w:r>
          </w:p>
        </w:tc>
        <w:tc>
          <w:tcPr>
            <w:tcW w:w="0" w:type="dxa"/>
            <w:vAlign w:val="bottom"/>
          </w:tcPr>
          <w:p>
            <w:pPr>
              <w:spacing w:after="0"/>
              <w:rPr>
                <w:sz w:val="1"/>
                <w:szCs w:val="1"/>
                <w:color w:val="auto"/>
              </w:rPr>
            </w:pPr>
          </w:p>
        </w:tc>
      </w:tr>
      <w:tr>
        <w:trPr>
          <w:trHeight w:val="139"/>
        </w:trPr>
        <w:tc>
          <w:tcPr>
            <w:tcW w:w="3120" w:type="dxa"/>
            <w:vAlign w:val="bottom"/>
            <w:gridSpan w:val="2"/>
          </w:tcPr>
          <w:p>
            <w:pPr>
              <w:spacing w:after="0" w:line="138" w:lineRule="exact"/>
              <w:rPr>
                <w:sz w:val="20"/>
                <w:szCs w:val="20"/>
                <w:color w:val="auto"/>
              </w:rPr>
            </w:pPr>
            <w:r>
              <w:rPr>
                <w:rFonts w:ascii="Arial" w:cs="Arial" w:eastAsia="Arial" w:hAnsi="Arial"/>
                <w:sz w:val="16"/>
                <w:szCs w:val="16"/>
                <w:color w:val="auto"/>
              </w:rPr>
              <w:t>Issuance of shares upon exercise of stock</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rPr>
              <w:t>Issuance of shares under employee stock</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plan</w:t>
            </w:r>
          </w:p>
        </w:tc>
        <w:tc>
          <w:tcPr>
            <w:tcW w:w="760" w:type="dxa"/>
            <w:vAlign w:val="bottom"/>
            <w:vMerge w:val="continue"/>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20" w:type="dxa"/>
            <w:vAlign w:val="bottom"/>
            <w:gridSpan w:val="2"/>
          </w:tcPr>
          <w:p>
            <w:pPr>
              <w:spacing w:after="0" w:line="138" w:lineRule="exact"/>
              <w:rPr>
                <w:sz w:val="20"/>
                <w:szCs w:val="20"/>
                <w:color w:val="auto"/>
              </w:rPr>
            </w:pPr>
            <w:r>
              <w:rPr>
                <w:rFonts w:ascii="Arial" w:cs="Arial" w:eastAsia="Arial" w:hAnsi="Arial"/>
                <w:sz w:val="16"/>
                <w:szCs w:val="16"/>
                <w:color w:val="auto"/>
                <w:w w:val="97"/>
              </w:rPr>
              <w:t>Issuance of shares upon vesting of restricted</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stock units</w:t>
            </w: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7,739</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7,739</w:t>
            </w:r>
          </w:p>
        </w:tc>
        <w:tc>
          <w:tcPr>
            <w:tcW w:w="0" w:type="dxa"/>
            <w:vAlign w:val="bottom"/>
          </w:tcPr>
          <w:p>
            <w:pPr>
              <w:spacing w:after="0"/>
              <w:rPr>
                <w:sz w:val="1"/>
                <w:szCs w:val="1"/>
                <w:color w:val="auto"/>
              </w:rPr>
            </w:pPr>
          </w:p>
        </w:tc>
      </w:tr>
      <w:tr>
        <w:trPr>
          <w:trHeight w:val="139"/>
        </w:trPr>
        <w:tc>
          <w:tcPr>
            <w:tcW w:w="3120" w:type="dxa"/>
            <w:vAlign w:val="bottom"/>
            <w:gridSpan w:val="2"/>
          </w:tcPr>
          <w:p>
            <w:pPr>
              <w:spacing w:after="0" w:line="138" w:lineRule="exact"/>
              <w:rPr>
                <w:sz w:val="20"/>
                <w:szCs w:val="20"/>
                <w:color w:val="auto"/>
              </w:rPr>
            </w:pPr>
            <w:r>
              <w:rPr>
                <w:rFonts w:ascii="Arial" w:cs="Arial" w:eastAsia="Arial" w:hAnsi="Arial"/>
                <w:sz w:val="16"/>
                <w:szCs w:val="16"/>
                <w:color w:val="auto"/>
                <w:w w:val="99"/>
              </w:rPr>
              <w:t>Tax payments related to shares withheld for</w:t>
            </w:r>
          </w:p>
        </w:tc>
        <w:tc>
          <w:tcPr>
            <w:tcW w:w="90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vested restricted stock units</w:t>
            </w:r>
          </w:p>
        </w:tc>
        <w:tc>
          <w:tcPr>
            <w:tcW w:w="9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rPr>
              <w:t>Unrealized gains on available-for-sale</w:t>
            </w:r>
          </w:p>
        </w:tc>
        <w:tc>
          <w:tcPr>
            <w:tcW w:w="900" w:type="dxa"/>
            <w:vAlign w:val="bottom"/>
            <w:tcBorders>
              <w:right w:val="single" w:sz="8" w:color="CCEEFF"/>
            </w:tcBorders>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securities</w:t>
            </w:r>
          </w:p>
        </w:tc>
        <w:tc>
          <w:tcPr>
            <w:tcW w:w="900" w:type="dxa"/>
            <w:vAlign w:val="bottom"/>
            <w:tcBorders>
              <w:right w:val="single" w:sz="8" w:color="CCEEFF"/>
            </w:tcBorders>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(33,183)</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(33,183)</w:t>
            </w: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September 30, 2019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20,788</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149,853</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(108,901)</w:t>
            </w: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40,981</w:t>
            </w:r>
          </w:p>
        </w:tc>
        <w:tc>
          <w:tcPr>
            <w:tcW w:w="0" w:type="dxa"/>
            <w:vAlign w:val="bottom"/>
          </w:tcPr>
          <w:p>
            <w:pPr>
              <w:spacing w:after="0"/>
              <w:rPr>
                <w:sz w:val="1"/>
                <w:szCs w:val="1"/>
                <w:color w:val="auto"/>
              </w:rPr>
            </w:pPr>
          </w:p>
        </w:tc>
      </w:tr>
      <w:tr>
        <w:trPr>
          <w:trHeight w:val="500"/>
        </w:trPr>
        <w:tc>
          <w:tcPr>
            <w:tcW w:w="880" w:type="dxa"/>
            <w:vAlign w:val="bottom"/>
            <w:tcBorders>
              <w:top w:val="single" w:sz="8" w:color="CCEEFF"/>
            </w:tcBorders>
          </w:tcPr>
          <w:p>
            <w:pPr>
              <w:spacing w:after="0"/>
              <w:rPr>
                <w:sz w:val="24"/>
                <w:szCs w:val="24"/>
                <w:color w:val="auto"/>
              </w:rPr>
            </w:pPr>
          </w:p>
        </w:tc>
        <w:tc>
          <w:tcPr>
            <w:tcW w:w="224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vMerge w:val="restart"/>
          </w:tcPr>
          <w:p>
            <w:pPr>
              <w:jc w:val="center"/>
              <w:ind w:right="1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w w:val="91"/>
              </w:rPr>
              <w:t>Common Stock</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Paid-in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63"/>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2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6"/>
                <w:szCs w:val="16"/>
                <w:b w:val="1"/>
                <w:bCs w:val="1"/>
                <w:color w:val="auto"/>
              </w:rPr>
              <w:t>Shares</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7"/>
              </w:rPr>
              <w:t>Capital</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9"/>
              <w:spacing w:after="0" w:line="155" w:lineRule="exact"/>
              <w:rPr>
                <w:sz w:val="20"/>
                <w:szCs w:val="20"/>
                <w:color w:val="auto"/>
              </w:rPr>
            </w:pPr>
            <w:r>
              <w:rPr>
                <w:rFonts w:ascii="Arial" w:cs="Arial" w:eastAsia="Arial" w:hAnsi="Arial"/>
                <w:sz w:val="16"/>
                <w:szCs w:val="16"/>
                <w:b w:val="1"/>
                <w:bCs w:val="1"/>
                <w:color w:val="auto"/>
                <w:w w:val="90"/>
              </w:rPr>
              <w:t>Income (Loss)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w w:val="93"/>
              </w:rPr>
              <w:t>Deficit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June 30, 2019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20,768</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146,973</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gridSpan w:val="2"/>
            <w:vMerge w:val="restart"/>
          </w:tcPr>
          <w:p>
            <w:pPr>
              <w:spacing w:after="0" w:line="132" w:lineRule="exact"/>
              <w:rPr>
                <w:sz w:val="20"/>
                <w:szCs w:val="20"/>
                <w:color w:val="auto"/>
              </w:rPr>
            </w:pPr>
            <w:r>
              <w:rPr>
                <w:rFonts w:ascii="Arial" w:cs="Arial" w:eastAsia="Arial" w:hAnsi="Arial"/>
                <w:sz w:val="15"/>
                <w:szCs w:val="15"/>
                <w:color w:val="auto"/>
              </w:rPr>
              <w:t>Issuance of shares under employee stock</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120" w:type="dxa"/>
            <w:vAlign w:val="bottom"/>
            <w:gridSpan w:val="2"/>
            <w:vMerge w:val="continue"/>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purchase plan</w:t>
            </w: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0" w:type="dxa"/>
            <w:vAlign w:val="bottom"/>
          </w:tcPr>
          <w:p>
            <w:pPr>
              <w:spacing w:after="0"/>
              <w:rPr>
                <w:sz w:val="1"/>
                <w:szCs w:val="1"/>
                <w:color w:val="auto"/>
              </w:rPr>
            </w:pPr>
          </w:p>
        </w:tc>
      </w:tr>
      <w:tr>
        <w:trPr>
          <w:trHeight w:val="139"/>
        </w:trPr>
        <w:tc>
          <w:tcPr>
            <w:tcW w:w="3120" w:type="dxa"/>
            <w:vAlign w:val="bottom"/>
            <w:gridSpan w:val="2"/>
          </w:tcPr>
          <w:p>
            <w:pPr>
              <w:spacing w:after="0" w:line="138" w:lineRule="exact"/>
              <w:rPr>
                <w:sz w:val="20"/>
                <w:szCs w:val="20"/>
                <w:color w:val="auto"/>
              </w:rPr>
            </w:pPr>
            <w:r>
              <w:rPr>
                <w:rFonts w:ascii="Arial" w:cs="Arial" w:eastAsia="Arial" w:hAnsi="Arial"/>
                <w:sz w:val="16"/>
                <w:szCs w:val="16"/>
                <w:color w:val="auto"/>
              </w:rPr>
              <w:t>Unrealized losses on available-for-sale</w:t>
            </w:r>
          </w:p>
        </w:tc>
        <w:tc>
          <w:tcPr>
            <w:tcW w:w="90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securities</w:t>
            </w:r>
          </w:p>
        </w:tc>
        <w:tc>
          <w:tcPr>
            <w:tcW w:w="9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90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Balance, September 30, 2019</w:t>
            </w:r>
          </w:p>
        </w:tc>
        <w:tc>
          <w:tcPr>
            <w:tcW w:w="760" w:type="dxa"/>
            <w:vAlign w:val="bottom"/>
          </w:tcPr>
          <w:p>
            <w:pPr>
              <w:jc w:val="right"/>
              <w:spacing w:after="0"/>
              <w:rPr>
                <w:sz w:val="20"/>
                <w:szCs w:val="20"/>
                <w:color w:val="auto"/>
              </w:rPr>
            </w:pPr>
            <w:r>
              <w:rPr>
                <w:rFonts w:ascii="Arial" w:cs="Arial" w:eastAsia="Arial" w:hAnsi="Arial"/>
                <w:sz w:val="16"/>
                <w:szCs w:val="16"/>
                <w:color w:val="auto"/>
              </w:rPr>
              <w:t>20,788</w:t>
            </w:r>
          </w:p>
        </w:tc>
        <w:tc>
          <w:tcPr>
            <w:tcW w:w="140" w:type="dxa"/>
            <w:vAlign w:val="bottom"/>
          </w:tcPr>
          <w:p>
            <w:pPr>
              <w:spacing w:after="0"/>
              <w:rPr>
                <w:sz w:val="17"/>
                <w:szCs w:val="17"/>
                <w:color w:val="auto"/>
              </w:rPr>
            </w:pPr>
          </w:p>
        </w:tc>
        <w:tc>
          <w:tcPr>
            <w:tcW w:w="460" w:type="dxa"/>
            <w:vAlign w:val="bottom"/>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149,853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(108,901)</w:t>
            </w:r>
          </w:p>
        </w:tc>
        <w:tc>
          <w:tcPr>
            <w:tcW w:w="120" w:type="dxa"/>
            <w:vAlign w:val="bottom"/>
            <w:vMerge w:val="continue"/>
          </w:tcPr>
          <w:p>
            <w:pPr>
              <w:spacing w:after="0"/>
              <w:rPr>
                <w:sz w:val="17"/>
                <w:szCs w:val="17"/>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40,981</w:t>
            </w:r>
          </w:p>
        </w:tc>
        <w:tc>
          <w:tcPr>
            <w:tcW w:w="0" w:type="dxa"/>
            <w:vAlign w:val="bottom"/>
          </w:tcPr>
          <w:p>
            <w:pPr>
              <w:spacing w:after="0"/>
              <w:rPr>
                <w:sz w:val="1"/>
                <w:szCs w:val="1"/>
                <w:color w:val="auto"/>
              </w:rPr>
            </w:pPr>
          </w:p>
        </w:tc>
      </w:tr>
      <w:tr>
        <w:trPr>
          <w:trHeight w:val="500"/>
        </w:trPr>
        <w:tc>
          <w:tcPr>
            <w:tcW w:w="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vMerge w:val="restart"/>
          </w:tcPr>
          <w:p>
            <w:pPr>
              <w:jc w:val="center"/>
              <w:ind w:right="1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w w:val="91"/>
              </w:rPr>
              <w:t>Common Stock</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Paid-in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63"/>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2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6"/>
                <w:szCs w:val="16"/>
                <w:b w:val="1"/>
                <w:bCs w:val="1"/>
                <w:color w:val="auto"/>
              </w:rPr>
              <w:t>Shares</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7"/>
              </w:rPr>
              <w:t>Capital</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9"/>
              <w:spacing w:after="0" w:line="155" w:lineRule="exact"/>
              <w:rPr>
                <w:sz w:val="20"/>
                <w:szCs w:val="20"/>
                <w:color w:val="auto"/>
              </w:rPr>
            </w:pPr>
            <w:r>
              <w:rPr>
                <w:rFonts w:ascii="Arial" w:cs="Arial" w:eastAsia="Arial" w:hAnsi="Arial"/>
                <w:sz w:val="16"/>
                <w:szCs w:val="16"/>
                <w:b w:val="1"/>
                <w:bCs w:val="1"/>
                <w:color w:val="auto"/>
                <w:w w:val="90"/>
              </w:rPr>
              <w:t>Income (Loss)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w w:val="93"/>
              </w:rPr>
              <w:t>Deficit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December 31, 2017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16,819</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84,202</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45,995</w:t>
            </w:r>
          </w:p>
        </w:tc>
        <w:tc>
          <w:tcPr>
            <w:tcW w:w="0" w:type="dxa"/>
            <w:vAlign w:val="bottom"/>
          </w:tcPr>
          <w:p>
            <w:pPr>
              <w:spacing w:after="0"/>
              <w:rPr>
                <w:sz w:val="1"/>
                <w:szCs w:val="1"/>
                <w:color w:val="auto"/>
              </w:rPr>
            </w:pPr>
          </w:p>
        </w:tc>
      </w:tr>
      <w:tr>
        <w:trPr>
          <w:trHeight w:val="139"/>
        </w:trPr>
        <w:tc>
          <w:tcPr>
            <w:tcW w:w="3120" w:type="dxa"/>
            <w:vAlign w:val="bottom"/>
            <w:gridSpan w:val="2"/>
          </w:tcPr>
          <w:p>
            <w:pPr>
              <w:spacing w:after="0" w:line="138" w:lineRule="exact"/>
              <w:rPr>
                <w:sz w:val="20"/>
                <w:szCs w:val="20"/>
                <w:color w:val="auto"/>
              </w:rPr>
            </w:pPr>
            <w:r>
              <w:rPr>
                <w:rFonts w:ascii="Arial" w:cs="Arial" w:eastAsia="Arial" w:hAnsi="Arial"/>
                <w:sz w:val="16"/>
                <w:szCs w:val="16"/>
                <w:color w:val="auto"/>
              </w:rPr>
              <w:t>Issuance of shares upon exercise of stock</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rPr>
              <w:t>Issuance of shares under employee stock</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plan</w:t>
            </w:r>
          </w:p>
        </w:tc>
        <w:tc>
          <w:tcPr>
            <w:tcW w:w="760" w:type="dxa"/>
            <w:vAlign w:val="bottom"/>
            <w:vMerge w:val="continue"/>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w w:val="96"/>
              </w:rPr>
              <w:t>Issuance of shares upon exercise of warrants</w:t>
            </w:r>
          </w:p>
        </w:tc>
        <w:tc>
          <w:tcPr>
            <w:tcW w:w="76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w:t>
            </w:r>
          </w:p>
        </w:tc>
        <w:tc>
          <w:tcPr>
            <w:tcW w:w="0" w:type="dxa"/>
            <w:vAlign w:val="bottom"/>
          </w:tcPr>
          <w:p>
            <w:pPr>
              <w:spacing w:after="0"/>
              <w:rPr>
                <w:sz w:val="1"/>
                <w:szCs w:val="1"/>
                <w:color w:val="auto"/>
              </w:rPr>
            </w:pPr>
          </w:p>
        </w:tc>
      </w:tr>
      <w:tr>
        <w:trPr>
          <w:trHeight w:val="139"/>
        </w:trPr>
        <w:tc>
          <w:tcPr>
            <w:tcW w:w="3120" w:type="dxa"/>
            <w:vAlign w:val="bottom"/>
            <w:gridSpan w:val="2"/>
          </w:tcPr>
          <w:p>
            <w:pPr>
              <w:spacing w:after="0" w:line="138" w:lineRule="exact"/>
              <w:rPr>
                <w:sz w:val="20"/>
                <w:szCs w:val="20"/>
                <w:color w:val="auto"/>
              </w:rPr>
            </w:pPr>
            <w:r>
              <w:rPr>
                <w:rFonts w:ascii="Arial" w:cs="Arial" w:eastAsia="Arial" w:hAnsi="Arial"/>
                <w:sz w:val="16"/>
                <w:szCs w:val="16"/>
                <w:color w:val="auto"/>
                <w:w w:val="99"/>
              </w:rPr>
              <w:t>Tax payments related to shares withheld for</w:t>
            </w:r>
          </w:p>
        </w:tc>
        <w:tc>
          <w:tcPr>
            <w:tcW w:w="90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vested restricted stock units</w:t>
            </w:r>
          </w:p>
        </w:tc>
        <w:tc>
          <w:tcPr>
            <w:tcW w:w="9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rPr>
              <w:t>Unrealized gains on available-for-sale</w:t>
            </w:r>
          </w:p>
        </w:tc>
        <w:tc>
          <w:tcPr>
            <w:tcW w:w="900" w:type="dxa"/>
            <w:vAlign w:val="bottom"/>
            <w:tcBorders>
              <w:right w:val="single" w:sz="8" w:color="CCEEFF"/>
            </w:tcBorders>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securities</w:t>
            </w:r>
          </w:p>
        </w:tc>
        <w:tc>
          <w:tcPr>
            <w:tcW w:w="900" w:type="dxa"/>
            <w:vAlign w:val="bottom"/>
            <w:tcBorders>
              <w:right w:val="single" w:sz="8" w:color="CCEEFF"/>
            </w:tcBorders>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(28,592)</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(28,592)</w:t>
            </w: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September 30, 2018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16,984</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94,825</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(66,765)</w:t>
            </w: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28,074</w:t>
            </w:r>
          </w:p>
        </w:tc>
        <w:tc>
          <w:tcPr>
            <w:tcW w:w="0" w:type="dxa"/>
            <w:vAlign w:val="bottom"/>
          </w:tcPr>
          <w:p>
            <w:pPr>
              <w:spacing w:after="0"/>
              <w:rPr>
                <w:sz w:val="1"/>
                <w:szCs w:val="1"/>
                <w:color w:val="auto"/>
              </w:rPr>
            </w:pPr>
          </w:p>
        </w:tc>
      </w:tr>
      <w:tr>
        <w:trPr>
          <w:trHeight w:val="27"/>
        </w:trPr>
        <w:tc>
          <w:tcPr>
            <w:tcW w:w="8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40"/>
              <w:spacing w:after="0" w:line="175" w:lineRule="exact"/>
              <w:rPr>
                <w:sz w:val="20"/>
                <w:szCs w:val="20"/>
                <w:color w:val="auto"/>
              </w:rPr>
            </w:pPr>
            <w:r>
              <w:rPr>
                <w:rFonts w:ascii="Arial" w:cs="Arial" w:eastAsia="Arial" w:hAnsi="Arial"/>
                <w:sz w:val="16"/>
                <w:szCs w:val="16"/>
                <w:b w:val="1"/>
                <w:bCs w:val="1"/>
                <w:color w:val="auto"/>
                <w:w w:val="93"/>
              </w:rPr>
              <w:t>Other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36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w w:val="91"/>
              </w:rPr>
              <w:t>Common Stock</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Comprehensive</w:t>
            </w:r>
          </w:p>
        </w:tc>
        <w:tc>
          <w:tcPr>
            <w:tcW w:w="6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3"/>
              </w:rPr>
              <w:t>Accumulated</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63"/>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2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6"/>
                <w:szCs w:val="16"/>
                <w:b w:val="1"/>
                <w:bCs w:val="1"/>
                <w:color w:val="auto"/>
                <w:w w:val="99"/>
              </w:rPr>
              <w:t>Amount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9"/>
              <w:spacing w:after="0" w:line="155" w:lineRule="exact"/>
              <w:rPr>
                <w:sz w:val="20"/>
                <w:szCs w:val="20"/>
                <w:color w:val="auto"/>
              </w:rPr>
            </w:pPr>
            <w:r>
              <w:rPr>
                <w:rFonts w:ascii="Arial" w:cs="Arial" w:eastAsia="Arial" w:hAnsi="Arial"/>
                <w:sz w:val="16"/>
                <w:szCs w:val="16"/>
                <w:b w:val="1"/>
                <w:bCs w:val="1"/>
                <w:color w:val="auto"/>
                <w:w w:val="90"/>
              </w:rPr>
              <w:t>Income (Loss)</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6"/>
                <w:szCs w:val="16"/>
                <w:b w:val="1"/>
                <w:bCs w:val="1"/>
                <w:color w:val="auto"/>
              </w:rPr>
              <w:t>Deficit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June 30, 2018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16,886</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35,047</w:t>
            </w:r>
          </w:p>
        </w:tc>
        <w:tc>
          <w:tcPr>
            <w:tcW w:w="0" w:type="dxa"/>
            <w:vAlign w:val="bottom"/>
          </w:tcPr>
          <w:p>
            <w:pPr>
              <w:spacing w:after="0"/>
              <w:rPr>
                <w:sz w:val="1"/>
                <w:szCs w:val="1"/>
                <w:color w:val="auto"/>
              </w:rPr>
            </w:pPr>
          </w:p>
        </w:tc>
      </w:tr>
      <w:tr>
        <w:trPr>
          <w:trHeight w:val="139"/>
        </w:trPr>
        <w:tc>
          <w:tcPr>
            <w:tcW w:w="3120" w:type="dxa"/>
            <w:vAlign w:val="bottom"/>
            <w:gridSpan w:val="2"/>
          </w:tcPr>
          <w:p>
            <w:pPr>
              <w:spacing w:after="0" w:line="138" w:lineRule="exact"/>
              <w:rPr>
                <w:sz w:val="20"/>
                <w:szCs w:val="20"/>
                <w:color w:val="auto"/>
              </w:rPr>
            </w:pPr>
            <w:r>
              <w:rPr>
                <w:rFonts w:ascii="Arial" w:cs="Arial" w:eastAsia="Arial" w:hAnsi="Arial"/>
                <w:sz w:val="16"/>
                <w:szCs w:val="16"/>
                <w:color w:val="auto"/>
              </w:rPr>
              <w:t>Issuance of shares upon exercise of stock</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rPr>
              <w:t>Issuance of shares under employee stock</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plan</w:t>
            </w: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w w:val="96"/>
              </w:rPr>
              <w:t>Issuance of shares upon exercise of warrants</w:t>
            </w:r>
          </w:p>
        </w:tc>
        <w:tc>
          <w:tcPr>
            <w:tcW w:w="7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3,394</w:t>
            </w:r>
          </w:p>
        </w:tc>
        <w:tc>
          <w:tcPr>
            <w:tcW w:w="0" w:type="dxa"/>
            <w:vAlign w:val="bottom"/>
          </w:tcPr>
          <w:p>
            <w:pPr>
              <w:spacing w:after="0"/>
              <w:rPr>
                <w:sz w:val="1"/>
                <w:szCs w:val="1"/>
                <w:color w:val="auto"/>
              </w:rPr>
            </w:pPr>
          </w:p>
        </w:tc>
      </w:tr>
      <w:tr>
        <w:trPr>
          <w:trHeight w:val="139"/>
        </w:trPr>
        <w:tc>
          <w:tcPr>
            <w:tcW w:w="3120" w:type="dxa"/>
            <w:vAlign w:val="bottom"/>
            <w:gridSpan w:val="2"/>
          </w:tcPr>
          <w:p>
            <w:pPr>
              <w:spacing w:after="0" w:line="138" w:lineRule="exact"/>
              <w:rPr>
                <w:sz w:val="20"/>
                <w:szCs w:val="20"/>
                <w:color w:val="auto"/>
              </w:rPr>
            </w:pPr>
            <w:r>
              <w:rPr>
                <w:rFonts w:ascii="Arial" w:cs="Arial" w:eastAsia="Arial" w:hAnsi="Arial"/>
                <w:sz w:val="16"/>
                <w:szCs w:val="16"/>
                <w:color w:val="auto"/>
              </w:rPr>
              <w:t>Unrealized losses on available-for-sale</w:t>
            </w:r>
          </w:p>
        </w:tc>
        <w:tc>
          <w:tcPr>
            <w:tcW w:w="84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securities</w:t>
            </w: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(10,761)</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2"/>
          </w:tcPr>
          <w:p>
            <w:pPr>
              <w:spacing w:after="0"/>
              <w:rPr>
                <w:sz w:val="20"/>
                <w:szCs w:val="20"/>
                <w:color w:val="auto"/>
              </w:rPr>
            </w:pPr>
            <w:r>
              <w:rPr>
                <w:rFonts w:ascii="Arial" w:cs="Arial" w:eastAsia="Arial" w:hAnsi="Arial"/>
                <w:sz w:val="16"/>
                <w:szCs w:val="16"/>
                <w:color w:val="auto"/>
              </w:rPr>
              <w:t>Balance, September 30, 2018</w:t>
            </w:r>
          </w:p>
        </w:tc>
        <w:tc>
          <w:tcPr>
            <w:tcW w:w="760" w:type="dxa"/>
            <w:vAlign w:val="bottom"/>
          </w:tcPr>
          <w:p>
            <w:pPr>
              <w:jc w:val="right"/>
              <w:spacing w:after="0"/>
              <w:rPr>
                <w:sz w:val="20"/>
                <w:szCs w:val="20"/>
                <w:color w:val="auto"/>
              </w:rPr>
            </w:pPr>
            <w:r>
              <w:rPr>
                <w:rFonts w:ascii="Arial" w:cs="Arial" w:eastAsia="Arial" w:hAnsi="Arial"/>
                <w:sz w:val="16"/>
                <w:szCs w:val="16"/>
                <w:color w:val="auto"/>
              </w:rPr>
              <w:t>16,984</w:t>
            </w:r>
          </w:p>
        </w:tc>
        <w:tc>
          <w:tcPr>
            <w:tcW w:w="80" w:type="dxa"/>
            <w:vAlign w:val="bottom"/>
          </w:tcPr>
          <w:p>
            <w:pPr>
              <w:spacing w:after="0"/>
              <w:rPr>
                <w:sz w:val="17"/>
                <w:szCs w:val="17"/>
                <w:color w:val="auto"/>
              </w:rPr>
            </w:pPr>
          </w:p>
        </w:tc>
        <w:tc>
          <w:tcPr>
            <w:tcW w:w="52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94,825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vMerge w:val="continue"/>
          </w:tcPr>
          <w:p>
            <w:pPr>
              <w:spacing w:after="0"/>
              <w:rPr>
                <w:sz w:val="17"/>
                <w:szCs w:val="17"/>
                <w:color w:val="auto"/>
              </w:rPr>
            </w:pPr>
          </w:p>
        </w:tc>
        <w:tc>
          <w:tcPr>
            <w:tcW w:w="2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(66,765)</w:t>
            </w:r>
          </w:p>
        </w:tc>
        <w:tc>
          <w:tcPr>
            <w:tcW w:w="120" w:type="dxa"/>
            <w:vAlign w:val="bottom"/>
            <w:vMerge w:val="continue"/>
          </w:tcPr>
          <w:p>
            <w:pPr>
              <w:spacing w:after="0"/>
              <w:rPr>
                <w:sz w:val="17"/>
                <w:szCs w:val="17"/>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28,074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PULSE BIOSCIENCES, INC.</w:t>
      </w:r>
    </w:p>
    <w:p>
      <w:pPr>
        <w:jc w:val="center"/>
        <w:ind w:right="-19"/>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8" w:lineRule="exact"/>
        <w:rPr>
          <w:sz w:val="20"/>
          <w:szCs w:val="20"/>
          <w:color w:val="auto"/>
        </w:rPr>
      </w:pPr>
    </w:p>
    <w:p>
      <w:pPr>
        <w:ind w:right="80" w:firstLine="441"/>
        <w:spacing w:after="0" w:line="224" w:lineRule="auto"/>
        <w:rPr>
          <w:sz w:val="20"/>
          <w:szCs w:val="20"/>
          <w:color w:val="auto"/>
        </w:rPr>
      </w:pPr>
      <w:r>
        <w:rPr>
          <w:rFonts w:ascii="Arial" w:cs="Arial" w:eastAsia="Arial" w:hAnsi="Arial"/>
          <w:sz w:val="18"/>
          <w:szCs w:val="18"/>
          <w:color w:val="auto"/>
        </w:rPr>
        <w:t>In this Quarterly Report on Form 10-Q (“Quarterly Report”), “Pulse,” “Pulse Biosciences,” “we,” “us,” “our” and the “Company” refer to Pulse Biosciences, Inc. and its wholly-owned subsidiaries, unless expressly indicated or the context otherwise requires.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48" w:lineRule="exact"/>
        <w:rPr>
          <w:sz w:val="20"/>
          <w:szCs w:val="20"/>
          <w:color w:val="auto"/>
        </w:rPr>
      </w:pPr>
    </w:p>
    <w:p>
      <w:pPr>
        <w:ind w:right="40" w:firstLine="441"/>
        <w:spacing w:after="0" w:line="241" w:lineRule="auto"/>
        <w:rPr>
          <w:sz w:val="20"/>
          <w:szCs w:val="20"/>
          <w:color w:val="auto"/>
        </w:rPr>
      </w:pPr>
      <w:r>
        <w:rPr>
          <w:rFonts w:ascii="Arial" w:cs="Arial" w:eastAsia="Arial" w:hAnsi="Arial"/>
          <w:sz w:val="16"/>
          <w:szCs w:val="16"/>
          <w:color w:val="auto"/>
        </w:rPr>
        <w:t>Pulse Biosciences, Inc. is a novel bioelectric medicine company committed to health innovation that improves and potentially extends the lives of patients. The Company is pursuing regulatory clearance to market its first product, its proprietary CellFX System. The Company’s CellFX System utilizes its patented Nano-Pulse Stimulation™ (NPS™) technology to treat a variety of applications for which an optimal solution remains unfulfilled. NPS is a proprietary technology that delivers nano-second duration pulses of high amplitude electrical energy to non-thermally clear targeted cells while sparing adjacent non-cellular tissue. The cell-specific effects of NPS technology have been validated in a series of completed and ongoing clinical studies.</w:t>
      </w:r>
    </w:p>
    <w:p>
      <w:pPr>
        <w:spacing w:after="0" w:line="120" w:lineRule="exact"/>
        <w:rPr>
          <w:sz w:val="20"/>
          <w:szCs w:val="20"/>
          <w:color w:val="auto"/>
        </w:rPr>
      </w:pPr>
    </w:p>
    <w:p>
      <w:pPr>
        <w:jc w:val="both"/>
        <w:ind w:right="60" w:firstLine="441"/>
        <w:spacing w:after="0" w:line="224" w:lineRule="auto"/>
        <w:rPr>
          <w:sz w:val="20"/>
          <w:szCs w:val="20"/>
          <w:color w:val="auto"/>
        </w:rPr>
      </w:pPr>
      <w:r>
        <w:rPr>
          <w:rFonts w:ascii="Arial" w:cs="Arial" w:eastAsia="Arial" w:hAnsi="Arial"/>
          <w:sz w:val="18"/>
          <w:szCs w:val="18"/>
          <w:color w:val="auto"/>
        </w:rPr>
        <w:t>The Company was incorporated in Nevada on May 19, 2014. On June 18, 2018, the Company reincorporated from the State of Nevada to the State of Delaware. The Company’s headquarters and manufacturing and research facility are located in Hayward, California.</w:t>
      </w:r>
    </w:p>
    <w:p>
      <w:pPr>
        <w:spacing w:after="0" w:line="123" w:lineRule="exact"/>
        <w:rPr>
          <w:sz w:val="20"/>
          <w:szCs w:val="20"/>
          <w:color w:val="auto"/>
        </w:rPr>
      </w:pPr>
    </w:p>
    <w:p>
      <w:pPr>
        <w:ind w:right="40" w:firstLine="441"/>
        <w:spacing w:after="0" w:line="232" w:lineRule="auto"/>
        <w:rPr>
          <w:sz w:val="20"/>
          <w:szCs w:val="20"/>
          <w:color w:val="auto"/>
        </w:rPr>
      </w:pPr>
      <w:r>
        <w:rPr>
          <w:rFonts w:ascii="Arial" w:cs="Arial" w:eastAsia="Arial" w:hAnsi="Arial"/>
          <w:sz w:val="17"/>
          <w:szCs w:val="17"/>
          <w:color w:val="auto"/>
        </w:rPr>
        <w:t>The Company’s activities are subject to significant risks and uncertainties, including the need for additional capital. The Company has not yet commenced any revenue-generating operations, does not have any cash flows from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The accompanying unaudited condensed consolidated financial statements (“Financial Statements”) have been prepared on a basis consistent with the Company’s December 31, 2018 audited Consolidated Financial Statements and include all adjustments, consisting of only normal recurring adjustments, necessary to fairly state the information set forth herein. The Financial Statements have been prepared in accordance with the applicable rules and regulations of the Securities and Exchange Commission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2018 was derived from the audited consolidated financial statements as of that date, but does not include all of the information and footnotes required by U.S. GAAP for complete financial statements. These Financial Statements should be read in conjunction with the audited consolidated financial statements and notes thereto included in the Company’s Annual Report on Form 10-K for the year ended December 31, 2018. The results of operations for the three- and nine-month periods ended September 30, 2019 are not necessarily indicative of the results to be expected for the entire year or any future periods.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right="20" w:firstLine="441"/>
        <w:spacing w:after="0" w:line="226" w:lineRule="auto"/>
        <w:rPr>
          <w:sz w:val="20"/>
          <w:szCs w:val="20"/>
          <w:color w:val="auto"/>
        </w:rPr>
      </w:pPr>
      <w:r>
        <w:rPr>
          <w:rFonts w:ascii="Arial" w:cs="Arial" w:eastAsia="Arial" w:hAnsi="Arial"/>
          <w:sz w:val="17"/>
          <w:szCs w:val="17"/>
          <w:color w:val="auto"/>
        </w:rPr>
        <w:t>The preparation of financial statements in conformity with U.S. GAAP requires the Company to make estimates and assumptions that affect the amounts reported in the Financial Statements and accompanying notes to the Financial Statements. Estimates include, but are not limited to, the valuation of cash equivalents and investments, the valuation and recognition of share-based compensation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w:t>
      </w:r>
    </w:p>
    <w:p>
      <w:pPr>
        <w:spacing w:after="0" w:line="144" w:lineRule="exact"/>
        <w:rPr>
          <w:sz w:val="20"/>
          <w:szCs w:val="20"/>
          <w:color w:val="auto"/>
        </w:rPr>
      </w:pPr>
    </w:p>
    <w:p>
      <w:pPr>
        <w:ind w:right="140" w:firstLine="405"/>
        <w:spacing w:after="0" w:line="258" w:lineRule="auto"/>
        <w:rPr>
          <w:sz w:val="20"/>
          <w:szCs w:val="20"/>
          <w:color w:val="auto"/>
        </w:rPr>
      </w:pPr>
      <w:r>
        <w:rPr>
          <w:rFonts w:ascii="Arial" w:cs="Arial" w:eastAsia="Arial" w:hAnsi="Arial"/>
          <w:sz w:val="17"/>
          <w:szCs w:val="17"/>
          <w:color w:val="auto"/>
        </w:rPr>
        <w:t xml:space="preserve">During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(“Topic 842”), which amended prior accounting standards for leases.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Company adopted Topic 842 on January 1, 2019, using the transition method per ASU No. 2018-11 issued on July 2018 wherein entities were allowed to initially apply the new lease standard at the adoption date and recognize a cumulative-effect adjustment to the opening balance of retained earnings in the period of adoption. Accordingly, all periods prior to January 1, 2019 were presented in accordance with the previous ASC 840, Leases, and no retrospective adjustments were made to the comparative periods presented. The adoption of ASC 842 resulted in an increase to total assets and liabilities due to the recording of operating lease right-of-use assets (“ROU”) presented within other assets and operating lease liabilities of approximately $0.1 million as of January 1, 2019. The adoption did not materially impact the Company’s Consolidated Statement of Stockholders’ Equity or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44" w:lineRule="exact"/>
        <w:rPr>
          <w:sz w:val="20"/>
          <w:szCs w:val="20"/>
          <w:color w:val="auto"/>
        </w:rPr>
      </w:pPr>
    </w:p>
    <w:p>
      <w:pPr>
        <w:ind w:right="60" w:firstLine="441"/>
        <w:spacing w:after="0" w:line="259" w:lineRule="auto"/>
        <w:rPr>
          <w:sz w:val="20"/>
          <w:szCs w:val="20"/>
          <w:color w:val="auto"/>
        </w:rPr>
      </w:pPr>
      <w:r>
        <w:rPr>
          <w:rFonts w:ascii="Arial" w:cs="Arial" w:eastAsia="Arial" w:hAnsi="Arial"/>
          <w:sz w:val="16"/>
          <w:szCs w:val="16"/>
          <w:color w:val="auto"/>
        </w:rPr>
        <w:t xml:space="preserve">There have been no material changes to the Company’s significant accounting policies during the three- and nine-month periods ended September 30, 2019, as compared to the significant accounting policies described in the Company’s Annual Report on Form 10-K for the year ended December 31, 2018, except for the adoption of ASU No. 2016-02, </w:t>
      </w:r>
      <w:r>
        <w:rPr>
          <w:rFonts w:ascii="Arial" w:cs="Arial" w:eastAsia="Arial" w:hAnsi="Arial"/>
          <w:sz w:val="16"/>
          <w:szCs w:val="16"/>
          <w:i w:val="1"/>
          <w:iCs w:val="1"/>
          <w:color w:val="auto"/>
        </w:rPr>
        <w:t>Leases</w:t>
      </w:r>
      <w:r>
        <w:rPr>
          <w:rFonts w:ascii="Arial" w:cs="Arial" w:eastAsia="Arial" w:hAnsi="Arial"/>
          <w:sz w:val="16"/>
          <w:szCs w:val="16"/>
          <w:color w:val="auto"/>
        </w:rPr>
        <w:t>, as of January 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4" w:lineRule="exact"/>
        <w:rPr>
          <w:sz w:val="20"/>
          <w:szCs w:val="20"/>
          <w:color w:val="auto"/>
        </w:rPr>
      </w:pPr>
    </w:p>
    <w:p>
      <w:pPr>
        <w:ind w:right="240" w:firstLine="441"/>
        <w:spacing w:after="0" w:line="258" w:lineRule="auto"/>
        <w:rPr>
          <w:sz w:val="20"/>
          <w:szCs w:val="20"/>
          <w:color w:val="auto"/>
        </w:rPr>
      </w:pPr>
      <w:r>
        <w:rPr>
          <w:rFonts w:ascii="Arial" w:cs="Arial" w:eastAsia="Arial" w:hAnsi="Arial"/>
          <w:sz w:val="17"/>
          <w:szCs w:val="17"/>
          <w:color w:val="auto"/>
        </w:rPr>
        <w:t>The accompanying consolidated financial statements include the financial statements of Pulse Biosciences and its wholly-owned subsidiaries. Intercompany balances and transactions, if any, have been eliminated in 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4" w:lineRule="exact"/>
        <w:rPr>
          <w:sz w:val="20"/>
          <w:szCs w:val="20"/>
          <w:color w:val="auto"/>
        </w:rPr>
      </w:pPr>
    </w:p>
    <w:p>
      <w:pPr>
        <w:ind w:right="100" w:firstLine="441"/>
        <w:spacing w:after="0" w:line="244" w:lineRule="auto"/>
        <w:rPr>
          <w:sz w:val="20"/>
          <w:szCs w:val="20"/>
          <w:color w:val="auto"/>
        </w:rPr>
      </w:pPr>
      <w:r>
        <w:rPr>
          <w:rFonts w:ascii="Arial" w:cs="Arial" w:eastAsia="Arial" w:hAnsi="Arial"/>
          <w:sz w:val="16"/>
          <w:szCs w:val="16"/>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18"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color w:val="auto"/>
        </w:rPr>
        <w:t>Basic and diluted net loss per common share is the same for all periods presented because all warrants, stock options and restricted stock units outstanding are anti-dilutive.</w:t>
      </w:r>
    </w:p>
    <w:p>
      <w:pPr>
        <w:spacing w:after="0" w:line="121" w:lineRule="exact"/>
        <w:rPr>
          <w:sz w:val="20"/>
          <w:szCs w:val="20"/>
          <w:color w:val="auto"/>
        </w:rPr>
      </w:pPr>
    </w:p>
    <w:p>
      <w:pPr>
        <w:ind w:right="120" w:firstLine="441"/>
        <w:spacing w:after="0" w:line="258" w:lineRule="auto"/>
        <w:rPr>
          <w:sz w:val="20"/>
          <w:szCs w:val="20"/>
          <w:color w:val="auto"/>
        </w:rPr>
      </w:pPr>
      <w:r>
        <w:rPr>
          <w:rFonts w:ascii="Arial" w:cs="Arial" w:eastAsia="Arial" w:hAnsi="Arial"/>
          <w:sz w:val="17"/>
          <w:szCs w:val="17"/>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40" w:type="dxa"/>
            <w:vAlign w:val="bottom"/>
          </w:tcPr>
          <w:p>
            <w:pPr>
              <w:spacing w:after="0"/>
              <w:rPr>
                <w:sz w:val="15"/>
                <w:szCs w:val="15"/>
                <w:color w:val="auto"/>
              </w:rPr>
            </w:pPr>
          </w:p>
        </w:tc>
        <w:tc>
          <w:tcPr>
            <w:tcW w:w="2620" w:type="dxa"/>
            <w:vAlign w:val="bottom"/>
            <w:gridSpan w:val="4"/>
          </w:tcPr>
          <w:p>
            <w:pPr>
              <w:ind w:left="480"/>
              <w:spacing w:after="0"/>
              <w:rPr>
                <w:sz w:val="20"/>
                <w:szCs w:val="20"/>
                <w:color w:val="auto"/>
              </w:rPr>
            </w:pPr>
            <w:r>
              <w:rPr>
                <w:rFonts w:ascii="Arial" w:cs="Arial" w:eastAsia="Arial" w:hAnsi="Arial"/>
                <w:sz w:val="14"/>
                <w:szCs w:val="14"/>
                <w:b w:val="1"/>
                <w:bCs w:val="1"/>
                <w:color w:val="auto"/>
              </w:rPr>
              <w:t>Nine-Month Periods Ended</w:t>
            </w:r>
          </w:p>
        </w:tc>
      </w:tr>
      <w:tr>
        <w:trPr>
          <w:trHeight w:val="171"/>
        </w:trPr>
        <w:tc>
          <w:tcPr>
            <w:tcW w:w="6840" w:type="dxa"/>
            <w:vAlign w:val="bottom"/>
          </w:tcPr>
          <w:p>
            <w:pPr>
              <w:spacing w:after="0"/>
              <w:rPr>
                <w:sz w:val="14"/>
                <w:szCs w:val="14"/>
                <w:color w:val="auto"/>
              </w:rPr>
            </w:pPr>
          </w:p>
        </w:tc>
        <w:tc>
          <w:tcPr>
            <w:tcW w:w="18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3"/>
              </w:rPr>
              <w:t>September 30,</w:t>
            </w:r>
          </w:p>
        </w:tc>
        <w:tc>
          <w:tcPr>
            <w:tcW w:w="820" w:type="dxa"/>
            <w:vAlign w:val="bottom"/>
            <w:tcBorders>
              <w:bottom w:val="single" w:sz="8" w:color="auto"/>
            </w:tcBorders>
          </w:tcPr>
          <w:p>
            <w:pPr>
              <w:spacing w:after="0"/>
              <w:rPr>
                <w:sz w:val="14"/>
                <w:szCs w:val="14"/>
                <w:color w:val="auto"/>
              </w:rPr>
            </w:pPr>
          </w:p>
        </w:tc>
      </w:tr>
      <w:tr>
        <w:trPr>
          <w:trHeight w:val="169"/>
        </w:trPr>
        <w:tc>
          <w:tcPr>
            <w:tcW w:w="68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213,485</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Common stock options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3,545,491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2,858,387</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111,305</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222,606</w:t>
            </w:r>
          </w:p>
        </w:tc>
      </w:tr>
      <w:tr>
        <w:trPr>
          <w:trHeight w:val="217"/>
        </w:trPr>
        <w:tc>
          <w:tcPr>
            <w:tcW w:w="684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3,870,281</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3,294,478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44" w:lineRule="exact"/>
        <w:rPr>
          <w:sz w:val="20"/>
          <w:szCs w:val="20"/>
          <w:color w:val="auto"/>
        </w:rPr>
      </w:pPr>
    </w:p>
    <w:p>
      <w:pPr>
        <w:ind w:right="140" w:firstLine="441"/>
        <w:spacing w:after="0" w:line="289" w:lineRule="auto"/>
        <w:rPr>
          <w:sz w:val="20"/>
          <w:szCs w:val="20"/>
          <w:color w:val="auto"/>
        </w:rPr>
      </w:pPr>
      <w:r>
        <w:rPr>
          <w:rFonts w:ascii="Arial" w:cs="Arial" w:eastAsia="Arial" w:hAnsi="Arial"/>
          <w:sz w:val="16"/>
          <w:szCs w:val="16"/>
          <w:color w:val="auto"/>
        </w:rPr>
        <w:t>Certain items in prior period financial statements have been reclassified to conform to the presentation in the current period financial statements. Such reclassifications did not impact the Company's previously reported net loss or financial position.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48" w:lineRule="exact"/>
        <w:rPr>
          <w:sz w:val="20"/>
          <w:szCs w:val="20"/>
          <w:color w:val="auto"/>
        </w:rPr>
      </w:pPr>
    </w:p>
    <w:p>
      <w:pPr>
        <w:ind w:right="100" w:firstLine="441"/>
        <w:spacing w:after="0" w:line="224" w:lineRule="auto"/>
        <w:rPr>
          <w:sz w:val="20"/>
          <w:szCs w:val="20"/>
          <w:color w:val="auto"/>
        </w:rPr>
      </w:pPr>
      <w:r>
        <w:rPr>
          <w:rFonts w:ascii="Arial" w:cs="Arial" w:eastAsia="Arial" w:hAnsi="Arial"/>
          <w:sz w:val="18"/>
          <w:szCs w:val="18"/>
          <w:color w:val="auto"/>
        </w:rPr>
        <w:t>The authoritative guidance with respect to fair value established a fair value hierarchy that prioritizes the inputs to valuation techniques used to measure fair value into three levels, and requires that assets and liabilities carried at fair value to be classified and disclosed in one of three categories, as presented below.</w:t>
      </w:r>
    </w:p>
    <w:p>
      <w:pPr>
        <w:spacing w:after="0" w:line="123" w:lineRule="exact"/>
        <w:rPr>
          <w:sz w:val="20"/>
          <w:szCs w:val="20"/>
          <w:color w:val="auto"/>
        </w:rPr>
      </w:pPr>
    </w:p>
    <w:p>
      <w:pPr>
        <w:ind w:right="180" w:firstLine="441"/>
        <w:spacing w:after="0" w:line="224" w:lineRule="auto"/>
        <w:rPr>
          <w:sz w:val="20"/>
          <w:szCs w:val="20"/>
          <w:color w:val="auto"/>
        </w:rPr>
      </w:pPr>
      <w:r>
        <w:rPr>
          <w:rFonts w:ascii="Arial" w:cs="Arial" w:eastAsia="Arial" w:hAnsi="Arial"/>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60" w:firstLine="441"/>
        <w:spacing w:after="0" w:line="224" w:lineRule="auto"/>
        <w:rPr>
          <w:sz w:val="20"/>
          <w:szCs w:val="20"/>
          <w:color w:val="auto"/>
        </w:rPr>
      </w:pPr>
      <w:r>
        <w:rPr>
          <w:rFonts w:ascii="Arial" w:cs="Arial" w:eastAsia="Arial" w:hAnsi="Arial"/>
          <w:sz w:val="18"/>
          <w:szCs w:val="18"/>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and asset-backed securities.</w:t>
      </w:r>
    </w:p>
    <w:p>
      <w:pPr>
        <w:spacing w:after="0" w:line="123" w:lineRule="exact"/>
        <w:rPr>
          <w:sz w:val="20"/>
          <w:szCs w:val="20"/>
          <w:color w:val="auto"/>
        </w:rPr>
      </w:pPr>
    </w:p>
    <w:p>
      <w:pPr>
        <w:ind w:right="60" w:firstLine="441"/>
        <w:spacing w:after="0" w:line="224" w:lineRule="auto"/>
        <w:rPr>
          <w:sz w:val="20"/>
          <w:szCs w:val="20"/>
          <w:color w:val="auto"/>
        </w:rPr>
      </w:pPr>
      <w:r>
        <w:rPr>
          <w:rFonts w:ascii="Arial" w:cs="Arial" w:eastAsia="Arial" w:hAnsi="Arial"/>
          <w:sz w:val="18"/>
          <w:szCs w:val="18"/>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fair value of the Company’s financial assets measured on a recurring basis as of</w:t>
      </w:r>
    </w:p>
    <w:p>
      <w:pPr>
        <w:spacing w:after="0"/>
        <w:rPr>
          <w:sz w:val="20"/>
          <w:szCs w:val="20"/>
          <w:color w:val="auto"/>
        </w:rPr>
      </w:pPr>
      <w:r>
        <w:rPr>
          <w:rFonts w:ascii="Arial" w:cs="Arial" w:eastAsia="Arial" w:hAnsi="Arial"/>
          <w:sz w:val="18"/>
          <w:szCs w:val="18"/>
          <w:color w:val="auto"/>
        </w:rPr>
        <w:t>September 30, 2019 and December 31, 2018, respectively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 2019</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2018</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Classification</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Level 2</w:t>
            </w: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17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98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Cash and cash</w:t>
            </w:r>
          </w:p>
        </w:tc>
        <w:tc>
          <w:tcPr>
            <w:tcW w:w="8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5,912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 $</w:t>
            </w:r>
          </w:p>
        </w:tc>
        <w:tc>
          <w:tcPr>
            <w:tcW w:w="7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5,912</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50,703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 $</w:t>
            </w:r>
          </w:p>
        </w:tc>
        <w:tc>
          <w:tcPr>
            <w:tcW w:w="7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50,703</w:t>
            </w:r>
          </w:p>
        </w:tc>
        <w:tc>
          <w:tcPr>
            <w:tcW w:w="0" w:type="dxa"/>
            <w:vAlign w:val="bottom"/>
          </w:tcPr>
          <w:p>
            <w:pPr>
              <w:spacing w:after="0"/>
              <w:rPr>
                <w:sz w:val="1"/>
                <w:szCs w:val="1"/>
                <w:color w:val="auto"/>
              </w:rPr>
            </w:pPr>
          </w:p>
        </w:tc>
      </w:tr>
      <w:tr>
        <w:trPr>
          <w:trHeight w:val="162"/>
        </w:trPr>
        <w:tc>
          <w:tcPr>
            <w:tcW w:w="1780" w:type="dxa"/>
            <w:vAlign w:val="bottom"/>
            <w:gridSpan w:val="2"/>
            <w:vMerge w:val="continue"/>
            <w:shd w:val="clear" w:color="auto" w:fill="CCEEFF"/>
          </w:tcPr>
          <w:p>
            <w:pPr>
              <w:spacing w:after="0"/>
              <w:rPr>
                <w:sz w:val="14"/>
                <w:szCs w:val="14"/>
                <w:color w:val="auto"/>
              </w:rPr>
            </w:pP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equivalents</w:t>
            </w:r>
          </w:p>
        </w:tc>
        <w:tc>
          <w:tcPr>
            <w:tcW w:w="180" w:type="dxa"/>
            <w:vAlign w:val="bottom"/>
            <w:vMerge w:val="continue"/>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tcPr>
          <w:p>
            <w:pPr>
              <w:jc w:val="center"/>
              <w:ind w:right="60"/>
              <w:spacing w:after="0" w:line="108" w:lineRule="exact"/>
              <w:rPr>
                <w:sz w:val="20"/>
                <w:szCs w:val="20"/>
                <w:color w:val="auto"/>
              </w:rPr>
            </w:pPr>
            <w:r>
              <w:rPr>
                <w:rFonts w:ascii="Arial" w:cs="Arial" w:eastAsia="Arial" w:hAnsi="Arial"/>
                <w:sz w:val="12"/>
                <w:szCs w:val="12"/>
                <w:color w:val="auto"/>
              </w:rPr>
              <w:t>Investments,</w:t>
            </w: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80" w:type="dxa"/>
            <w:vAlign w:val="bottom"/>
            <w:gridSpan w:val="2"/>
            <w:vMerge w:val="restart"/>
          </w:tcPr>
          <w:p>
            <w:pPr>
              <w:spacing w:after="0"/>
              <w:rPr>
                <w:sz w:val="20"/>
                <w:szCs w:val="20"/>
                <w:color w:val="auto"/>
              </w:rPr>
            </w:pPr>
            <w:r>
              <w:rPr>
                <w:rFonts w:ascii="Arial" w:cs="Arial" w:eastAsia="Arial" w:hAnsi="Arial"/>
                <w:sz w:val="14"/>
                <w:szCs w:val="14"/>
                <w:color w:val="auto"/>
              </w:rPr>
              <w:t>U.S. Treasury Securities</w:t>
            </w:r>
          </w:p>
        </w:tc>
        <w:tc>
          <w:tcPr>
            <w:tcW w:w="106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88"/>
              </w:rPr>
              <w:t>cash and cash</w:t>
            </w: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27,919</w:t>
            </w:r>
          </w:p>
        </w:tc>
        <w:tc>
          <w:tcPr>
            <w:tcW w:w="100" w:type="dxa"/>
            <w:vAlign w:val="bottom"/>
          </w:tcPr>
          <w:p>
            <w:pPr>
              <w:spacing w:after="0"/>
              <w:rPr>
                <w:sz w:val="11"/>
                <w:szCs w:val="11"/>
                <w:color w:val="auto"/>
              </w:rPr>
            </w:pPr>
          </w:p>
        </w:tc>
        <w:tc>
          <w:tcPr>
            <w:tcW w:w="54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27,919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8,480</w:t>
            </w:r>
          </w:p>
        </w:tc>
        <w:tc>
          <w:tcPr>
            <w:tcW w:w="100" w:type="dxa"/>
            <w:vAlign w:val="bottom"/>
          </w:tcPr>
          <w:p>
            <w:pPr>
              <w:spacing w:after="0"/>
              <w:rPr>
                <w:sz w:val="11"/>
                <w:szCs w:val="11"/>
                <w:color w:val="auto"/>
              </w:rPr>
            </w:pPr>
          </w:p>
        </w:tc>
        <w:tc>
          <w:tcPr>
            <w:tcW w:w="54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8,480</w:t>
            </w:r>
          </w:p>
        </w:tc>
        <w:tc>
          <w:tcPr>
            <w:tcW w:w="0" w:type="dxa"/>
            <w:vAlign w:val="bottom"/>
          </w:tcPr>
          <w:p>
            <w:pPr>
              <w:spacing w:after="0"/>
              <w:rPr>
                <w:sz w:val="1"/>
                <w:szCs w:val="1"/>
                <w:color w:val="auto"/>
              </w:rPr>
            </w:pPr>
          </w:p>
        </w:tc>
      </w:tr>
      <w:tr>
        <w:trPr>
          <w:trHeight w:val="162"/>
        </w:trPr>
        <w:tc>
          <w:tcPr>
            <w:tcW w:w="1780" w:type="dxa"/>
            <w:vAlign w:val="bottom"/>
            <w:tcBorders>
              <w:bottom w:val="single" w:sz="8" w:color="CCEEFF"/>
            </w:tcBorders>
            <w:gridSpan w:val="2"/>
            <w:vMerge w:val="continue"/>
          </w:tcPr>
          <w:p>
            <w:pPr>
              <w:spacing w:after="0"/>
              <w:rPr>
                <w:sz w:val="14"/>
                <w:szCs w:val="14"/>
                <w:color w:val="auto"/>
              </w:rPr>
            </w:pPr>
          </w:p>
        </w:tc>
        <w:tc>
          <w:tcPr>
            <w:tcW w:w="10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3"/>
              </w:rPr>
              <w:t>equivalents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780" w:type="dxa"/>
            <w:vAlign w:val="bottom"/>
            <w:gridSpan w:val="2"/>
            <w:shd w:val="clear" w:color="auto" w:fill="CCEEFF"/>
          </w:tcPr>
          <w:p>
            <w:pPr>
              <w:spacing w:after="0" w:line="88" w:lineRule="exact"/>
              <w:rPr>
                <w:sz w:val="20"/>
                <w:szCs w:val="20"/>
                <w:color w:val="auto"/>
              </w:rPr>
            </w:pPr>
            <w:r>
              <w:rPr>
                <w:rFonts w:ascii="Arial" w:cs="Arial" w:eastAsia="Arial" w:hAnsi="Arial"/>
                <w:sz w:val="10"/>
                <w:szCs w:val="10"/>
                <w:color w:val="auto"/>
              </w:rPr>
              <w:t>Total assets measured</w:t>
            </w: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vMerge w:val="restart"/>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5,912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27,919 $</w:t>
            </w:r>
          </w:p>
        </w:tc>
        <w:tc>
          <w:tcPr>
            <w:tcW w:w="7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33,831</w:t>
            </w:r>
          </w:p>
        </w:tc>
        <w:tc>
          <w:tcPr>
            <w:tcW w:w="8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50,703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8,480 $</w:t>
            </w:r>
          </w:p>
        </w:tc>
        <w:tc>
          <w:tcPr>
            <w:tcW w:w="7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59,183</w:t>
            </w:r>
          </w:p>
        </w:tc>
        <w:tc>
          <w:tcPr>
            <w:tcW w:w="0" w:type="dxa"/>
            <w:vAlign w:val="bottom"/>
          </w:tcPr>
          <w:p>
            <w:pPr>
              <w:spacing w:after="0"/>
              <w:rPr>
                <w:sz w:val="1"/>
                <w:szCs w:val="1"/>
                <w:color w:val="auto"/>
              </w:rPr>
            </w:pPr>
          </w:p>
        </w:tc>
      </w:tr>
      <w:tr>
        <w:trPr>
          <w:trHeight w:val="149"/>
        </w:trPr>
        <w:tc>
          <w:tcPr>
            <w:tcW w:w="17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at fair value</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720" w:type="dxa"/>
            <w:vAlign w:val="bottom"/>
            <w:tcBorders>
              <w:right w:val="single" w:sz="8" w:color="CCEEFF"/>
            </w:tcBorders>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700" w:type="dxa"/>
            <w:vAlign w:val="bottom"/>
            <w:tcBorders>
              <w:right w:val="single" w:sz="8" w:color="CCEEFF"/>
            </w:tcBorders>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did not have any financial liabilities measured on a recurring basis as of September 30, 2019 or December 31,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28" w:lineRule="exact"/>
        <w:rPr>
          <w:sz w:val="20"/>
          <w:szCs w:val="20"/>
          <w:color w:val="auto"/>
        </w:rPr>
      </w:pPr>
    </w:p>
    <w:p>
      <w:pPr>
        <w:ind w:right="40" w:firstLine="441"/>
        <w:spacing w:after="0" w:line="224" w:lineRule="auto"/>
        <w:rPr>
          <w:sz w:val="20"/>
          <w:szCs w:val="20"/>
          <w:color w:val="auto"/>
        </w:rPr>
      </w:pPr>
      <w:r>
        <w:rPr>
          <w:rFonts w:ascii="Arial" w:cs="Arial" w:eastAsia="Arial" w:hAnsi="Arial"/>
          <w:sz w:val="18"/>
          <w:szCs w:val="18"/>
          <w:color w:val="auto"/>
        </w:rPr>
        <w:t>During the nine-month period ended September 30, 2019, there were no transfers between Level 1, Level 2 or Level 3 assets or liabilities reported at fair value on a recurring basis, and the valuation techniques used did not change compared to the Company’s established practice.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08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Laboratory equipment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Software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6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17"/>
        </w:trPr>
        <w:tc>
          <w:tcPr>
            <w:tcW w:w="68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r>
    </w:tbl>
    <w:p>
      <w:pPr>
        <w:spacing w:after="0" w:line="148" w:lineRule="exact"/>
        <w:rPr>
          <w:sz w:val="20"/>
          <w:szCs w:val="20"/>
          <w:color w:val="auto"/>
        </w:rPr>
      </w:pPr>
    </w:p>
    <w:p>
      <w:pPr>
        <w:jc w:val="both"/>
        <w:ind w:right="200" w:firstLine="441"/>
        <w:spacing w:after="0" w:line="224" w:lineRule="auto"/>
        <w:rPr>
          <w:sz w:val="20"/>
          <w:szCs w:val="20"/>
          <w:color w:val="auto"/>
        </w:rPr>
      </w:pPr>
      <w:r>
        <w:rPr>
          <w:rFonts w:ascii="Arial" w:cs="Arial" w:eastAsia="Arial" w:hAnsi="Arial"/>
          <w:sz w:val="18"/>
          <w:szCs w:val="18"/>
          <w:color w:val="auto"/>
        </w:rPr>
        <w:t>Depreciation expense was $0.1 million and $0.2 million for the three-month periods ended September 30, 2019 and 2018, respectively. Depreciation expense was $0.4 million and $0.5 million, for the nine-month periods ended September 30, 2019 and 2018, respectively.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48" w:lineRule="exact"/>
        <w:rPr>
          <w:sz w:val="20"/>
          <w:szCs w:val="20"/>
          <w:color w:val="auto"/>
        </w:rPr>
      </w:pPr>
    </w:p>
    <w:p>
      <w:pPr>
        <w:ind w:right="140" w:firstLine="441"/>
        <w:spacing w:after="0" w:line="214" w:lineRule="auto"/>
        <w:rPr>
          <w:sz w:val="20"/>
          <w:szCs w:val="20"/>
          <w:color w:val="auto"/>
        </w:rPr>
      </w:pPr>
      <w:r>
        <w:rPr>
          <w:rFonts w:ascii="Arial" w:cs="Arial" w:eastAsia="Arial" w:hAnsi="Arial"/>
          <w:sz w:val="18"/>
          <w:szCs w:val="18"/>
          <w:color w:val="auto"/>
        </w:rPr>
        <w:t>Intangible assets primarily consist of acquired licenses to utilize certain patents, know-how and technology relating to the Company’s NPS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5"/>
                <w:szCs w:val="15"/>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Acquired patents and licenses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93"/>
              </w:rPr>
              <w:t>7,985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8"/>
              </w:rPr>
              <w:t>7,985</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tcPr>
          <w:p>
            <w:pPr>
              <w:spacing w:after="0"/>
              <w:rPr>
                <w:sz w:val="18"/>
                <w:szCs w:val="18"/>
                <w:color w:val="auto"/>
              </w:rPr>
            </w:pPr>
          </w:p>
        </w:tc>
        <w:tc>
          <w:tcPr>
            <w:tcW w:w="1240" w:type="dxa"/>
            <w:vAlign w:val="bottom"/>
            <w:gridSpan w:val="2"/>
          </w:tcPr>
          <w:p>
            <w:pPr>
              <w:jc w:val="center"/>
              <w:ind w:left="357"/>
              <w:spacing w:after="0"/>
              <w:rPr>
                <w:sz w:val="20"/>
                <w:szCs w:val="20"/>
                <w:color w:val="auto"/>
              </w:rPr>
            </w:pPr>
            <w:r>
              <w:rPr>
                <w:rFonts w:ascii="Arial" w:cs="Arial" w:eastAsia="Arial" w:hAnsi="Arial"/>
                <w:sz w:val="18"/>
                <w:szCs w:val="18"/>
                <w:color w:val="auto"/>
                <w:w w:val="91"/>
              </w:rPr>
              <w:t>(3,272)</w:t>
            </w:r>
          </w:p>
        </w:tc>
        <w:tc>
          <w:tcPr>
            <w:tcW w:w="160" w:type="dxa"/>
            <w:vAlign w:val="bottom"/>
          </w:tcPr>
          <w:p>
            <w:pPr>
              <w:spacing w:after="0"/>
              <w:rPr>
                <w:sz w:val="18"/>
                <w:szCs w:val="18"/>
                <w:color w:val="auto"/>
              </w:rPr>
            </w:pPr>
          </w:p>
        </w:tc>
        <w:tc>
          <w:tcPr>
            <w:tcW w:w="1080" w:type="dxa"/>
            <w:vAlign w:val="bottom"/>
          </w:tcPr>
          <w:p>
            <w:pPr>
              <w:jc w:val="center"/>
              <w:ind w:left="477"/>
              <w:spacing w:after="0"/>
              <w:rPr>
                <w:sz w:val="20"/>
                <w:szCs w:val="20"/>
                <w:color w:val="auto"/>
              </w:rPr>
            </w:pPr>
            <w:r>
              <w:rPr>
                <w:rFonts w:ascii="Arial" w:cs="Arial" w:eastAsia="Arial" w:hAnsi="Arial"/>
                <w:sz w:val="18"/>
                <w:szCs w:val="18"/>
                <w:color w:val="auto"/>
                <w:w w:val="91"/>
              </w:rPr>
              <w:t>(2,772)</w:t>
            </w:r>
          </w:p>
        </w:tc>
      </w:tr>
      <w:tr>
        <w:trPr>
          <w:trHeight w:val="217"/>
        </w:trPr>
        <w:tc>
          <w:tcPr>
            <w:tcW w:w="68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color w:val="auto"/>
                <w:w w:val="93"/>
              </w:rPr>
              <w:t>4,713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color w:val="auto"/>
                <w:w w:val="88"/>
              </w:rPr>
              <w:t>5,213</w:t>
            </w:r>
          </w:p>
        </w:tc>
      </w:tr>
    </w:tbl>
    <w:p>
      <w:pPr>
        <w:spacing w:after="0" w:line="148" w:lineRule="exact"/>
        <w:rPr>
          <w:sz w:val="20"/>
          <w:szCs w:val="20"/>
          <w:color w:val="auto"/>
        </w:rPr>
      </w:pPr>
    </w:p>
    <w:p>
      <w:pPr>
        <w:ind w:right="580" w:firstLine="441"/>
        <w:spacing w:after="0" w:line="235" w:lineRule="auto"/>
        <w:rPr>
          <w:sz w:val="20"/>
          <w:szCs w:val="20"/>
          <w:color w:val="auto"/>
        </w:rPr>
      </w:pPr>
      <w:r>
        <w:rPr>
          <w:rFonts w:ascii="Arial" w:cs="Arial" w:eastAsia="Arial" w:hAnsi="Arial"/>
          <w:sz w:val="18"/>
          <w:szCs w:val="18"/>
          <w:color w:val="auto"/>
        </w:rPr>
        <w:t>A schedule of the amortization of intangible assets for the remainder of 2019 and the succeeding five fiscal years and thereafter is as follows (in thousands):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2019 (remaining 3 months)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17"/>
        </w:trPr>
        <w:tc>
          <w:tcPr>
            <w:tcW w:w="82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48" w:lineRule="exact"/>
        <w:rPr>
          <w:sz w:val="20"/>
          <w:szCs w:val="20"/>
          <w:color w:val="auto"/>
        </w:rPr>
      </w:pPr>
    </w:p>
    <w:p>
      <w:pPr>
        <w:ind w:right="160" w:firstLine="441"/>
        <w:spacing w:after="0" w:line="259" w:lineRule="auto"/>
        <w:rPr>
          <w:sz w:val="20"/>
          <w:szCs w:val="20"/>
          <w:color w:val="auto"/>
        </w:rPr>
      </w:pPr>
      <w:r>
        <w:rPr>
          <w:rFonts w:ascii="Arial" w:cs="Arial" w:eastAsia="Arial" w:hAnsi="Arial"/>
          <w:sz w:val="16"/>
          <w:szCs w:val="16"/>
          <w:color w:val="auto"/>
        </w:rPr>
        <w:t xml:space="preserve">In 2014, the Company acquired three companies (the “acquisitions”) for aggregate consideration of $5.5 million.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recorded goodwill of $2.8 million in connection with the acquisitions as the consideration paid exceeded the fair value of the net tangible assets and the intangible assets acquired.</w:t>
      </w:r>
    </w:p>
    <w:p>
      <w:pPr>
        <w:spacing w:after="0" w:line="107" w:lineRule="exact"/>
        <w:rPr>
          <w:sz w:val="20"/>
          <w:szCs w:val="20"/>
          <w:color w:val="auto"/>
        </w:rPr>
      </w:pPr>
    </w:p>
    <w:p>
      <w:pPr>
        <w:ind w:right="140" w:firstLine="441"/>
        <w:spacing w:after="0" w:line="219" w:lineRule="auto"/>
        <w:rPr>
          <w:sz w:val="20"/>
          <w:szCs w:val="20"/>
          <w:color w:val="auto"/>
        </w:rPr>
      </w:pPr>
      <w:r>
        <w:rPr>
          <w:rFonts w:ascii="Arial" w:cs="Arial" w:eastAsia="Arial" w:hAnsi="Arial"/>
          <w:sz w:val="18"/>
          <w:szCs w:val="18"/>
          <w:color w:val="auto"/>
        </w:rPr>
        <w:t>The Company reviews goodwill for impairment at least annually or whenever changes in circumstances indicate that the carrying amount of goodwill may not be recoverable. Based on the Company’s annual impairment test as of December 31, 2018 the Company determined that no impairment of goodwill existed and was not aware of any indicators of impairment at such date. In addition, there were no indicators of impairment at September 30, 2019.</w:t>
      </w:r>
    </w:p>
    <w:p>
      <w:pPr>
        <w:sectPr>
          <w:pgSz w:w="11900" w:h="16838" w:orient="portrait"/>
          <w:cols w:equalWidth="0" w:num="1">
            <w:col w:w="9460"/>
          </w:cols>
          <w:pgMar w:left="1220" w:top="108" w:right="121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Accrued expenses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415290</wp:posOffset>
            </wp:positionV>
            <wp:extent cx="601154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Accrued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1154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Professional fees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1154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08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09"/>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30"/>
        </w:trPr>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1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r>
    </w:tbl>
    <w:p>
      <w:pPr>
        <w:spacing w:after="0" w:line="200" w:lineRule="exact"/>
        <w:rPr>
          <w:sz w:val="20"/>
          <w:szCs w:val="20"/>
          <w:color w:val="auto"/>
        </w:rPr>
      </w:pPr>
    </w:p>
    <w:p>
      <w:pPr>
        <w:sectPr>
          <w:pgSz w:w="11900" w:h="16838" w:orient="portrait"/>
          <w:cols w:equalWidth="0" w:num="2">
            <w:col w:w="6120" w:space="720"/>
            <w:col w:w="2620"/>
          </w:cols>
          <w:pgMar w:left="1220" w:top="108" w:right="1219" w:bottom="1440" w:gutter="0" w:footer="0" w:header="0"/>
          <w:type w:val="continuous"/>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605409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and Stock-Based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Offering</w:t>
      </w:r>
    </w:p>
    <w:p>
      <w:pPr>
        <w:spacing w:after="0" w:line="144" w:lineRule="exact"/>
        <w:rPr>
          <w:sz w:val="20"/>
          <w:szCs w:val="20"/>
          <w:color w:val="auto"/>
        </w:rPr>
      </w:pPr>
    </w:p>
    <w:p>
      <w:pPr>
        <w:ind w:firstLine="441"/>
        <w:spacing w:after="0" w:line="259" w:lineRule="auto"/>
        <w:rPr>
          <w:sz w:val="20"/>
          <w:szCs w:val="20"/>
          <w:color w:val="auto"/>
        </w:rPr>
      </w:pPr>
      <w:r>
        <w:rPr>
          <w:rFonts w:ascii="Arial" w:cs="Arial" w:eastAsia="Arial" w:hAnsi="Arial"/>
          <w:sz w:val="16"/>
          <w:szCs w:val="16"/>
          <w:color w:val="auto"/>
        </w:rPr>
        <w:t>On October 25, 2018, the Company commenced a rights offering pursuant to which stockholders of record as of November 19, 2018, were issued, at no charge, one subscription right for each share of common stock then outstanding. Each right entitled the holder to purchase 0.19860755 share of the Company’s common stock for $12.57 per share (the “Rights Offering”).</w:t>
      </w:r>
    </w:p>
    <w:p>
      <w:pPr>
        <w:spacing w:after="0" w:line="107" w:lineRule="exact"/>
        <w:rPr>
          <w:sz w:val="20"/>
          <w:szCs w:val="20"/>
          <w:color w:val="auto"/>
        </w:rPr>
      </w:pPr>
    </w:p>
    <w:p>
      <w:pPr>
        <w:ind w:firstLine="441"/>
        <w:spacing w:after="0" w:line="224" w:lineRule="auto"/>
        <w:rPr>
          <w:sz w:val="20"/>
          <w:szCs w:val="20"/>
          <w:color w:val="auto"/>
        </w:rPr>
      </w:pPr>
      <w:r>
        <w:rPr>
          <w:rFonts w:ascii="Arial" w:cs="Arial" w:eastAsia="Arial" w:hAnsi="Arial"/>
          <w:sz w:val="18"/>
          <w:szCs w:val="18"/>
          <w:color w:val="auto"/>
        </w:rPr>
        <w:t>Stockholders who exercised their rights in full were also permitted an over-subscription right to purchase additional shares of common stock that remained unsubscribed at the expiration of the Rights Offering, subject to the availability of shares and a pro rata allocation of shares among persons exercising the oversubscription right.</w:t>
      </w:r>
    </w:p>
    <w:p>
      <w:pPr>
        <w:spacing w:after="0" w:line="123" w:lineRule="exact"/>
        <w:rPr>
          <w:sz w:val="20"/>
          <w:szCs w:val="20"/>
          <w:color w:val="auto"/>
        </w:rPr>
      </w:pPr>
    </w:p>
    <w:p>
      <w:pPr>
        <w:ind w:right="40" w:firstLine="441"/>
        <w:spacing w:after="0" w:line="229" w:lineRule="auto"/>
        <w:rPr>
          <w:sz w:val="20"/>
          <w:szCs w:val="20"/>
          <w:color w:val="auto"/>
        </w:rPr>
      </w:pPr>
      <w:r>
        <w:rPr>
          <w:rFonts w:ascii="Arial" w:cs="Arial" w:eastAsia="Arial" w:hAnsi="Arial"/>
          <w:sz w:val="17"/>
          <w:szCs w:val="17"/>
          <w:color w:val="auto"/>
        </w:rPr>
        <w:t>Upon the closing of the Rights Offering on December 6, 2018, the Rights Offering was oversubscribed. A total of 3,581,148 shares of the Company’s common stock were issued and sold in the Rights Offering for net proceeds of approximately $44.8 million. Robert W. Duggan, the Company’s Chairman of the Board of Directors and the beneficial owner of approximately 35% of the Company’s outstanding common stock prior to the Rights Offering, participated in the Rights Offering and purchased an aggregate of 3,146,226 shares for an additional investment of approximately $39.5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44" w:lineRule="exact"/>
        <w:rPr>
          <w:sz w:val="20"/>
          <w:szCs w:val="20"/>
          <w:color w:val="auto"/>
        </w:rPr>
      </w:pPr>
    </w:p>
    <w:p>
      <w:pPr>
        <w:ind w:right="80" w:firstLine="441"/>
        <w:spacing w:after="0" w:line="223" w:lineRule="auto"/>
        <w:rPr>
          <w:sz w:val="20"/>
          <w:szCs w:val="20"/>
          <w:color w:val="auto"/>
        </w:rPr>
      </w:pPr>
      <w:r>
        <w:rPr>
          <w:rFonts w:ascii="Arial" w:cs="Arial" w:eastAsia="Arial" w:hAnsi="Arial"/>
          <w:sz w:val="17"/>
          <w:szCs w:val="17"/>
          <w:color w:val="auto"/>
        </w:rPr>
        <w:t>In connection with a private placement offering of the Company’s common stock, par value $0.001 per share in 2014, the Company issued warrants as compensation to the placement agent to purchase a total of 299,625 shares of its common stock at a price of $2.67 per share (the “Private Placement Warrants”). The Private Placement Warrants are exercisable for period of seven years. As of September 30, 2019, there were a total of 91,876 of Private Placement Warrants outstanding. In connection with the closing of the Company’s initial public offering in 2016, the Company issued warrants as compensation to its underwriters, as representatives of the underwriters of its initial public offering to purchase a total of 574,985 shares of its common stock at a price of $5.00 per share (“the IPO Warrants”). The IPO Warrants are exercisable for a period of five years. As of September 30, 2019, there were a total of 121,609 of the IPO Warrants outstanding.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Equity Incentive Plan and 2017 Inducement Equity Incentive Plan</w:t>
      </w:r>
    </w:p>
    <w:p>
      <w:pPr>
        <w:spacing w:after="0" w:line="144" w:lineRule="exact"/>
        <w:rPr>
          <w:sz w:val="20"/>
          <w:szCs w:val="20"/>
          <w:color w:val="auto"/>
        </w:rPr>
      </w:pPr>
    </w:p>
    <w:p>
      <w:pPr>
        <w:ind w:right="240" w:firstLine="441"/>
        <w:spacing w:after="0" w:line="235" w:lineRule="auto"/>
        <w:rPr>
          <w:sz w:val="20"/>
          <w:szCs w:val="20"/>
          <w:color w:val="auto"/>
        </w:rPr>
      </w:pPr>
      <w:r>
        <w:rPr>
          <w:rFonts w:ascii="Arial" w:cs="Arial" w:eastAsia="Arial" w:hAnsi="Arial"/>
          <w:sz w:val="18"/>
          <w:szCs w:val="18"/>
          <w:color w:val="auto"/>
        </w:rPr>
        <w:t>The Board of Directors of the Company (the “Board”) previously adopted, and the Company’s stockholders approved, the Company’s 2017 Equity Incentive Plan (the “2017 Plan”).</w:t>
      </w:r>
    </w:p>
    <w:p>
      <w:pPr>
        <w:spacing w:after="0" w:line="121" w:lineRule="exact"/>
        <w:rPr>
          <w:sz w:val="20"/>
          <w:szCs w:val="20"/>
          <w:color w:val="auto"/>
        </w:rPr>
      </w:pPr>
    </w:p>
    <w:p>
      <w:pPr>
        <w:ind w:right="40" w:firstLine="441"/>
        <w:spacing w:after="0" w:line="220" w:lineRule="auto"/>
        <w:rPr>
          <w:sz w:val="20"/>
          <w:szCs w:val="20"/>
          <w:color w:val="auto"/>
        </w:rPr>
      </w:pPr>
      <w:r>
        <w:rPr>
          <w:rFonts w:ascii="Arial" w:cs="Arial" w:eastAsia="Arial" w:hAnsi="Arial"/>
          <w:sz w:val="17"/>
          <w:szCs w:val="17"/>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January 1, 2019, the Company’s Board authorized an increase in the number of shares of common stock available under the 2017 Plan increased by 823,716 shares pursuant to the evergreen provision of the 2017 Plan. Pursuant to the 2017 Plan, the 2019 share increase is determined based on the least of (i) 1,200,000 shares, (ii) 4% of the Company’s common stock outstanding at December 31 of the immediately preceding year, or (iii) such number of shares as determined by the Board. As of September 30, 2019, 1,090,058 shares of common stock remained available for issuance under the 2017 Plan.</w:t>
      </w:r>
    </w:p>
    <w:p>
      <w:pPr>
        <w:spacing w:after="0" w:line="125" w:lineRule="exact"/>
        <w:rPr>
          <w:sz w:val="20"/>
          <w:szCs w:val="20"/>
          <w:color w:val="auto"/>
        </w:rPr>
      </w:pPr>
    </w:p>
    <w:p>
      <w:pPr>
        <w:ind w:right="160" w:firstLine="441"/>
        <w:spacing w:after="0" w:line="224" w:lineRule="auto"/>
        <w:rPr>
          <w:sz w:val="20"/>
          <w:szCs w:val="20"/>
          <w:color w:val="auto"/>
        </w:rPr>
      </w:pPr>
      <w:r>
        <w:rPr>
          <w:rFonts w:ascii="Arial" w:cs="Arial" w:eastAsia="Arial" w:hAnsi="Arial"/>
          <w:sz w:val="18"/>
          <w:szCs w:val="18"/>
          <w:color w:val="auto"/>
        </w:rPr>
        <w:t>During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23" w:lineRule="exact"/>
        <w:rPr>
          <w:sz w:val="20"/>
          <w:szCs w:val="20"/>
          <w:color w:val="auto"/>
        </w:rPr>
      </w:pPr>
    </w:p>
    <w:p>
      <w:pPr>
        <w:ind w:right="140" w:firstLine="441"/>
        <w:spacing w:after="0" w:line="238" w:lineRule="auto"/>
        <w:rPr>
          <w:sz w:val="20"/>
          <w:szCs w:val="20"/>
          <w:color w:val="auto"/>
        </w:rPr>
      </w:pPr>
      <w:r>
        <w:rPr>
          <w:rFonts w:ascii="Arial" w:cs="Arial" w:eastAsia="Arial" w:hAnsi="Arial"/>
          <w:sz w:val="17"/>
          <w:szCs w:val="17"/>
          <w:color w:val="auto"/>
        </w:rPr>
        <w:t>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“merger” or “change in control” as defined under the Inducement Plan. Options issued under the Inducement Plan may have a term up to ten years and have variable vesting provisions. New hire grants generally vest 25% annual starting upon the first anniversary of the grant. Equity-based awards issued under the Inducement Plan are only issuable to individuals not previously engaged as employees or non-employee directors of the Company prior to the Inducement Plan’s adoption date. As of September 30, 2019, there were 190,875 shares of common stock remained available for issuance under the Inducement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144" w:lineRule="exact"/>
        <w:rPr>
          <w:sz w:val="20"/>
          <w:szCs w:val="20"/>
          <w:color w:val="auto"/>
        </w:rPr>
      </w:pPr>
    </w:p>
    <w:p>
      <w:pPr>
        <w:ind w:right="480" w:firstLine="441"/>
        <w:spacing w:after="0" w:line="235" w:lineRule="auto"/>
        <w:rPr>
          <w:sz w:val="20"/>
          <w:szCs w:val="20"/>
          <w:color w:val="auto"/>
        </w:rPr>
      </w:pPr>
      <w:r>
        <w:rPr>
          <w:rFonts w:ascii="Arial" w:cs="Arial" w:eastAsia="Arial" w:hAnsi="Arial"/>
          <w:sz w:val="18"/>
          <w:szCs w:val="18"/>
          <w:color w:val="auto"/>
        </w:rPr>
        <w:t>The Board previously adopted and the stockholders approved the Company’s 2017 Employee Stock Purchase Plan (the “2017 ESPP”).</w:t>
      </w:r>
    </w:p>
    <w:p>
      <w:pPr>
        <w:spacing w:after="0" w:line="121" w:lineRule="exact"/>
        <w:rPr>
          <w:sz w:val="20"/>
          <w:szCs w:val="20"/>
          <w:color w:val="auto"/>
        </w:rPr>
      </w:pPr>
    </w:p>
    <w:p>
      <w:pPr>
        <w:ind w:right="60" w:firstLine="441"/>
        <w:spacing w:after="0" w:line="233" w:lineRule="auto"/>
        <w:rPr>
          <w:sz w:val="20"/>
          <w:szCs w:val="20"/>
          <w:color w:val="auto"/>
        </w:rPr>
      </w:pPr>
      <w:r>
        <w:rPr>
          <w:rFonts w:ascii="Arial" w:cs="Arial" w:eastAsia="Arial" w:hAnsi="Arial"/>
          <w:sz w:val="16"/>
          <w:szCs w:val="16"/>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1.5% of the Company’s common stock outstanding at December 31 of the immediately preceding year, or (iii) such number of shares as determined by the Board. During January 2019, the Board determined not to increase the number of shares of common stock available under the 2017 ESPP pursuant to the evergreen provision of the 2017 ESPP. During the nine-month period ended September 30, 2019, the Company issued 38,279 shares of common stock under the 2017 ESPP. As of September 30, 2019, there were 440,195 shares of common stock remained available for issuance under the 2017 ESPP.</w:t>
      </w:r>
    </w:p>
    <w:p>
      <w:pPr>
        <w:spacing w:after="0" w:line="121" w:lineRule="exact"/>
        <w:rPr>
          <w:sz w:val="20"/>
          <w:szCs w:val="20"/>
          <w:color w:val="auto"/>
        </w:rPr>
      </w:pPr>
    </w:p>
    <w:p>
      <w:pPr>
        <w:ind w:right="660" w:firstLine="441"/>
        <w:spacing w:after="0" w:line="235"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stock option activity under the 2015 Plan, 2017 Plan and Inducement Plan for the nine-months ended September 30, 2019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Stock Options Outstanding</w:t>
            </w:r>
          </w:p>
        </w:tc>
        <w:tc>
          <w:tcPr>
            <w:tcW w:w="1100" w:type="dxa"/>
            <w:vAlign w:val="bottom"/>
            <w:tcBorders>
              <w:bottom w:val="single" w:sz="8" w:color="auto"/>
            </w:tcBorders>
          </w:tcPr>
          <w:p>
            <w:pPr>
              <w:spacing w:after="0"/>
              <w:rPr>
                <w:sz w:val="14"/>
                <w:szCs w:val="14"/>
                <w:color w:val="auto"/>
              </w:rPr>
            </w:pPr>
          </w:p>
        </w:tc>
      </w:tr>
      <w:tr>
        <w:trPr>
          <w:trHeight w:val="184"/>
        </w:trPr>
        <w:tc>
          <w:tcPr>
            <w:tcW w:w="5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r>
      <w:tr>
        <w:trPr>
          <w:trHeight w:val="189"/>
        </w:trPr>
        <w:tc>
          <w:tcPr>
            <w:tcW w:w="5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Weighted-</w:t>
            </w:r>
          </w:p>
        </w:tc>
        <w:tc>
          <w:tcPr>
            <w:tcW w:w="1100" w:type="dxa"/>
            <w:vAlign w:val="bottom"/>
          </w:tcPr>
          <w:p>
            <w:pPr>
              <w:jc w:val="center"/>
              <w:ind w:right="64"/>
              <w:spacing w:after="0"/>
              <w:rPr>
                <w:sz w:val="20"/>
                <w:szCs w:val="20"/>
                <w:color w:val="auto"/>
              </w:rPr>
            </w:pPr>
            <w:r>
              <w:rPr>
                <w:rFonts w:ascii="Arial" w:cs="Arial" w:eastAsia="Arial" w:hAnsi="Arial"/>
                <w:sz w:val="14"/>
                <w:szCs w:val="14"/>
                <w:b w:val="1"/>
                <w:bCs w:val="1"/>
                <w:color w:val="auto"/>
                <w:w w:val="90"/>
              </w:rPr>
              <w:t>average</w:t>
            </w:r>
          </w:p>
        </w:tc>
      </w:tr>
      <w:tr>
        <w:trPr>
          <w:trHeight w:val="189"/>
        </w:trPr>
        <w:tc>
          <w:tcPr>
            <w:tcW w:w="544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10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remaining life</w:t>
            </w:r>
          </w:p>
        </w:tc>
      </w:tr>
      <w:tr>
        <w:trPr>
          <w:trHeight w:val="174"/>
        </w:trPr>
        <w:tc>
          <w:tcPr>
            <w:tcW w:w="54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of shares</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exercise price</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(in years)</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Balances — December 31,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2,956,687</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Options 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917,182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(98,928)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Options canceled</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(64,805)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(164,645)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7"/>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 September 30, 2019</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3,545,491</w:t>
            </w: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16.36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r>
      <w:tr>
        <w:trPr>
          <w:trHeight w:val="22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 September 30, 2019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1,864,496</w:t>
            </w:r>
          </w:p>
        </w:tc>
        <w:tc>
          <w:tcPr>
            <w:tcW w:w="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bl>
    <w:p>
      <w:pPr>
        <w:spacing w:after="0" w:line="148"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The table above excludes 31,875 performance stock options granted during the six-month period ended June 30, 2018 for which the performance criteria had not been established as of September 30,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stock-based compensation expense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20" w:type="dxa"/>
            <w:vAlign w:val="bottom"/>
            <w:gridSpan w:val="5"/>
          </w:tcPr>
          <w:p>
            <w:pPr>
              <w:jc w:val="right"/>
              <w:ind w:right="334"/>
              <w:spacing w:after="0"/>
              <w:rPr>
                <w:sz w:val="20"/>
                <w:szCs w:val="20"/>
                <w:color w:val="auto"/>
              </w:rPr>
            </w:pPr>
            <w:r>
              <w:rPr>
                <w:rFonts w:ascii="Arial" w:cs="Arial" w:eastAsia="Arial" w:hAnsi="Arial"/>
                <w:sz w:val="14"/>
                <w:szCs w:val="14"/>
                <w:b w:val="1"/>
                <w:bCs w:val="1"/>
                <w:color w:val="auto"/>
              </w:rPr>
              <w:t>Three-Month Periods Ended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Nine-Month Periods Ended</w:t>
            </w:r>
          </w:p>
        </w:tc>
        <w:tc>
          <w:tcPr>
            <w:tcW w:w="40" w:type="dxa"/>
            <w:vAlign w:val="bottom"/>
          </w:tcPr>
          <w:p>
            <w:pPr>
              <w:spacing w:after="0"/>
              <w:rPr>
                <w:sz w:val="16"/>
                <w:szCs w:val="16"/>
                <w:color w:val="auto"/>
              </w:rPr>
            </w:pPr>
          </w:p>
        </w:tc>
      </w:tr>
      <w:tr>
        <w:trPr>
          <w:trHeight w:val="215"/>
        </w:trPr>
        <w:tc>
          <w:tcPr>
            <w:tcW w:w="3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3"/>
        </w:trPr>
        <w:tc>
          <w:tcPr>
            <w:tcW w:w="36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1,735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40" w:type="dxa"/>
            <w:vAlign w:val="bottom"/>
          </w:tcPr>
          <w:p>
            <w:pPr>
              <w:spacing w:after="0"/>
              <w:rPr>
                <w:sz w:val="18"/>
                <w:szCs w:val="18"/>
                <w:color w:val="auto"/>
              </w:rPr>
            </w:pPr>
          </w:p>
        </w:tc>
      </w:tr>
      <w:tr>
        <w:trPr>
          <w:trHeight w:val="230"/>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40" w:type="dxa"/>
            <w:vAlign w:val="bottom"/>
          </w:tcPr>
          <w:p>
            <w:pPr>
              <w:spacing w:after="0"/>
              <w:rPr>
                <w:sz w:val="19"/>
                <w:szCs w:val="19"/>
                <w:color w:val="auto"/>
              </w:rPr>
            </w:pPr>
          </w:p>
        </w:tc>
      </w:tr>
      <w:tr>
        <w:trPr>
          <w:trHeight w:val="217"/>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2,679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40" w:type="dxa"/>
            <w:vAlign w:val="bottom"/>
          </w:tcPr>
          <w:p>
            <w:pPr>
              <w:spacing w:after="0"/>
              <w:rPr>
                <w:sz w:val="18"/>
                <w:szCs w:val="18"/>
                <w:color w:val="auto"/>
              </w:rPr>
            </w:pPr>
          </w:p>
        </w:tc>
      </w:tr>
      <w:tr>
        <w:trPr>
          <w:trHeight w:val="594"/>
        </w:trPr>
        <w:tc>
          <w:tcPr>
            <w:tcW w:w="36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36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36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80" w:firstLine="441"/>
        <w:spacing w:after="0" w:line="244" w:lineRule="auto"/>
        <w:rPr>
          <w:sz w:val="20"/>
          <w:szCs w:val="20"/>
          <w:color w:val="auto"/>
        </w:rPr>
      </w:pPr>
      <w:r>
        <w:rPr>
          <w:rFonts w:ascii="Arial" w:cs="Arial" w:eastAsia="Arial" w:hAnsi="Arial"/>
          <w:sz w:val="16"/>
          <w:szCs w:val="16"/>
          <w:color w:val="auto"/>
        </w:rPr>
        <w:t>The Company estimated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 estimate volatility. The fair value of employee stock options was estimated using the following weighted-average assumptions: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7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Three-Month Periods Ended</w:t>
            </w: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Nine-Month Periods Ended</w:t>
            </w:r>
          </w:p>
        </w:tc>
      </w:tr>
      <w:tr>
        <w:trPr>
          <w:trHeight w:val="162"/>
        </w:trPr>
        <w:tc>
          <w:tcPr>
            <w:tcW w:w="4200" w:type="dxa"/>
            <w:vAlign w:val="bottom"/>
          </w:tcPr>
          <w:p>
            <w:pPr>
              <w:spacing w:after="0"/>
              <w:rPr>
                <w:sz w:val="14"/>
                <w:szCs w:val="14"/>
                <w:color w:val="auto"/>
              </w:rPr>
            </w:pPr>
          </w:p>
        </w:tc>
        <w:tc>
          <w:tcPr>
            <w:tcW w:w="1780" w:type="dxa"/>
            <w:vAlign w:val="bottom"/>
            <w:tcBorders>
              <w:bottom w:val="single" w:sz="8" w:color="auto"/>
            </w:tcBorders>
            <w:gridSpan w:val="3"/>
          </w:tcPr>
          <w:p>
            <w:pPr>
              <w:jc w:val="center"/>
              <w:ind w:left="740"/>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42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169"/>
        </w:trPr>
        <w:tc>
          <w:tcPr>
            <w:tcW w:w="42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term in years</w:t>
            </w:r>
          </w:p>
        </w:tc>
        <w:tc>
          <w:tcPr>
            <w:tcW w:w="120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5.8 - 6.1</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center"/>
              <w:ind w:right="317"/>
              <w:spacing w:after="0" w:line="170" w:lineRule="exact"/>
              <w:rPr>
                <w:sz w:val="20"/>
                <w:szCs w:val="20"/>
                <w:color w:val="auto"/>
              </w:rPr>
            </w:pPr>
            <w:r>
              <w:rPr>
                <w:rFonts w:ascii="Arial" w:cs="Arial" w:eastAsia="Arial" w:hAnsi="Arial"/>
                <w:sz w:val="18"/>
                <w:szCs w:val="18"/>
                <w:color w:val="auto"/>
                <w:w w:val="87"/>
              </w:rPr>
              <w:t>6.1</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0.4 - 6.1</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5.3 - 6.1</w:t>
            </w: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8"/>
                <w:szCs w:val="18"/>
                <w:color w:val="auto"/>
              </w:rPr>
              <w:t>Expected volatility</w:t>
            </w: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center"/>
              <w:ind w:right="317"/>
              <w:spacing w:after="0" w:line="176" w:lineRule="exact"/>
              <w:rPr>
                <w:sz w:val="20"/>
                <w:szCs w:val="20"/>
                <w:color w:val="auto"/>
              </w:rPr>
            </w:pPr>
            <w:r>
              <w:rPr>
                <w:rFonts w:ascii="Arial" w:cs="Arial" w:eastAsia="Arial" w:hAnsi="Arial"/>
                <w:sz w:val="18"/>
                <w:szCs w:val="18"/>
                <w:color w:val="auto"/>
                <w:w w:val="94"/>
              </w:rPr>
              <w:t>70%</w:t>
            </w:r>
          </w:p>
        </w:tc>
        <w:tc>
          <w:tcPr>
            <w:tcW w:w="14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14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4"/>
              </w:rPr>
              <w:t>70%</w:t>
            </w:r>
          </w:p>
        </w:tc>
      </w:tr>
      <w:tr>
        <w:trPr>
          <w:trHeight w:val="176"/>
        </w:trPr>
        <w:tc>
          <w:tcPr>
            <w:tcW w:w="4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12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1.4 - 1.7%</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right="317"/>
              <w:spacing w:after="0" w:line="176" w:lineRule="exact"/>
              <w:rPr>
                <w:sz w:val="20"/>
                <w:szCs w:val="20"/>
                <w:color w:val="auto"/>
              </w:rPr>
            </w:pPr>
            <w:r>
              <w:rPr>
                <w:rFonts w:ascii="Arial" w:cs="Arial" w:eastAsia="Arial" w:hAnsi="Arial"/>
                <w:sz w:val="18"/>
                <w:szCs w:val="18"/>
                <w:color w:val="auto"/>
                <w:w w:val="92"/>
              </w:rPr>
              <w:t>2.9%</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1.4 - 2.6%</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2.7 - 2.9%</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Dividend yield</w:t>
            </w:r>
          </w:p>
        </w:tc>
        <w:tc>
          <w:tcPr>
            <w:tcW w:w="1780" w:type="dxa"/>
            <w:vAlign w:val="bottom"/>
            <w:gridSpan w:val="3"/>
          </w:tcPr>
          <w:p>
            <w:pPr>
              <w:jc w:val="center"/>
              <w:ind w:right="5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right="540"/>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93" w:lineRule="exact"/>
        <w:rPr>
          <w:sz w:val="20"/>
          <w:szCs w:val="20"/>
          <w:color w:val="auto"/>
        </w:rPr>
      </w:pPr>
    </w:p>
    <w:p>
      <w:pPr>
        <w:ind w:right="300" w:firstLine="441"/>
        <w:spacing w:after="0" w:line="216" w:lineRule="auto"/>
        <w:rPr>
          <w:sz w:val="20"/>
          <w:szCs w:val="20"/>
          <w:color w:val="auto"/>
        </w:rPr>
      </w:pPr>
      <w:r>
        <w:rPr>
          <w:rFonts w:ascii="Arial" w:cs="Arial" w:eastAsia="Arial" w:hAnsi="Arial"/>
          <w:sz w:val="18"/>
          <w:szCs w:val="18"/>
          <w:color w:val="auto"/>
        </w:rPr>
        <w:t>The Company estimated the fair value of ESPP on the grant date using the Black-Scholes option pricing model. The estimated fair value of ESPP is amortized on a straight-line basis over the requisite service period of the awards. The Company reviews and, when deemed appropriate, updates the assumptions used on a periodic basis. The Company utilizes its estimated volatility in the Black-Scholes option pricing model to determine the fair value of ESPP. The fair value of ESPP was estimated using the following weighted-average assumptions: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7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Three-Month Periods Ended</w:t>
            </w: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Nine-Month Periods Ended</w:t>
            </w:r>
          </w:p>
        </w:tc>
      </w:tr>
      <w:tr>
        <w:trPr>
          <w:trHeight w:val="162"/>
        </w:trPr>
        <w:tc>
          <w:tcPr>
            <w:tcW w:w="4200" w:type="dxa"/>
            <w:vAlign w:val="bottom"/>
          </w:tcPr>
          <w:p>
            <w:pPr>
              <w:spacing w:after="0"/>
              <w:rPr>
                <w:sz w:val="14"/>
                <w:szCs w:val="14"/>
                <w:color w:val="auto"/>
              </w:rPr>
            </w:pPr>
          </w:p>
        </w:tc>
        <w:tc>
          <w:tcPr>
            <w:tcW w:w="27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2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420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top w:val="single" w:sz="8" w:color="auto"/>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bottom w:val="single" w:sz="8" w:color="CCEEFF"/>
            </w:tcBorders>
          </w:tcPr>
          <w:p>
            <w:pPr>
              <w:spacing w:after="0"/>
              <w:rPr>
                <w:sz w:val="14"/>
                <w:szCs w:val="14"/>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169"/>
        </w:trPr>
        <w:tc>
          <w:tcPr>
            <w:tcW w:w="42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term in years</w:t>
            </w:r>
          </w:p>
        </w:tc>
        <w:tc>
          <w:tcPr>
            <w:tcW w:w="120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0.5 - 1.0</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0.5 - 1.0</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0.5 - 1.0</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0.5 - 1.0</w:t>
            </w: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8"/>
                <w:szCs w:val="18"/>
                <w:color w:val="auto"/>
              </w:rPr>
              <w:t>Expected volatility</w:t>
            </w: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20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4"/>
              </w:rPr>
              <w:t>70%</w:t>
            </w:r>
          </w:p>
        </w:tc>
        <w:tc>
          <w:tcPr>
            <w:tcW w:w="14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14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4"/>
              </w:rPr>
              <w:t>70%</w:t>
            </w:r>
          </w:p>
        </w:tc>
      </w:tr>
      <w:tr>
        <w:trPr>
          <w:trHeight w:val="176"/>
        </w:trPr>
        <w:tc>
          <w:tcPr>
            <w:tcW w:w="4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12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1.7 - 1.9%</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2.3 - 2.5%</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1.7 - 2.6%</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1.9 - 2.5%</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93" w:lineRule="exact"/>
        <w:rPr>
          <w:sz w:val="20"/>
          <w:szCs w:val="20"/>
          <w:color w:val="auto"/>
        </w:rPr>
      </w:pPr>
    </w:p>
    <w:p>
      <w:pPr>
        <w:ind w:right="100" w:firstLine="441"/>
        <w:spacing w:after="0" w:line="222" w:lineRule="auto"/>
        <w:rPr>
          <w:sz w:val="20"/>
          <w:szCs w:val="20"/>
          <w:color w:val="auto"/>
        </w:rPr>
      </w:pPr>
      <w:r>
        <w:rPr>
          <w:rFonts w:ascii="Arial" w:cs="Arial" w:eastAsia="Arial" w:hAnsi="Arial"/>
          <w:sz w:val="17"/>
          <w:szCs w:val="17"/>
          <w:color w:val="auto"/>
        </w:rPr>
        <w:t>The fair value of restricted stock unit (“RSUs”) awards is determined based on the number of units granted and the closing price of the Company’s common stock as of the grant date. The estimated fair value of RSUs is recognized on a straight-line basis over the requisite service period. During the three-month period ended June 30, 2017, the Company granted 160,974 RSUs, all of which vested, pursuant to which no shares were issued, during June 2018. Additional paid-in capital was reduced by $0.1 million for tax payments related to shares withheld in connection with the vesting of the RSUs. During the nine-month period ended September 30, 2019, the Company issued 40,582 shares. Additional paid-in capital was reduced by $0.4 million for tax payments related to shares withheld in connection with the issuance of the RSUs. The stock-based compensation expense related to these RSUs was approximately $0 and $2.1 million for the three- and nine-month periods ended September 30, 2018, respectively. For the three- and nine-month periods ended September 30, 2019, there was no stock-based compensation expense recognized related to these RSUs.</w:t>
      </w:r>
    </w:p>
    <w:p>
      <w:pPr>
        <w:spacing w:after="0" w:line="123" w:lineRule="exact"/>
        <w:rPr>
          <w:sz w:val="20"/>
          <w:szCs w:val="20"/>
          <w:color w:val="auto"/>
        </w:rPr>
      </w:pPr>
    </w:p>
    <w:p>
      <w:pPr>
        <w:ind w:firstLine="441"/>
        <w:spacing w:after="0" w:line="233" w:lineRule="auto"/>
        <w:rPr>
          <w:sz w:val="20"/>
          <w:szCs w:val="20"/>
          <w:color w:val="auto"/>
        </w:rPr>
      </w:pPr>
      <w:r>
        <w:rPr>
          <w:rFonts w:ascii="Arial" w:cs="Arial" w:eastAsia="Arial" w:hAnsi="Arial"/>
          <w:sz w:val="16"/>
          <w:szCs w:val="16"/>
          <w:color w:val="auto"/>
        </w:rPr>
        <w:t>During the three-month period ended September 30, 2017, the Company granted 68,800 RSUs to certain employees which vest 50% on June 1, 2019 with the remaining 50% vesting on June 1, 2021. In the event of a change in control, these RSUs vest 100%. During the nine-month period ended September 30, 2019, the Company issued 17,456 shares in connection of the vesting of these RSUs. Additional paid-in capital was reduced by $0.2 million for tax payments related to shares withheld in connection with the vesting of the RSUs. The stock-based compensation expense related to these RSUs was approximately $0.1 million and</w:t>
      </w:r>
    </w:p>
    <w:p>
      <w:pPr>
        <w:spacing w:after="0" w:line="1" w:lineRule="exact"/>
        <w:rPr>
          <w:sz w:val="20"/>
          <w:szCs w:val="20"/>
          <w:color w:val="auto"/>
        </w:rPr>
      </w:pPr>
    </w:p>
    <w:p>
      <w:pPr>
        <w:ind w:right="160"/>
        <w:spacing w:after="0" w:line="218" w:lineRule="auto"/>
        <w:rPr>
          <w:sz w:val="20"/>
          <w:szCs w:val="20"/>
          <w:color w:val="auto"/>
        </w:rPr>
      </w:pPr>
      <w:r>
        <w:rPr>
          <w:rFonts w:ascii="Arial" w:cs="Arial" w:eastAsia="Arial" w:hAnsi="Arial"/>
          <w:sz w:val="18"/>
          <w:szCs w:val="18"/>
          <w:color w:val="auto"/>
        </w:rPr>
        <w:t>$0.3 million for the three-month and nine-month periods ended September 30, 2019, respectively. The stock-based compensation expense related to these RSUs was approximately $0.1 million and $0.3 million for the three- and nine-month periods ended September 30, 2018,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Research Grants and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 Agreement</w:t>
      </w:r>
    </w:p>
    <w:p>
      <w:pPr>
        <w:spacing w:after="0" w:line="144" w:lineRule="exact"/>
        <w:rPr>
          <w:sz w:val="20"/>
          <w:szCs w:val="20"/>
          <w:color w:val="auto"/>
        </w:rPr>
      </w:pPr>
    </w:p>
    <w:p>
      <w:pPr>
        <w:ind w:right="20" w:firstLine="441"/>
        <w:spacing w:after="0" w:line="226" w:lineRule="auto"/>
        <w:rPr>
          <w:sz w:val="20"/>
          <w:szCs w:val="20"/>
          <w:color w:val="auto"/>
        </w:rPr>
      </w:pPr>
      <w:r>
        <w:rPr>
          <w:rFonts w:ascii="Arial" w:cs="Arial" w:eastAsia="Arial" w:hAnsi="Arial"/>
          <w:sz w:val="17"/>
          <w:szCs w:val="17"/>
          <w:color w:val="auto"/>
        </w:rPr>
        <w:t>The Company may annually sponsor research activities (“SRAs”) performed by the ODURF’s Frank Reidy Center. ODURF is compensated by the Company for its conduct of each study in accordance with the budget and payment terms set forth in the applicable task order. During the quarter ended September 30, 2019, the Company agreed to sponsor $0.8 million in research during the subsequent 12-month period funded through monthly payments made upon ODURF certifying, to the Company’s reasonable satisfaction, that ODURF has met its obligations pursuant to the specified task order and statement of work. The principal investigator may transfer funds with the budget as needed without the Company’s approval so long as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obligations of ODURF under the task order and statement of work remain unchanged and unimpaired. As of September 30, 2019, approximately $0.8 million remained payable under this agreement.</w:t>
      </w:r>
    </w:p>
    <w:p>
      <w:pPr>
        <w:spacing w:after="0" w:line="121" w:lineRule="exact"/>
        <w:rPr>
          <w:sz w:val="20"/>
          <w:szCs w:val="20"/>
          <w:color w:val="auto"/>
        </w:rPr>
      </w:pPr>
    </w:p>
    <w:p>
      <w:pPr>
        <w:ind w:firstLine="441"/>
        <w:spacing w:after="0" w:line="238" w:lineRule="auto"/>
        <w:rPr>
          <w:sz w:val="20"/>
          <w:szCs w:val="20"/>
          <w:color w:val="auto"/>
        </w:rPr>
      </w:pPr>
      <w:r>
        <w:rPr>
          <w:rFonts w:ascii="Arial" w:cs="Arial" w:eastAsia="Arial" w:hAnsi="Arial"/>
          <w:sz w:val="17"/>
          <w:szCs w:val="17"/>
          <w:color w:val="auto"/>
        </w:rPr>
        <w:t>During the three-month periods ended September 30, 2019 and 2018, the Company paid and incurred costs relating to the SRAs equal to $0.1 million and $0.1 million, respectively. During the nine-month periods ended September 30, 2019 and 2018, the Company paid and incurred costs related to the SRAs equal to $0.6 million and $0.6 million, respectively.</w:t>
      </w:r>
    </w:p>
    <w:p>
      <w:pPr>
        <w:spacing w:after="0" w:line="117" w:lineRule="exact"/>
        <w:rPr>
          <w:sz w:val="20"/>
          <w:szCs w:val="20"/>
          <w:color w:val="auto"/>
        </w:rPr>
      </w:pPr>
    </w:p>
    <w:p>
      <w:pPr>
        <w:ind w:left="440" w:right="6580" w:hanging="440"/>
        <w:spacing w:after="0" w:line="460" w:lineRule="auto"/>
        <w:tabs>
          <w:tab w:leader="none" w:pos="31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ind w:right="80" w:firstLine="441"/>
        <w:spacing w:after="0" w:line="226" w:lineRule="auto"/>
        <w:rPr>
          <w:sz w:val="20"/>
          <w:szCs w:val="20"/>
          <w:color w:val="auto"/>
        </w:rPr>
      </w:pPr>
      <w:r>
        <w:rPr>
          <w:rFonts w:ascii="Arial" w:cs="Arial" w:eastAsia="Arial" w:hAnsi="Arial"/>
          <w:sz w:val="17"/>
          <w:szCs w:val="17"/>
          <w:color w:val="auto"/>
        </w:rPr>
        <w:t>During January 2017, the Company entered into a Lease (the “Existing Lease”) with Hayward Point Eden I Limited Partnership, a Delaware limited liability company (the “Landlord”) for approximately 15,697 square feet for its corporate headquarters located at 3955 Point Eden Way, Hayward, California. The lease commenced during July 2017. During May 2019, the Company entered into a First Amendment to Lease (the “Lease Amendment”) with the Landlord. The Lease Amendment amends the Existing Lease with the Landlord and provides for the expansion of the Premises by approximately 34,601 square feet (the “Expansion Premises”) and an extension of the term of the Existing Lease.</w:t>
      </w:r>
    </w:p>
    <w:p>
      <w:pPr>
        <w:spacing w:after="0" w:line="125" w:lineRule="exact"/>
        <w:rPr>
          <w:sz w:val="20"/>
          <w:szCs w:val="20"/>
          <w:color w:val="auto"/>
        </w:rPr>
      </w:pPr>
    </w:p>
    <w:p>
      <w:pPr>
        <w:ind w:firstLine="441"/>
        <w:spacing w:after="0" w:line="235" w:lineRule="auto"/>
        <w:rPr>
          <w:sz w:val="20"/>
          <w:szCs w:val="20"/>
          <w:color w:val="auto"/>
        </w:rPr>
      </w:pPr>
      <w:r>
        <w:rPr>
          <w:rFonts w:ascii="Arial" w:cs="Arial" w:eastAsia="Arial" w:hAnsi="Arial"/>
          <w:sz w:val="16"/>
          <w:szCs w:val="16"/>
          <w:color w:val="auto"/>
        </w:rPr>
        <w:t>The Company will occupy the Expansion Premises in two phases. The “Phase 1” portion of the Expansion Premises contains approximately thirteen thousand two hundred and eighty (13,280) of rentable square feet and the “Phase 2” portion of the Expansion Premises contains approximately twenty-one thousand three hundred and twenty-one (21,321) of rentable square</w:t>
      </w:r>
    </w:p>
    <w:p>
      <w:pPr>
        <w:spacing w:after="0" w:line="2" w:lineRule="exact"/>
        <w:rPr>
          <w:sz w:val="20"/>
          <w:szCs w:val="20"/>
          <w:color w:val="auto"/>
        </w:rPr>
      </w:pPr>
    </w:p>
    <w:p>
      <w:pPr>
        <w:jc w:val="both"/>
        <w:ind w:right="240"/>
        <w:spacing w:after="0" w:line="218" w:lineRule="auto"/>
        <w:rPr>
          <w:sz w:val="20"/>
          <w:szCs w:val="20"/>
          <w:color w:val="auto"/>
        </w:rPr>
      </w:pPr>
      <w:r>
        <w:rPr>
          <w:rFonts w:ascii="Arial" w:cs="Arial" w:eastAsia="Arial" w:hAnsi="Arial"/>
          <w:sz w:val="18"/>
          <w:szCs w:val="18"/>
          <w:color w:val="auto"/>
        </w:rPr>
        <w:t>feet. Upon inclusion of the Expansion Premises, the Company will lease approximately fifty thousand two hundred and ninety-eight (50,298) rentable square feet from the Landlord (the “Entire Premises”). The Expansion Premises will also be used for the Company’s corporate headquarters and principal operating facility.</w:t>
      </w:r>
    </w:p>
    <w:p>
      <w:pPr>
        <w:spacing w:after="0" w:line="122" w:lineRule="exact"/>
        <w:rPr>
          <w:sz w:val="20"/>
          <w:szCs w:val="20"/>
          <w:color w:val="auto"/>
        </w:rPr>
      </w:pPr>
    </w:p>
    <w:p>
      <w:pPr>
        <w:ind w:right="120" w:firstLine="441"/>
        <w:spacing w:after="0" w:line="222" w:lineRule="auto"/>
        <w:rPr>
          <w:sz w:val="20"/>
          <w:szCs w:val="20"/>
          <w:color w:val="auto"/>
        </w:rPr>
      </w:pPr>
      <w:r>
        <w:rPr>
          <w:rFonts w:ascii="Arial" w:cs="Arial" w:eastAsia="Arial" w:hAnsi="Arial"/>
          <w:sz w:val="17"/>
          <w:szCs w:val="17"/>
          <w:color w:val="auto"/>
        </w:rPr>
        <w:t>The term of the lease for the Expansion Premises is expected to commence on the date the Landlord delivers Phase 1 of the Expansion Premises to the Company “Ready for Occupancy,” as defined in the Lease Amendment (the “Expansion Commencement Date”) and runs contemporaneously with the term of the lease for the existing space (the “Lease Term”).</w:t>
      </w:r>
    </w:p>
    <w:p>
      <w:pPr>
        <w:ind w:right="40"/>
        <w:spacing w:after="0" w:line="212" w:lineRule="auto"/>
        <w:rPr>
          <w:sz w:val="20"/>
          <w:szCs w:val="20"/>
          <w:color w:val="auto"/>
        </w:rPr>
      </w:pPr>
      <w:r>
        <w:rPr>
          <w:rFonts w:ascii="Arial" w:cs="Arial" w:eastAsia="Arial" w:hAnsi="Arial"/>
          <w:sz w:val="18"/>
          <w:szCs w:val="18"/>
          <w:color w:val="auto"/>
        </w:rPr>
        <w:t>The Lease Amendment extends the term of the lease with respect to the Entire Premises to expire on the date that is ten (10) years after the Expansion Commencement Date. In addition, under the Lease Amendment, the Company has two options to extend the Option Term, as defined in the Lease Amendment, by seven (7) years upon written notice not more than twelve (12) months nor less than nine (9) months prior to the expiration of the lease, with monthly payments equal to the “Fair Rental Value” as defined in the Existing Lease.</w:t>
      </w:r>
    </w:p>
    <w:p>
      <w:pPr>
        <w:spacing w:after="0" w:line="123" w:lineRule="exact"/>
        <w:rPr>
          <w:sz w:val="20"/>
          <w:szCs w:val="20"/>
          <w:color w:val="auto"/>
        </w:rPr>
      </w:pPr>
    </w:p>
    <w:p>
      <w:pPr>
        <w:ind w:right="100" w:firstLine="441"/>
        <w:spacing w:after="0" w:line="237" w:lineRule="auto"/>
        <w:rPr>
          <w:sz w:val="20"/>
          <w:szCs w:val="20"/>
          <w:color w:val="auto"/>
        </w:rPr>
      </w:pPr>
      <w:r>
        <w:rPr>
          <w:rFonts w:ascii="Arial" w:cs="Arial" w:eastAsia="Arial" w:hAnsi="Arial"/>
          <w:sz w:val="16"/>
          <w:szCs w:val="16"/>
          <w:color w:val="auto"/>
        </w:rPr>
        <w:t>The Company will continue to pay base monthly rent for the existing premises in accordance with the terms of the Existing Lease. The Expansion Premises’ base monthly rent shall be abated for the first four (4) months of the Lease Term and thereafter will be $2.25 per rentable square foot for the Expansion Premises, with specified annual increases occurring thereafter until reaching approximately $3.819 per rentable square foot during the last six (6) months of the Lease Term. The total base rent beginning on the Expansion Commencement Date through the minimum term of the lease is not calculable at this time since the total base rent will depend on the date the Phase 2 portion of the Expansion Premises is “Ready for Occupancy.” In addition to base rent, the Company will continue to be required to reimburse the Landlord for certain expenses during the Lease Term. Under the Lease Amendment, the Company is required to increase its refundable security deposit by $264,264.88 to equal $364,937.68.</w:t>
      </w:r>
    </w:p>
    <w:p>
      <w:pPr>
        <w:spacing w:after="0" w:line="127" w:lineRule="exact"/>
        <w:rPr>
          <w:sz w:val="20"/>
          <w:szCs w:val="20"/>
          <w:color w:val="auto"/>
        </w:rPr>
      </w:pPr>
    </w:p>
    <w:p>
      <w:pPr>
        <w:ind w:right="20" w:firstLine="441"/>
        <w:spacing w:after="0" w:line="223" w:lineRule="auto"/>
        <w:rPr>
          <w:sz w:val="20"/>
          <w:szCs w:val="20"/>
          <w:color w:val="auto"/>
        </w:rPr>
      </w:pPr>
      <w:r>
        <w:rPr>
          <w:rFonts w:ascii="Arial" w:cs="Arial" w:eastAsia="Arial" w:hAnsi="Arial"/>
          <w:sz w:val="17"/>
          <w:szCs w:val="17"/>
          <w:color w:val="auto"/>
        </w:rPr>
        <w:t>The Company adopted Topic 842 on January 1, 2019, using the transition method per ASU No. 2018-11 issued on July 2018 wherein entities were allowed to initially apply the new lease standard at the adoption date and recognize a cumulative-effect adjustment to the opening balance of retained earnings in the period of adoption. Accordingly, all periods prior to January 1, 2019 were presented in accordance with the previous ASC 840, Leases, and no retrospective adjustments were made to the comparative periods presented. The adoption of ASC 842 resulted in an increase to total assets and liabilities due to the recording of operating lease right-of-use assets (“ROU”) presented within other assets and operating lease liabilities of approximately $0.1 million as of January 1, 2019. Because the rate implicit in each lease is not readily determinable, the Company uses its incremental borrowing rate to determine the present value of the lease payments.</w:t>
      </w:r>
    </w:p>
    <w:p>
      <w:pPr>
        <w:spacing w:after="0" w:line="127"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The Company evaluated the Lease Amendment under Topic 842 and concluded that the Lease Amendment meets the definition of a lease modification as it extends the term of the Existing Lease and increases the Company’s leased premise. As the Company determined that the increase in payments under the Lease Amendment is not commensurate with the additional right-of-use assets provided in the modified lease, the modified lease is not accounted for as a separate contract. The remeasurement for the modification resulted in an increase in total lease lability of approximately $2.4 million, increase in right-of-use assets of $1.1 million, and other assets of $1.3 million.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60" w:firstLine="441"/>
        <w:spacing w:after="0" w:line="235" w:lineRule="auto"/>
        <w:rPr>
          <w:sz w:val="20"/>
          <w:szCs w:val="20"/>
          <w:color w:val="auto"/>
        </w:rPr>
      </w:pPr>
      <w:r>
        <w:rPr>
          <w:rFonts w:ascii="Arial" w:cs="Arial" w:eastAsia="Arial" w:hAnsi="Arial"/>
          <w:sz w:val="18"/>
          <w:szCs w:val="18"/>
          <w:color w:val="auto"/>
        </w:rPr>
        <w:t>Information related to the Company's right-of-use assets and related lease liabilities were as follows (in thousands except for remaining lease term and discount rate):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Cash paid for operating lease liabilities</w:t>
            </w: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recognized in exchange for new lease obligations</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30"/>
        </w:trPr>
        <w:tc>
          <w:tcPr>
            <w:tcW w:w="7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Current operating lease liabilities</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operating lease liabilities</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w:t>
            </w:r>
          </w:p>
        </w:tc>
      </w:tr>
      <w:tr>
        <w:trPr>
          <w:trHeight w:val="217"/>
        </w:trPr>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lease liabilities</w:t>
            </w: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w:t>
            </w:r>
          </w:p>
        </w:tc>
      </w:tr>
      <w:tr>
        <w:trPr>
          <w:trHeight w:val="216"/>
        </w:trPr>
        <w:tc>
          <w:tcPr>
            <w:tcW w:w="7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378"/>
        </w:trPr>
        <w:tc>
          <w:tcPr>
            <w:tcW w:w="7880" w:type="dxa"/>
            <w:vAlign w:val="bottom"/>
          </w:tcPr>
          <w:p>
            <w:pPr>
              <w:ind w:left="440"/>
              <w:spacing w:after="0"/>
              <w:rPr>
                <w:sz w:val="20"/>
                <w:szCs w:val="20"/>
                <w:color w:val="auto"/>
              </w:rPr>
            </w:pPr>
            <w:r>
              <w:rPr>
                <w:rFonts w:ascii="Arial" w:cs="Arial" w:eastAsia="Arial" w:hAnsi="Arial"/>
                <w:sz w:val="18"/>
                <w:szCs w:val="18"/>
                <w:color w:val="auto"/>
              </w:rPr>
              <w:t>Maturities of lease liabilities as of September 30, 2019 were as follows (in thousands):</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3"/>
        </w:trPr>
        <w:tc>
          <w:tcPr>
            <w:tcW w:w="788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2019 (remaining 3 months)</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16"/>
        </w:trPr>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w:t>
            </w: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w:t>
            </w:r>
          </w:p>
        </w:tc>
      </w:tr>
      <w:tr>
        <w:trPr>
          <w:trHeight w:val="216"/>
        </w:trPr>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r>
      <w:tr>
        <w:trPr>
          <w:trHeight w:val="217"/>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w:t>
            </w:r>
          </w:p>
        </w:tc>
      </w:tr>
    </w:tbl>
    <w:p>
      <w:pPr>
        <w:spacing w:after="0" w:line="148" w:lineRule="exact"/>
        <w:rPr>
          <w:sz w:val="20"/>
          <w:szCs w:val="20"/>
          <w:color w:val="auto"/>
        </w:rPr>
      </w:pPr>
    </w:p>
    <w:p>
      <w:pPr>
        <w:ind w:right="60" w:firstLine="441"/>
        <w:spacing w:after="0" w:line="259" w:lineRule="auto"/>
        <w:rPr>
          <w:sz w:val="20"/>
          <w:szCs w:val="20"/>
          <w:color w:val="auto"/>
        </w:rPr>
      </w:pPr>
      <w:r>
        <w:rPr>
          <w:rFonts w:ascii="Arial" w:cs="Arial" w:eastAsia="Arial" w:hAnsi="Arial"/>
          <w:sz w:val="16"/>
          <w:szCs w:val="16"/>
          <w:color w:val="auto"/>
        </w:rPr>
        <w:t>During the three-month periods ended September 30, 2019 and 2018, rent expense, including common area maintenance charges, was approximately $0.1 million and $57,000, respectively. During the nine-month periods ended September 30, 2019 and 2018, rent expense, including common area maintenance charges, was approximately $0.2 million and $0.2 million, respectively.</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44" w:lineRule="exact"/>
        <w:rPr>
          <w:sz w:val="20"/>
          <w:szCs w:val="20"/>
          <w:color w:val="auto"/>
        </w:rPr>
      </w:pPr>
    </w:p>
    <w:p>
      <w:pPr>
        <w:ind w:right="420" w:firstLine="441"/>
        <w:spacing w:after="0" w:line="224" w:lineRule="auto"/>
        <w:rPr>
          <w:sz w:val="20"/>
          <w:szCs w:val="20"/>
          <w:color w:val="auto"/>
        </w:rPr>
      </w:pPr>
      <w:r>
        <w:rPr>
          <w:rFonts w:ascii="Arial" w:cs="Arial" w:eastAsia="Arial" w:hAnsi="Arial"/>
          <w:sz w:val="18"/>
          <w:szCs w:val="18"/>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123" w:lineRule="exact"/>
        <w:rPr>
          <w:sz w:val="20"/>
          <w:szCs w:val="20"/>
          <w:color w:val="auto"/>
        </w:rPr>
      </w:pPr>
    </w:p>
    <w:p>
      <w:pPr>
        <w:ind w:right="40" w:firstLine="441"/>
        <w:spacing w:after="0" w:line="249" w:lineRule="auto"/>
        <w:rPr>
          <w:sz w:val="20"/>
          <w:szCs w:val="20"/>
          <w:color w:val="auto"/>
        </w:rPr>
      </w:pPr>
      <w:r>
        <w:rPr>
          <w:rFonts w:ascii="Arial" w:cs="Arial" w:eastAsia="Arial" w:hAnsi="Arial"/>
          <w:sz w:val="16"/>
          <w:szCs w:val="16"/>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the Company’s business. The Company currently believes that these ordinary course matters are not material to the financial statements of the business; however, the results of litigation and claims are inherently unpredictable.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48" w:lineRule="exact"/>
        <w:rPr>
          <w:sz w:val="20"/>
          <w:szCs w:val="20"/>
          <w:color w:val="auto"/>
        </w:rPr>
      </w:pPr>
    </w:p>
    <w:p>
      <w:pPr>
        <w:ind w:right="140" w:firstLine="441"/>
        <w:spacing w:after="0" w:line="226" w:lineRule="auto"/>
        <w:rPr>
          <w:sz w:val="20"/>
          <w:szCs w:val="20"/>
          <w:color w:val="auto"/>
        </w:rPr>
      </w:pPr>
      <w:r>
        <w:rPr>
          <w:rFonts w:ascii="Arial" w:cs="Arial" w:eastAsia="Arial" w:hAnsi="Arial"/>
          <w:sz w:val="17"/>
          <w:szCs w:val="17"/>
          <w:color w:val="auto"/>
        </w:rPr>
        <w:t>Kenneth A. Clark, a director of the Company since November 2017, is a member of the law firm of Wilson Sonsini Goodrich and Rosati (“WSGR”), which also serves as the outside corporate counsel to the Company. During the three- and nine-month periods ended September 30, 2019, the Company incurred expenses reported in general and administrative expenses in the consolidated statement of operations for legal services rendered by WSGR totaling approximately $0.1 million and $0.3 million, respectively. During the three- and nine-month periods ended September 30, 2018, the Company incurred expenses for legal services rendered by WSGR totaling approximately $0.3 million and $1.1 million, respectively.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ind w:right="460"/>
        <w:spacing w:after="0" w:line="22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spacing w:after="0" w:line="123"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procedures and procedure adoption, future results of operations, future financial position, our ability to generate revenues, the anticipated mix of our revenues between procedure and system revenues, our financing plans and future capital requirements, anticipated costs of revenue, anticipated expenses, the effect of recent accounting pronouncements, our investments, anticipated cash flows, our ability to finance operations from cash flows and similar matters, and statements based on current expectations, estimates, forecasts and projections about the economies and markets in which we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2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Pulse Biosciences, CellFX, Nano-Pulse Stimulation, and NPS and the stylized logos are trademarks or registered trademarks of the Company in the United States and other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firstLine="486"/>
        <w:spacing w:after="0" w:line="259" w:lineRule="auto"/>
        <w:rPr>
          <w:sz w:val="20"/>
          <w:szCs w:val="20"/>
          <w:color w:val="auto"/>
        </w:rPr>
      </w:pPr>
      <w:r>
        <w:rPr>
          <w:rFonts w:ascii="Arial" w:cs="Arial" w:eastAsia="Arial" w:hAnsi="Arial"/>
          <w:sz w:val="16"/>
          <w:szCs w:val="16"/>
          <w:color w:val="auto"/>
        </w:rPr>
        <w:t>We are a novel bioelectric medicine company committed to health innovation that improves and potentially extends the lives of patients. We are pursuing regulatory clearance from the U.S. Food and Drug Administration (“FDA”) for our proprietary CellFX System, the first planned commercial product to harness the distinctive advantages of our NPS technology platform.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148" w:lineRule="exact"/>
        <w:rPr>
          <w:sz w:val="20"/>
          <w:szCs w:val="20"/>
          <w:color w:val="auto"/>
        </w:rPr>
      </w:pPr>
    </w:p>
    <w:p>
      <w:pPr>
        <w:ind w:right="240" w:firstLine="441"/>
        <w:spacing w:after="0" w:line="235" w:lineRule="auto"/>
        <w:rPr>
          <w:sz w:val="20"/>
          <w:szCs w:val="20"/>
          <w:color w:val="auto"/>
        </w:rPr>
      </w:pPr>
      <w:r>
        <w:rPr>
          <w:rFonts w:ascii="Arial" w:cs="Arial" w:eastAsia="Arial" w:hAnsi="Arial"/>
          <w:sz w:val="18"/>
          <w:szCs w:val="18"/>
          <w:color w:val="auto"/>
        </w:rPr>
        <w:t>We intend to commercialize novel, proprietary, and differentiated products that have the potential to significantly improve patient outcomes in the markets we intend to serve. To achieve this plan, we intend to:</w:t>
      </w:r>
    </w:p>
    <w:p>
      <w:pPr>
        <w:spacing w:after="0" w:line="117" w:lineRule="exact"/>
        <w:rPr>
          <w:sz w:val="20"/>
          <w:szCs w:val="20"/>
          <w:color w:val="auto"/>
        </w:rPr>
      </w:pPr>
    </w:p>
    <w:p>
      <w:pPr>
        <w:ind w:left="640" w:right="60" w:hanging="315"/>
        <w:spacing w:after="0" w:line="223"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Demonstrate the unique benefits of our proprietary CellFX System and its unique mechanism of action across a number of compelling indications. </w:t>
      </w:r>
      <w:r>
        <w:rPr>
          <w:rFonts w:ascii="Arial" w:cs="Arial" w:eastAsia="Arial" w:hAnsi="Arial"/>
          <w:sz w:val="17"/>
          <w:szCs w:val="17"/>
          <w:color w:val="auto"/>
        </w:rPr>
        <w:t>The CellFX System is the only tunable nanosecond pulsed energy system designed</w:t>
      </w:r>
      <w:r>
        <w:rPr>
          <w:rFonts w:ascii="Arial" w:cs="Arial" w:eastAsia="Arial" w:hAnsi="Arial"/>
          <w:sz w:val="17"/>
          <w:szCs w:val="17"/>
          <w:b w:val="1"/>
          <w:bCs w:val="1"/>
          <w:color w:val="auto"/>
        </w:rPr>
        <w:t xml:space="preserve"> </w:t>
      </w:r>
      <w:r>
        <w:rPr>
          <w:rFonts w:ascii="Arial" w:cs="Arial" w:eastAsia="Arial" w:hAnsi="Arial"/>
          <w:sz w:val="17"/>
          <w:szCs w:val="17"/>
          <w:color w:val="auto"/>
        </w:rPr>
        <w:t>for use in human medicine of which we are aware. Our proprietary CellFX System allows for the adjustment of four key pulsing parameters: pulse duration, pulse amplitude, pulse frequency, and the number of pulses, depending on the tissue and desired treatment outcome. We have conducted and are conducting several clinical studies, including studies in Sebaceous Hyperplasia (SH), a common but difficult to treat facial lesion, Seborrheic Keratosis (SK), the most common benign raised pigmented lesion, Basal Cell Carcinoma (BCC), the most common form of skin cancer, cutaneous non-genital warts, and acne. We expect to conduct clinical studies on an ongoing basis to continue to demonstrate the value of our CellFX System across a growing list of applications;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640" w:right="100" w:hanging="315"/>
        <w:spacing w:after="0" w:line="237"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Commercialize our proprietary CellFX System and applications for its use across a broad array of clinical indications. </w:t>
      </w:r>
      <w:r>
        <w:rPr>
          <w:rFonts w:ascii="Arial" w:cs="Arial" w:eastAsia="Arial" w:hAnsi="Arial"/>
          <w:sz w:val="16"/>
          <w:szCs w:val="16"/>
          <w:color w:val="auto"/>
        </w:rPr>
        <w:t>During February 2019, we submitted a Pre-Market Notification 510(k) to the FDA seeking clearance to</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commercialize our CellFX System. Our FDA filing requests clearance of the CellFX System for commercial use in common dermatologic procedures to remove general benign lesions including SH and SK. On April 30, 2019, we received an additional information (AI) letter from the FDA that, among other things, requested additional information regarding our selected predicate device and clinical study data provided in the 510(k) submission. We continue to believe our selected predicate device and the results from our clinical studies support a 510(k) clearance. We submitted our response to the AI letter during the third quarter of 2019 and anticipate a decision from the FDA during the fourth quarter of 2019. Subject to regulatory clearance, we plan to commercially introduce our CellFX System in the United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right="120" w:firstLine="441"/>
        <w:spacing w:after="0" w:line="211"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unaudited financial statements, which have been prepared in accordance with the rules and regulations of the Securities and Exchange Commission (“SEC”).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4" w:lineRule="exact"/>
        <w:rPr>
          <w:sz w:val="20"/>
          <w:szCs w:val="20"/>
          <w:color w:val="auto"/>
        </w:rPr>
      </w:pPr>
    </w:p>
    <w:p>
      <w:pPr>
        <w:ind w:right="80" w:firstLine="441"/>
        <w:spacing w:after="0" w:line="238" w:lineRule="auto"/>
        <w:rPr>
          <w:sz w:val="20"/>
          <w:szCs w:val="20"/>
          <w:color w:val="auto"/>
        </w:rPr>
      </w:pPr>
      <w:r>
        <w:rPr>
          <w:rFonts w:ascii="Arial" w:cs="Arial" w:eastAsia="Arial" w:hAnsi="Arial"/>
          <w:sz w:val="17"/>
          <w:szCs w:val="17"/>
          <w:color w:val="auto"/>
        </w:rPr>
        <w:t>There have been no material changes to the critical accounting policies and estimates discussed in our Annual Report on Form 10-K as of and for the year ended December 31, 2018, except for the adoption of the lease accounting standard as of January 1, 2019 as disclosed in Note 2 to the accompanying unaudited condensed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ind w:right="200" w:firstLine="441"/>
        <w:spacing w:after="0" w:line="235" w:lineRule="auto"/>
        <w:rPr>
          <w:sz w:val="20"/>
          <w:szCs w:val="20"/>
          <w:color w:val="auto"/>
        </w:rPr>
      </w:pPr>
      <w:r>
        <w:rPr>
          <w:rFonts w:ascii="Arial" w:cs="Arial" w:eastAsia="Arial" w:hAnsi="Arial"/>
          <w:sz w:val="18"/>
          <w:szCs w:val="18"/>
          <w:color w:val="auto"/>
        </w:rPr>
        <w:t>Refer to “Recent Accounting Pronouncements” in Note 2 of Notes to Condensed Consolidated Financial Statements of this Quarterly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Geographical Information</w:t>
      </w:r>
    </w:p>
    <w:p>
      <w:pPr>
        <w:spacing w:after="0" w:line="148" w:lineRule="exact"/>
        <w:rPr>
          <w:sz w:val="20"/>
          <w:szCs w:val="20"/>
          <w:color w:val="auto"/>
        </w:rPr>
      </w:pPr>
    </w:p>
    <w:p>
      <w:pPr>
        <w:jc w:val="both"/>
        <w:ind w:right="80" w:firstLine="441"/>
        <w:spacing w:after="0" w:line="224" w:lineRule="auto"/>
        <w:rPr>
          <w:sz w:val="20"/>
          <w:szCs w:val="20"/>
          <w:color w:val="auto"/>
        </w:rPr>
      </w:pPr>
      <w:r>
        <w:rPr>
          <w:rFonts w:ascii="Arial" w:cs="Arial" w:eastAsia="Arial" w:hAnsi="Arial"/>
          <w:sz w:val="18"/>
          <w:szCs w:val="18"/>
          <w:color w:val="auto"/>
        </w:rPr>
        <w:t>We operate and manage our business as one reportable and operating segment. Our Chief Executive Officer, who is the chief operating decision maker, reviews financial information on an aggregate basis for purposes of allocating resources and evaluating financial performance. All of our long-lived assets are based in the United States.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three-month periods ended September 30, 2019 and 2018</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operations as discussed herein are presented below:</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Three-Month Periods Ended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8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7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 Change</w:t>
            </w:r>
          </w:p>
        </w:tc>
      </w:tr>
      <w:tr>
        <w:trPr>
          <w:trHeight w:val="163"/>
        </w:trPr>
        <w:tc>
          <w:tcPr>
            <w:tcW w:w="362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19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5"/>
              <w:spacing w:after="0" w:line="163"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50"/>
              <w:spacing w:after="0" w:line="16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5"/>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r>
      <w:tr>
        <w:trPr>
          <w:trHeight w:val="169"/>
        </w:trPr>
        <w:tc>
          <w:tcPr>
            <w:tcW w:w="3620" w:type="dxa"/>
            <w:vAlign w:val="bottom"/>
            <w:gridSpan w:val="2"/>
          </w:tcPr>
          <w:p>
            <w:pPr>
              <w:spacing w:after="0" w:line="170" w:lineRule="exact"/>
              <w:rPr>
                <w:sz w:val="20"/>
                <w:szCs w:val="20"/>
                <w:color w:val="auto"/>
              </w:rPr>
            </w:pPr>
            <w:r>
              <w:rPr>
                <w:rFonts w:ascii="Arial" w:cs="Arial" w:eastAsia="Arial" w:hAnsi="Arial"/>
                <w:sz w:val="18"/>
                <w:szCs w:val="18"/>
                <w:color w:val="auto"/>
              </w:rPr>
              <w:t>Operating expenses:</w:t>
            </w: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r>
      <w:tr>
        <w:trPr>
          <w:trHeight w:val="216"/>
        </w:trPr>
        <w:tc>
          <w:tcPr>
            <w:tcW w:w="362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6,192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1,154</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36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1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40" w:type="dxa"/>
            <w:vAlign w:val="bottom"/>
          </w:tcPr>
          <w:p>
            <w:pPr>
              <w:spacing w:after="0"/>
              <w:rPr>
                <w:sz w:val="18"/>
                <w:szCs w:val="18"/>
                <w:color w:val="auto"/>
              </w:rPr>
            </w:pPr>
          </w:p>
        </w:tc>
      </w:tr>
      <w:tr>
        <w:trPr>
          <w:trHeight w:val="169"/>
        </w:trPr>
        <w:tc>
          <w:tcPr>
            <w:tcW w:w="36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1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3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1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217"/>
        </w:trPr>
        <w:tc>
          <w:tcPr>
            <w:tcW w:w="3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1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(11,746)</w:t>
            </w:r>
          </w:p>
        </w:tc>
        <w:tc>
          <w:tcPr>
            <w:tcW w:w="6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(10,761)</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985</w:t>
            </w:r>
          </w:p>
        </w:tc>
        <w:tc>
          <w:tcPr>
            <w:tcW w:w="40" w:type="dxa"/>
            <w:vAlign w:val="bottom"/>
          </w:tcPr>
          <w:p>
            <w:pPr>
              <w:spacing w:after="0"/>
              <w:rPr>
                <w:sz w:val="18"/>
                <w:szCs w:val="18"/>
                <w:color w:val="auto"/>
              </w:rPr>
            </w:pPr>
          </w:p>
        </w:tc>
      </w:tr>
      <w:tr>
        <w:trPr>
          <w:trHeight w:val="594"/>
        </w:trPr>
        <w:tc>
          <w:tcPr>
            <w:tcW w:w="8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880" w:type="dxa"/>
            <w:vAlign w:val="bottom"/>
            <w:tcBorders>
              <w:bottom w:val="single" w:sz="8" w:color="9A9A9A"/>
            </w:tcBorders>
          </w:tcPr>
          <w:p>
            <w:pPr>
              <w:spacing w:after="0"/>
              <w:rPr>
                <w:sz w:val="7"/>
                <w:szCs w:val="7"/>
                <w:color w:val="auto"/>
              </w:rPr>
            </w:pPr>
          </w:p>
        </w:tc>
        <w:tc>
          <w:tcPr>
            <w:tcW w:w="274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880" w:type="dxa"/>
            <w:vAlign w:val="bottom"/>
            <w:tcBorders>
              <w:bottom w:val="single" w:sz="8" w:color="EEEEEE"/>
            </w:tcBorders>
          </w:tcPr>
          <w:p>
            <w:pPr>
              <w:spacing w:after="0" w:line="20" w:lineRule="exact"/>
              <w:rPr>
                <w:sz w:val="1"/>
                <w:szCs w:val="1"/>
                <w:color w:val="auto"/>
              </w:rPr>
            </w:pPr>
          </w:p>
        </w:tc>
        <w:tc>
          <w:tcPr>
            <w:tcW w:w="2740" w:type="dxa"/>
            <w:vAlign w:val="bottom"/>
            <w:tcBorders>
              <w:bottom w:val="single" w:sz="8" w:color="EEEEEE"/>
            </w:tcBorders>
          </w:tcPr>
          <w:p>
            <w:pPr>
              <w:spacing w:after="0" w:line="20" w:lineRule="exact"/>
              <w:rPr>
                <w:sz w:val="1"/>
                <w:szCs w:val="1"/>
                <w:color w:val="auto"/>
              </w:rPr>
            </w:pPr>
          </w:p>
        </w:tc>
        <w:tc>
          <w:tcPr>
            <w:tcW w:w="19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48" w:lineRule="exact"/>
        <w:rPr>
          <w:sz w:val="20"/>
          <w:szCs w:val="20"/>
          <w:color w:val="auto"/>
        </w:rPr>
      </w:pPr>
    </w:p>
    <w:p>
      <w:pPr>
        <w:ind w:right="40" w:firstLine="441"/>
        <w:spacing w:after="0" w:line="211" w:lineRule="auto"/>
        <w:rPr>
          <w:sz w:val="20"/>
          <w:szCs w:val="20"/>
          <w:color w:val="auto"/>
        </w:rPr>
      </w:pPr>
      <w:r>
        <w:rPr>
          <w:rFonts w:ascii="Arial" w:cs="Arial" w:eastAsia="Arial" w:hAnsi="Arial"/>
          <w:sz w:val="18"/>
          <w:szCs w:val="18"/>
          <w:color w:val="auto"/>
        </w:rPr>
        <w:t>General and administrative expenses consist of salaries and related expenses for executives, finance, legal, human resources, information technology and administrative personnel, professional fees, patent fees and costs, insurance costs and other general corporate expenses. General and administrative expenses decreased by $0.1 million to $5.6 million for the three-month period ended September 30, 2019, from $5.7 million during the same period in 2018 primarily due to $0.7 million of decreased stock-based compensation and $0.1 million of decreased professional fees, partially offset by $0.5 million of increased employee compensation costs and $0.2 million of increased insurance. Compensation related expenses increased due to an increase in headcount. General and administrative expenses are expected to continue at approximately the current rate for the remainder of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40" w:firstLine="441"/>
        <w:spacing w:after="0" w:line="236" w:lineRule="auto"/>
        <w:rPr>
          <w:sz w:val="20"/>
          <w:szCs w:val="20"/>
          <w:color w:val="auto"/>
        </w:rPr>
      </w:pPr>
      <w:r>
        <w:rPr>
          <w:rFonts w:ascii="Arial" w:cs="Arial" w:eastAsia="Arial" w:hAnsi="Arial"/>
          <w:sz w:val="16"/>
          <w:szCs w:val="16"/>
          <w:color w:val="auto"/>
        </w:rPr>
        <w:t>Research and development expenses consist of salaries and related expenses for research and development personnel, clinical trials and consulting costs related to the design, development and enhancement of our potential future products, prototype material and devices. Research and development expenses increased by $1.2 million to $6.2 million for the three-month period ended September 30, 2019, from $5.0 million during the same period in 2018 primarily due to $0.6 million of increased employee compensation costs, $0.5 million of expenses incurred in connection with information technology systems development and infrastructure, and $0.1 million of manufacturing supplies. Headcount increases during 2019 contributed to increased employee compensation costs. Information technology expenses increased during 2019 as a result of the development of the CellFX System network and cloud marketplace as well as the Company’s expanded infrastructure. Manufacturing expenses increased as a result of the purchase of components for the next generation of our system. Research and development expenses are expected to continue at approximately the current rate for the remainder of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48" w:lineRule="exact"/>
        <w:rPr>
          <w:sz w:val="20"/>
          <w:szCs w:val="20"/>
          <w:color w:val="auto"/>
        </w:rPr>
      </w:pPr>
    </w:p>
    <w:p>
      <w:pPr>
        <w:ind w:right="200" w:firstLine="441"/>
        <w:spacing w:after="0" w:line="258" w:lineRule="auto"/>
        <w:rPr>
          <w:sz w:val="20"/>
          <w:szCs w:val="20"/>
          <w:color w:val="auto"/>
        </w:rPr>
      </w:pPr>
      <w:r>
        <w:rPr>
          <w:rFonts w:ascii="Arial" w:cs="Arial" w:eastAsia="Arial" w:hAnsi="Arial"/>
          <w:sz w:val="17"/>
          <w:szCs w:val="17"/>
          <w:color w:val="auto"/>
        </w:rPr>
        <w:t>Interest income increased by $0.1 to $0.2 million for the three-month period ended September 30, 2019, from $0.1 million during the same period in 2018 primarily due to the higher interest rates earned on cash and investment balances.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nine-month periods ended September 30, 2019 and 2018</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operations as discussed herein are presented below:</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6"/>
          </w:tcPr>
          <w:p>
            <w:pPr>
              <w:ind w:left="180"/>
              <w:spacing w:after="0"/>
              <w:rPr>
                <w:sz w:val="20"/>
                <w:szCs w:val="20"/>
                <w:color w:val="auto"/>
              </w:rPr>
            </w:pPr>
            <w:r>
              <w:rPr>
                <w:rFonts w:ascii="Arial" w:cs="Arial" w:eastAsia="Arial" w:hAnsi="Arial"/>
                <w:sz w:val="14"/>
                <w:szCs w:val="14"/>
                <w:b w:val="1"/>
                <w:bCs w:val="1"/>
                <w:color w:val="auto"/>
              </w:rPr>
              <w:t>Nine-Month Periods Ended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1"/>
        </w:trPr>
        <w:tc>
          <w:tcPr>
            <w:tcW w:w="8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6"/>
              </w:rPr>
              <w:t>September 30,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 Change</w:t>
            </w:r>
          </w:p>
        </w:tc>
      </w:tr>
      <w:tr>
        <w:trPr>
          <w:trHeight w:val="163"/>
        </w:trPr>
        <w:tc>
          <w:tcPr>
            <w:tcW w:w="552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auto"/>
            </w:tcBorders>
            <w:shd w:val="clear" w:color="auto" w:fill="CCEEFF"/>
          </w:tcPr>
          <w:p>
            <w:pPr>
              <w:jc w:val="right"/>
              <w:ind w:right="105"/>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50"/>
              <w:spacing w:after="0" w:line="16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5"/>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r>
      <w:tr>
        <w:trPr>
          <w:trHeight w:val="169"/>
        </w:trPr>
        <w:tc>
          <w:tcPr>
            <w:tcW w:w="5520" w:type="dxa"/>
            <w:vAlign w:val="bottom"/>
            <w:gridSpan w:val="2"/>
          </w:tcPr>
          <w:p>
            <w:pPr>
              <w:spacing w:after="0" w:line="170"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16"/>
        </w:trPr>
        <w:tc>
          <w:tcPr>
            <w:tcW w:w="552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6,197</w:t>
            </w:r>
          </w:p>
        </w:tc>
      </w:tr>
      <w:tr>
        <w:trPr>
          <w:trHeight w:val="216"/>
        </w:trPr>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5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w:t>
            </w:r>
          </w:p>
        </w:tc>
      </w:tr>
      <w:tr>
        <w:trPr>
          <w:trHeight w:val="169"/>
        </w:trPr>
        <w:tc>
          <w:tcPr>
            <w:tcW w:w="55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16"/>
        </w:trPr>
        <w:tc>
          <w:tcPr>
            <w:tcW w:w="5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17"/>
        </w:trPr>
        <w:tc>
          <w:tcPr>
            <w:tcW w:w="55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(28,592)</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48" w:lineRule="exact"/>
        <w:rPr>
          <w:sz w:val="20"/>
          <w:szCs w:val="20"/>
          <w:color w:val="auto"/>
        </w:rPr>
      </w:pPr>
    </w:p>
    <w:p>
      <w:pPr>
        <w:ind w:right="20" w:firstLine="441"/>
        <w:spacing w:after="0" w:line="237" w:lineRule="auto"/>
        <w:rPr>
          <w:sz w:val="20"/>
          <w:szCs w:val="20"/>
          <w:color w:val="auto"/>
        </w:rPr>
      </w:pPr>
      <w:r>
        <w:rPr>
          <w:rFonts w:ascii="Arial" w:cs="Arial" w:eastAsia="Arial" w:hAnsi="Arial"/>
          <w:sz w:val="16"/>
          <w:szCs w:val="16"/>
          <w:color w:val="auto"/>
        </w:rPr>
        <w:t>General and administrative expenses decreased by $1.1 million to $15.2 million for the nine-month period ended September 30, 2019, from $16.2 million during the same period in 2018 primarily due to $2.7 million of decreased stock-based compensation expenses, $0.3 million of decreased professional and consulting fees and $0.1 million of decreased administrative expenses, partially offset by $1.3 million of increased employee compensation costs, $0.5 million of increased insurance costs, and $0.3 million of increased travel expenses. Compensation costs increased primarily due to increased headcount. Stock-based compensation decreased due to the value ascribed to options and restricted stock units granted during the first nine months of 2019 and 2018. Professional services and consulting costs decreased due to legal costs related to intellectual property matters and the cost of reincorporation from the State of Nevada to the State of Delaware in 2018.</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firstLine="441"/>
        <w:spacing w:after="0" w:line="222" w:lineRule="auto"/>
        <w:rPr>
          <w:sz w:val="20"/>
          <w:szCs w:val="20"/>
          <w:color w:val="auto"/>
        </w:rPr>
      </w:pPr>
      <w:r>
        <w:rPr>
          <w:rFonts w:ascii="Arial" w:cs="Arial" w:eastAsia="Arial" w:hAnsi="Arial"/>
          <w:sz w:val="17"/>
          <w:szCs w:val="17"/>
          <w:color w:val="auto"/>
        </w:rPr>
        <w:t>Research and development expenses increased by $6.2 million to $18.4 million for the nine-month period ended September 30, 2019, from $12.2 million during the same period in 2018, primarily due to $2.3 million of increased compensation costs, $1.2 million of increased clinical trials expenses, $1.2 million of increased information technology related costs, $0.7 million of increased engineering prototype and equipment costs, $0.4 million of increased stock-based compensation, $0.3 million of increased travel expenses, and $0.1 million of increased consulting fees. Compensation costs and stock-based compensation expenses increased primarily due to increased headcount. Clinical trial costs increased due to our clinical studies related to our NPS for the treatment of non-genital warts, sebaceous hyperplasia and seborrheic keratosis in addition to increased materials purchased during the nine-month period ended September 30, 2019, for the assembly of clinical systems to be used in clinical trials. Information technology expenses increased due to development costs related to the CellFX System network and cloud marketplace development as well as the Company’s expanded infrastructure.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increased by $0.5 million to $0.8 million for the nine-month period ended September 30, 2019, from</w:t>
      </w:r>
    </w:p>
    <w:p>
      <w:pPr>
        <w:spacing w:after="0" w:line="215" w:lineRule="auto"/>
        <w:rPr>
          <w:sz w:val="20"/>
          <w:szCs w:val="20"/>
          <w:color w:val="auto"/>
        </w:rPr>
      </w:pPr>
      <w:r>
        <w:rPr>
          <w:rFonts w:ascii="Arial" w:cs="Arial" w:eastAsia="Arial" w:hAnsi="Arial"/>
          <w:sz w:val="17"/>
          <w:szCs w:val="17"/>
          <w:color w:val="auto"/>
        </w:rPr>
        <w:t>$0.3 million during the same period in 2018 primarily due to the higher investment principal balances and higher interest rates</w:t>
      </w:r>
    </w:p>
    <w:p>
      <w:pPr>
        <w:spacing w:after="0"/>
        <w:rPr>
          <w:sz w:val="20"/>
          <w:szCs w:val="20"/>
          <w:color w:val="auto"/>
        </w:rPr>
      </w:pPr>
      <w:r>
        <w:rPr>
          <w:rFonts w:ascii="Arial" w:cs="Arial" w:eastAsia="Arial" w:hAnsi="Arial"/>
          <w:sz w:val="18"/>
          <w:szCs w:val="18"/>
          <w:color w:val="auto"/>
        </w:rPr>
        <w:t>earned on cash equivalent and investment balances.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firstLine="441"/>
        <w:spacing w:after="0" w:line="244" w:lineRule="auto"/>
        <w:rPr>
          <w:sz w:val="20"/>
          <w:szCs w:val="20"/>
          <w:color w:val="auto"/>
        </w:rPr>
      </w:pPr>
      <w:r>
        <w:rPr>
          <w:rFonts w:ascii="Arial" w:cs="Arial" w:eastAsia="Arial" w:hAnsi="Arial"/>
          <w:sz w:val="16"/>
          <w:szCs w:val="16"/>
          <w:color w:val="auto"/>
        </w:rPr>
        <w:t>To date, we have not generated any revenues from product sales and do not expect to generate revenues from product sales in 2019. Since inception, we have funded our business primarily through the issuance of equity securities and grants from governmental agencies. Over the next few years, we intend to invest in research and development to develop commercially viable products and to assess the feasibility of potential future products. Additionally, we expect that our general and administrative expenses will increase as we incur substantial incremental costs associated with operating as a public company.</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cash flows as discussed herein are presented below:</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tcPr>
          <w:p>
            <w:pPr>
              <w:ind w:left="200"/>
              <w:spacing w:after="0"/>
              <w:rPr>
                <w:sz w:val="20"/>
                <w:szCs w:val="20"/>
                <w:color w:val="auto"/>
              </w:rPr>
            </w:pPr>
            <w:r>
              <w:rPr>
                <w:rFonts w:ascii="Arial" w:cs="Arial" w:eastAsia="Arial" w:hAnsi="Arial"/>
                <w:sz w:val="14"/>
                <w:szCs w:val="14"/>
                <w:b w:val="1"/>
                <w:bCs w:val="1"/>
                <w:color w:val="auto"/>
              </w:rPr>
              <w:t>Nine-Month Periods Ended</w:t>
            </w:r>
          </w:p>
        </w:tc>
      </w:tr>
      <w:tr>
        <w:trPr>
          <w:trHeight w:val="171"/>
        </w:trPr>
        <w:tc>
          <w:tcPr>
            <w:tcW w:w="8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3"/>
              </w:rPr>
              <w:t>September 30,</w:t>
            </w:r>
          </w:p>
        </w:tc>
        <w:tc>
          <w:tcPr>
            <w:tcW w:w="820" w:type="dxa"/>
            <w:vAlign w:val="bottom"/>
            <w:tcBorders>
              <w:bottom w:val="single" w:sz="8" w:color="auto"/>
            </w:tcBorders>
          </w:tcPr>
          <w:p>
            <w:pPr>
              <w:spacing w:after="0"/>
              <w:rPr>
                <w:sz w:val="14"/>
                <w:szCs w:val="14"/>
                <w:color w:val="auto"/>
              </w:rPr>
            </w:pPr>
          </w:p>
        </w:tc>
      </w:tr>
      <w:tr>
        <w:trPr>
          <w:trHeight w:val="163"/>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59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(17,588)</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(16,626)</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19,898</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(41,533)</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2,945</w:t>
            </w:r>
          </w:p>
        </w:tc>
      </w:tr>
    </w:tbl>
    <w:p>
      <w:pPr>
        <w:spacing w:after="0" w:line="121" w:lineRule="exact"/>
        <w:rPr>
          <w:sz w:val="20"/>
          <w:szCs w:val="20"/>
          <w:color w:val="auto"/>
        </w:rPr>
      </w:pPr>
    </w:p>
    <w:p>
      <w:pPr>
        <w:ind w:right="60" w:firstLine="441"/>
        <w:spacing w:after="0" w:line="224" w:lineRule="auto"/>
        <w:rPr>
          <w:sz w:val="20"/>
          <w:szCs w:val="20"/>
          <w:color w:val="auto"/>
        </w:rPr>
      </w:pPr>
      <w:r>
        <w:rPr>
          <w:rFonts w:ascii="Arial" w:cs="Arial" w:eastAsia="Arial" w:hAnsi="Arial"/>
          <w:sz w:val="18"/>
          <w:szCs w:val="18"/>
          <w:color w:val="auto"/>
        </w:rPr>
        <w:t>As of September 30, 2019, we had cash, cash equivalents and investments of $34.5 million. During the nine months ended September 30, 2019, we incurred a net loss of $33.2 million and used $25.0 million in cash for operating activities. In addition, we had an accumulated deficit of $108.9 million as of September 30, 2019.</w:t>
      </w:r>
    </w:p>
    <w:p>
      <w:pPr>
        <w:spacing w:after="0" w:line="123" w:lineRule="exact"/>
        <w:rPr>
          <w:sz w:val="20"/>
          <w:szCs w:val="20"/>
          <w:color w:val="auto"/>
        </w:rPr>
      </w:pPr>
    </w:p>
    <w:p>
      <w:pPr>
        <w:ind w:right="40" w:firstLine="441"/>
        <w:spacing w:after="0" w:line="222" w:lineRule="auto"/>
        <w:rPr>
          <w:sz w:val="20"/>
          <w:szCs w:val="20"/>
          <w:color w:val="auto"/>
        </w:rPr>
      </w:pPr>
      <w:r>
        <w:rPr>
          <w:rFonts w:ascii="Arial" w:cs="Arial" w:eastAsia="Arial" w:hAnsi="Arial"/>
          <w:sz w:val="17"/>
          <w:szCs w:val="17"/>
          <w:color w:val="auto"/>
        </w:rPr>
        <w:t>We believe that our existing cash, cash equivalents and investments will be sufficient to fund our projected operating requirements for at least the next twelve months from the filing date of this Quarterly Report. However, we plan to raise additional capital in the future. 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or corporate collaboration and licensing arrangements. Such additional funds may not be available on terms acceptable to us or at all. If we raise funds by issuing equity or equity-linked securities, the ownership of our stockholders will be diluted and the holders of new equity securities may have priority rights over our existing stockholders. If adequate funds are not available, we may be required to curtail operations significantly or to obtain funds by entering into agreements on unattractive terms. Our inability to raise capital could have a material adverse effect on our business,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uses of cash in operating activities are for ongoing product development.</w:t>
      </w:r>
    </w:p>
    <w:p>
      <w:pPr>
        <w:spacing w:after="0" w:line="144" w:lineRule="exact"/>
        <w:rPr>
          <w:sz w:val="20"/>
          <w:szCs w:val="20"/>
          <w:color w:val="auto"/>
        </w:rPr>
      </w:pPr>
    </w:p>
    <w:p>
      <w:pPr>
        <w:ind w:right="680" w:firstLine="441"/>
        <w:spacing w:after="0" w:line="289" w:lineRule="auto"/>
        <w:rPr>
          <w:sz w:val="20"/>
          <w:szCs w:val="20"/>
          <w:color w:val="auto"/>
        </w:rPr>
      </w:pPr>
      <w:r>
        <w:rPr>
          <w:rFonts w:ascii="Arial" w:cs="Arial" w:eastAsia="Arial" w:hAnsi="Arial"/>
          <w:sz w:val="16"/>
          <w:szCs w:val="16"/>
          <w:color w:val="auto"/>
        </w:rPr>
        <w:t>During the nine-month period ended September 30, 2019, we used cash of $25.0 million in operating activities. The difference between cash used in operating activities and net loss consisted primarily of stock-based compensation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depreciation and amortization, and an increase in accounts payable, partially offset by increased prepaid expenses and other current assets and decreases in accrued expenses and deferred rent.</w:t>
      </w:r>
    </w:p>
    <w:p>
      <w:pPr>
        <w:spacing w:after="0" w:line="121" w:lineRule="exact"/>
        <w:rPr>
          <w:sz w:val="20"/>
          <w:szCs w:val="20"/>
          <w:color w:val="auto"/>
        </w:rPr>
      </w:pPr>
    </w:p>
    <w:p>
      <w:pPr>
        <w:ind w:right="40" w:firstLine="441"/>
        <w:spacing w:after="0" w:line="219" w:lineRule="auto"/>
        <w:rPr>
          <w:sz w:val="20"/>
          <w:szCs w:val="20"/>
          <w:color w:val="auto"/>
        </w:rPr>
      </w:pPr>
      <w:r>
        <w:rPr>
          <w:rFonts w:ascii="Arial" w:cs="Arial" w:eastAsia="Arial" w:hAnsi="Arial"/>
          <w:sz w:val="18"/>
          <w:szCs w:val="18"/>
          <w:color w:val="auto"/>
        </w:rPr>
        <w:t>During the nine-month period ended September 30, 2018, we used cash of $17.6 million in operating activities. The difference between cash used in operating activities and net loss consisted primarily of stock-based compensation and depreciation and amortization, and an increase in accounts payable, partially offset by an increase in prepaid expenses and other current assets and decreases in accrued expenses and deferred rent.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investing activities consist primarily of investment purchases, sales and maturities and capital expenditures.</w:t>
      </w:r>
    </w:p>
    <w:p>
      <w:pPr>
        <w:spacing w:after="0" w:line="144" w:lineRule="exact"/>
        <w:rPr>
          <w:sz w:val="20"/>
          <w:szCs w:val="20"/>
          <w:color w:val="auto"/>
        </w:rPr>
      </w:pPr>
    </w:p>
    <w:p>
      <w:pPr>
        <w:ind w:right="80" w:firstLine="441"/>
        <w:spacing w:after="0" w:line="224" w:lineRule="auto"/>
        <w:rPr>
          <w:sz w:val="20"/>
          <w:szCs w:val="20"/>
          <w:color w:val="auto"/>
        </w:rPr>
      </w:pPr>
      <w:r>
        <w:rPr>
          <w:rFonts w:ascii="Arial" w:cs="Arial" w:eastAsia="Arial" w:hAnsi="Arial"/>
          <w:sz w:val="18"/>
          <w:szCs w:val="18"/>
          <w:color w:val="auto"/>
        </w:rPr>
        <w:t>During the nine-month period ended September 30, 2019, $16.6 million of cash used in investing activities was from the purchase of available-for-sale securities of $73.0 million and $0.6 million of cash used in the purchase of property and equipment, partially offset by $57.0 million of cash proceeds from the maturities of investments.</w:t>
      </w:r>
    </w:p>
    <w:p>
      <w:pPr>
        <w:spacing w:after="0" w:line="123" w:lineRule="exact"/>
        <w:rPr>
          <w:sz w:val="20"/>
          <w:szCs w:val="20"/>
          <w:color w:val="auto"/>
        </w:rPr>
      </w:pPr>
    </w:p>
    <w:p>
      <w:pPr>
        <w:ind w:right="140" w:firstLine="441"/>
        <w:spacing w:after="0" w:line="219" w:lineRule="auto"/>
        <w:rPr>
          <w:sz w:val="20"/>
          <w:szCs w:val="20"/>
          <w:color w:val="auto"/>
        </w:rPr>
      </w:pPr>
      <w:r>
        <w:rPr>
          <w:rFonts w:ascii="Arial" w:cs="Arial" w:eastAsia="Arial" w:hAnsi="Arial"/>
          <w:sz w:val="18"/>
          <w:szCs w:val="18"/>
          <w:color w:val="auto"/>
        </w:rPr>
        <w:t>During the nine-month period ended September 30, 2018, $19.9 million of cash provided by investing activities was from the sale of investments of $24.9 million and $35.1 million of cash proceeds from the maturities of investments, partially offset by $39.8 million of cash used for the purchase of available-for-sale securities and $0.2 million cash used in purchase of property and equipment.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ind w:right="20" w:firstLine="441"/>
        <w:spacing w:after="0" w:line="259" w:lineRule="auto"/>
        <w:rPr>
          <w:sz w:val="20"/>
          <w:szCs w:val="20"/>
          <w:color w:val="auto"/>
        </w:rPr>
      </w:pPr>
      <w:r>
        <w:rPr>
          <w:rFonts w:ascii="Arial" w:cs="Arial" w:eastAsia="Arial" w:hAnsi="Arial"/>
          <w:sz w:val="16"/>
          <w:szCs w:val="16"/>
          <w:color w:val="auto"/>
        </w:rPr>
        <w:t>During the nine-month period ended September 30, 2019, cash provided from financing activities was $0.1 million primarily due to $0.7 million of cash received from stock option exercises and the sale of stock under our employee stock purchase plan, partially offset by $0.6 million of taxes payables from the release and net settlement of previously issued RSUs.</w:t>
      </w:r>
    </w:p>
    <w:p>
      <w:pPr>
        <w:spacing w:after="0" w:line="107" w:lineRule="exact"/>
        <w:rPr>
          <w:sz w:val="20"/>
          <w:szCs w:val="20"/>
          <w:color w:val="auto"/>
        </w:rPr>
      </w:pPr>
    </w:p>
    <w:p>
      <w:pPr>
        <w:ind w:right="20" w:firstLine="441"/>
        <w:spacing w:after="0" w:line="258" w:lineRule="auto"/>
        <w:rPr>
          <w:sz w:val="20"/>
          <w:szCs w:val="20"/>
          <w:color w:val="auto"/>
        </w:rPr>
      </w:pPr>
      <w:r>
        <w:rPr>
          <w:rFonts w:ascii="Arial" w:cs="Arial" w:eastAsia="Arial" w:hAnsi="Arial"/>
          <w:sz w:val="17"/>
          <w:szCs w:val="17"/>
          <w:color w:val="auto"/>
        </w:rPr>
        <w:t>During the nine-month period ended September 30, 2018, cash provided from financing activities was $0.6 million primarily due to cash received from stock option exercises and the sale of stock under our employee stock purchase plan.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ind w:right="660" w:firstLine="441"/>
        <w:spacing w:after="0" w:line="235" w:lineRule="auto"/>
        <w:rPr>
          <w:sz w:val="20"/>
          <w:szCs w:val="20"/>
          <w:color w:val="auto"/>
        </w:rPr>
      </w:pPr>
      <w:r>
        <w:rPr>
          <w:rFonts w:ascii="Arial" w:cs="Arial" w:eastAsia="Arial" w:hAnsi="Arial"/>
          <w:sz w:val="18"/>
          <w:szCs w:val="18"/>
          <w:color w:val="auto"/>
        </w:rPr>
        <w:t>There have been no material changes outside the ordinary course of our business to the contractual obligations since disclosed in our Annual Report on Form 10-K for the year ended December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right="520" w:firstLine="441"/>
        <w:spacing w:after="0" w:line="235" w:lineRule="auto"/>
        <w:rPr>
          <w:sz w:val="20"/>
          <w:szCs w:val="20"/>
          <w:color w:val="auto"/>
        </w:rPr>
      </w:pPr>
      <w:r>
        <w:rPr>
          <w:rFonts w:ascii="Arial" w:cs="Arial" w:eastAsia="Arial" w:hAnsi="Arial"/>
          <w:sz w:val="18"/>
          <w:szCs w:val="18"/>
          <w:color w:val="auto"/>
        </w:rPr>
        <w:t>At September 30, 2019, we did not have any transactions, obligations or relationships that constitute off-balance sheet arrangements.</w:t>
      </w:r>
    </w:p>
    <w:p>
      <w:pPr>
        <w:spacing w:after="0" w:line="121"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22" w:lineRule="exact"/>
        <w:rPr>
          <w:sz w:val="20"/>
          <w:szCs w:val="20"/>
          <w:color w:val="auto"/>
        </w:rPr>
      </w:pPr>
    </w:p>
    <w:p>
      <w:pPr>
        <w:ind w:right="240" w:firstLine="441"/>
        <w:spacing w:after="0" w:line="225" w:lineRule="auto"/>
        <w:rPr>
          <w:sz w:val="20"/>
          <w:szCs w:val="20"/>
          <w:color w:val="auto"/>
        </w:rPr>
      </w:pPr>
      <w:r>
        <w:rPr>
          <w:rFonts w:ascii="Arial" w:cs="Arial" w:eastAsia="Arial" w:hAnsi="Arial"/>
          <w:sz w:val="17"/>
          <w:szCs w:val="17"/>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September 30, 2019.</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48" w:lineRule="exact"/>
        <w:rPr>
          <w:sz w:val="20"/>
          <w:szCs w:val="20"/>
          <w:color w:val="auto"/>
        </w:rPr>
      </w:pPr>
    </w:p>
    <w:p>
      <w:pPr>
        <w:ind w:right="180" w:firstLine="441"/>
        <w:spacing w:after="0" w:line="249"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Events and Uncertainties</w:t>
      </w:r>
    </w:p>
    <w:p>
      <w:pPr>
        <w:spacing w:after="0" w:line="148" w:lineRule="exact"/>
        <w:rPr>
          <w:sz w:val="20"/>
          <w:szCs w:val="20"/>
          <w:color w:val="auto"/>
        </w:rPr>
      </w:pPr>
    </w:p>
    <w:p>
      <w:pPr>
        <w:ind w:right="260" w:firstLine="441"/>
        <w:spacing w:after="0" w:line="226" w:lineRule="auto"/>
        <w:rPr>
          <w:sz w:val="20"/>
          <w:szCs w:val="20"/>
          <w:color w:val="auto"/>
        </w:rPr>
      </w:pPr>
      <w:r>
        <w:rPr>
          <w:rFonts w:ascii="Arial" w:cs="Arial" w:eastAsia="Arial" w:hAnsi="Arial"/>
          <w:sz w:val="17"/>
          <w:szCs w:val="17"/>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our path to commercialization of our CellFX System, including, but not limited to, additional financing through follow-on stock offerings, debt financings, or co-development agreements and /or other alternatives.</w:t>
      </w:r>
    </w:p>
    <w:p>
      <w:pPr>
        <w:spacing w:after="0" w:line="125"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122" w:lineRule="exact"/>
        <w:rPr>
          <w:sz w:val="20"/>
          <w:szCs w:val="20"/>
          <w:color w:val="auto"/>
        </w:rPr>
      </w:pPr>
    </w:p>
    <w:p>
      <w:pPr>
        <w:jc w:val="both"/>
        <w:ind w:right="280" w:firstLine="441"/>
        <w:spacing w:after="0" w:line="238" w:lineRule="auto"/>
        <w:rPr>
          <w:sz w:val="20"/>
          <w:szCs w:val="20"/>
          <w:color w:val="auto"/>
        </w:rPr>
      </w:pPr>
      <w:r>
        <w:rPr>
          <w:rFonts w:ascii="Arial" w:cs="Arial" w:eastAsia="Arial" w:hAnsi="Arial"/>
          <w:sz w:val="17"/>
          <w:szCs w:val="17"/>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ind w:right="80" w:firstLine="441"/>
        <w:spacing w:after="0" w:line="238" w:lineRule="auto"/>
        <w:rPr>
          <w:sz w:val="20"/>
          <w:szCs w:val="20"/>
          <w:color w:val="auto"/>
        </w:rPr>
      </w:pPr>
      <w:r>
        <w:rPr>
          <w:rFonts w:ascii="Arial" w:cs="Arial" w:eastAsia="Arial" w:hAnsi="Arial"/>
          <w:sz w:val="17"/>
          <w:szCs w:val="17"/>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and Market Risk</w:t>
      </w:r>
    </w:p>
    <w:p>
      <w:pPr>
        <w:spacing w:after="0" w:line="148"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As of September 30, 2019 and December 31, 2018, we had cash, cash equivalents and investments totaling $34.5 million and $59.6 million, respectively, all of which have maturities of less than three years. The goals of our investment policy are preservation of capital, fulfillment of liquidity needs and fiduciary control of our cash and investments. 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available-for-sale, and are, due to their relatively short-term nature, subject to minimal interest rate risks. We currently do not hedge interest rate exposure. A decline in interest rates would reduce our interest income; however, because of the short-term maturities of our investments, we do not believe that a hypothetical 10% change in market interest rates would have a material negative impact on the value of our investment portfolio.</w:t>
      </w:r>
    </w:p>
    <w:p>
      <w:pPr>
        <w:spacing w:after="0" w:line="121" w:lineRule="exact"/>
        <w:rPr>
          <w:sz w:val="20"/>
          <w:szCs w:val="20"/>
          <w:color w:val="auto"/>
        </w:rPr>
      </w:pPr>
    </w:p>
    <w:p>
      <w:pPr>
        <w:ind w:right="180" w:firstLine="441"/>
        <w:spacing w:after="0" w:line="249" w:lineRule="auto"/>
        <w:rPr>
          <w:sz w:val="20"/>
          <w:szCs w:val="20"/>
          <w:color w:val="auto"/>
        </w:rPr>
      </w:pPr>
      <w:r>
        <w:rPr>
          <w:rFonts w:ascii="Arial" w:cs="Arial" w:eastAsia="Arial" w:hAnsi="Arial"/>
          <w:sz w:val="16"/>
          <w:szCs w:val="16"/>
          <w:color w:val="auto"/>
        </w:rPr>
        <w:t>On the other hand, when interest rates rise, our marketable securities purchased at a lower yield would incur a mark-to-market unrealized loss. Under certain circumstances, if we are forced to sell our marketable securities prior to maturity, we may incur realized losses in such investments. However, because of the conservative and short-term nature of the investments in our portfolio, a change in interest rates is not expected to have a material impact on our condensed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48"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color w:val="auto"/>
        </w:rPr>
        <w:t>The majority of our expense and capital purchasing activities are transacted in U.S. dollars. We do not currently have any international operations. We may incur foreign exchange gains or losses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ind w:right="20" w:firstLine="441"/>
        <w:spacing w:after="0" w:line="236"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our Chief Financial Officer have concluded that, as of September 30, 2019,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40" w:firstLine="441"/>
        <w:spacing w:after="0" w:line="244"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required by Rule 13a-15(d) and 15d-15(d) of the Exchange Act, as amended, that occurred during the quarter ended September 30, 2019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GAAP.</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48" w:lineRule="exact"/>
        <w:rPr>
          <w:sz w:val="20"/>
          <w:szCs w:val="20"/>
          <w:color w:val="auto"/>
        </w:rPr>
      </w:pPr>
    </w:p>
    <w:p>
      <w:pPr>
        <w:ind w:right="100" w:firstLine="441"/>
        <w:spacing w:after="0" w:line="22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firstLine="441"/>
        <w:spacing w:after="0" w:line="219" w:lineRule="auto"/>
        <w:rPr>
          <w:sz w:val="20"/>
          <w:szCs w:val="20"/>
          <w:color w:val="auto"/>
        </w:rPr>
      </w:pPr>
      <w:r>
        <w:rPr>
          <w:rFonts w:ascii="Arial" w:cs="Arial" w:eastAsia="Arial" w:hAnsi="Arial"/>
          <w:sz w:val="18"/>
          <w:szCs w:val="18"/>
          <w:color w:val="auto"/>
        </w:rPr>
        <w:t>From time to time, we may be involved in a variety of legal proceedings and claims relating to securities laws, product liability, patent infringement, contract disputes, employment matters and other matters relating to the normal course of our business in addition to governmental and other regulatory investigations and proceedings. In addition, third parties may, from time to time, assert claims against us in the form of letters and other communications.</w:t>
      </w:r>
    </w:p>
    <w:p>
      <w:pPr>
        <w:spacing w:after="0" w:line="122" w:lineRule="exact"/>
        <w:rPr>
          <w:sz w:val="20"/>
          <w:szCs w:val="20"/>
          <w:color w:val="auto"/>
        </w:rPr>
      </w:pPr>
    </w:p>
    <w:p>
      <w:pPr>
        <w:ind w:right="40" w:firstLine="441"/>
        <w:spacing w:after="0" w:line="219" w:lineRule="auto"/>
        <w:rPr>
          <w:sz w:val="20"/>
          <w:szCs w:val="20"/>
          <w:color w:val="auto"/>
        </w:rPr>
      </w:pPr>
      <w:r>
        <w:rPr>
          <w:rFonts w:ascii="Arial" w:cs="Arial" w:eastAsia="Arial" w:hAnsi="Arial"/>
          <w:sz w:val="18"/>
          <w:szCs w:val="18"/>
          <w:color w:val="auto"/>
        </w:rPr>
        <w:t>The results of legal proceedings and claims are inherently unpredictable. We do not believe any currently pending matters will have a material adverse effect on our business based on our current understanding of such matters. Regardless of the outcome, litigation can have an adverse impact on us because of defense and settlement costs, diversion of management resources and other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60" w:firstLine="441"/>
        <w:spacing w:after="0" w:line="244"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Industry and Financial Condition</w:t>
      </w:r>
    </w:p>
    <w:p>
      <w:pPr>
        <w:spacing w:after="0" w:line="148"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b w:val="1"/>
          <w:bCs w:val="1"/>
          <w:i w:val="1"/>
          <w:iCs w:val="1"/>
          <w:color w:val="auto"/>
        </w:rPr>
        <w:t>Since we have a limited operating history and have not commenced any revenue producing operations, it is difficult to evaluate the future of our business</w:t>
      </w:r>
      <w:r>
        <w:rPr>
          <w:rFonts w:ascii="Arial" w:cs="Arial" w:eastAsia="Arial" w:hAnsi="Arial"/>
          <w:sz w:val="18"/>
          <w:szCs w:val="18"/>
          <w:color w:val="auto"/>
        </w:rPr>
        <w:t>.</w:t>
      </w:r>
    </w:p>
    <w:p>
      <w:pPr>
        <w:spacing w:after="0" w:line="121" w:lineRule="exact"/>
        <w:rPr>
          <w:sz w:val="20"/>
          <w:szCs w:val="20"/>
          <w:color w:val="auto"/>
        </w:rPr>
      </w:pPr>
    </w:p>
    <w:p>
      <w:pPr>
        <w:ind w:right="40" w:firstLine="441"/>
        <w:spacing w:after="0" w:line="239" w:lineRule="auto"/>
        <w:rPr>
          <w:sz w:val="20"/>
          <w:szCs w:val="20"/>
          <w:color w:val="auto"/>
        </w:rPr>
      </w:pPr>
      <w:r>
        <w:rPr>
          <w:rFonts w:ascii="Arial" w:cs="Arial" w:eastAsia="Arial" w:hAnsi="Arial"/>
          <w:sz w:val="16"/>
          <w:szCs w:val="16"/>
          <w:color w:val="auto"/>
        </w:rPr>
        <w:t>We are a bioelectric medicine technology company and have not yet commenced revenue-producing operations. To date, our operations on a consolidated basis have consisted of the continued development of our technologies and implementation of the early parts of our business plan. We have incurred significant operating losses in each year since our inception and we expect to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or prospective operations and business prospects.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currently have no commercial products or product revenue and may never become profitable.</w:t>
      </w:r>
    </w:p>
    <w:p>
      <w:pPr>
        <w:spacing w:after="0" w:line="144" w:lineRule="exact"/>
        <w:rPr>
          <w:sz w:val="20"/>
          <w:szCs w:val="20"/>
          <w:color w:val="auto"/>
        </w:rPr>
      </w:pPr>
    </w:p>
    <w:p>
      <w:pPr>
        <w:ind w:right="220" w:firstLine="441"/>
        <w:spacing w:after="0" w:line="249" w:lineRule="auto"/>
        <w:rPr>
          <w:sz w:val="20"/>
          <w:szCs w:val="20"/>
          <w:color w:val="auto"/>
        </w:rPr>
      </w:pPr>
      <w:r>
        <w:rPr>
          <w:rFonts w:ascii="Arial" w:cs="Arial" w:eastAsia="Arial" w:hAnsi="Arial"/>
          <w:sz w:val="16"/>
          <w:szCs w:val="16"/>
          <w:color w:val="auto"/>
        </w:rPr>
        <w:t>To date, we have not generated revenue and have relied on financing from the sale of equity securities to fund our operations. We expect that our future financial results will depend primarily on our success in obtaining approval for, launching, selling and supporting our therapies and treatments utilizing our CellFX System or other products based on NPS technology; however, our technology is still in development and has not been approved to treat any disease or condition. We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revenue or be profitable in the future. Our future products may never be approved or become commercially viable or accepted for use. Even if we find commercially viable applications for our technology, which may include licensing, we may never recover our research and development expenses.</w:t>
      </w:r>
    </w:p>
    <w:p>
      <w:pPr>
        <w:spacing w:after="0" w:line="127" w:lineRule="exact"/>
        <w:rPr>
          <w:sz w:val="20"/>
          <w:szCs w:val="20"/>
          <w:color w:val="auto"/>
        </w:rPr>
      </w:pPr>
    </w:p>
    <w:p>
      <w:pPr>
        <w:ind w:right="80" w:firstLine="441"/>
        <w:spacing w:after="0" w:line="225" w:lineRule="auto"/>
        <w:rPr>
          <w:sz w:val="20"/>
          <w:szCs w:val="20"/>
          <w:color w:val="auto"/>
        </w:rPr>
      </w:pPr>
      <w:r>
        <w:rPr>
          <w:rFonts w:ascii="Arial" w:cs="Arial" w:eastAsia="Arial" w:hAnsi="Arial"/>
          <w:sz w:val="17"/>
          <w:szCs w:val="17"/>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22" w:lineRule="exact"/>
        <w:rPr>
          <w:sz w:val="20"/>
          <w:szCs w:val="20"/>
          <w:color w:val="auto"/>
        </w:rPr>
      </w:pPr>
    </w:p>
    <w:p>
      <w:pPr>
        <w:ind w:right="30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21" w:lineRule="exact"/>
        <w:rPr>
          <w:sz w:val="20"/>
          <w:szCs w:val="20"/>
          <w:color w:val="auto"/>
        </w:rPr>
      </w:pPr>
    </w:p>
    <w:p>
      <w:pPr>
        <w:ind w:firstLine="441"/>
        <w:spacing w:after="0" w:line="211" w:lineRule="auto"/>
        <w:rPr>
          <w:sz w:val="20"/>
          <w:szCs w:val="20"/>
          <w:color w:val="auto"/>
        </w:rPr>
      </w:pPr>
      <w:r>
        <w:rPr>
          <w:rFonts w:ascii="Arial" w:cs="Arial" w:eastAsia="Arial" w:hAnsi="Arial"/>
          <w:sz w:val="18"/>
          <w:szCs w:val="18"/>
          <w:color w:val="auto"/>
        </w:rPr>
        <w:t>We have experienced operating losses, and we expect to continue to incur operating losses for the next several years as we implement our business plan. Currently, we have no revenue and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 While we believe we have the resources necessary to fund operations for twelve months from the date of issuance of this Quarterly Report, our inability to raise capital in the future could have a material adverse effect on our business, financial condition and results of operations. We plan to raise additional funds in the near future and intend to finance our operations through equity financings.</w:t>
      </w:r>
    </w:p>
    <w:p>
      <w:pPr>
        <w:spacing w:after="0" w:line="124" w:lineRule="exact"/>
        <w:rPr>
          <w:sz w:val="20"/>
          <w:szCs w:val="20"/>
          <w:color w:val="auto"/>
        </w:rPr>
      </w:pPr>
    </w:p>
    <w:p>
      <w:pPr>
        <w:ind w:right="60" w:firstLine="441"/>
        <w:spacing w:after="0" w:line="223" w:lineRule="auto"/>
        <w:rPr>
          <w:sz w:val="20"/>
          <w:szCs w:val="20"/>
          <w:color w:val="auto"/>
        </w:rPr>
      </w:pPr>
      <w:r>
        <w:rPr>
          <w:rFonts w:ascii="Arial" w:cs="Arial" w:eastAsia="Arial" w:hAnsi="Arial"/>
          <w:sz w:val="17"/>
          <w:szCs w:val="17"/>
          <w:color w:val="auto"/>
        </w:rPr>
        <w:t>We cannot give any assurance that we will be able to obtain all the necessary funding that we may need. In addition, we believe that we will require additional capital in the future to fully develop our technologies and planned products to the stage of a commercial launch. We have pursued and may pursue additional funding through various financing sources, including the private sale of our equity and debt securities, licensing fees for our technology, joint ventures with capital partners and project type financing. If we raise funds by issuing equity or equity-linked securities, dilution to our stockholders will result. Any equity securities issued may also provide for rights, preferences or privileges senior to those of holders of our common stock. The terms of debt securities issued or borrowings could impose significant restrictions on our operations. We also may seek government based financing, such as development and research grants. There can be no assurance that funds will be available on commercially reasonable terms, if at all.</w:t>
      </w:r>
    </w:p>
    <w:p>
      <w:pPr>
        <w:spacing w:after="0" w:line="121" w:lineRule="exact"/>
        <w:rPr>
          <w:sz w:val="20"/>
          <w:szCs w:val="20"/>
          <w:color w:val="auto"/>
        </w:rPr>
      </w:pPr>
    </w:p>
    <w:p>
      <w:pPr>
        <w:ind w:right="60" w:firstLine="441"/>
        <w:spacing w:after="0" w:line="236" w:lineRule="auto"/>
        <w:rPr>
          <w:sz w:val="20"/>
          <w:szCs w:val="20"/>
          <w:color w:val="auto"/>
        </w:rPr>
      </w:pPr>
      <w:r>
        <w:rPr>
          <w:rFonts w:ascii="Arial" w:cs="Arial" w:eastAsia="Arial" w:hAnsi="Arial"/>
          <w:sz w:val="16"/>
          <w:szCs w:val="16"/>
          <w:color w:val="auto"/>
        </w:rPr>
        <w:t>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22" w:lineRule="exact"/>
        <w:rPr>
          <w:sz w:val="20"/>
          <w:szCs w:val="20"/>
          <w:color w:val="auto"/>
        </w:rPr>
      </w:pPr>
    </w:p>
    <w:p>
      <w:pPr>
        <w:ind w:right="60" w:firstLine="441"/>
        <w:spacing w:after="0" w:line="229" w:lineRule="auto"/>
        <w:rPr>
          <w:sz w:val="20"/>
          <w:szCs w:val="20"/>
          <w:color w:val="auto"/>
        </w:rPr>
      </w:pPr>
      <w:r>
        <w:rPr>
          <w:rFonts w:ascii="Arial" w:cs="Arial" w:eastAsia="Arial" w:hAnsi="Arial"/>
          <w:sz w:val="17"/>
          <w:szCs w:val="17"/>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or we may be unable to continue operations, in which case you could lose your entire investment.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80" w:firstLine="441"/>
        <w:spacing w:after="0" w:line="235"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21" w:lineRule="exact"/>
        <w:rPr>
          <w:sz w:val="20"/>
          <w:szCs w:val="20"/>
          <w:color w:val="auto"/>
        </w:rPr>
      </w:pPr>
    </w:p>
    <w:p>
      <w:pPr>
        <w:jc w:val="both"/>
        <w:ind w:right="240" w:firstLine="441"/>
        <w:spacing w:after="0" w:line="224"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23" w:lineRule="exact"/>
        <w:rPr>
          <w:sz w:val="20"/>
          <w:szCs w:val="20"/>
          <w:color w:val="auto"/>
        </w:rPr>
      </w:pPr>
    </w:p>
    <w:p>
      <w:pPr>
        <w:ind w:left="860" w:right="180" w:hanging="427"/>
        <w:spacing w:after="0" w:line="235"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relating to our product candidates, which may change from time to time;</w:t>
      </w:r>
    </w:p>
    <w:p>
      <w:pPr>
        <w:spacing w:after="0" w:line="121" w:lineRule="exact"/>
        <w:rPr>
          <w:rFonts w:ascii="Arial" w:cs="Arial" w:eastAsia="Arial" w:hAnsi="Arial"/>
          <w:sz w:val="18"/>
          <w:szCs w:val="18"/>
          <w:color w:val="auto"/>
        </w:rPr>
      </w:pPr>
    </w:p>
    <w:p>
      <w:pPr>
        <w:ind w:left="860" w:right="280" w:hanging="427"/>
        <w:spacing w:after="0" w:line="235"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receipt of approvals or clearances for our product candidates from regulatory authorities in the United States;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44" w:lineRule="exact"/>
        <w:rPr>
          <w:rFonts w:ascii="Arial" w:cs="Arial" w:eastAsia="Arial" w:hAnsi="Arial"/>
          <w:sz w:val="18"/>
          <w:szCs w:val="18"/>
          <w:color w:val="auto"/>
        </w:rPr>
      </w:pPr>
    </w:p>
    <w:p>
      <w:pPr>
        <w:ind w:left="860" w:right="420" w:hanging="427"/>
        <w:spacing w:after="0" w:line="235"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or cleared, and potential future drugs or devices that compete with our product candidates;</w:t>
      </w:r>
    </w:p>
    <w:p>
      <w:pPr>
        <w:spacing w:after="0" w:line="121" w:lineRule="exact"/>
        <w:rPr>
          <w:rFonts w:ascii="Arial" w:cs="Arial" w:eastAsia="Arial" w:hAnsi="Arial"/>
          <w:sz w:val="18"/>
          <w:szCs w:val="18"/>
          <w:color w:val="auto"/>
        </w:rPr>
      </w:pPr>
    </w:p>
    <w:p>
      <w:pPr>
        <w:ind w:left="860" w:right="60" w:hanging="427"/>
        <w:spacing w:after="0" w:line="235"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as well as building out our supply chain, which may vary depending on the quantity of production and the terms of our agreements with manufacturers;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expenditures that we may incur to acquire, develop or commercialize additional product candidates and technologies;</w:t>
      </w:r>
    </w:p>
    <w:p>
      <w:pPr>
        <w:spacing w:after="0" w:line="167" w:lineRule="exact"/>
        <w:rPr>
          <w:rFonts w:ascii="Arial" w:cs="Arial" w:eastAsia="Arial" w:hAnsi="Arial"/>
          <w:sz w:val="16"/>
          <w:szCs w:val="16"/>
          <w:color w:val="auto"/>
        </w:rPr>
      </w:pPr>
    </w:p>
    <w:p>
      <w:pPr>
        <w:ind w:left="860" w:hanging="4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products, if approved or cleared, which may vary significantly over time;</w:t>
      </w:r>
    </w:p>
    <w:p>
      <w:pPr>
        <w:spacing w:after="0" w:line="144" w:lineRule="exact"/>
        <w:rPr>
          <w:rFonts w:ascii="Arial" w:cs="Arial" w:eastAsia="Arial" w:hAnsi="Arial"/>
          <w:sz w:val="18"/>
          <w:szCs w:val="18"/>
          <w:color w:val="auto"/>
        </w:rPr>
      </w:pPr>
    </w:p>
    <w:p>
      <w:pPr>
        <w:ind w:left="860" w:right="120" w:hanging="427"/>
        <w:spacing w:after="0" w:line="235"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litigation, including patent, employment, securities class action, stockholder derivative, general commercial and other lawsuits;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44" w:lineRule="exact"/>
        <w:rPr>
          <w:rFonts w:ascii="Arial" w:cs="Arial" w:eastAsia="Arial" w:hAnsi="Arial"/>
          <w:sz w:val="18"/>
          <w:szCs w:val="18"/>
          <w:color w:val="auto"/>
        </w:rPr>
      </w:pPr>
    </w:p>
    <w:p>
      <w:pPr>
        <w:ind w:left="860" w:right="200" w:hanging="427"/>
        <w:spacing w:after="0" w:line="224"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123" w:lineRule="exact"/>
        <w:rPr>
          <w:sz w:val="20"/>
          <w:szCs w:val="20"/>
          <w:color w:val="auto"/>
        </w:rPr>
      </w:pPr>
    </w:p>
    <w:p>
      <w:pPr>
        <w:ind w:right="40" w:firstLine="441"/>
        <w:spacing w:after="0" w:line="224"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3" w:lineRule="exact"/>
        <w:rPr>
          <w:sz w:val="20"/>
          <w:szCs w:val="20"/>
          <w:color w:val="auto"/>
        </w:rPr>
      </w:pPr>
    </w:p>
    <w:p>
      <w:pPr>
        <w:ind w:right="80" w:firstLine="441"/>
        <w:spacing w:after="0" w:line="229"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21" w:lineRule="exact"/>
        <w:rPr>
          <w:sz w:val="20"/>
          <w:szCs w:val="20"/>
          <w:color w:val="auto"/>
        </w:rPr>
      </w:pPr>
    </w:p>
    <w:p>
      <w:pPr>
        <w:ind w:right="120" w:firstLine="441"/>
        <w:spacing w:after="0" w:line="289" w:lineRule="auto"/>
        <w:rPr>
          <w:sz w:val="20"/>
          <w:szCs w:val="20"/>
          <w:color w:val="auto"/>
        </w:rPr>
      </w:pPr>
      <w:r>
        <w:rPr>
          <w:rFonts w:ascii="Arial" w:cs="Arial" w:eastAsia="Arial" w:hAnsi="Arial"/>
          <w:sz w:val="16"/>
          <w:szCs w:val="16"/>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84"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We are highly dependent upon the principal members of our management team, including our Chief Executive Officer, Darrin Uecker, and the members of our finance, sales, marketing,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and may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21" w:lineRule="exact"/>
        <w:rPr>
          <w:sz w:val="20"/>
          <w:szCs w:val="20"/>
          <w:color w:val="auto"/>
        </w:rPr>
      </w:pPr>
    </w:p>
    <w:p>
      <w:pPr>
        <w:ind w:right="660" w:firstLine="441"/>
        <w:spacing w:after="0" w:line="324" w:lineRule="auto"/>
        <w:rPr>
          <w:sz w:val="20"/>
          <w:szCs w:val="20"/>
          <w:color w:val="auto"/>
        </w:rPr>
      </w:pPr>
      <w:r>
        <w:rPr>
          <w:rFonts w:ascii="Arial" w:cs="Arial" w:eastAsia="Arial" w:hAnsi="Arial"/>
          <w:sz w:val="15"/>
          <w:szCs w:val="15"/>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61"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Rapidly changing technology in life sciences could make the products we are developing obsolete.</w:t>
      </w:r>
    </w:p>
    <w:p>
      <w:pPr>
        <w:spacing w:after="0" w:line="144"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We also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122" w:lineRule="exact"/>
        <w:rPr>
          <w:sz w:val="20"/>
          <w:szCs w:val="20"/>
          <w:color w:val="auto"/>
        </w:rPr>
      </w:pPr>
    </w:p>
    <w:p>
      <w:pPr>
        <w:jc w:val="both"/>
        <w:ind w:right="560" w:firstLine="441"/>
        <w:spacing w:after="0" w:line="324" w:lineRule="auto"/>
        <w:rPr>
          <w:sz w:val="20"/>
          <w:szCs w:val="20"/>
          <w:color w:val="auto"/>
        </w:rPr>
      </w:pPr>
      <w:r>
        <w:rPr>
          <w:rFonts w:ascii="Arial" w:cs="Arial" w:eastAsia="Arial" w:hAnsi="Arial"/>
          <w:sz w:val="15"/>
          <w:szCs w:val="15"/>
          <w:b w:val="1"/>
          <w:bCs w:val="1"/>
          <w:i w:val="1"/>
          <w:iCs w:val="1"/>
          <w:color w:val="auto"/>
        </w:rPr>
        <w:t>We expect to operate in a highly competitive market, we may face competition from large, well-established medical technology, device and product manufacturers with significant resources, and we may not be able to compete effectively.</w:t>
      </w:r>
    </w:p>
    <w:p>
      <w:pPr>
        <w:spacing w:after="0" w:line="61" w:lineRule="exact"/>
        <w:rPr>
          <w:sz w:val="20"/>
          <w:szCs w:val="20"/>
          <w:color w:val="auto"/>
        </w:rPr>
      </w:pPr>
    </w:p>
    <w:p>
      <w:pPr>
        <w:ind w:right="100" w:firstLine="441"/>
        <w:spacing w:after="0" w:line="249" w:lineRule="auto"/>
        <w:rPr>
          <w:sz w:val="20"/>
          <w:szCs w:val="20"/>
          <w:color w:val="auto"/>
        </w:rPr>
      </w:pPr>
      <w:r>
        <w:rPr>
          <w:rFonts w:ascii="Arial" w:cs="Arial" w:eastAsia="Arial" w:hAnsi="Arial"/>
          <w:sz w:val="16"/>
          <w:szCs w:val="16"/>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We may find ourselves in competition with companies that have competitive advantages over us, such as:</w:t>
      </w:r>
    </w:p>
    <w:p>
      <w:pPr>
        <w:spacing w:after="0" w:line="114" w:lineRule="exact"/>
        <w:rPr>
          <w:sz w:val="20"/>
          <w:szCs w:val="20"/>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established relations with healthcare professionals, customers and third-party payers;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efficacy or better safety profiles;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established distribution networks;</w:t>
      </w:r>
    </w:p>
    <w:p>
      <w:pPr>
        <w:spacing w:after="0" w:line="144" w:lineRule="exact"/>
        <w:rPr>
          <w:rFonts w:ascii="Arial" w:cs="Arial" w:eastAsia="Arial" w:hAnsi="Arial"/>
          <w:sz w:val="18"/>
          <w:szCs w:val="18"/>
          <w:color w:val="auto"/>
        </w:rPr>
      </w:pPr>
    </w:p>
    <w:p>
      <w:pPr>
        <w:ind w:left="860" w:right="580" w:hanging="427"/>
        <w:spacing w:after="0" w:line="235"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higher discounts or incentives to gain a competitive advantage;</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greater experience in obtaining patents and regulatory approvals for product candidates and other resources;</w:t>
      </w:r>
    </w:p>
    <w:p>
      <w:pPr>
        <w:spacing w:after="0" w:line="155" w:lineRule="exact"/>
        <w:rPr>
          <w:rFonts w:ascii="Arial" w:cs="Arial" w:eastAsia="Arial" w:hAnsi="Arial"/>
          <w:sz w:val="17"/>
          <w:szCs w:val="17"/>
          <w:color w:val="auto"/>
        </w:rPr>
      </w:pPr>
    </w:p>
    <w:p>
      <w:pPr>
        <w:ind w:left="860" w:right="620" w:hanging="427"/>
        <w:spacing w:after="0" w:line="235"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obtaining regulatory approval for products, and marketing approved products; and</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144" w:lineRule="exact"/>
        <w:rPr>
          <w:sz w:val="20"/>
          <w:szCs w:val="20"/>
          <w:color w:val="auto"/>
        </w:rPr>
      </w:pPr>
    </w:p>
    <w:p>
      <w:pPr>
        <w:ind w:right="60" w:firstLine="441"/>
        <w:spacing w:after="0" w:line="237" w:lineRule="auto"/>
        <w:rPr>
          <w:sz w:val="20"/>
          <w:szCs w:val="20"/>
          <w:color w:val="auto"/>
        </w:rPr>
      </w:pPr>
      <w:r>
        <w:rPr>
          <w:rFonts w:ascii="Arial" w:cs="Arial" w:eastAsia="Arial" w:hAnsi="Arial"/>
          <w:sz w:val="16"/>
          <w:szCs w:val="16"/>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In addition, certain of our product candidates, if approved, may compete with other dermatological products, including over-the-counter, or OTC, treatments, for a share of some patients’ discretionary budgets and for physicians’ attention within their clinical practices. Even if a generic product or an OTC product is less effective than our product candidates, a less effective generic or OTC product may be more quickly adopted by physicians and patients than our competing product candidates based upon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cost or convenience. As a result, we may not be able to compete effectively against current and potential future competitors or their devices and products.</w:t>
      </w:r>
    </w:p>
    <w:p>
      <w:pPr>
        <w:spacing w:after="0" w:line="121" w:lineRule="exact"/>
        <w:rPr>
          <w:sz w:val="20"/>
          <w:szCs w:val="20"/>
          <w:color w:val="auto"/>
        </w:rPr>
      </w:pPr>
    </w:p>
    <w:p>
      <w:pPr>
        <w:ind w:right="60" w:firstLine="441"/>
        <w:spacing w:after="0" w:line="235" w:lineRule="auto"/>
        <w:rPr>
          <w:sz w:val="20"/>
          <w:szCs w:val="20"/>
          <w:color w:val="auto"/>
        </w:rPr>
      </w:pPr>
      <w:r>
        <w:rPr>
          <w:rFonts w:ascii="Arial" w:cs="Arial" w:eastAsia="Arial" w:hAnsi="Arial"/>
          <w:sz w:val="18"/>
          <w:szCs w:val="18"/>
          <w:b w:val="1"/>
          <w:bCs w:val="1"/>
          <w:i w:val="1"/>
          <w:iCs w:val="1"/>
          <w:color w:val="auto"/>
        </w:rPr>
        <w:t>We may rely on third parties for our sales, marketing, manufacturing and/or distribution, and these third parties may not perform satisfactorily.</w:t>
      </w:r>
    </w:p>
    <w:p>
      <w:pPr>
        <w:spacing w:after="0" w:line="121" w:lineRule="exact"/>
        <w:rPr>
          <w:sz w:val="20"/>
          <w:szCs w:val="20"/>
          <w:color w:val="auto"/>
        </w:rPr>
      </w:pPr>
    </w:p>
    <w:p>
      <w:pPr>
        <w:ind w:right="40" w:firstLine="441"/>
        <w:spacing w:after="0" w:line="210" w:lineRule="auto"/>
        <w:rPr>
          <w:sz w:val="20"/>
          <w:szCs w:val="20"/>
          <w:color w:val="auto"/>
        </w:rPr>
      </w:pPr>
      <w:r>
        <w:rPr>
          <w:rFonts w:ascii="Arial" w:cs="Arial" w:eastAsia="Arial" w:hAnsi="Arial"/>
          <w:sz w:val="18"/>
          <w:szCs w:val="18"/>
          <w:color w:val="auto"/>
        </w:rPr>
        <w:t>We do not currently conduct any aspects of sales, marketing, large-scale manufacturing or distribution. To be able to commercialize our planned products, we may elect to internally develop all of the foregoing or utilize third parties with respect to one or more of these items. Our reliance on these third parties may reduce our control over these activities;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planned products, including delays in our clinical trials, or failure to obtain regulatory approval for our planned products, or failure to successfully commercialize our planned products or other future products. Some of these events could be the basis for FDA or other regulatory action, including injunction, recall, seizure or total or partial suspension of production.</w:t>
      </w:r>
    </w:p>
    <w:p>
      <w:pPr>
        <w:spacing w:after="0" w:line="126" w:lineRule="exact"/>
        <w:rPr>
          <w:sz w:val="20"/>
          <w:szCs w:val="20"/>
          <w:color w:val="auto"/>
        </w:rPr>
      </w:pPr>
    </w:p>
    <w:p>
      <w:pPr>
        <w:ind w:right="60" w:firstLine="441"/>
        <w:spacing w:after="0" w:line="211" w:lineRule="auto"/>
        <w:rPr>
          <w:sz w:val="20"/>
          <w:szCs w:val="20"/>
          <w:color w:val="auto"/>
        </w:rPr>
      </w:pPr>
      <w:r>
        <w:rPr>
          <w:rFonts w:ascii="Arial" w:cs="Arial" w:eastAsia="Arial" w:hAnsi="Arial"/>
          <w:sz w:val="18"/>
          <w:szCs w:val="18"/>
          <w:color w:val="auto"/>
        </w:rPr>
        <w:t>We do not have any corporate experience in establishing these capabilities, and therefore, we may be unsuccessful in achieving commercialization and earning revenues. We believe that setting up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24" w:lineRule="exact"/>
        <w:rPr>
          <w:sz w:val="20"/>
          <w:szCs w:val="20"/>
          <w:color w:val="auto"/>
        </w:rPr>
      </w:pPr>
    </w:p>
    <w:p>
      <w:pPr>
        <w:ind w:right="42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harmed.</w:t>
      </w:r>
    </w:p>
    <w:p>
      <w:pPr>
        <w:spacing w:after="0" w:line="121" w:lineRule="exact"/>
        <w:rPr>
          <w:sz w:val="20"/>
          <w:szCs w:val="20"/>
          <w:color w:val="auto"/>
        </w:rPr>
      </w:pPr>
    </w:p>
    <w:p>
      <w:pPr>
        <w:ind w:right="40" w:firstLine="441"/>
        <w:spacing w:after="0" w:line="223" w:lineRule="auto"/>
        <w:rPr>
          <w:sz w:val="20"/>
          <w:szCs w:val="20"/>
          <w:color w:val="auto"/>
        </w:rPr>
      </w:pPr>
      <w:r>
        <w:rPr>
          <w:rFonts w:ascii="Arial" w:cs="Arial" w:eastAsia="Arial" w:hAnsi="Arial"/>
          <w:sz w:val="17"/>
          <w:szCs w:val="17"/>
          <w:color w:val="auto"/>
        </w:rPr>
        <w:t>We have experienced and continue to experience rapid growth in our business. Recent and future growth imposes significant added responsibilities on management, including the need to identify, recruit, train and integrate additional employees. Rapid expansion in personnel could mean that less experienced people carry out our research and development activities, manufacture, market and sell CellFX System,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unexpected expansion difficulties could have a material adverse effect on our business, financial condition and results of operations and our ability to timely execute our business plan. If we are unable to manage our growth effectively, it may be difficult for us to execute our business strategy and our business could be harmed.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80" w:firstLine="441"/>
        <w:spacing w:after="0" w:line="235"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21" w:lineRule="exact"/>
        <w:rPr>
          <w:sz w:val="20"/>
          <w:szCs w:val="20"/>
          <w:color w:val="auto"/>
        </w:rPr>
      </w:pPr>
    </w:p>
    <w:p>
      <w:pPr>
        <w:ind w:right="20" w:firstLine="441"/>
        <w:spacing w:after="0" w:line="235"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Furthermore, the market for aesthetic medical procedures may be particularly vulnerable to unfavorable economic conditions. In particular, insurance coverage and reimbursement for aesthetic dermatology procedures using CellFX System may not be available, and, as a result, demand for this product will be tied to discretionary spending levels of our targeted patient population. A global financial crisis or a global or regional political disruption could cause extreme volatility in the capital and credit markets. A severe or prolonged economic downturn or political disruption could result in a variety of risks to our business, including weakened demand for our lead product candidates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25" w:lineRule="exact"/>
        <w:rPr>
          <w:sz w:val="20"/>
          <w:szCs w:val="20"/>
          <w:color w:val="auto"/>
        </w:rPr>
      </w:pPr>
    </w:p>
    <w:p>
      <w:pPr>
        <w:ind w:firstLine="441"/>
        <w:spacing w:after="0" w:line="224"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23" w:lineRule="exact"/>
        <w:rPr>
          <w:sz w:val="20"/>
          <w:szCs w:val="20"/>
          <w:color w:val="auto"/>
        </w:rPr>
      </w:pPr>
    </w:p>
    <w:p>
      <w:pPr>
        <w:ind w:right="120" w:firstLine="441"/>
        <w:spacing w:after="0" w:line="226" w:lineRule="auto"/>
        <w:rPr>
          <w:sz w:val="20"/>
          <w:szCs w:val="20"/>
          <w:color w:val="auto"/>
        </w:rPr>
      </w:pPr>
      <w:r>
        <w:rPr>
          <w:rFonts w:ascii="Arial" w:cs="Arial" w:eastAsia="Arial" w:hAnsi="Arial"/>
          <w:sz w:val="17"/>
          <w:szCs w:val="17"/>
          <w:color w:val="auto"/>
        </w:rPr>
        <w:t>In the ordinary course of our business,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w:t>
      </w:r>
    </w:p>
    <w:p>
      <w:pPr>
        <w:spacing w:after="0" w:line="125" w:lineRule="exact"/>
        <w:rPr>
          <w:sz w:val="20"/>
          <w:szCs w:val="20"/>
          <w:color w:val="auto"/>
        </w:rPr>
      </w:pPr>
    </w:p>
    <w:p>
      <w:pPr>
        <w:ind w:right="60" w:firstLine="441"/>
        <w:spacing w:after="0" w:line="232" w:lineRule="auto"/>
        <w:rPr>
          <w:sz w:val="20"/>
          <w:szCs w:val="20"/>
          <w:color w:val="auto"/>
        </w:rPr>
      </w:pPr>
      <w:r>
        <w:rPr>
          <w:rFonts w:ascii="Arial" w:cs="Arial" w:eastAsia="Arial" w:hAnsi="Arial"/>
          <w:sz w:val="16"/>
          <w:szCs w:val="16"/>
          <w:color w:val="auto"/>
        </w:rPr>
        <w:t>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an event were to occur,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federal Health Insurance Portability and Accountability Act of 1996, or HIPAA, as amended by the Health Information Technology for Economic and Clinical Health Act of 2009, or HITECH, and regulatory penalties or the California Consumer Privacy Act of 2018 (the “CCPA”), which was enacted in June 2018 and will become effective in January 2020. The CCPA has been amended on multiple occasions, but without substantial modification of its fundamental obligations. When the CCPA’s obligations become effective, we will be required, among other things, to make certain enhanced disclosures related to California residents regarding our use or disclosure of their personal information, allow California residents to opt-out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would be able to seek substantial monetary penalties and injunctive relief in the event of our non-compliance with the CCPA after its effective date. The CCPA also allows for private lawsuits from Californians in the event of certain data breaches. Certain aspects of the CCPA and its interpretation remain uncertain, and we may need to modify our policies or practices in an effort to comply with it. Unauthorized access, loss or dissemination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w:t>
      </w:r>
    </w:p>
    <w:p>
      <w:pPr>
        <w:spacing w:after="0" w:line="128" w:lineRule="exact"/>
        <w:rPr>
          <w:sz w:val="20"/>
          <w:szCs w:val="20"/>
          <w:color w:val="auto"/>
        </w:rPr>
      </w:pPr>
    </w:p>
    <w:p>
      <w:pPr>
        <w:ind w:right="260" w:firstLine="441"/>
        <w:spacing w:after="0" w:line="214"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200" w:firstLine="441"/>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We face an inherent risk of product liability exposure related to the future sale of planned products and the use of planned products in human clinical studies.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We may also be subject to liability for a misunderstanding of, or inappropriate reliance upon, the information we provide. If we cannot successfully defend ourselves against claims that our planned products caused injuries, we may incur substantial liabilities. Regardless of merit or eventual outcome, liability claims may result in:</w:t>
      </w:r>
    </w:p>
    <w:p>
      <w:pPr>
        <w:spacing w:after="0" w:line="127" w:lineRule="exact"/>
        <w:rPr>
          <w:sz w:val="20"/>
          <w:szCs w:val="20"/>
          <w:color w:val="auto"/>
        </w:rPr>
      </w:pPr>
    </w:p>
    <w:p>
      <w:pPr>
        <w:ind w:left="860" w:hanging="42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44" w:lineRule="exact"/>
        <w:rPr>
          <w:sz w:val="20"/>
          <w:szCs w:val="20"/>
          <w:color w:val="auto"/>
        </w:rPr>
      </w:pPr>
    </w:p>
    <w:p>
      <w:pPr>
        <w:ind w:right="40" w:firstLine="441"/>
        <w:spacing w:after="0" w:line="235" w:lineRule="auto"/>
        <w:rPr>
          <w:sz w:val="20"/>
          <w:szCs w:val="20"/>
          <w:color w:val="auto"/>
        </w:rPr>
      </w:pPr>
      <w:r>
        <w:rPr>
          <w:rFonts w:ascii="Arial" w:cs="Arial" w:eastAsia="Arial" w:hAnsi="Arial"/>
          <w:sz w:val="16"/>
          <w:szCs w:val="16"/>
          <w:color w:val="auto"/>
        </w:rPr>
        <w:t>For example, for our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 life-threatening conditions. During the course of treatment, patients may suffer adverse events, including death, for reasons that may be related to our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25" w:lineRule="exact"/>
        <w:rPr>
          <w:sz w:val="20"/>
          <w:szCs w:val="20"/>
          <w:color w:val="auto"/>
        </w:rPr>
      </w:pPr>
    </w:p>
    <w:p>
      <w:pPr>
        <w:ind w:right="100" w:firstLine="441"/>
        <w:spacing w:after="0" w:line="224" w:lineRule="auto"/>
        <w:rPr>
          <w:sz w:val="20"/>
          <w:szCs w:val="20"/>
          <w:color w:val="auto"/>
        </w:rPr>
      </w:pPr>
      <w:r>
        <w:rPr>
          <w:rFonts w:ascii="Arial" w:cs="Arial" w:eastAsia="Arial" w:hAnsi="Arial"/>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144" w:lineRule="exact"/>
        <w:rPr>
          <w:sz w:val="20"/>
          <w:szCs w:val="20"/>
          <w:color w:val="auto"/>
        </w:rPr>
      </w:pPr>
    </w:p>
    <w:p>
      <w:pPr>
        <w:ind w:firstLine="441"/>
        <w:spacing w:after="0" w:line="222" w:lineRule="auto"/>
        <w:rPr>
          <w:sz w:val="20"/>
          <w:szCs w:val="20"/>
          <w:color w:val="auto"/>
        </w:rPr>
      </w:pPr>
      <w:r>
        <w:rPr>
          <w:rFonts w:ascii="Arial" w:cs="Arial" w:eastAsia="Arial" w:hAnsi="Arial"/>
          <w:sz w:val="17"/>
          <w:szCs w:val="17"/>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44"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We have incurred net losses since our inception and anticipate that we will continue to incur significant losses for the foreseeable future. If not utilized, the federal and state NOL carryforwards will begin to expire in various years beginning after 2034. Under the Internal Revenue Code of 1986, as amended, or the Code, and certain similar state tax provisions, a corporation is generally allowed a deduction for net operating losses (“NOLs”), carried over from a prior taxable year. Under those provisions, we can carry forward our NOLs to offset our future taxable income, if any, until such NOLs are used or expire. The same is true of other unused tax attributes, such as tax credits.</w:t>
      </w:r>
    </w:p>
    <w:p>
      <w:pPr>
        <w:spacing w:after="0" w:line="122" w:lineRule="exact"/>
        <w:rPr>
          <w:sz w:val="20"/>
          <w:szCs w:val="20"/>
          <w:color w:val="auto"/>
        </w:rPr>
      </w:pPr>
    </w:p>
    <w:p>
      <w:pPr>
        <w:ind w:firstLine="441"/>
        <w:spacing w:after="0" w:line="216" w:lineRule="auto"/>
        <w:rPr>
          <w:sz w:val="20"/>
          <w:szCs w:val="20"/>
          <w:color w:val="auto"/>
        </w:rPr>
      </w:pPr>
      <w:r>
        <w:rPr>
          <w:rFonts w:ascii="Arial" w:cs="Arial" w:eastAsia="Arial" w:hAnsi="Arial"/>
          <w:sz w:val="18"/>
          <w:szCs w:val="18"/>
          <w:color w:val="auto"/>
        </w:rPr>
        <w:t>In addition, under Section 382 of the Internal Revenue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22" w:lineRule="exact"/>
        <w:rPr>
          <w:sz w:val="20"/>
          <w:szCs w:val="20"/>
          <w:color w:val="auto"/>
        </w:rPr>
      </w:pPr>
    </w:p>
    <w:p>
      <w:pPr>
        <w:ind w:firstLine="441"/>
        <w:spacing w:after="0" w:line="241" w:lineRule="auto"/>
        <w:rPr>
          <w:sz w:val="20"/>
          <w:szCs w:val="20"/>
          <w:color w:val="auto"/>
        </w:rPr>
      </w:pPr>
      <w:r>
        <w:rPr>
          <w:rFonts w:ascii="Arial" w:cs="Arial" w:eastAsia="Arial" w:hAnsi="Arial"/>
          <w:sz w:val="16"/>
          <w:szCs w:val="16"/>
          <w:color w:val="auto"/>
        </w:rPr>
        <w:t>Further, in December 2017, the Tax Cuts and Jobs Act (the “TCJA”) was enacted into law. The change in the tax law was partially effective in 2017 and fully effective in 2018. The primary impacts to us include a decrease of the corporate income tax rate structure and NOL limitations. These changes may have a material impact to the value of deferred tax assets and liabilities and our future taxable income and effective tax rate. We are assessing the TCJA with professional advisers, and believe that the impact of the TCJA on our business may not be fully known for some time, and until such analysis is complete, the full impact of the new tax law on us in future periods is uncertain, and no assurances can be made by us on any potential impacts.</w:t>
      </w:r>
    </w:p>
    <w:p>
      <w:pPr>
        <w:spacing w:after="0" w:line="120" w:lineRule="exact"/>
        <w:rPr>
          <w:sz w:val="20"/>
          <w:szCs w:val="20"/>
          <w:color w:val="auto"/>
        </w:rPr>
      </w:pPr>
    </w:p>
    <w:p>
      <w:pPr>
        <w:ind w:right="20" w:firstLine="441"/>
        <w:spacing w:after="0" w:line="258" w:lineRule="auto"/>
        <w:rPr>
          <w:sz w:val="20"/>
          <w:szCs w:val="20"/>
          <w:color w:val="auto"/>
        </w:rPr>
      </w:pPr>
      <w:r>
        <w:rPr>
          <w:rFonts w:ascii="Arial" w:cs="Arial" w:eastAsia="Arial" w:hAnsi="Arial"/>
          <w:sz w:val="17"/>
          <w:szCs w:val="17"/>
          <w:b w:val="1"/>
          <w:bCs w:val="1"/>
          <w:i w:val="1"/>
          <w:iCs w:val="1"/>
          <w:color w:val="auto"/>
        </w:rPr>
        <w:t>We have a substantial amount of goodwill and intangible assets which over time may have to be written down as we make the required periodic assessments as to their value as reflected on our financial statements.</w:t>
      </w:r>
    </w:p>
    <w:p>
      <w:pPr>
        <w:spacing w:after="0" w:line="106" w:lineRule="exact"/>
        <w:rPr>
          <w:sz w:val="20"/>
          <w:szCs w:val="20"/>
          <w:color w:val="auto"/>
        </w:rPr>
      </w:pPr>
    </w:p>
    <w:p>
      <w:pPr>
        <w:ind w:right="40" w:firstLine="441"/>
        <w:spacing w:after="0" w:line="239" w:lineRule="auto"/>
        <w:rPr>
          <w:sz w:val="20"/>
          <w:szCs w:val="20"/>
          <w:color w:val="auto"/>
        </w:rPr>
      </w:pPr>
      <w:r>
        <w:rPr>
          <w:rFonts w:ascii="Arial" w:cs="Arial" w:eastAsia="Arial" w:hAnsi="Arial"/>
          <w:sz w:val="16"/>
          <w:szCs w:val="16"/>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22" w:lineRule="exact"/>
        <w:rPr>
          <w:sz w:val="20"/>
          <w:szCs w:val="20"/>
          <w:color w:val="auto"/>
        </w:rPr>
      </w:pPr>
    </w:p>
    <w:p>
      <w:pPr>
        <w:jc w:val="both"/>
        <w:ind w:right="260" w:firstLine="441"/>
        <w:spacing w:after="0" w:line="284" w:lineRule="auto"/>
        <w:rPr>
          <w:sz w:val="20"/>
          <w:szCs w:val="20"/>
          <w:color w:val="auto"/>
        </w:rPr>
      </w:pPr>
      <w:r>
        <w:rPr>
          <w:rFonts w:ascii="Arial" w:cs="Arial" w:eastAsia="Arial" w:hAnsi="Arial"/>
          <w:sz w:val="15"/>
          <w:szCs w:val="15"/>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90" w:lineRule="exact"/>
        <w:rPr>
          <w:sz w:val="20"/>
          <w:szCs w:val="20"/>
          <w:color w:val="auto"/>
        </w:rPr>
      </w:pPr>
    </w:p>
    <w:p>
      <w:pPr>
        <w:ind w:right="20" w:firstLine="441"/>
        <w:spacing w:after="0" w:line="235" w:lineRule="auto"/>
        <w:rPr>
          <w:sz w:val="20"/>
          <w:szCs w:val="20"/>
          <w:color w:val="auto"/>
        </w:rPr>
      </w:pPr>
      <w:r>
        <w:rPr>
          <w:rFonts w:ascii="Arial" w:cs="Arial" w:eastAsia="Arial" w:hAnsi="Arial"/>
          <w:sz w:val="16"/>
          <w:szCs w:val="16"/>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w:t>
      </w:r>
    </w:p>
    <w:p>
      <w:pPr>
        <w:spacing w:after="0" w:line="125" w:lineRule="exact"/>
        <w:rPr>
          <w:sz w:val="20"/>
          <w:szCs w:val="20"/>
          <w:color w:val="auto"/>
        </w:rPr>
      </w:pPr>
    </w:p>
    <w:p>
      <w:pPr>
        <w:ind w:right="140" w:firstLine="441"/>
        <w:spacing w:after="0" w:line="244" w:lineRule="auto"/>
        <w:rPr>
          <w:sz w:val="20"/>
          <w:szCs w:val="20"/>
          <w:color w:val="auto"/>
        </w:rPr>
      </w:pPr>
      <w:r>
        <w:rPr>
          <w:rFonts w:ascii="Arial" w:cs="Arial" w:eastAsia="Arial" w:hAnsi="Arial"/>
          <w:sz w:val="16"/>
          <w:szCs w:val="16"/>
          <w:color w:val="auto"/>
        </w:rPr>
        <w:t>In connection with the audit of our financial statements as of and for the year ended December 31, 2016, we identified a material weakness in our internal control over financial reporting. The material weakness related to a lack of effective controls to adequately restrict access and segregate duties. We implemented measures and remediated the material weakness in 2017; however, we cannot assure you that the measures we have taken to date, and are continuing to implement, will be sufficient to avoid potential future material weaknesses. The existence of one or more material weaknesses could preclude a</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400"/>
        <w:spacing w:after="0" w:line="258" w:lineRule="auto"/>
        <w:rPr>
          <w:sz w:val="20"/>
          <w:szCs w:val="20"/>
          <w:color w:val="auto"/>
        </w:rPr>
      </w:pPr>
      <w:r>
        <w:rPr>
          <w:rFonts w:ascii="Arial" w:cs="Arial" w:eastAsia="Arial" w:hAnsi="Arial"/>
          <w:sz w:val="17"/>
          <w:szCs w:val="17"/>
          <w:color w:val="auto"/>
        </w:rPr>
        <w:t>conclusion that we maintain effective internal control over financial reporting. Accordingly, there could be a possibility that a material misstatement of our financial statements would not be prevented or detected on a timely basis.</w:t>
      </w:r>
    </w:p>
    <w:p>
      <w:pPr>
        <w:spacing w:after="0" w:line="106"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or JOBS Act if we continue to take advantage of the exemptions contained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122" w:lineRule="exact"/>
        <w:rPr>
          <w:sz w:val="20"/>
          <w:szCs w:val="20"/>
          <w:color w:val="auto"/>
        </w:rPr>
      </w:pPr>
    </w:p>
    <w:p>
      <w:pPr>
        <w:ind w:right="20" w:firstLine="441"/>
        <w:spacing w:after="0" w:line="324" w:lineRule="auto"/>
        <w:rPr>
          <w:sz w:val="20"/>
          <w:szCs w:val="20"/>
          <w:color w:val="auto"/>
        </w:rPr>
      </w:pPr>
      <w:r>
        <w:rPr>
          <w:rFonts w:ascii="Arial" w:cs="Arial" w:eastAsia="Arial" w:hAnsi="Arial"/>
          <w:sz w:val="15"/>
          <w:szCs w:val="15"/>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61"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Our facilities in the San Francisco Bay Area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148"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We currently do not have any products approved or cleared by the FDA or other similar foreign regulatory authorities for commercial sale or any commercialized products.</w:t>
      </w:r>
    </w:p>
    <w:p>
      <w:pPr>
        <w:spacing w:after="0" w:line="121"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To date, we have invested a substantial amount of time and capital to research and develop the foundations of our technology and potential applications. For us to develop any products that might ultimately be commercialized, we will have to invest further time and capital in research and product development, obtaining regulatory approval or clearance, implementing regulatory compliance standards, and market development. Pending regulatory clearance of our CellFX System, we plan to commercially introduce our CellFX System in the United States. However, we may never develop any products that can be commercialized. All of our development efforts will require substantial additional investment, which may never result in any revenue. Our efforts may not lead to approved or commercially successful products for a number of reasons, including:</w:t>
      </w:r>
    </w:p>
    <w:p>
      <w:pPr>
        <w:spacing w:after="0" w:line="122" w:lineRule="exact"/>
        <w:rPr>
          <w:sz w:val="20"/>
          <w:szCs w:val="20"/>
          <w:color w:val="auto"/>
        </w:rPr>
      </w:pPr>
    </w:p>
    <w:p>
      <w:pPr>
        <w:ind w:left="860" w:hanging="42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complete the development of any planned products;</w:t>
      </w:r>
    </w:p>
    <w:p>
      <w:pPr>
        <w:spacing w:after="0" w:line="144" w:lineRule="exact"/>
        <w:rPr>
          <w:rFonts w:ascii="Arial" w:cs="Arial" w:eastAsia="Arial" w:hAnsi="Arial"/>
          <w:sz w:val="18"/>
          <w:szCs w:val="18"/>
          <w:color w:val="auto"/>
        </w:rPr>
      </w:pPr>
    </w:p>
    <w:p>
      <w:pPr>
        <w:ind w:left="860" w:right="140" w:hanging="427"/>
        <w:spacing w:after="0" w:line="235"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obtain regulatory approvals or clearances for our planned products, or the approved indications may be narrower than we seek;</w:t>
      </w:r>
    </w:p>
    <w:p>
      <w:pPr>
        <w:spacing w:after="0" w:line="121" w:lineRule="exact"/>
        <w:rPr>
          <w:rFonts w:ascii="Arial" w:cs="Arial" w:eastAsia="Arial" w:hAnsi="Arial"/>
          <w:sz w:val="18"/>
          <w:szCs w:val="18"/>
          <w:color w:val="auto"/>
        </w:rPr>
      </w:pPr>
    </w:p>
    <w:p>
      <w:pPr>
        <w:ind w:left="860" w:right="600" w:hanging="427"/>
        <w:spacing w:after="0" w:line="235"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delays in our development program, clinical trials and the regulatory approval or clearance process;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NPS technology may not prove to be safe or effective in clinical trials;</w:t>
      </w:r>
    </w:p>
    <w:p>
      <w:pPr>
        <w:spacing w:after="0" w:line="144" w:lineRule="exact"/>
        <w:rPr>
          <w:rFonts w:ascii="Arial" w:cs="Arial" w:eastAsia="Arial" w:hAnsi="Arial"/>
          <w:sz w:val="18"/>
          <w:szCs w:val="18"/>
          <w:color w:val="auto"/>
        </w:rPr>
      </w:pPr>
    </w:p>
    <w:p>
      <w:pPr>
        <w:ind w:left="860" w:right="720" w:hanging="427"/>
        <w:spacing w:after="0" w:line="235"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physicians may not receive any reimbursement from third-party payers, or the level of reimbursement may be insufficient to support widespread adoption of any of our products;</w:t>
      </w:r>
    </w:p>
    <w:p>
      <w:pPr>
        <w:spacing w:after="0" w:line="121" w:lineRule="exact"/>
        <w:rPr>
          <w:rFonts w:ascii="Arial" w:cs="Arial" w:eastAsia="Arial" w:hAnsi="Arial"/>
          <w:sz w:val="18"/>
          <w:szCs w:val="18"/>
          <w:color w:val="auto"/>
        </w:rPr>
      </w:pPr>
    </w:p>
    <w:p>
      <w:pPr>
        <w:ind w:left="860" w:right="700" w:hanging="427"/>
        <w:spacing w:after="0" w:line="235"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products that are approved or cleared by regulatory authorities may not be accepted in the marketplace by physicians or patients;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manufacture our products in commercial quantities or at an acceptable cost; and</w:t>
      </w:r>
    </w:p>
    <w:p>
      <w:pPr>
        <w:spacing w:after="0" w:line="144" w:lineRule="exact"/>
        <w:rPr>
          <w:rFonts w:ascii="Arial" w:cs="Arial" w:eastAsia="Arial" w:hAnsi="Arial"/>
          <w:sz w:val="18"/>
          <w:szCs w:val="18"/>
          <w:color w:val="auto"/>
        </w:rPr>
      </w:pPr>
    </w:p>
    <w:p>
      <w:pPr>
        <w:ind w:left="860" w:right="60" w:hanging="427"/>
        <w:spacing w:after="0" w:line="235"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rapid technological change or the appearance of a new competitive technology may make our technology and products obsolete.</w:t>
      </w:r>
    </w:p>
    <w:p>
      <w:pPr>
        <w:spacing w:after="0" w:line="121" w:lineRule="exact"/>
        <w:rPr>
          <w:sz w:val="20"/>
          <w:szCs w:val="20"/>
          <w:color w:val="auto"/>
        </w:rPr>
      </w:pPr>
    </w:p>
    <w:p>
      <w:pPr>
        <w:ind w:right="160" w:firstLine="441"/>
        <w:spacing w:after="0" w:line="235"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121" w:lineRule="exact"/>
        <w:rPr>
          <w:sz w:val="20"/>
          <w:szCs w:val="20"/>
          <w:color w:val="auto"/>
        </w:rPr>
      </w:pPr>
    </w:p>
    <w:p>
      <w:pPr>
        <w:ind w:right="160" w:firstLine="441"/>
        <w:spacing w:after="0" w:line="241"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or delay can occur at any time during the clinical trial process. Success in nonclinical studies and early feasibility clinical studies does not ensure that expanded clinical trials that will be used to support regulatory submissions will be successful. These setbacks have been caused by, among other things, nonclinical findings made while clinical trials were underway, and safety or efficacy observations made in clinical trials, including previously unreported adverse events. Even if our clinical trials are completed, the results may not be sufficient to obtain regulatory approval or clearance for our product candidates.</w:t>
      </w:r>
    </w:p>
    <w:p>
      <w:pPr>
        <w:spacing w:after="0" w:line="120" w:lineRule="exact"/>
        <w:rPr>
          <w:sz w:val="20"/>
          <w:szCs w:val="20"/>
          <w:color w:val="auto"/>
        </w:rPr>
      </w:pPr>
    </w:p>
    <w:p>
      <w:pPr>
        <w:ind w:right="60" w:firstLine="441"/>
        <w:spacing w:after="0" w:line="224" w:lineRule="auto"/>
        <w:rPr>
          <w:sz w:val="20"/>
          <w:szCs w:val="20"/>
          <w:color w:val="auto"/>
        </w:rPr>
      </w:pPr>
      <w:r>
        <w:rPr>
          <w:rFonts w:ascii="Arial" w:cs="Arial" w:eastAsia="Arial" w:hAnsi="Arial"/>
          <w:sz w:val="18"/>
          <w:szCs w:val="18"/>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23" w:lineRule="exact"/>
        <w:rPr>
          <w:sz w:val="20"/>
          <w:szCs w:val="20"/>
          <w:color w:val="auto"/>
        </w:rPr>
      </w:pPr>
    </w:p>
    <w:p>
      <w:pPr>
        <w:ind w:right="40" w:firstLine="501"/>
        <w:spacing w:after="0" w:line="225" w:lineRule="auto"/>
        <w:rPr>
          <w:sz w:val="20"/>
          <w:szCs w:val="20"/>
          <w:color w:val="auto"/>
        </w:rPr>
      </w:pPr>
      <w:r>
        <w:rPr>
          <w:rFonts w:ascii="Arial" w:cs="Arial" w:eastAsia="Arial" w:hAnsi="Arial"/>
          <w:sz w:val="17"/>
          <w:szCs w:val="17"/>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80" w:firstLine="441"/>
        <w:spacing w:after="0" w:line="259" w:lineRule="auto"/>
        <w:rPr>
          <w:sz w:val="20"/>
          <w:szCs w:val="20"/>
          <w:color w:val="auto"/>
        </w:rPr>
      </w:pPr>
      <w:r>
        <w:rPr>
          <w:rFonts w:ascii="Arial" w:cs="Arial" w:eastAsia="Arial" w:hAnsi="Arial"/>
          <w:sz w:val="16"/>
          <w:szCs w:val="16"/>
          <w:b w:val="1"/>
          <w:bCs w:val="1"/>
          <w:i w:val="1"/>
          <w:iCs w:val="1"/>
          <w:color w:val="auto"/>
        </w:rPr>
        <w:t>If we fail to obtain and maintain necessary regulatory clearances or approvals for our planned products, or if clearances or approvals for future devices and indications are delayed or not issued, our commercial operations would be harmed. Additionally, changes in methods of product candidate manufacturing may result in additional costs or delay.</w:t>
      </w:r>
    </w:p>
    <w:p>
      <w:pPr>
        <w:spacing w:after="0" w:line="107" w:lineRule="exact"/>
        <w:rPr>
          <w:sz w:val="20"/>
          <w:szCs w:val="20"/>
          <w:color w:val="auto"/>
        </w:rPr>
      </w:pPr>
    </w:p>
    <w:p>
      <w:pPr>
        <w:ind w:right="20" w:firstLine="441"/>
        <w:spacing w:after="0" w:line="224" w:lineRule="auto"/>
        <w:rPr>
          <w:sz w:val="20"/>
          <w:szCs w:val="20"/>
          <w:color w:val="auto"/>
        </w:rPr>
      </w:pPr>
      <w:r>
        <w:rPr>
          <w:rFonts w:ascii="Arial" w:cs="Arial" w:eastAsia="Arial" w:hAnsi="Arial"/>
          <w:sz w:val="18"/>
          <w:szCs w:val="18"/>
          <w:color w:val="auto"/>
        </w:rPr>
        <w:t>Our product candidates under development are medical devices that are subject to extensive regulation by FDA in the United States and by regulatory agencies in other countries where we plan to do business. Government regulations specific to medical devices are wide-ranging and govern, among other things:</w:t>
      </w:r>
    </w:p>
    <w:p>
      <w:pPr>
        <w:spacing w:after="0" w:line="123" w:lineRule="exact"/>
        <w:rPr>
          <w:sz w:val="20"/>
          <w:szCs w:val="20"/>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device design, development and manufacture;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laboratory, pre-clinical and clinical testing, labeling, packaging, storage and distribution;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premarketing clearance and approval;</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device marketing, promotion and advertising, sales and distribution;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post-marketing surveillance, including reporting of deaths and serious injuries and recalls and correction and removals.</w:t>
      </w:r>
    </w:p>
    <w:p>
      <w:pPr>
        <w:spacing w:after="0" w:line="167" w:lineRule="exact"/>
        <w:rPr>
          <w:sz w:val="20"/>
          <w:szCs w:val="20"/>
          <w:color w:val="auto"/>
        </w:rPr>
      </w:pPr>
    </w:p>
    <w:p>
      <w:pPr>
        <w:ind w:right="40" w:firstLine="441"/>
        <w:spacing w:after="0" w:line="233" w:lineRule="auto"/>
        <w:rPr>
          <w:sz w:val="20"/>
          <w:szCs w:val="20"/>
          <w:color w:val="auto"/>
        </w:rPr>
      </w:pPr>
      <w:r>
        <w:rPr>
          <w:rFonts w:ascii="Arial" w:cs="Arial" w:eastAsia="Arial" w:hAnsi="Arial"/>
          <w:sz w:val="16"/>
          <w:szCs w:val="16"/>
          <w:color w:val="auto"/>
        </w:rPr>
        <w:t>Before a new medical device or a new intended use for, an existing device can be marketed in the United States, a company must first submit and receive either 510(k) clearance or premarketing approval, or PMA, from the FDA, unless an exemption applies. In the 510(k) 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with reasonable scientific data the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For example, during February 2019, we submitted a 510(k) to the FDA seeking clearance to commercialize our CellFX System. During April 2019, we received an AI letter request from the FDA that, among other things, requested additional information regarding our selected predicate device and clinical data provided in the 510(k). Responding to this has added time to our approval process and may require additional testing, including clinical trials. We submitted our response to the AI letter during the third quarter of 2019 and anticipate a decision from the FDA during the fourth quarter of 2019. However, we may not be able to obtain the necessary clearances or approvals necessary to market our CellFX System or such approvals or clearances may be unduly delayed, which could harm our business.</w:t>
      </w:r>
    </w:p>
    <w:p>
      <w:pPr>
        <w:spacing w:after="0" w:line="124"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The FDA and the Federal Trade Commission, or FTC, also regulate the advertising and promotion of our devices to ensure that the claims we make are consistent with our regulatory clearances, that there are adequate and reasonable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22" w:lineRule="exact"/>
        <w:rPr>
          <w:sz w:val="20"/>
          <w:szCs w:val="20"/>
          <w:color w:val="auto"/>
        </w:rPr>
      </w:pPr>
    </w:p>
    <w:p>
      <w:pPr>
        <w:ind w:right="260" w:firstLine="441"/>
        <w:spacing w:after="0" w:line="289" w:lineRule="auto"/>
        <w:rPr>
          <w:sz w:val="20"/>
          <w:szCs w:val="20"/>
          <w:color w:val="auto"/>
        </w:rPr>
      </w:pPr>
      <w:r>
        <w:rPr>
          <w:rFonts w:ascii="Arial" w:cs="Arial" w:eastAsia="Arial" w:hAnsi="Arial"/>
          <w:sz w:val="16"/>
          <w:szCs w:val="16"/>
          <w:color w:val="auto"/>
        </w:rPr>
        <w:t>FDA and state authorities have broad enforcement powers. Our failure to comply with applicable regulatory requirements could result in enforcement action by the FDA or state agencies, which may include any of the following sanctions:</w:t>
      </w:r>
    </w:p>
    <w:p>
      <w:pPr>
        <w:spacing w:after="0" w:line="84" w:lineRule="exact"/>
        <w:rPr>
          <w:sz w:val="20"/>
          <w:szCs w:val="20"/>
          <w:color w:val="auto"/>
        </w:rPr>
      </w:pPr>
    </w:p>
    <w:p>
      <w:pPr>
        <w:ind w:left="860" w:hanging="4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publicity, warning letters, fines, injunctions, consent decrees and civil penalties;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devices;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44" w:lineRule="exact"/>
        <w:rPr>
          <w:rFonts w:ascii="Arial" w:cs="Arial" w:eastAsia="Arial" w:hAnsi="Arial"/>
          <w:sz w:val="18"/>
          <w:szCs w:val="18"/>
          <w:color w:val="auto"/>
        </w:rPr>
      </w:pPr>
    </w:p>
    <w:p>
      <w:pPr>
        <w:ind w:left="860" w:hanging="427"/>
        <w:spacing w:after="0" w:line="235"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refusing our requests for 510(k) clearance or premarket approval of new devices, new intended uses or modifications to existing devices;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withdrawing 510(k) clearance or premarket approvals that have already been granted;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events were to occur, our business and financial condition would be harmed.</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efforts may never demonstrate the feasibility of our technology</w:t>
      </w:r>
      <w:r>
        <w:rPr>
          <w:rFonts w:ascii="Arial" w:cs="Arial" w:eastAsia="Arial" w:hAnsi="Arial"/>
          <w:sz w:val="18"/>
          <w:szCs w:val="18"/>
          <w:color w:val="auto"/>
        </w:rPr>
        <w:t>.</w:t>
      </w:r>
    </w:p>
    <w:p>
      <w:pPr>
        <w:spacing w:after="0" w:line="144" w:lineRule="exact"/>
        <w:rPr>
          <w:sz w:val="20"/>
          <w:szCs w:val="20"/>
          <w:color w:val="auto"/>
        </w:rPr>
      </w:pPr>
    </w:p>
    <w:p>
      <w:pPr>
        <w:ind w:right="20" w:firstLine="441"/>
        <w:spacing w:after="0" w:line="236" w:lineRule="auto"/>
        <w:rPr>
          <w:sz w:val="20"/>
          <w:szCs w:val="20"/>
          <w:color w:val="auto"/>
        </w:rPr>
      </w:pPr>
      <w:r>
        <w:rPr>
          <w:rFonts w:ascii="Arial" w:cs="Arial" w:eastAsia="Arial" w:hAnsi="Arial"/>
          <w:sz w:val="16"/>
          <w:szCs w:val="16"/>
          <w:color w:val="auto"/>
        </w:rPr>
        <w:t>Our research and development efforts remain subject to all of the risks associated with the development of new technology. Our CellFX System and NPS applications are not yet fully developed. Development of the underlying technology, including the development of our CellFX System, may be affected by unanticipated technical or other problems, among other development and research issues, and the possible insufficiency of funds needed in order to complete development of these products or devices. Regulatory and clinical hurdles or challenges also may result in delays and cause us to incur additional expenses that may increase our need for capital and result in additional losses. In addition, the potential indications for our NPS technology are numerous, and we may fail to pursue the most optimal indications. If we cannot complete, or if we experience significant delays in developing our technology, applications or products for use in potential commercial applications, particularly after incurring significant expenditures, our business may fail and investors may lose the entirety of their investment.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mechanism of action of NPS technology platform has not been fully determined or validated.</w:t>
      </w:r>
    </w:p>
    <w:p>
      <w:pPr>
        <w:spacing w:after="0" w:line="144" w:lineRule="exact"/>
        <w:rPr>
          <w:sz w:val="20"/>
          <w:szCs w:val="20"/>
          <w:color w:val="auto"/>
        </w:rPr>
      </w:pPr>
    </w:p>
    <w:p>
      <w:pPr>
        <w:ind w:firstLine="441"/>
        <w:spacing w:after="0" w:line="212" w:lineRule="auto"/>
        <w:rPr>
          <w:sz w:val="20"/>
          <w:szCs w:val="20"/>
          <w:color w:val="auto"/>
        </w:rPr>
      </w:pPr>
      <w:r>
        <w:rPr>
          <w:rFonts w:ascii="Arial" w:cs="Arial" w:eastAsia="Arial" w:hAnsi="Arial"/>
          <w:sz w:val="18"/>
          <w:szCs w:val="18"/>
          <w:color w:val="auto"/>
        </w:rPr>
        <w:t>The exact mechanism(s) of action(s) of the NPS technology platform is not fully understood, and data is still being gathered regarding its use. Furthermore, there are only a relatively small number of scientists and researchers who can be considered experts in the use of this emerging technology. A full understanding of a future product’s mechanism of action and a large scale of scientific experts are typically believed to make product development less risky. The FDA or similar foreign regulatory authorities may view this as increasing the potential risks, and diminishing the potential benefits, of products based on NPS technology. In addition, potential partners may view this as a limitation of the program, and it may be more challenging for us to obtain a partnership on favorable terms as a result.</w:t>
      </w:r>
    </w:p>
    <w:p>
      <w:pPr>
        <w:spacing w:after="0" w:line="125" w:lineRule="exact"/>
        <w:rPr>
          <w:sz w:val="20"/>
          <w:szCs w:val="20"/>
          <w:color w:val="auto"/>
        </w:rPr>
      </w:pPr>
    </w:p>
    <w:p>
      <w:pPr>
        <w:ind w:right="300" w:firstLine="441"/>
        <w:spacing w:after="0" w:line="224" w:lineRule="auto"/>
        <w:rPr>
          <w:sz w:val="20"/>
          <w:szCs w:val="20"/>
          <w:color w:val="auto"/>
        </w:rPr>
      </w:pPr>
      <w:r>
        <w:rPr>
          <w:rFonts w:ascii="Arial" w:cs="Arial" w:eastAsia="Arial" w:hAnsi="Arial"/>
          <w:sz w:val="18"/>
          <w:szCs w:val="18"/>
          <w:b w:val="1"/>
          <w:bCs w:val="1"/>
          <w:i w:val="1"/>
          <w:iCs w:val="1"/>
          <w:color w:val="auto"/>
        </w:rPr>
        <w:t>Our planned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23"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 xml:space="preserve">The risk of failure of clinical development is high. For example, the vast majority of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data has been a result of animal testing, and we have only completed a limited number of feasibility studies in humans. It is difficult to predict when or if this or any planned products will prove safe enough to receive regulatory approval or clearance. Undesirable side effects caused by our CellFX System, NPS or any of our planned products could cause us or regulatory authorities to interrupt, delay or halt clinical trials. They could result in a more restrictive label or the delay or denial of regulatory approval by the FDA or other comparable foreign regulatory authority.</w:t>
      </w:r>
    </w:p>
    <w:p>
      <w:pPr>
        <w:spacing w:after="0" w:line="122"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Additionally, if any of our planned products receive marketing approval or clearance but, we or others later identify undesirable side effects caused by such product, a number of potentially significant negative consequences could result, including:</w:t>
      </w:r>
    </w:p>
    <w:p>
      <w:pPr>
        <w:spacing w:after="0" w:line="84" w:lineRule="exact"/>
        <w:rPr>
          <w:sz w:val="20"/>
          <w:szCs w:val="20"/>
          <w:color w:val="auto"/>
        </w:rPr>
      </w:pPr>
    </w:p>
    <w:p>
      <w:pPr>
        <w:ind w:left="860" w:hanging="42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44" w:lineRule="exact"/>
        <w:rPr>
          <w:rFonts w:ascii="Arial" w:cs="Arial" w:eastAsia="Arial" w:hAnsi="Arial"/>
          <w:sz w:val="18"/>
          <w:szCs w:val="18"/>
          <w:color w:val="auto"/>
        </w:rPr>
      </w:pPr>
    </w:p>
    <w:p>
      <w:pPr>
        <w:ind w:left="860" w:right="60" w:hanging="427"/>
        <w:spacing w:after="0" w:line="235"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121" w:lineRule="exact"/>
        <w:rPr>
          <w:rFonts w:ascii="Arial" w:cs="Arial" w:eastAsia="Arial" w:hAnsi="Arial"/>
          <w:sz w:val="18"/>
          <w:szCs w:val="18"/>
          <w:color w:val="auto"/>
        </w:rPr>
      </w:pPr>
    </w:p>
    <w:p>
      <w:pPr>
        <w:ind w:left="860" w:right="20" w:hanging="427"/>
        <w:spacing w:after="0" w:line="235"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such product;</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FDA may restrict distribution of our products and impose burdensome implementation requirements on us;</w:t>
      </w:r>
    </w:p>
    <w:p>
      <w:pPr>
        <w:spacing w:after="0" w:line="155" w:lineRule="exact"/>
        <w:rPr>
          <w:rFonts w:ascii="Arial" w:cs="Arial" w:eastAsia="Arial" w:hAnsi="Arial"/>
          <w:sz w:val="17"/>
          <w:szCs w:val="17"/>
          <w:color w:val="auto"/>
        </w:rPr>
      </w:pPr>
    </w:p>
    <w:p>
      <w:pPr>
        <w:ind w:left="860" w:hanging="42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860" w:hanging="427"/>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121"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b w:val="1"/>
          <w:bCs w:val="1"/>
          <w:i w:val="1"/>
          <w:iCs w:val="1"/>
          <w:color w:val="auto"/>
        </w:rPr>
        <w:t>Our business is dependent upon physicians adopting our CellFX System and NPS technology, and if we fail to obtain broad adoption, our business would be adversely affected.</w:t>
      </w:r>
    </w:p>
    <w:p>
      <w:pPr>
        <w:spacing w:after="0" w:line="121" w:lineRule="exact"/>
        <w:rPr>
          <w:sz w:val="20"/>
          <w:szCs w:val="20"/>
          <w:color w:val="auto"/>
        </w:rPr>
      </w:pPr>
    </w:p>
    <w:p>
      <w:pPr>
        <w:ind w:firstLine="441"/>
        <w:spacing w:after="0" w:line="234" w:lineRule="auto"/>
        <w:rPr>
          <w:sz w:val="20"/>
          <w:szCs w:val="20"/>
          <w:color w:val="auto"/>
        </w:rPr>
      </w:pPr>
      <w:r>
        <w:rPr>
          <w:rFonts w:ascii="Arial" w:cs="Arial" w:eastAsia="Arial" w:hAnsi="Arial"/>
          <w:sz w:val="16"/>
          <w:szCs w:val="16"/>
          <w:color w:val="auto"/>
        </w:rPr>
        <w:t>If we obtain regulatory approval or clearance for our CellFX System, our success will depend on our ability to educate physicians regarding the benefits of CellFX procedures over existing treatment modalities and to persuade them to prescribe CellFX procedures for their patients. We do not know if the CellFX System or NPS technology will be successful over the long term, and market acceptance may be hindered if physicians are not presented with compelling data demonstrating the efficacy and safety of our products compared to alternative treatments. Any studies we, or third parties, may conduct comparing our CellFX System or NPS technology with alternative treatments may be expensive, time consuming or may not yield positive results. Additionally, adoption will be directly influenced by a number of financial factors, including the ability of providers to attract cash payments from patients or to obtain sufficient reimbursement from third party commercial payors, and the Centers for Medicare &amp; Medicaid Services, or CMS, for the professional services they provide in administering CellFX procedures. The efficacy, safety, performance and cost-effectiveness of our CellFX System, NPS technology, or other potential products based on NPS technology, on a stand-alone basis and relative to competing services, will determine the availability and level of reimbursement received by us and providers. If physicians do not adopt and prescribe our future products, we may never become profitable.</w:t>
      </w:r>
    </w:p>
    <w:p>
      <w:pPr>
        <w:spacing w:after="0" w:line="130" w:lineRule="exact"/>
        <w:rPr>
          <w:sz w:val="20"/>
          <w:szCs w:val="20"/>
          <w:color w:val="auto"/>
        </w:rPr>
      </w:pPr>
    </w:p>
    <w:p>
      <w:pPr>
        <w:ind w:right="60" w:firstLine="441"/>
        <w:spacing w:after="0" w:line="224"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123" w:lineRule="exact"/>
        <w:rPr>
          <w:sz w:val="20"/>
          <w:szCs w:val="20"/>
          <w:color w:val="auto"/>
        </w:rPr>
      </w:pPr>
    </w:p>
    <w:p>
      <w:pPr>
        <w:ind w:right="20" w:firstLine="441"/>
        <w:spacing w:after="0" w:line="221"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life sciences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or GCPs, we may be unable to use the data gathered at those sites.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These delays could result in increased costs, delays in advancing our product development, delays in testing the effectiveness of our technology or termination of the clinical trials altogether.</w:t>
      </w:r>
    </w:p>
    <w:p>
      <w:pPr>
        <w:spacing w:after="0" w:line="122"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b w:val="1"/>
          <w:bCs w:val="1"/>
          <w:i w:val="1"/>
          <w:iCs w:val="1"/>
          <w:color w:val="auto"/>
        </w:rPr>
        <w:t>Laboratory conditions differ from commercial conditions and field conditions, and the safety and effectiveness of our planned products may depend on the technique of the user.</w:t>
      </w:r>
    </w:p>
    <w:p>
      <w:pPr>
        <w:spacing w:after="0" w:line="121" w:lineRule="exact"/>
        <w:rPr>
          <w:sz w:val="20"/>
          <w:szCs w:val="20"/>
          <w:color w:val="auto"/>
        </w:rPr>
      </w:pPr>
    </w:p>
    <w:p>
      <w:pPr>
        <w:ind w:right="20" w:firstLine="441"/>
        <w:spacing w:after="0" w:line="237" w:lineRule="auto"/>
        <w:rPr>
          <w:sz w:val="20"/>
          <w:szCs w:val="20"/>
          <w:color w:val="auto"/>
        </w:rPr>
      </w:pPr>
      <w:r>
        <w:rPr>
          <w:rFonts w:ascii="Arial" w:cs="Arial" w:eastAsia="Arial" w:hAnsi="Arial"/>
          <w:sz w:val="16"/>
          <w:szCs w:val="16"/>
          <w:color w:val="auto"/>
        </w:rPr>
        <w:t>Observations and developments that may be achievable under laboratory circumstances may not be able to be replicated in broader research and development phases, in commercial settings, or in the use of any of the planned products in the field. Furthermore, if commercialized, CellFX procedures will be administered by healthcare professionals and will require a degree of training and practice to administer correctly. Treatment results achieved during the laboratory or in clinical trials conducted by us or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Issues with our firmware and software may negatively affect the function of our devices.</w:t>
      </w:r>
    </w:p>
    <w:p>
      <w:pPr>
        <w:spacing w:after="0" w:line="144" w:lineRule="exact"/>
        <w:rPr>
          <w:sz w:val="20"/>
          <w:szCs w:val="20"/>
          <w:color w:val="auto"/>
        </w:rPr>
      </w:pPr>
    </w:p>
    <w:p>
      <w:pPr>
        <w:ind w:right="100" w:firstLine="441"/>
        <w:spacing w:after="0" w:line="238" w:lineRule="auto"/>
        <w:rPr>
          <w:sz w:val="20"/>
          <w:szCs w:val="20"/>
          <w:color w:val="auto"/>
        </w:rPr>
      </w:pPr>
      <w:r>
        <w:rPr>
          <w:rFonts w:ascii="Arial" w:cs="Arial" w:eastAsia="Arial" w:hAnsi="Arial"/>
          <w:sz w:val="17"/>
          <w:szCs w:val="17"/>
          <w:color w:val="auto"/>
        </w:rPr>
        <w:t>The safety and effectiveness of CellFX procedures may depend, in part, on the function of firmware run by the microprocessors embedded in the device and associated software. This firmware and software is proprietary to us. While we have made efforts to test the firmware and software extensively, it is potentially subject to malfunction which in turn may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right="320"/>
        <w:spacing w:after="0" w:line="224" w:lineRule="auto"/>
        <w:rPr>
          <w:sz w:val="20"/>
          <w:szCs w:val="20"/>
          <w:color w:val="auto"/>
        </w:rPr>
      </w:pPr>
      <w:r>
        <w:rPr>
          <w:rFonts w:ascii="Arial" w:cs="Arial" w:eastAsia="Arial" w:hAnsi="Arial"/>
          <w:sz w:val="18"/>
          <w:szCs w:val="18"/>
          <w:color w:val="auto"/>
        </w:rPr>
        <w:t>harm a patient. Further, it may be vulnerable to physical break-ins, hackers, improper employee or contractor access, computer viruses, programming errors, or similar problems. Any of these might result in harm to a patient or the unauthorized release of confidential medical, business or other information of other persons or of ours.</w:t>
      </w:r>
    </w:p>
    <w:p>
      <w:pPr>
        <w:spacing w:after="0" w:line="123" w:lineRule="exact"/>
        <w:rPr>
          <w:sz w:val="20"/>
          <w:szCs w:val="20"/>
          <w:color w:val="auto"/>
        </w:rPr>
      </w:pPr>
    </w:p>
    <w:p>
      <w:pPr>
        <w:ind w:right="60" w:firstLine="441"/>
        <w:spacing w:after="0" w:line="232" w:lineRule="auto"/>
        <w:rPr>
          <w:sz w:val="20"/>
          <w:szCs w:val="20"/>
          <w:color w:val="auto"/>
        </w:rPr>
      </w:pPr>
      <w:r>
        <w:rPr>
          <w:rFonts w:ascii="Arial" w:cs="Arial" w:eastAsia="Arial" w:hAnsi="Arial"/>
          <w:sz w:val="17"/>
          <w:szCs w:val="17"/>
          <w:b w:val="1"/>
          <w:bCs w:val="1"/>
          <w:i w:val="1"/>
          <w:iCs w:val="1"/>
          <w:color w:val="auto"/>
        </w:rPr>
        <w:t>We may encounter manufacturing problems or delays that could result in lost revenue. Additionally, we currently rely on third-party suppliers for critical materials needed to manufacture our CellFX System and related applicators. Any problems experienced by these suppliers could result in a delay or interruption of their supply to us, and as a result, we may face delays in the development and commercialization of planned products.</w:t>
      </w:r>
    </w:p>
    <w:p>
      <w:pPr>
        <w:spacing w:after="0" w:line="122" w:lineRule="exact"/>
        <w:rPr>
          <w:sz w:val="20"/>
          <w:szCs w:val="20"/>
          <w:color w:val="auto"/>
        </w:rPr>
      </w:pPr>
    </w:p>
    <w:p>
      <w:pPr>
        <w:ind w:right="20" w:firstLine="441"/>
        <w:spacing w:after="0" w:line="236" w:lineRule="auto"/>
        <w:rPr>
          <w:sz w:val="20"/>
          <w:szCs w:val="20"/>
          <w:color w:val="auto"/>
        </w:rPr>
      </w:pPr>
      <w:r>
        <w:rPr>
          <w:rFonts w:ascii="Arial" w:cs="Arial" w:eastAsia="Arial" w:hAnsi="Arial"/>
          <w:sz w:val="16"/>
          <w:szCs w:val="16"/>
          <w:color w:val="auto"/>
        </w:rPr>
        <w:t>We perform final assembly of our devices to support our current research and development activities at our facility in California. We believe we have adequate manufacturing capacity for these purposes. However, if demand for our planned products increases significantly, we will need to either expand our manufacturing capabilities or outsource to other manufacturers. We have no corporate experience in commercial-scale manufacturing of our planned products, and we currently rely upon third-party suppliers to manufacture and supply components for our CellFX System.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w:t>
      </w:r>
    </w:p>
    <w:p>
      <w:pPr>
        <w:spacing w:after="0" w:line="127"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We do not control the manufacturing process of, and are completely dependent on, our contract manufacturing partners for compliance with the regulatory requirements, and if our contract manufacturers cannot successfully manufacture our product candidates that conform to our specifications and the strict regulatory requirements of the FDA or comparable regulatory authorities in foreign jurisdictions, we may not be able to rely on their manufacturing facilities for the manufacture of our product candidates.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21" w:lineRule="exact"/>
        <w:rPr>
          <w:sz w:val="20"/>
          <w:szCs w:val="20"/>
          <w:color w:val="auto"/>
        </w:rPr>
      </w:pPr>
    </w:p>
    <w:p>
      <w:pPr>
        <w:ind w:firstLine="441"/>
        <w:spacing w:after="0" w:line="249" w:lineRule="auto"/>
        <w:rPr>
          <w:sz w:val="20"/>
          <w:szCs w:val="20"/>
          <w:color w:val="auto"/>
        </w:rPr>
      </w:pPr>
      <w:r>
        <w:rPr>
          <w:rFonts w:ascii="Arial" w:cs="Arial" w:eastAsia="Arial" w:hAnsi="Arial"/>
          <w:sz w:val="16"/>
          <w:szCs w:val="16"/>
          <w:color w:val="auto"/>
        </w:rPr>
        <w:t>We currently purchase components for our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We could experience delays in manufacturing the devices while finding another acceptable supplier, which could impact our results of operations.</w:t>
      </w:r>
    </w:p>
    <w:p>
      <w:pPr>
        <w:spacing w:after="0" w:line="114" w:lineRule="exact"/>
        <w:rPr>
          <w:sz w:val="20"/>
          <w:szCs w:val="20"/>
          <w:color w:val="auto"/>
        </w:rPr>
      </w:pPr>
    </w:p>
    <w:p>
      <w:pPr>
        <w:ind w:right="180" w:firstLine="441"/>
        <w:spacing w:after="0" w:line="235" w:lineRule="auto"/>
        <w:rPr>
          <w:sz w:val="20"/>
          <w:szCs w:val="20"/>
          <w:color w:val="auto"/>
        </w:rPr>
      </w:pPr>
      <w:r>
        <w:rPr>
          <w:rFonts w:ascii="Arial" w:cs="Arial" w:eastAsia="Arial" w:hAnsi="Arial"/>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21" w:lineRule="exact"/>
        <w:rPr>
          <w:sz w:val="20"/>
          <w:szCs w:val="20"/>
          <w:color w:val="auto"/>
        </w:rPr>
      </w:pPr>
    </w:p>
    <w:p>
      <w:pPr>
        <w:ind w:right="100" w:firstLine="441"/>
        <w:spacing w:after="0" w:line="223" w:lineRule="auto"/>
        <w:rPr>
          <w:sz w:val="20"/>
          <w:szCs w:val="20"/>
          <w:color w:val="auto"/>
        </w:rPr>
      </w:pPr>
      <w:r>
        <w:rPr>
          <w:rFonts w:ascii="Arial" w:cs="Arial" w:eastAsia="Arial" w:hAnsi="Arial"/>
          <w:sz w:val="17"/>
          <w:szCs w:val="17"/>
          <w:color w:val="auto"/>
        </w:rPr>
        <w:t>We believe that the commercial viability of our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is not assured. It typically takes a period of use in the market place before coverage and reimbursement is granted, if it is granted at all. In the United States and other jurisdictions in Europe and other regions,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21" w:lineRule="exact"/>
        <w:rPr>
          <w:sz w:val="20"/>
          <w:szCs w:val="20"/>
          <w:color w:val="auto"/>
        </w:rPr>
      </w:pPr>
    </w:p>
    <w:p>
      <w:pPr>
        <w:ind w:right="20" w:firstLine="441"/>
        <w:spacing w:after="0" w:line="236" w:lineRule="auto"/>
        <w:rPr>
          <w:sz w:val="20"/>
          <w:szCs w:val="20"/>
          <w:color w:val="auto"/>
        </w:rPr>
      </w:pPr>
      <w:r>
        <w:rPr>
          <w:rFonts w:ascii="Arial" w:cs="Arial" w:eastAsia="Arial" w:hAnsi="Arial"/>
          <w:sz w:val="16"/>
          <w:szCs w:val="16"/>
          <w:color w:val="auto"/>
        </w:rPr>
        <w:t>Medicare, Medicaid, health maintenance organizations and other third-party payers are increasingly attempting to contain healthcare costs by limiting both the scope of coverage and the level of reimbursement of new medical technologies and products, and as a result, they may not cover or provide adequate payment for the use of our planned products. In order to obtain satisfactory reimbursement arrangements, we may have to agree to a fee or sales price lower than the fee or sales price we might otherwise charge.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our proposed devices and products, we cannot be certain that the reimbursement levels will be adequate. Accordingly, even if our planned products are approved for commercial sale, unless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government and other third-party payers provide adequate coverage and reimbursement for our devices and products, some physicians may be discouraged from using them, and our sales would suffer.</w:t>
      </w:r>
    </w:p>
    <w:p>
      <w:pPr>
        <w:spacing w:after="0" w:line="121"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any of our proposed devices and products, as they are still in the development stages. Coverage presupposes that the technology, device, or product has been cleared or approved by the FDA and further, that the coverage will be no broader than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27" w:lineRule="exact"/>
        <w:rPr>
          <w:sz w:val="20"/>
          <w:szCs w:val="20"/>
          <w:color w:val="auto"/>
        </w:rPr>
      </w:pPr>
    </w:p>
    <w:p>
      <w:pPr>
        <w:ind w:firstLine="441"/>
        <w:spacing w:after="0" w:line="237" w:lineRule="auto"/>
        <w:rPr>
          <w:sz w:val="20"/>
          <w:szCs w:val="20"/>
          <w:color w:val="auto"/>
        </w:rPr>
      </w:pPr>
      <w:r>
        <w:rPr>
          <w:rFonts w:ascii="Arial" w:cs="Arial" w:eastAsia="Arial" w:hAnsi="Arial"/>
          <w:sz w:val="16"/>
          <w:szCs w:val="16"/>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 by state basis, because Medicaid, unlike Medicare, is administered by the states under a state plan filed with the Secretary of the United States Department of Health and Human Services (HHS). Medicaid generally reimburses at lower levels than Medicare. Moreover, Medicaid programs and private insurers are frequently influenced by Medicare coverage determinations</w:t>
      </w:r>
    </w:p>
    <w:p>
      <w:pPr>
        <w:spacing w:after="0" w:line="127" w:lineRule="exact"/>
        <w:rPr>
          <w:sz w:val="20"/>
          <w:szCs w:val="20"/>
          <w:color w:val="auto"/>
        </w:rPr>
      </w:pPr>
    </w:p>
    <w:p>
      <w:pPr>
        <w:jc w:val="both"/>
        <w:ind w:right="100" w:firstLine="441"/>
        <w:spacing w:after="0" w:line="224" w:lineRule="auto"/>
        <w:rPr>
          <w:sz w:val="20"/>
          <w:szCs w:val="20"/>
          <w:color w:val="auto"/>
        </w:rPr>
      </w:pPr>
      <w:r>
        <w:rPr>
          <w:rFonts w:ascii="Arial" w:cs="Arial" w:eastAsia="Arial" w:hAnsi="Arial"/>
          <w:sz w:val="18"/>
          <w:szCs w:val="18"/>
          <w:b w:val="1"/>
          <w:bCs w:val="1"/>
          <w:i w:val="1"/>
          <w:iCs w:val="1"/>
          <w:color w:val="auto"/>
        </w:rPr>
        <w:t>We work with outside scientists and their institutions in developing product candidates. These scientists may have other commitments or conflicts of interest, which could limit our access to their expertise, harm our ability to leverage our discovery platforms, or negatively impact our clinical trials.</w:t>
      </w:r>
    </w:p>
    <w:p>
      <w:pPr>
        <w:spacing w:after="0" w:line="123" w:lineRule="exact"/>
        <w:rPr>
          <w:sz w:val="20"/>
          <w:szCs w:val="20"/>
          <w:color w:val="auto"/>
        </w:rPr>
      </w:pPr>
    </w:p>
    <w:p>
      <w:pPr>
        <w:ind w:right="60" w:firstLine="441"/>
        <w:spacing w:after="0" w:line="234" w:lineRule="auto"/>
        <w:rPr>
          <w:sz w:val="20"/>
          <w:szCs w:val="20"/>
          <w:color w:val="auto"/>
        </w:rPr>
      </w:pPr>
      <w:r>
        <w:rPr>
          <w:rFonts w:ascii="Arial" w:cs="Arial" w:eastAsia="Arial" w:hAnsi="Arial"/>
          <w:sz w:val="16"/>
          <w:szCs w:val="16"/>
          <w:color w:val="auto"/>
        </w:rPr>
        <w:t>We work with scientific advisors and collaborators at academic research institutions in connection with our product development. These scientists and collaborators are not our employees, but they serve as either independent contractors or researchers under research agreements that we have with their sponsoring clinic, academic institution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 To the extent these scientists and collaborators may receive cash or equity compensation in connection with such services from time to time, these relationships and any related compensation may result in perceived or actual conflicts of interest, or a regulatory authority to conclude that the financial relationship may have affected the interpretation of the trial, such that the integrity of the data generated at the applicable clinical trial site may be questioned and the utility of the clinical trial itself may be jeopardized, which could result in the delay or rejection of the marketing application we submit.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48" w:lineRule="exact"/>
        <w:rPr>
          <w:sz w:val="20"/>
          <w:szCs w:val="20"/>
          <w:color w:val="auto"/>
        </w:rPr>
      </w:pPr>
    </w:p>
    <w:p>
      <w:pPr>
        <w:ind w:right="620" w:firstLine="441"/>
        <w:spacing w:after="0" w:line="258" w:lineRule="auto"/>
        <w:rPr>
          <w:sz w:val="20"/>
          <w:szCs w:val="20"/>
          <w:color w:val="auto"/>
        </w:rPr>
      </w:pPr>
      <w:r>
        <w:rPr>
          <w:rFonts w:ascii="Arial" w:cs="Arial" w:eastAsia="Arial" w:hAnsi="Arial"/>
          <w:sz w:val="17"/>
          <w:szCs w:val="17"/>
          <w:b w:val="1"/>
          <w:bCs w:val="1"/>
          <w:i w:val="1"/>
          <w:iCs w:val="1"/>
          <w:color w:val="auto"/>
        </w:rPr>
        <w:t>If we or our licensors are unable to protect our/their intellectual property, then our financial condition, results of operations and the value of our technology and products could be adversely affected.</w:t>
      </w:r>
    </w:p>
    <w:p>
      <w:pPr>
        <w:spacing w:after="0" w:line="106" w:lineRule="exact"/>
        <w:rPr>
          <w:sz w:val="20"/>
          <w:szCs w:val="20"/>
          <w:color w:val="auto"/>
        </w:rPr>
      </w:pPr>
    </w:p>
    <w:p>
      <w:pPr>
        <w:ind w:right="20" w:firstLine="441"/>
        <w:spacing w:after="0" w:line="221" w:lineRule="auto"/>
        <w:rPr>
          <w:sz w:val="20"/>
          <w:szCs w:val="20"/>
          <w:color w:val="auto"/>
        </w:rPr>
      </w:pPr>
      <w:r>
        <w:rPr>
          <w:rFonts w:ascii="Arial" w:cs="Arial" w:eastAsia="Arial" w:hAnsi="Arial"/>
          <w:sz w:val="17"/>
          <w:szCs w:val="17"/>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and our licensors, may not successfully prosecute or continue to prosecute the patent applications which we have licensed. Even if patents are issued in respect of these patent applications, we or our licensors may fail to maintain these patents, may determine not to pursue litigation against entities that are infringing upon these patents, or may pursue such enforcement less aggressively than we ordinarily would for our own patents. Without adequate protection for the intellectual property that we own or license, other companies might be able to offer substantially identical products for sale, which could unfavorably affect our competitive business position and harm our business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84" w:lineRule="exact"/>
        <w:rPr>
          <w:sz w:val="20"/>
          <w:szCs w:val="20"/>
          <w:color w:val="auto"/>
        </w:rPr>
      </w:pPr>
    </w:p>
    <w:p>
      <w:pPr>
        <w:ind w:right="300" w:firstLine="441"/>
        <w:spacing w:after="0" w:line="224" w:lineRule="auto"/>
        <w:rPr>
          <w:sz w:val="20"/>
          <w:szCs w:val="20"/>
          <w:color w:val="auto"/>
        </w:rPr>
      </w:pPr>
      <w:r>
        <w:rPr>
          <w:rFonts w:ascii="Arial" w:cs="Arial" w:eastAsia="Arial" w:hAnsi="Arial"/>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23" w:lineRule="exact"/>
        <w:rPr>
          <w:sz w:val="20"/>
          <w:szCs w:val="20"/>
          <w:color w:val="auto"/>
        </w:rPr>
      </w:pPr>
    </w:p>
    <w:p>
      <w:pPr>
        <w:ind w:right="40" w:firstLine="441"/>
        <w:spacing w:after="0" w:line="244" w:lineRule="auto"/>
        <w:rPr>
          <w:sz w:val="20"/>
          <w:szCs w:val="20"/>
          <w:color w:val="auto"/>
        </w:rPr>
      </w:pPr>
      <w:r>
        <w:rPr>
          <w:rFonts w:ascii="Arial" w:cs="Arial" w:eastAsia="Arial" w:hAnsi="Arial"/>
          <w:sz w:val="16"/>
          <w:szCs w:val="16"/>
          <w:color w:val="auto"/>
        </w:rPr>
        <w:t>If we are the target of claims by third parties asserting that our products or intellectual property infringe upon the rights of others, we may be forced to incur substantial expenses or divert substantial employee resources from our business. If successful, those claims could result in our having to pay substantial damages or could prevent us from developing one or more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18" w:lineRule="exact"/>
        <w:rPr>
          <w:sz w:val="20"/>
          <w:szCs w:val="20"/>
          <w:color w:val="auto"/>
        </w:rPr>
      </w:pPr>
    </w:p>
    <w:p>
      <w:pPr>
        <w:ind w:firstLine="441"/>
        <w:spacing w:after="0" w:line="234" w:lineRule="auto"/>
        <w:rPr>
          <w:sz w:val="20"/>
          <w:szCs w:val="20"/>
          <w:color w:val="auto"/>
        </w:rPr>
      </w:pPr>
      <w:r>
        <w:rPr>
          <w:rFonts w:ascii="Arial" w:cs="Arial" w:eastAsia="Arial" w:hAnsi="Arial"/>
          <w:sz w:val="16"/>
          <w:szCs w:val="16"/>
          <w:color w:val="auto"/>
        </w:rPr>
        <w:t>If we or our collaborators experience patent infringement claims, or if we elect to avoid potential claims others may be able to assert, we or our collaborators may choose to seek, or be required to seek, a license from the third-party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30" w:lineRule="exact"/>
        <w:rPr>
          <w:sz w:val="20"/>
          <w:szCs w:val="20"/>
          <w:color w:val="auto"/>
        </w:rPr>
      </w:pPr>
    </w:p>
    <w:p>
      <w:pPr>
        <w:ind w:right="320" w:firstLine="441"/>
        <w:spacing w:after="0" w:line="324"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development or commercialization rights to products or technology from third-parties, we could lose license rights that are important to our business.</w:t>
      </w:r>
    </w:p>
    <w:p>
      <w:pPr>
        <w:spacing w:after="0" w:line="61" w:lineRule="exact"/>
        <w:rPr>
          <w:sz w:val="20"/>
          <w:szCs w:val="20"/>
          <w:color w:val="auto"/>
        </w:rPr>
      </w:pPr>
    </w:p>
    <w:p>
      <w:pPr>
        <w:ind w:right="20" w:firstLine="441"/>
        <w:spacing w:after="0" w:line="232" w:lineRule="auto"/>
        <w:rPr>
          <w:sz w:val="20"/>
          <w:szCs w:val="20"/>
          <w:color w:val="auto"/>
        </w:rPr>
      </w:pPr>
      <w:r>
        <w:rPr>
          <w:rFonts w:ascii="Arial" w:cs="Arial" w:eastAsia="Arial" w:hAnsi="Arial"/>
          <w:sz w:val="16"/>
          <w:szCs w:val="16"/>
          <w:color w:val="auto"/>
        </w:rPr>
        <w:t>We hold licenses from Old Dominion University Research Foundation (“ODURF”) and Eastern Virginia Medical School (“EVMS”) and from Alfred E. Mann Institute for Biomedical Engineering at the University of Southern California to intellectual property relating to the sub-microsecond electric field technology, as well as applicator design and configuration, and pulse generators in addition to the intellectual property that we own for these things. For the continuance of the license with ODURF and EVMS, we must continue to comply with the various obligations set forth in the license. If we fail to meet these obligations, the licensor will have the right to terminate the applicable license or modify certain terms of the license agreement. Generally, the loss of any one of our current licenses, or any other license we may acquire in the future, could harm our business, prospects, financial condition and results of operation.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44" w:lineRule="exact"/>
        <w:rPr>
          <w:sz w:val="20"/>
          <w:szCs w:val="20"/>
          <w:color w:val="auto"/>
        </w:rPr>
      </w:pPr>
    </w:p>
    <w:p>
      <w:pPr>
        <w:jc w:val="both"/>
        <w:ind w:right="100" w:firstLine="441"/>
        <w:spacing w:after="0" w:line="22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23" w:lineRule="exact"/>
        <w:rPr>
          <w:sz w:val="20"/>
          <w:szCs w:val="20"/>
          <w:color w:val="auto"/>
        </w:rPr>
      </w:pPr>
    </w:p>
    <w:p>
      <w:pPr>
        <w:ind w:left="860" w:right="20" w:hanging="427"/>
        <w:spacing w:after="0" w:line="235"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121" w:lineRule="exact"/>
        <w:rPr>
          <w:rFonts w:ascii="Arial" w:cs="Arial" w:eastAsia="Arial" w:hAnsi="Arial"/>
          <w:sz w:val="18"/>
          <w:szCs w:val="18"/>
          <w:color w:val="auto"/>
        </w:rPr>
      </w:pPr>
    </w:p>
    <w:p>
      <w:pPr>
        <w:ind w:left="860" w:right="480" w:hanging="427"/>
        <w:spacing w:after="0" w:line="235"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21" w:lineRule="exact"/>
        <w:rPr>
          <w:rFonts w:ascii="Arial" w:cs="Arial" w:eastAsia="Arial" w:hAnsi="Arial"/>
          <w:sz w:val="18"/>
          <w:szCs w:val="18"/>
          <w:color w:val="auto"/>
        </w:rPr>
      </w:pPr>
    </w:p>
    <w:p>
      <w:pPr>
        <w:ind w:left="860" w:right="140" w:hanging="427"/>
        <w:spacing w:after="0" w:line="235"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21" w:lineRule="exact"/>
        <w:rPr>
          <w:rFonts w:ascii="Arial" w:cs="Arial" w:eastAsia="Arial" w:hAnsi="Arial"/>
          <w:sz w:val="18"/>
          <w:szCs w:val="18"/>
          <w:color w:val="auto"/>
        </w:rPr>
      </w:pPr>
    </w:p>
    <w:p>
      <w:pPr>
        <w:ind w:left="860" w:hanging="427"/>
        <w:spacing w:after="0" w:line="224"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22" w:lineRule="exact"/>
        <w:rPr>
          <w:rFonts w:ascii="Arial" w:cs="Arial" w:eastAsia="Arial" w:hAnsi="Arial"/>
          <w:sz w:val="18"/>
          <w:szCs w:val="18"/>
          <w:color w:val="auto"/>
        </w:rPr>
      </w:pPr>
    </w:p>
    <w:p>
      <w:pPr>
        <w:jc w:val="both"/>
        <w:ind w:left="860" w:hanging="427"/>
        <w:spacing w:after="0" w:line="224"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2"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44" w:lineRule="exact"/>
        <w:rPr>
          <w:rFonts w:ascii="Arial" w:cs="Arial" w:eastAsia="Arial" w:hAnsi="Arial"/>
          <w:sz w:val="18"/>
          <w:szCs w:val="18"/>
          <w:color w:val="auto"/>
        </w:rPr>
      </w:pPr>
    </w:p>
    <w:p>
      <w:pPr>
        <w:ind w:left="860" w:right="80" w:hanging="427"/>
        <w:spacing w:after="0" w:line="224"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22" w:lineRule="exact"/>
        <w:rPr>
          <w:rFonts w:ascii="Arial" w:cs="Arial" w:eastAsia="Arial" w:hAnsi="Arial"/>
          <w:sz w:val="18"/>
          <w:szCs w:val="18"/>
          <w:color w:val="auto"/>
        </w:rPr>
      </w:pPr>
    </w:p>
    <w:p>
      <w:pPr>
        <w:ind w:left="860" w:right="100" w:hanging="427"/>
        <w:spacing w:after="0" w:line="235"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 aforementioned threats to our competitive advantage could harm our business.</w:t>
      </w:r>
    </w:p>
    <w:p>
      <w:pPr>
        <w:spacing w:after="0" w:line="144" w:lineRule="exact"/>
        <w:rPr>
          <w:sz w:val="20"/>
          <w:szCs w:val="20"/>
          <w:color w:val="auto"/>
        </w:rPr>
      </w:pPr>
    </w:p>
    <w:p>
      <w:pPr>
        <w:ind w:right="8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21" w:lineRule="exact"/>
        <w:rPr>
          <w:sz w:val="20"/>
          <w:szCs w:val="20"/>
          <w:color w:val="auto"/>
        </w:rPr>
      </w:pPr>
    </w:p>
    <w:p>
      <w:pPr>
        <w:ind w:right="120" w:firstLine="441"/>
        <w:spacing w:after="0" w:line="220" w:lineRule="auto"/>
        <w:rPr>
          <w:sz w:val="20"/>
          <w:szCs w:val="20"/>
          <w:color w:val="auto"/>
        </w:rPr>
      </w:pPr>
      <w:r>
        <w:rPr>
          <w:rFonts w:ascii="Arial" w:cs="Arial" w:eastAsia="Arial" w:hAnsi="Arial"/>
          <w:sz w:val="17"/>
          <w:szCs w:val="17"/>
          <w:color w:val="auto"/>
        </w:rPr>
        <w:t>In addition to patented technology, we rely upon, among other things, unpatented proprietary technology, processes, trade secrets and know-how. Any involuntary disclosure to or misappropriation by third-parties of our confidential or proprietary information could enable competitors to duplicate or surpass our technological achievements, potentially eroding our competitive position in our market. We seek to protect confidential or proprietary information in part by confidentiality agreements with our employees, consultants and third-parties. While we require all of our employees, consultants, advisors and any third-parties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agreements may be terminated or breached, and we may not have adequate remedies for any such termination or breach. Furthermore, these agreements may not provide meaningful protection for our trade secrets and know-how in the event of unauthorized use or disclosure. To the extent that any of our staff were previously employed by other pharmaceutical, medical technology or biotechnology companies, those employers may allege violations of trade secrets and other similar claims in relation to their medical device development activities for us.</w:t>
      </w:r>
    </w:p>
    <w:p>
      <w:pPr>
        <w:spacing w:after="0" w:line="129" w:lineRule="exact"/>
        <w:rPr>
          <w:sz w:val="20"/>
          <w:szCs w:val="20"/>
          <w:color w:val="auto"/>
        </w:rPr>
      </w:pPr>
    </w:p>
    <w:p>
      <w:pPr>
        <w:ind w:right="40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21" w:lineRule="exact"/>
        <w:rPr>
          <w:sz w:val="20"/>
          <w:szCs w:val="20"/>
          <w:color w:val="auto"/>
        </w:rPr>
      </w:pPr>
    </w:p>
    <w:p>
      <w:pPr>
        <w:ind w:firstLine="441"/>
        <w:spacing w:after="0" w:line="229" w:lineRule="auto"/>
        <w:rPr>
          <w:sz w:val="20"/>
          <w:szCs w:val="20"/>
          <w:color w:val="auto"/>
        </w:rPr>
      </w:pPr>
      <w:r>
        <w:rPr>
          <w:rFonts w:ascii="Arial" w:cs="Arial" w:eastAsia="Arial" w:hAnsi="Arial"/>
          <w:sz w:val="17"/>
          <w:szCs w:val="17"/>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 Further, the patent applications that we license or have filed may fail to result in issued patents. The claims may need to be amended. Even after amendment, a patent may not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issue and in that event we may not obtain the use of the intellectual property that we seek and may lose competitive advantage which could result in harm to our business.</w:t>
      </w:r>
    </w:p>
    <w:p>
      <w:pPr>
        <w:spacing w:after="0" w:line="121"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b w:val="1"/>
          <w:bCs w:val="1"/>
          <w:i w:val="1"/>
          <w:iCs w:val="1"/>
          <w:color w:val="auto"/>
        </w:rPr>
        <w:t>We may become involved in future lawsuits to protect or enforce our patents or the patents of our licensors, which could be expensive, time consuming and unsuccessful.</w:t>
      </w:r>
    </w:p>
    <w:p>
      <w:pPr>
        <w:spacing w:after="0" w:line="121"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or our licensors may file infringement claims, which can be expensive and time consuming. In addition, in an infringement proceeding, a court may decide that a patent of ours or of our licensors is not valid or is unenforceable, or may refuse to stop the other party from using the technology at issue on the grounds that our patents do not cover the technology in question. If we or any current licensors or future licensees or licensors with rights to prosecute, assert or defend patents related to our product candidates fail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An adverse result in any litigation or defense proceedings could put one or more of our patents at risk of being invalidated or interpreted narrowly and could put our patent applications at risk of not issuing.</w:t>
      </w:r>
    </w:p>
    <w:p>
      <w:pPr>
        <w:spacing w:after="0" w:line="127" w:lineRule="exact"/>
        <w:rPr>
          <w:sz w:val="20"/>
          <w:szCs w:val="20"/>
          <w:color w:val="auto"/>
        </w:rPr>
      </w:pPr>
    </w:p>
    <w:p>
      <w:pPr>
        <w:ind w:right="80" w:firstLine="441"/>
        <w:spacing w:after="0" w:line="225" w:lineRule="auto"/>
        <w:rPr>
          <w:sz w:val="20"/>
          <w:szCs w:val="20"/>
          <w:color w:val="auto"/>
        </w:rPr>
      </w:pPr>
      <w:r>
        <w:rPr>
          <w:rFonts w:ascii="Arial" w:cs="Arial" w:eastAsia="Arial" w:hAnsi="Arial"/>
          <w:sz w:val="17"/>
          <w:szCs w:val="17"/>
          <w:color w:val="auto"/>
        </w:rPr>
        <w:t>The United States Patent and Trademark Office may initiate interference proceedings to determine the priority of inventions described in or otherwise affecting our patents and patent applications or those of our collaborators or licensors. An unfavorable outcome could require us to cease using the technology or to attempt to license rights to it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or with our licensors, misappropriation of our proprietary rights, particularly in countries where the laws may not protect those rights as fully as in the United States.</w:t>
      </w:r>
    </w:p>
    <w:p>
      <w:pPr>
        <w:spacing w:after="0" w:line="122" w:lineRule="exact"/>
        <w:rPr>
          <w:sz w:val="20"/>
          <w:szCs w:val="20"/>
          <w:color w:val="auto"/>
        </w:rPr>
      </w:pPr>
    </w:p>
    <w:p>
      <w:pPr>
        <w:ind w:firstLine="441"/>
        <w:spacing w:after="0" w:line="235"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121" w:lineRule="exact"/>
        <w:rPr>
          <w:sz w:val="20"/>
          <w:szCs w:val="20"/>
          <w:color w:val="auto"/>
        </w:rPr>
      </w:pPr>
    </w:p>
    <w:p>
      <w:pPr>
        <w:ind w:right="60" w:firstLine="441"/>
        <w:spacing w:after="0" w:line="232"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which are difficult to protect. As we collaborate with various third parties on the research and development of our planned products, we must, at times, share trade secrets with them. In the course of our research and development activities and our business activities, we rely on confidentiality agreements to protect our proprietary information. Such confidentiality agreements are used, for example, when we talk to vendors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 and our trade secrets cannot be enforced against such independently developed knowledge.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134" w:lineRule="exact"/>
        <w:rPr>
          <w:sz w:val="20"/>
          <w:szCs w:val="20"/>
          <w:color w:val="auto"/>
        </w:rPr>
      </w:pPr>
    </w:p>
    <w:p>
      <w:pPr>
        <w:ind w:firstLine="441"/>
        <w:spacing w:after="0" w:line="22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23" w:lineRule="exact"/>
        <w:rPr>
          <w:sz w:val="20"/>
          <w:szCs w:val="20"/>
          <w:color w:val="auto"/>
        </w:rPr>
      </w:pPr>
    </w:p>
    <w:p>
      <w:pPr>
        <w:ind w:right="80" w:firstLine="441"/>
        <w:spacing w:after="0" w:line="241" w:lineRule="auto"/>
        <w:rPr>
          <w:sz w:val="20"/>
          <w:szCs w:val="20"/>
          <w:color w:val="auto"/>
        </w:rPr>
      </w:pPr>
      <w:r>
        <w:rPr>
          <w:rFonts w:ascii="Arial" w:cs="Arial" w:eastAsia="Arial" w:hAnsi="Arial"/>
          <w:sz w:val="16"/>
          <w:szCs w:val="16"/>
          <w:color w:val="auto"/>
        </w:rPr>
        <w:t>Although we seek to protect our ownership of intellectual property rights by ensuring that our agreements with our independent contractors, collaborators and other third parties with whom we do business include provisions requiring such parties to assign rights in inventions to us,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44" w:lineRule="exact"/>
        <w:rPr>
          <w:sz w:val="20"/>
          <w:szCs w:val="20"/>
          <w:color w:val="auto"/>
        </w:rPr>
      </w:pPr>
    </w:p>
    <w:p>
      <w:pPr>
        <w:ind w:right="40" w:firstLine="441"/>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23" w:lineRule="exact"/>
        <w:rPr>
          <w:sz w:val="20"/>
          <w:szCs w:val="20"/>
          <w:color w:val="auto"/>
        </w:rPr>
      </w:pPr>
    </w:p>
    <w:p>
      <w:pPr>
        <w:ind w:right="40" w:firstLine="441"/>
        <w:spacing w:after="0" w:line="22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We believe this is caused by both the technical nature of the subject matter and a general enthusiasm for generic competition in developing countries, and is not a concern that is specific to any particular foreign jurisdiction.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2" w:lineRule="exact"/>
        <w:rPr>
          <w:sz w:val="20"/>
          <w:szCs w:val="20"/>
          <w:color w:val="auto"/>
        </w:rPr>
      </w:pPr>
    </w:p>
    <w:p>
      <w:pPr>
        <w:ind w:right="60" w:firstLine="441"/>
        <w:spacing w:after="0" w:line="259" w:lineRule="auto"/>
        <w:rPr>
          <w:sz w:val="20"/>
          <w:szCs w:val="20"/>
          <w:color w:val="auto"/>
        </w:rPr>
      </w:pPr>
      <w:r>
        <w:rPr>
          <w:rFonts w:ascii="Arial" w:cs="Arial" w:eastAsia="Arial" w:hAnsi="Arial"/>
          <w:sz w:val="16"/>
          <w:szCs w:val="16"/>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107"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if we apply to register our trademarks in all of our potential markets, our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In such cases, over the long term, if we are unable to establish name recognition based on our trademarks and trade names, then our marketing abilities may be impacted.</w:t>
      </w:r>
    </w:p>
    <w:p>
      <w:pPr>
        <w:spacing w:after="0" w:line="163"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w:t>
      </w:r>
    </w:p>
    <w:p>
      <w:pPr>
        <w:spacing w:after="0" w:line="121" w:lineRule="exact"/>
        <w:rPr>
          <w:sz w:val="20"/>
          <w:szCs w:val="20"/>
          <w:color w:val="auto"/>
        </w:rPr>
      </w:pPr>
    </w:p>
    <w:p>
      <w:pPr>
        <w:ind w:right="40" w:firstLine="441"/>
        <w:spacing w:after="0" w:line="222"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patent applications and the enforcement or defense of issued patents. In 2011, the Leahy-Smith America Invents Act, or the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 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22" w:lineRule="exact"/>
        <w:rPr>
          <w:sz w:val="20"/>
          <w:szCs w:val="20"/>
          <w:color w:val="auto"/>
        </w:rPr>
      </w:pPr>
    </w:p>
    <w:p>
      <w:pPr>
        <w:ind w:right="60" w:firstLine="441"/>
        <w:spacing w:after="0" w:line="239"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may never receive regulatory approval or clearance, including that from the FDA, for any of our planned products.</w:t>
      </w:r>
    </w:p>
    <w:p>
      <w:pPr>
        <w:spacing w:after="0" w:line="167" w:lineRule="exact"/>
        <w:rPr>
          <w:sz w:val="20"/>
          <w:szCs w:val="20"/>
          <w:color w:val="auto"/>
        </w:rPr>
      </w:pPr>
    </w:p>
    <w:p>
      <w:pPr>
        <w:ind w:firstLine="441"/>
        <w:spacing w:after="0" w:line="222" w:lineRule="auto"/>
        <w:rPr>
          <w:sz w:val="20"/>
          <w:szCs w:val="20"/>
          <w:color w:val="auto"/>
        </w:rPr>
      </w:pPr>
      <w:r>
        <w:rPr>
          <w:rFonts w:ascii="Arial" w:cs="Arial" w:eastAsia="Arial" w:hAnsi="Arial"/>
          <w:sz w:val="17"/>
          <w:szCs w:val="17"/>
          <w:color w:val="auto"/>
        </w:rPr>
        <w:t>We may never receive regulatory approval or clearance, including from the FDA, for any potential devices or products in the United States or in any foreign market. For example, during September 2017, we withdrew our application seeking clearance of our system for soft tissue ablation. In addition, in connection with the Pre-Market Notification 510(k) we submitted to the FDA seeking clearance to commercialize our CellFX System, in April 2019, we received an AI letter request from the FDA, among other things, requested additional information regarding our selected predicate device and clinical data provided in the 510(k). We submitted our response to the AI letter during the third quarter of 2019 and anticipate a decision from the FDA during the fourth quarter of 2019. Responding to this request has added time to our approval process and may require additional testing, including clinical trials. As such, it is highly speculative as to any timing for our planned products to be approved or cleared or commercialized. Investors need to take a long-term approach to an investment in our securities, as the commercial realization of our technology is speculative and well into the future.</w:t>
      </w:r>
    </w:p>
    <w:p>
      <w:pPr>
        <w:spacing w:after="0" w:line="123" w:lineRule="exact"/>
        <w:rPr>
          <w:sz w:val="20"/>
          <w:szCs w:val="20"/>
          <w:color w:val="auto"/>
        </w:rPr>
      </w:pPr>
    </w:p>
    <w:p>
      <w:pPr>
        <w:ind w:right="100" w:firstLine="441"/>
        <w:spacing w:after="0" w:line="224" w:lineRule="auto"/>
        <w:rPr>
          <w:sz w:val="20"/>
          <w:szCs w:val="20"/>
          <w:color w:val="auto"/>
        </w:rPr>
      </w:pPr>
      <w:r>
        <w:rPr>
          <w:rFonts w:ascii="Arial" w:cs="Arial" w:eastAsia="Arial" w:hAnsi="Arial"/>
          <w:sz w:val="18"/>
          <w:szCs w:val="18"/>
          <w:b w:val="1"/>
          <w:bCs w:val="1"/>
          <w:i w:val="1"/>
          <w:iCs w:val="1"/>
          <w:color w:val="auto"/>
        </w:rPr>
        <w:t>We will be subject to stringent domestic and foreign regulation in respect of any potential devices and products. Any unfavorable regulatory action may materially and adversely affect our future financial condition and business operations and prospects.</w:t>
      </w:r>
    </w:p>
    <w:p>
      <w:pPr>
        <w:spacing w:after="0" w:line="123" w:lineRule="exact"/>
        <w:rPr>
          <w:sz w:val="20"/>
          <w:szCs w:val="20"/>
          <w:color w:val="auto"/>
        </w:rPr>
      </w:pPr>
    </w:p>
    <w:p>
      <w:pPr>
        <w:ind w:right="40" w:firstLine="441"/>
        <w:spacing w:after="0" w:line="212" w:lineRule="auto"/>
        <w:rPr>
          <w:sz w:val="20"/>
          <w:szCs w:val="20"/>
          <w:color w:val="auto"/>
        </w:rPr>
      </w:pPr>
      <w:r>
        <w:rPr>
          <w:rFonts w:ascii="Arial" w:cs="Arial" w:eastAsia="Arial" w:hAnsi="Arial"/>
          <w:sz w:val="18"/>
          <w:szCs w:val="18"/>
          <w:color w:val="auto"/>
        </w:rPr>
        <w:t>Our potential devices and products, further development activities and manufacturing and distribution, once developed and determined, will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25" w:lineRule="exact"/>
        <w:rPr>
          <w:sz w:val="20"/>
          <w:szCs w:val="20"/>
          <w:color w:val="auto"/>
        </w:rPr>
      </w:pPr>
    </w:p>
    <w:p>
      <w:pPr>
        <w:ind w:left="860" w:hanging="427"/>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take a significant, indeterminate amount of time;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involve rigorous pre-clinical and clinical testing, and possibly post-market surveillance;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design changes of our products;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 in our never being granted the regulatory approval or clearance we seek.</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20"/>
          </w:cols>
          <w:pgMar w:left="1220" w:top="108" w:right="1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40" w:firstLine="441"/>
        <w:spacing w:after="0" w:line="225" w:lineRule="auto"/>
        <w:rPr>
          <w:sz w:val="20"/>
          <w:szCs w:val="20"/>
          <w:color w:val="auto"/>
        </w:rPr>
      </w:pPr>
      <w:r>
        <w:rPr>
          <w:rFonts w:ascii="Arial" w:cs="Arial" w:eastAsia="Arial" w:hAnsi="Arial"/>
          <w:sz w:val="17"/>
          <w:szCs w:val="17"/>
          <w:color w:val="auto"/>
        </w:rPr>
        <w:t>If we experience any of these occurrences, our operations may suffer, we might experience harm to our competitive standing and result in further losses that adversely affect our financial condition. For example, in connection with the Pre-Market Notification 510(k) we submitted to the FDA seeking clearance to commercialize our CellFX System, during April 2019, we received an AI letter request from the FDA that, among other things, requested additional information regarding our selected predicate device and clinical data provided in the 510(k). We submitted our response to the AI letter during the third quarter of 2019 and anticipate a decision from the FDA during the fourth quarter of 2019. Responding to this request has added time to our approval process and may require additional testing, including clinical trials.</w:t>
      </w:r>
    </w:p>
    <w:p>
      <w:pPr>
        <w:spacing w:after="0" w:line="122" w:lineRule="exact"/>
        <w:rPr>
          <w:sz w:val="20"/>
          <w:szCs w:val="20"/>
          <w:color w:val="auto"/>
        </w:rPr>
      </w:pPr>
    </w:p>
    <w:p>
      <w:pPr>
        <w:ind w:firstLine="441"/>
        <w:spacing w:after="0" w:line="220" w:lineRule="auto"/>
        <w:rPr>
          <w:sz w:val="20"/>
          <w:szCs w:val="20"/>
          <w:color w:val="auto"/>
        </w:rPr>
      </w:pPr>
      <w:r>
        <w:rPr>
          <w:rFonts w:ascii="Arial" w:cs="Arial" w:eastAsia="Arial" w:hAnsi="Arial"/>
          <w:sz w:val="17"/>
          <w:szCs w:val="17"/>
          <w:color w:val="auto"/>
        </w:rPr>
        <w:t>We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 regulatory action, depending on its magnitude, may restrict us from effectively manufacturing, marketing and selling our devices and products. In addition, negative publicity and product liability claims resulting from any adverse regulatory action could have a material adverse effect on our financial condition and results of operations.</w:t>
      </w:r>
    </w:p>
    <w:p>
      <w:pPr>
        <w:spacing w:after="0" w:line="125" w:lineRule="exact"/>
        <w:rPr>
          <w:sz w:val="20"/>
          <w:szCs w:val="20"/>
          <w:color w:val="auto"/>
        </w:rPr>
      </w:pPr>
    </w:p>
    <w:p>
      <w:pPr>
        <w:ind w:right="420" w:firstLine="441"/>
        <w:spacing w:after="0" w:line="235" w:lineRule="auto"/>
        <w:rPr>
          <w:sz w:val="20"/>
          <w:szCs w:val="20"/>
          <w:color w:val="auto"/>
        </w:rPr>
      </w:pPr>
      <w:r>
        <w:rPr>
          <w:rFonts w:ascii="Arial" w:cs="Arial" w:eastAsia="Arial" w:hAnsi="Arial"/>
          <w:sz w:val="18"/>
          <w:szCs w:val="18"/>
          <w:b w:val="1"/>
          <w:bCs w:val="1"/>
          <w:i w:val="1"/>
          <w:iCs w:val="1"/>
          <w:color w:val="auto"/>
        </w:rPr>
        <w:t>The continuing development of our CellFX™ System and other products depends upon maintaining strong working relationships with physicians.</w:t>
      </w:r>
    </w:p>
    <w:p>
      <w:pPr>
        <w:spacing w:after="0" w:line="121" w:lineRule="exact"/>
        <w:rPr>
          <w:sz w:val="20"/>
          <w:szCs w:val="20"/>
          <w:color w:val="auto"/>
        </w:rPr>
      </w:pPr>
    </w:p>
    <w:p>
      <w:pPr>
        <w:ind w:firstLine="441"/>
        <w:spacing w:after="0" w:line="222" w:lineRule="auto"/>
        <w:rPr>
          <w:sz w:val="20"/>
          <w:szCs w:val="20"/>
          <w:color w:val="auto"/>
        </w:rPr>
      </w:pPr>
      <w:r>
        <w:rPr>
          <w:rFonts w:ascii="Arial" w:cs="Arial" w:eastAsia="Arial" w:hAnsi="Arial"/>
          <w:sz w:val="17"/>
          <w:szCs w:val="17"/>
          <w:color w:val="auto"/>
        </w:rPr>
        <w:t>The development, marketing, and sale of our products in development, including the CellFX System,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or OIG, the Department of Justice, or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160" w:firstLine="441"/>
        <w:spacing w:after="0" w:line="289" w:lineRule="auto"/>
        <w:rPr>
          <w:sz w:val="20"/>
          <w:szCs w:val="20"/>
          <w:color w:val="auto"/>
        </w:rPr>
      </w:pPr>
      <w:r>
        <w:rPr>
          <w:rFonts w:ascii="Arial" w:cs="Arial" w:eastAsia="Arial" w:hAnsi="Arial"/>
          <w:sz w:val="16"/>
          <w:szCs w:val="16"/>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84" w:lineRule="exact"/>
        <w:rPr>
          <w:sz w:val="20"/>
          <w:szCs w:val="20"/>
          <w:color w:val="auto"/>
        </w:rPr>
      </w:pPr>
    </w:p>
    <w:p>
      <w:pPr>
        <w:ind w:right="40" w:firstLine="441"/>
        <w:spacing w:after="0" w:line="239" w:lineRule="auto"/>
        <w:rPr>
          <w:sz w:val="20"/>
          <w:szCs w:val="20"/>
          <w:color w:val="auto"/>
        </w:rPr>
      </w:pPr>
      <w:r>
        <w:rPr>
          <w:rFonts w:ascii="Arial" w:cs="Arial" w:eastAsia="Arial" w:hAnsi="Arial"/>
          <w:sz w:val="16"/>
          <w:szCs w:val="16"/>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22" w:lineRule="exact"/>
        <w:rPr>
          <w:sz w:val="20"/>
          <w:szCs w:val="20"/>
          <w:color w:val="auto"/>
        </w:rPr>
      </w:pPr>
    </w:p>
    <w:p>
      <w:pPr>
        <w:ind w:left="860" w:hanging="427"/>
        <w:spacing w:after="0" w:line="223"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127" w:lineRule="exact"/>
        <w:rPr>
          <w:rFonts w:ascii="Arial" w:cs="Arial" w:eastAsia="Arial" w:hAnsi="Arial"/>
          <w:sz w:val="17"/>
          <w:szCs w:val="17"/>
          <w:color w:val="auto"/>
        </w:rPr>
      </w:pPr>
    </w:p>
    <w:p>
      <w:pPr>
        <w:ind w:left="860" w:right="120" w:hanging="427"/>
        <w:spacing w:after="0" w:line="226"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24" w:lineRule="exact"/>
        <w:rPr>
          <w:rFonts w:ascii="Arial" w:cs="Arial" w:eastAsia="Arial" w:hAnsi="Arial"/>
          <w:sz w:val="17"/>
          <w:szCs w:val="17"/>
          <w:color w:val="auto"/>
        </w:rPr>
      </w:pPr>
    </w:p>
    <w:p>
      <w:pPr>
        <w:ind w:left="860" w:right="80" w:hanging="427"/>
        <w:spacing w:after="0" w:line="226"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U.S.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24" w:lineRule="exact"/>
        <w:rPr>
          <w:rFonts w:ascii="Arial" w:cs="Arial" w:eastAsia="Arial" w:hAnsi="Arial"/>
          <w:sz w:val="17"/>
          <w:szCs w:val="17"/>
          <w:color w:val="auto"/>
        </w:rPr>
      </w:pPr>
    </w:p>
    <w:p>
      <w:pPr>
        <w:ind w:left="860" w:hanging="427"/>
        <w:spacing w:after="0" w:line="226"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its implementing regulations, which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24" w:lineRule="exact"/>
        <w:rPr>
          <w:rFonts w:ascii="Arial" w:cs="Arial" w:eastAsia="Arial" w:hAnsi="Arial"/>
          <w:sz w:val="17"/>
          <w:szCs w:val="17"/>
          <w:color w:val="auto"/>
        </w:rPr>
      </w:pPr>
    </w:p>
    <w:p>
      <w:pPr>
        <w:ind w:left="860" w:hanging="427"/>
        <w:spacing w:after="0" w:line="212"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w:t>
      </w:r>
    </w:p>
    <w:p>
      <w:pPr>
        <w:spacing w:after="0" w:line="124" w:lineRule="exact"/>
        <w:rPr>
          <w:rFonts w:ascii="Arial" w:cs="Arial" w:eastAsia="Arial" w:hAnsi="Arial"/>
          <w:sz w:val="18"/>
          <w:szCs w:val="18"/>
          <w:color w:val="auto"/>
        </w:rPr>
      </w:pPr>
    </w:p>
    <w:p>
      <w:pPr>
        <w:ind w:left="860" w:hanging="427"/>
        <w:spacing w:after="0" w:line="226"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CCPA will, among other things, require covered companies to provide new disclosures to California consumers and afford such consumers new abilities to opt-out of certain sales of personal information. Legislators have stated that they intend to propose amendments to the CCPA before it goes into effect in January 2020 and it remains unclear what, if any, modifications will be made to this legislation or how it will be interpreted. We cannot yet predict the impact of the CCPA on our business or operations, but it may require us to modify our data processing practices and policies to incur substantial costs and expenses in an effort to comply;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860" w:right="140" w:hanging="427"/>
        <w:spacing w:after="0" w:line="235"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21" w:lineRule="exact"/>
        <w:rPr>
          <w:rFonts w:ascii="Arial" w:cs="Arial" w:eastAsia="Arial" w:hAnsi="Arial"/>
          <w:sz w:val="18"/>
          <w:szCs w:val="18"/>
          <w:color w:val="auto"/>
        </w:rPr>
      </w:pPr>
    </w:p>
    <w:p>
      <w:pPr>
        <w:ind w:left="860" w:right="40" w:hanging="427"/>
        <w:spacing w:after="0" w:line="236" w:lineRule="auto"/>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22" w:lineRule="exact"/>
        <w:rPr>
          <w:sz w:val="20"/>
          <w:szCs w:val="20"/>
          <w:color w:val="auto"/>
        </w:rPr>
      </w:pPr>
    </w:p>
    <w:p>
      <w:pPr>
        <w:ind w:firstLine="441"/>
        <w:spacing w:after="0" w:line="220" w:lineRule="auto"/>
        <w:rPr>
          <w:sz w:val="20"/>
          <w:szCs w:val="20"/>
          <w:color w:val="auto"/>
        </w:rPr>
      </w:pPr>
      <w:r>
        <w:rPr>
          <w:rFonts w:ascii="Arial" w:cs="Arial" w:eastAsia="Arial" w:hAnsi="Arial"/>
          <w:sz w:val="17"/>
          <w:szCs w:val="17"/>
          <w:color w:val="auto"/>
        </w:rPr>
        <w:t>We have implemented a comprehensive compliance program to identify and deter healthcare violations by employees and other third-parties that perform services for us. Notwithstanding our compliance program, it is possible that governmental authorities may conclude that our business practices do not comply with current or future statutes, regulations, agency guidance or case law involving applicable healthcare laws.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129" w:lineRule="exact"/>
        <w:rPr>
          <w:sz w:val="20"/>
          <w:szCs w:val="20"/>
          <w:color w:val="auto"/>
        </w:rPr>
      </w:pPr>
    </w:p>
    <w:p>
      <w:pPr>
        <w:jc w:val="both"/>
        <w:ind w:right="220" w:firstLine="441"/>
        <w:spacing w:after="0" w:line="224" w:lineRule="auto"/>
        <w:rPr>
          <w:sz w:val="20"/>
          <w:szCs w:val="20"/>
          <w:color w:val="auto"/>
        </w:rPr>
      </w:pPr>
      <w:r>
        <w:rPr>
          <w:rFonts w:ascii="Arial" w:cs="Arial" w:eastAsia="Arial" w:hAnsi="Arial"/>
          <w:sz w:val="18"/>
          <w:szCs w:val="18"/>
          <w:b w:val="1"/>
          <w:bCs w:val="1"/>
          <w:i w:val="1"/>
          <w:iCs w:val="1"/>
          <w:color w:val="auto"/>
        </w:rPr>
        <w:t>To obtain the necessary device approvals or clearances from regulatory authorities for our product candidates, we will have to conduct various pre-clinical and clinical tests, which may be costly and time consuming, and may not provide results that will allow us to seek regulatory approval or clearance.</w:t>
      </w:r>
    </w:p>
    <w:p>
      <w:pPr>
        <w:spacing w:after="0" w:line="123" w:lineRule="exact"/>
        <w:rPr>
          <w:sz w:val="20"/>
          <w:szCs w:val="20"/>
          <w:color w:val="auto"/>
        </w:rPr>
      </w:pPr>
    </w:p>
    <w:p>
      <w:pPr>
        <w:ind w:right="200" w:firstLine="441"/>
        <w:spacing w:after="0" w:line="216" w:lineRule="auto"/>
        <w:rPr>
          <w:sz w:val="20"/>
          <w:szCs w:val="20"/>
          <w:color w:val="auto"/>
        </w:rPr>
      </w:pPr>
      <w:r>
        <w:rPr>
          <w:rFonts w:ascii="Arial" w:cs="Arial" w:eastAsia="Arial" w:hAnsi="Arial"/>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countries where medical devices and products are regulated, can delay, limit or deny approval of a product for many reasons. For example, regulatory agencies:</w:t>
      </w:r>
    </w:p>
    <w:p>
      <w:pPr>
        <w:spacing w:after="0" w:line="122" w:lineRule="exact"/>
        <w:rPr>
          <w:sz w:val="20"/>
          <w:szCs w:val="20"/>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not deem a technology or device to be reasonably safe or effective for any intended use or indication;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interpret data from pre-clinical and clinical testing differently than we do;</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determine our manufacturing facility or processes do not comply with Quality System regulations;</w:t>
      </w:r>
    </w:p>
    <w:p>
      <w:pPr>
        <w:spacing w:after="0" w:line="144" w:lineRule="exact"/>
        <w:rPr>
          <w:rFonts w:ascii="Arial" w:cs="Arial" w:eastAsia="Arial" w:hAnsi="Arial"/>
          <w:sz w:val="18"/>
          <w:szCs w:val="18"/>
          <w:color w:val="auto"/>
        </w:rPr>
      </w:pPr>
    </w:p>
    <w:p>
      <w:pPr>
        <w:ind w:left="860" w:right="320" w:hanging="427"/>
        <w:spacing w:after="0" w:line="235"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conclude that our device does not meet quality standards for durability, long-term reliability, biocompatibility, electromagnetic compatibility, or electrical safety; and</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change their approval clearance policies or adopt new regulations.</w:t>
      </w:r>
    </w:p>
    <w:p>
      <w:pPr>
        <w:spacing w:after="0" w:line="144"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The FDA may make requests or suggestions regarding conduct of our clinical trials, resulting in an increased risk of difficulties or delays in obtaining regulatory approval or clearance in the U.S. and increased costs. For example, during April 2019, we received an AI letter request from the FDA that, among other things, requested additional information regarding our selected predicate device and clinical data provided in the 510(k). We submitted our response to the AI letter during the third quarter of 2019 and anticipate a decision from the FDA during the fourth quarter of 2019. Responding to this request may require additional testing, including clinical trials. As part of the process for regulatory approval or clearance, we may, from time to time, elect to withdraw an application. For example, during September 2017, the FDA requested that we submit additional data in connection with our application seeking clearance of our system for soft tissue ablation. Subsequent to this FDA request, we chose to withdraw our application.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80" w:firstLine="441"/>
        <w:spacing w:after="0" w:line="289" w:lineRule="auto"/>
        <w:rPr>
          <w:sz w:val="20"/>
          <w:szCs w:val="20"/>
          <w:color w:val="auto"/>
        </w:rPr>
      </w:pPr>
      <w:r>
        <w:rPr>
          <w:rFonts w:ascii="Arial" w:cs="Arial" w:eastAsia="Arial" w:hAnsi="Arial"/>
          <w:sz w:val="16"/>
          <w:szCs w:val="16"/>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84"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Even if we complete clinical testing and a potential device or product of ours is cleared or approved, it may not be cleared or approved for the indications that are necessary or desirable for a successful commercialization. The FDA may grant marketing authorization contingent on the performance of costly additional clinical trials which may be required after approval or clearance. The FDA also may approve or clear our lead product candidates for a more limited indication or a narrower patient population than we originally requested. Our preference will be to obtain as broad an indication as possible for use in connection with the particular disease or treatment for which it is designed. However, the final classification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21" w:lineRule="exact"/>
        <w:rPr>
          <w:sz w:val="20"/>
          <w:szCs w:val="20"/>
          <w:color w:val="auto"/>
        </w:rPr>
      </w:pPr>
    </w:p>
    <w:p>
      <w:pPr>
        <w:ind w:right="560" w:firstLine="441"/>
        <w:spacing w:after="0" w:line="258" w:lineRule="auto"/>
        <w:rPr>
          <w:sz w:val="20"/>
          <w:szCs w:val="20"/>
          <w:color w:val="auto"/>
        </w:rPr>
      </w:pPr>
      <w:r>
        <w:rPr>
          <w:rFonts w:ascii="Arial" w:cs="Arial" w:eastAsia="Arial" w:hAnsi="Arial"/>
          <w:sz w:val="17"/>
          <w:szCs w:val="17"/>
          <w:b w:val="1"/>
          <w:bCs w:val="1"/>
          <w:i w:val="1"/>
          <w:iCs w:val="1"/>
          <w:color w:val="auto"/>
        </w:rPr>
        <w:t>Even if we obtain clearance or approval to sell a potential product, we will be subject to ongoing requirements and inspections that could lead to the restriction, suspension or revocation of our clearance.</w:t>
      </w:r>
    </w:p>
    <w:p>
      <w:pPr>
        <w:spacing w:after="0" w:line="106" w:lineRule="exact"/>
        <w:rPr>
          <w:sz w:val="20"/>
          <w:szCs w:val="20"/>
          <w:color w:val="auto"/>
        </w:rPr>
      </w:pPr>
    </w:p>
    <w:p>
      <w:pPr>
        <w:ind w:right="40" w:firstLine="441"/>
        <w:spacing w:after="0" w:line="235" w:lineRule="auto"/>
        <w:rPr>
          <w:sz w:val="20"/>
          <w:szCs w:val="20"/>
          <w:color w:val="auto"/>
        </w:rPr>
      </w:pPr>
      <w:r>
        <w:rPr>
          <w:rFonts w:ascii="Arial" w:cs="Arial" w:eastAsia="Arial" w:hAnsi="Arial"/>
          <w:sz w:val="16"/>
          <w:szCs w:val="16"/>
          <w:color w:val="auto"/>
        </w:rPr>
        <w:t>We, as well as any potential third-party manufacturer, will be required to adhere to FDA Quality System, which include testing, control, and documentation requirements. We will be subject to similar regulations in foreign countries. Even if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previously obtained, and criminal prosecution. The restriction, suspension or revocation of regulatory approvals or any other failure to comply with regulatory requirements will limit our ability to operate and could increase our costs.</w:t>
      </w:r>
    </w:p>
    <w:p>
      <w:pPr>
        <w:spacing w:after="0" w:line="125" w:lineRule="exact"/>
        <w:rPr>
          <w:sz w:val="20"/>
          <w:szCs w:val="20"/>
          <w:color w:val="auto"/>
        </w:rPr>
      </w:pPr>
    </w:p>
    <w:p>
      <w:pPr>
        <w:ind w:right="240" w:firstLine="441"/>
        <w:spacing w:after="0" w:line="235" w:lineRule="auto"/>
        <w:rPr>
          <w:sz w:val="20"/>
          <w:szCs w:val="20"/>
          <w:color w:val="auto"/>
        </w:rPr>
      </w:pPr>
      <w:r>
        <w:rPr>
          <w:rFonts w:ascii="Arial" w:cs="Arial" w:eastAsia="Arial" w:hAnsi="Arial"/>
          <w:sz w:val="18"/>
          <w:szCs w:val="18"/>
          <w:b w:val="1"/>
          <w:bCs w:val="1"/>
          <w:i w:val="1"/>
          <w:iCs w:val="1"/>
          <w:color w:val="auto"/>
        </w:rPr>
        <w:t>Any failure or delay in completing clinical trials or studies for our devices and products and the expense of those trials may adversely affect our business.</w:t>
      </w:r>
    </w:p>
    <w:p>
      <w:pPr>
        <w:spacing w:after="0" w:line="121" w:lineRule="exact"/>
        <w:rPr>
          <w:sz w:val="20"/>
          <w:szCs w:val="20"/>
          <w:color w:val="auto"/>
        </w:rPr>
      </w:pPr>
    </w:p>
    <w:p>
      <w:pPr>
        <w:ind w:right="120" w:firstLine="441"/>
        <w:spacing w:after="0" w:line="234" w:lineRule="auto"/>
        <w:rPr>
          <w:sz w:val="20"/>
          <w:szCs w:val="20"/>
          <w:color w:val="auto"/>
        </w:rPr>
      </w:pPr>
      <w:r>
        <w:rPr>
          <w:rFonts w:ascii="Arial" w:cs="Arial" w:eastAsia="Arial" w:hAnsi="Arial"/>
          <w:sz w:val="16"/>
          <w:szCs w:val="16"/>
          <w:color w:val="auto"/>
        </w:rPr>
        <w:t>Pre-clinical studies, clinical trials and post-clinical monitoring and trials required to demonstrate the reasonable safety and efficacy of our potential devices and products are and will be time consuming and expensive. If we must conduct additional clinical trials or other studies with respect to any of our proposed product candidates to those that are initially contemplated, if we are unable to successfully complete any clinical trials or other studies, or if the results of these trials or studies are not positive or are only modestly positive, we may be delayed in obtaining marketing approval for the planned products, we may not be able to obtain marketing approval, or we may obtain approval for indications that are not as broad as we seek. Our research and product development costs also will increase if we experience delays in testing or approvals. The completion of clinical trials for our proposed therapies, devices and products could be delayed because of our inability to manufacture or obtain from third-parties materials sufficient for use in pre-clinical studies and clinical trials; delays in patient enrollment and variability in the number and types of patients available for clinical trials; difficulty in maintaining contact with patients after treatment, resulting in incomplete data; poor effectiveness of proposed devices and products during clinical trials; unforeseen safety issues or side effects; and governmental or regulatory delays and changes in regulatory requirements and guidelines. If we incur significant delays in our clinical trials, our competitors may be able to bring their products to market before we do, which could result in harming our ability to commercialize our planned products. If we experience any of these occurrences our business will be materially harmed.</w:t>
      </w:r>
    </w:p>
    <w:p>
      <w:pPr>
        <w:spacing w:after="0" w:line="122" w:lineRule="exact"/>
        <w:rPr>
          <w:sz w:val="20"/>
          <w:szCs w:val="20"/>
          <w:color w:val="auto"/>
        </w:rPr>
      </w:pPr>
    </w:p>
    <w:p>
      <w:pPr>
        <w:ind w:right="160" w:firstLine="441"/>
        <w:spacing w:after="0" w:line="258" w:lineRule="auto"/>
        <w:rPr>
          <w:sz w:val="20"/>
          <w:szCs w:val="20"/>
          <w:color w:val="auto"/>
        </w:rPr>
      </w:pPr>
      <w:r>
        <w:rPr>
          <w:rFonts w:ascii="Arial" w:cs="Arial" w:eastAsia="Arial" w:hAnsi="Arial"/>
          <w:sz w:val="17"/>
          <w:szCs w:val="17"/>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106" w:lineRule="exact"/>
        <w:rPr>
          <w:sz w:val="20"/>
          <w:szCs w:val="20"/>
          <w:color w:val="auto"/>
        </w:rPr>
      </w:pPr>
    </w:p>
    <w:p>
      <w:pPr>
        <w:ind w:right="20" w:firstLine="441"/>
        <w:spacing w:after="0" w:line="225" w:lineRule="auto"/>
        <w:rPr>
          <w:sz w:val="20"/>
          <w:szCs w:val="20"/>
          <w:color w:val="auto"/>
        </w:rPr>
      </w:pPr>
      <w:r>
        <w:rPr>
          <w:rFonts w:ascii="Arial" w:cs="Arial" w:eastAsia="Arial" w:hAnsi="Arial"/>
          <w:sz w:val="17"/>
          <w:szCs w:val="17"/>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subject of some of our patents, the company could be subject to the march-in right and lose its exclusivity of those patents, and may suffer direct competition if any license is granted by the government under the march-in right to a competitor.</w:t>
      </w:r>
    </w:p>
    <w:p>
      <w:pPr>
        <w:spacing w:after="0" w:line="84" w:lineRule="exact"/>
        <w:rPr>
          <w:sz w:val="20"/>
          <w:szCs w:val="20"/>
          <w:color w:val="auto"/>
        </w:rPr>
      </w:pPr>
    </w:p>
    <w:p>
      <w:pPr>
        <w:ind w:right="40" w:firstLine="441"/>
        <w:spacing w:after="0" w:line="235"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21" w:lineRule="exact"/>
        <w:rPr>
          <w:sz w:val="20"/>
          <w:szCs w:val="20"/>
          <w:color w:val="auto"/>
        </w:rPr>
      </w:pPr>
    </w:p>
    <w:p>
      <w:pPr>
        <w:ind w:right="40" w:firstLine="441"/>
        <w:spacing w:after="0" w:line="221" w:lineRule="auto"/>
        <w:rPr>
          <w:sz w:val="20"/>
          <w:szCs w:val="20"/>
          <w:color w:val="auto"/>
        </w:rPr>
      </w:pPr>
      <w:r>
        <w:rPr>
          <w:rFonts w:ascii="Arial" w:cs="Arial" w:eastAsia="Arial" w:hAnsi="Arial"/>
          <w:sz w:val="17"/>
          <w:szCs w:val="17"/>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and similar foreign regulatory authorities report financial information or data accurately or disclose unauthorized activities to us. See also “–We may be subject to healthcare laws and regulations relating to our business and could face substantial penalties if we are determined not to have fully complied with such laws, which would have an adverse impact on our business.” 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27"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Healthcare policy changes, including recent federal legislation to reform the U.S. healthcare system, may have a material adverse effect on us.</w:t>
      </w:r>
    </w:p>
    <w:p>
      <w:pPr>
        <w:spacing w:after="0" w:line="121" w:lineRule="exact"/>
        <w:rPr>
          <w:sz w:val="20"/>
          <w:szCs w:val="20"/>
          <w:color w:val="auto"/>
        </w:rPr>
      </w:pPr>
    </w:p>
    <w:p>
      <w:pPr>
        <w:ind w:right="20" w:firstLine="441"/>
        <w:spacing w:after="0" w:line="225" w:lineRule="auto"/>
        <w:rPr>
          <w:sz w:val="20"/>
          <w:szCs w:val="20"/>
          <w:color w:val="auto"/>
        </w:rPr>
      </w:pPr>
      <w:r>
        <w:rPr>
          <w:rFonts w:ascii="Arial" w:cs="Arial" w:eastAsia="Arial" w:hAnsi="Arial"/>
          <w:sz w:val="17"/>
          <w:szCs w:val="17"/>
          <w:color w:val="auto"/>
        </w:rPr>
        <w:t>Our operations may be impacted by the Patient Protection and Affordable Care Act (PPACA). For example, the PPACA imposed, among other things, a 2.3% federal excise tax, with limited exceptions, on any entity that manufactures or imports Class I, II and III medical devices offered for sale in the United States that began on January 1, 2013. The excise tax was suspended for a two year period beginning January 1, 2016 and was further suspended through December 31, 2019, and will be reinstated on medical device sales starting January 1, 2020. The current administration has expressed an intention to repeal the PPACA and replace it with alternative reforms. The details and timing of any further such actions are unknown at this time, and it is possible that these changes could adversely affect our business.</w:t>
      </w:r>
    </w:p>
    <w:p>
      <w:pPr>
        <w:spacing w:after="0" w:line="122" w:lineRule="exact"/>
        <w:rPr>
          <w:sz w:val="20"/>
          <w:szCs w:val="20"/>
          <w:color w:val="auto"/>
        </w:rPr>
      </w:pPr>
    </w:p>
    <w:p>
      <w:pPr>
        <w:ind w:firstLine="441"/>
        <w:spacing w:after="0" w:line="244" w:lineRule="auto"/>
        <w:rPr>
          <w:sz w:val="20"/>
          <w:szCs w:val="20"/>
          <w:color w:val="auto"/>
        </w:rPr>
      </w:pPr>
      <w:r>
        <w:rPr>
          <w:rFonts w:ascii="Arial" w:cs="Arial" w:eastAsia="Arial" w:hAnsi="Arial"/>
          <w:sz w:val="16"/>
          <w:szCs w:val="16"/>
          <w:color w:val="auto"/>
        </w:rPr>
        <w:t>On January 2, 2013, the American Taxpayer Relief Act of 2012, or the ATRA, came into effect, which, among other things, further reduced Medicare payments to several providers, including hospitals, and increased the statute of limitations period for the government to recover overpayments to providers from three to five years. We expect that additional state and federal healthcare reform measures will be adopted in the future, any of which could limit the amounts that federal and state governments will pay for healthcare devices and services, which could result in reduced demand for our devices or additional pricing pressures.</w:t>
      </w:r>
    </w:p>
    <w:p>
      <w:pPr>
        <w:spacing w:after="0" w:line="118"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We face uncertainties that might result from modification or repeal of any of the provisions of the PPACA, including as a result of current and future executive orders and legislative actions. The impact of those changes on us and potential effect on the medical device industry as a whole is currently unknown. Any changes to the PPACA are likely to have an impact on our results of operations, and may have a material adverse effect on our results of operations. We cannot predict what other healthcare programs and regulations will ultimately be implemented at the federal or state level or the effect of any future legislation or regulation in the United States may have on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48"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21" w:lineRule="exact"/>
        <w:rPr>
          <w:sz w:val="20"/>
          <w:szCs w:val="20"/>
          <w:color w:val="auto"/>
        </w:rPr>
      </w:pPr>
    </w:p>
    <w:p>
      <w:pPr>
        <w:ind w:right="320" w:firstLine="441"/>
        <w:spacing w:after="0" w:line="258" w:lineRule="auto"/>
        <w:rPr>
          <w:sz w:val="20"/>
          <w:szCs w:val="20"/>
          <w:color w:val="auto"/>
        </w:rPr>
      </w:pPr>
      <w:r>
        <w:rPr>
          <w:rFonts w:ascii="Arial" w:cs="Arial" w:eastAsia="Arial" w:hAnsi="Arial"/>
          <w:sz w:val="17"/>
          <w:szCs w:val="17"/>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06" w:lineRule="exact"/>
        <w:rPr>
          <w:sz w:val="20"/>
          <w:szCs w:val="20"/>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clinical trials of our planned products or those of our competitors;</w:t>
      </w:r>
    </w:p>
    <w:p>
      <w:pPr>
        <w:spacing w:after="0" w:line="144" w:lineRule="exact"/>
        <w:rPr>
          <w:rFonts w:ascii="Arial" w:cs="Arial" w:eastAsia="Arial" w:hAnsi="Arial"/>
          <w:sz w:val="18"/>
          <w:szCs w:val="18"/>
          <w:color w:val="auto"/>
        </w:rPr>
      </w:pPr>
    </w:p>
    <w:p>
      <w:pPr>
        <w:ind w:left="860" w:right="520" w:hanging="427"/>
        <w:spacing w:after="0" w:line="235"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actions by regulatory bodies, such as the FDA, that effect our business or have the effect of delaying or rejecting approval or clearance of our planned products such as the CellFX System;</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860" w:right="520" w:hanging="427"/>
        <w:spacing w:after="0" w:line="235"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our customers, partners or suppliers relating directly or indirectly to our products, services or technologies;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planned products;</w:t>
      </w:r>
    </w:p>
    <w:p>
      <w:pPr>
        <w:spacing w:after="0" w:line="144" w:lineRule="exact"/>
        <w:rPr>
          <w:rFonts w:ascii="Arial" w:cs="Arial" w:eastAsia="Arial" w:hAnsi="Arial"/>
          <w:sz w:val="18"/>
          <w:szCs w:val="18"/>
          <w:color w:val="auto"/>
        </w:rPr>
      </w:pPr>
    </w:p>
    <w:p>
      <w:pPr>
        <w:ind w:left="860" w:right="520" w:hanging="427"/>
        <w:spacing w:after="0" w:line="235"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860" w:right="40" w:hanging="427"/>
        <w:spacing w:after="0" w:line="235"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reports, guidance and ratings issued by securities or industry analysts;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overall conditions in our industry and market;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44" w:lineRule="exact"/>
        <w:rPr>
          <w:sz w:val="20"/>
          <w:szCs w:val="20"/>
          <w:color w:val="auto"/>
        </w:rPr>
      </w:pPr>
    </w:p>
    <w:p>
      <w:pPr>
        <w:ind w:firstLine="441"/>
        <w:spacing w:after="0" w:line="222" w:lineRule="auto"/>
        <w:rPr>
          <w:sz w:val="20"/>
          <w:szCs w:val="20"/>
          <w:color w:val="auto"/>
        </w:rPr>
      </w:pPr>
      <w:r>
        <w:rPr>
          <w:rFonts w:ascii="Arial" w:cs="Arial" w:eastAsia="Arial" w:hAnsi="Arial"/>
          <w:sz w:val="17"/>
          <w:szCs w:val="17"/>
          <w:color w:val="auto"/>
        </w:rPr>
        <w:t>If any of the foregoing occurs, it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Sales or purchases of shares of our common stock may adversely affect the market for our common stock.</w:t>
      </w:r>
    </w:p>
    <w:p>
      <w:pPr>
        <w:spacing w:after="0" w:line="156" w:lineRule="exact"/>
        <w:rPr>
          <w:sz w:val="20"/>
          <w:szCs w:val="20"/>
          <w:color w:val="auto"/>
        </w:rPr>
      </w:pPr>
    </w:p>
    <w:p>
      <w:pPr>
        <w:ind w:right="40" w:firstLine="441"/>
        <w:spacing w:after="0" w:line="239" w:lineRule="auto"/>
        <w:rPr>
          <w:sz w:val="20"/>
          <w:szCs w:val="20"/>
          <w:color w:val="auto"/>
        </w:rPr>
      </w:pPr>
      <w:r>
        <w:rPr>
          <w:rFonts w:ascii="Arial" w:cs="Arial" w:eastAsia="Arial" w:hAnsi="Arial"/>
          <w:sz w:val="16"/>
          <w:szCs w:val="16"/>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is not subject to any contractual restrictions with us on his ability to sell or transfer our common stock, and these sales or transfers could create substantial declines in the price of our securities or, if these sales or transfers were made to a single buyer or group of buyers, could contribute to a transfer of control of our company to a third party. Sales by Robert W. Duggan of a substantial number of shares, or the expectation of such sales, could cause a significant reduction in the market price of our common stock.</w:t>
      </w:r>
    </w:p>
    <w:p>
      <w:pPr>
        <w:spacing w:after="0" w:line="122" w:lineRule="exact"/>
        <w:rPr>
          <w:sz w:val="20"/>
          <w:szCs w:val="20"/>
          <w:color w:val="auto"/>
        </w:rPr>
      </w:pPr>
    </w:p>
    <w:p>
      <w:pPr>
        <w:ind w:right="40" w:firstLine="441"/>
        <w:spacing w:after="0" w:line="212" w:lineRule="auto"/>
        <w:rPr>
          <w:sz w:val="20"/>
          <w:szCs w:val="20"/>
          <w:color w:val="auto"/>
        </w:rPr>
      </w:pPr>
      <w:r>
        <w:rPr>
          <w:rFonts w:ascii="Arial" w:cs="Arial" w:eastAsia="Arial" w:hAnsi="Arial"/>
          <w:sz w:val="18"/>
          <w:szCs w:val="18"/>
          <w:color w:val="auto"/>
        </w:rPr>
        <w:t>We maintain a shelf registration statement on Form S-3 pursuant to which we may, from time to time, sell up to an aggregate of $150.0 million of our common stock, preferred stock, depositary shares, warrants, debt securities or units. We may also issue shares of common stock or securities convertible into, exchangeable or exercisable for our common stock from time to time in connection with financings, acquisitions, investments or otherwise. Any such issuances would result in dilution to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160" w:firstLine="441"/>
        <w:spacing w:after="0" w:line="235"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maintained for our common stock and as a result it may be difficult for you to sell your common stock.</w:t>
      </w:r>
    </w:p>
    <w:p>
      <w:pPr>
        <w:spacing w:after="0" w:line="121" w:lineRule="exact"/>
        <w:rPr>
          <w:sz w:val="20"/>
          <w:szCs w:val="20"/>
          <w:color w:val="auto"/>
        </w:rPr>
      </w:pPr>
    </w:p>
    <w:p>
      <w:pPr>
        <w:ind w:right="240" w:firstLine="441"/>
        <w:spacing w:after="0" w:line="235" w:lineRule="auto"/>
        <w:rPr>
          <w:sz w:val="20"/>
          <w:szCs w:val="20"/>
          <w:color w:val="auto"/>
        </w:rPr>
      </w:pPr>
      <w:r>
        <w:rPr>
          <w:rFonts w:ascii="Arial" w:cs="Arial" w:eastAsia="Arial" w:hAnsi="Arial"/>
          <w:sz w:val="18"/>
          <w:szCs w:val="18"/>
          <w:color w:val="auto"/>
        </w:rPr>
        <w:t>Prior to our initial public offering in May 2016, there was no public market for our common stock. Although our common stock is listed on The Nasdaq.</w:t>
      </w:r>
    </w:p>
    <w:p>
      <w:pPr>
        <w:spacing w:after="0" w:line="121" w:lineRule="exact"/>
        <w:rPr>
          <w:sz w:val="20"/>
          <w:szCs w:val="20"/>
          <w:color w:val="auto"/>
        </w:rPr>
      </w:pPr>
    </w:p>
    <w:p>
      <w:pPr>
        <w:jc w:val="both"/>
        <w:ind w:right="80" w:firstLine="441"/>
        <w:spacing w:after="0" w:line="249" w:lineRule="auto"/>
        <w:rPr>
          <w:sz w:val="20"/>
          <w:szCs w:val="20"/>
          <w:color w:val="auto"/>
        </w:rPr>
      </w:pPr>
      <w:r>
        <w:rPr>
          <w:rFonts w:ascii="Arial" w:cs="Arial" w:eastAsia="Arial" w:hAnsi="Arial"/>
          <w:sz w:val="16"/>
          <w:szCs w:val="16"/>
          <w:color w:val="auto"/>
        </w:rPr>
        <w:t>Capital Market, the market for our shares has demonstrated varying levels of trading activity. As a result of these and other factors, you may not be able to sell your common stock quickly or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14" w:lineRule="exact"/>
        <w:rPr>
          <w:sz w:val="20"/>
          <w:szCs w:val="20"/>
          <w:color w:val="auto"/>
        </w:rPr>
      </w:pPr>
    </w:p>
    <w:p>
      <w:pPr>
        <w:ind w:right="400" w:firstLine="441"/>
        <w:spacing w:after="0" w:line="235" w:lineRule="auto"/>
        <w:rPr>
          <w:sz w:val="20"/>
          <w:szCs w:val="20"/>
          <w:color w:val="auto"/>
        </w:rPr>
      </w:pPr>
      <w:r>
        <w:rPr>
          <w:rFonts w:ascii="Arial" w:cs="Arial" w:eastAsia="Arial" w:hAnsi="Arial"/>
          <w:sz w:val="18"/>
          <w:szCs w:val="18"/>
          <w:b w:val="1"/>
          <w:bCs w:val="1"/>
          <w:i w:val="1"/>
          <w:iCs w:val="1"/>
          <w:color w:val="auto"/>
        </w:rPr>
        <w:t>Concentration of ownership by our principal stockholders may limit your ability to influence the outcome of director elections and other transactions requiring stockholder approval</w:t>
      </w:r>
      <w:r>
        <w:rPr>
          <w:rFonts w:ascii="Arial" w:cs="Arial" w:eastAsia="Arial" w:hAnsi="Arial"/>
          <w:sz w:val="18"/>
          <w:szCs w:val="18"/>
          <w:color w:val="auto"/>
        </w:rPr>
        <w:t>.</w:t>
      </w:r>
    </w:p>
    <w:p>
      <w:pPr>
        <w:spacing w:after="0" w:line="121" w:lineRule="exact"/>
        <w:rPr>
          <w:sz w:val="20"/>
          <w:szCs w:val="20"/>
          <w:color w:val="auto"/>
        </w:rPr>
      </w:pPr>
    </w:p>
    <w:p>
      <w:pPr>
        <w:ind w:right="60" w:firstLine="441"/>
        <w:spacing w:after="0" w:line="219" w:lineRule="auto"/>
        <w:rPr>
          <w:sz w:val="20"/>
          <w:szCs w:val="20"/>
          <w:color w:val="auto"/>
        </w:rPr>
      </w:pPr>
      <w:r>
        <w:rPr>
          <w:rFonts w:ascii="Arial" w:cs="Arial" w:eastAsia="Arial" w:hAnsi="Arial"/>
          <w:sz w:val="18"/>
          <w:szCs w:val="18"/>
          <w:color w:val="auto"/>
        </w:rPr>
        <w:t>A significant percentage of our outstanding stock is held by a limited number of investors, including Robert W. Duggan. Mr. Duggan, Chairman of the Board, beneficially owns approximately 44% of our common stock outstanding as of the date of this Quarterly Report. As a result, such persons will have significant influence over corporate actions requiring stockholder approval, including the following actions:</w:t>
      </w:r>
    </w:p>
    <w:p>
      <w:pPr>
        <w:spacing w:after="0" w:line="122" w:lineRule="exact"/>
        <w:rPr>
          <w:sz w:val="20"/>
          <w:szCs w:val="20"/>
          <w:color w:val="auto"/>
        </w:rPr>
      </w:pPr>
    </w:p>
    <w:p>
      <w:pPr>
        <w:ind w:left="860" w:hanging="427"/>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elect or defeat the election of our directors;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amend or prevent amendment of our certificate of incorporation or bylaws;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effect or prevent a merger, sale of assets or other corporate transaction;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control the outcome of any other matter submitted to our stockholders for vote.</w:t>
      </w:r>
    </w:p>
    <w:p>
      <w:pPr>
        <w:spacing w:after="0" w:line="144" w:lineRule="exact"/>
        <w:rPr>
          <w:sz w:val="20"/>
          <w:szCs w:val="20"/>
          <w:color w:val="auto"/>
        </w:rPr>
      </w:pPr>
    </w:p>
    <w:p>
      <w:pPr>
        <w:jc w:val="both"/>
        <w:ind w:right="240" w:firstLine="441"/>
        <w:spacing w:after="0" w:line="224" w:lineRule="auto"/>
        <w:rPr>
          <w:sz w:val="20"/>
          <w:szCs w:val="20"/>
          <w:color w:val="auto"/>
        </w:rPr>
      </w:pPr>
      <w:r>
        <w:rPr>
          <w:rFonts w:ascii="Arial" w:cs="Arial" w:eastAsia="Arial" w:hAnsi="Arial"/>
          <w:sz w:val="18"/>
          <w:szCs w:val="18"/>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123" w:lineRule="exact"/>
        <w:rPr>
          <w:sz w:val="20"/>
          <w:szCs w:val="20"/>
          <w:color w:val="auto"/>
        </w:rPr>
      </w:pPr>
    </w:p>
    <w:p>
      <w:pPr>
        <w:ind w:right="60" w:firstLine="441"/>
        <w:spacing w:after="0" w:line="219" w:lineRule="auto"/>
        <w:rPr>
          <w:sz w:val="20"/>
          <w:szCs w:val="20"/>
          <w:color w:val="auto"/>
        </w:rPr>
      </w:pPr>
      <w:r>
        <w:rPr>
          <w:rFonts w:ascii="Arial" w:cs="Arial" w:eastAsia="Arial" w:hAnsi="Arial"/>
          <w:sz w:val="18"/>
          <w:szCs w:val="18"/>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122"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b w:val="1"/>
          <w:bCs w:val="1"/>
          <w:i w:val="1"/>
          <w:iCs w:val="1"/>
          <w:color w:val="auto"/>
        </w:rPr>
        <w:t>Robert W. Duggan’s significant ownership position may deter or prevent efforts by other companies to acquire us, which could prevent our stockholders from realizing a control premium.</w:t>
      </w:r>
    </w:p>
    <w:p>
      <w:pPr>
        <w:spacing w:after="0" w:line="121" w:lineRule="exact"/>
        <w:rPr>
          <w:sz w:val="20"/>
          <w:szCs w:val="20"/>
          <w:color w:val="auto"/>
        </w:rPr>
      </w:pPr>
    </w:p>
    <w:p>
      <w:pPr>
        <w:ind w:firstLine="441"/>
        <w:spacing w:after="0" w:line="216" w:lineRule="auto"/>
        <w:rPr>
          <w:sz w:val="20"/>
          <w:szCs w:val="20"/>
          <w:color w:val="auto"/>
        </w:rPr>
      </w:pPr>
      <w:r>
        <w:rPr>
          <w:rFonts w:ascii="Arial" w:cs="Arial" w:eastAsia="Arial" w:hAnsi="Arial"/>
          <w:sz w:val="18"/>
          <w:szCs w:val="18"/>
          <w:color w:val="auto"/>
        </w:rPr>
        <w:t>Robert W. Duggan, is the Chairman of our Board, beneficially owns approximately 44% of our common stock outstanding as of the date of this Quarterly Report. As a result of Robert W. Duggan’s significant ownership and position as Chairman of the Board, other companies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w:t>
      </w:r>
    </w:p>
    <w:p>
      <w:pPr>
        <w:spacing w:after="0" w:line="122" w:lineRule="exact"/>
        <w:rPr>
          <w:sz w:val="20"/>
          <w:szCs w:val="20"/>
          <w:color w:val="auto"/>
        </w:rPr>
      </w:pPr>
    </w:p>
    <w:p>
      <w:pPr>
        <w:ind w:right="80" w:firstLine="441"/>
        <w:spacing w:after="0" w:line="258" w:lineRule="auto"/>
        <w:rPr>
          <w:sz w:val="20"/>
          <w:szCs w:val="20"/>
          <w:color w:val="auto"/>
        </w:rPr>
      </w:pPr>
      <w:r>
        <w:rPr>
          <w:rFonts w:ascii="Arial" w:cs="Arial" w:eastAsia="Arial" w:hAnsi="Arial"/>
          <w:sz w:val="17"/>
          <w:szCs w:val="17"/>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06" w:lineRule="exact"/>
        <w:rPr>
          <w:sz w:val="20"/>
          <w:szCs w:val="20"/>
          <w:color w:val="auto"/>
        </w:rPr>
      </w:pPr>
    </w:p>
    <w:p>
      <w:pPr>
        <w:ind w:right="120" w:firstLine="441"/>
        <w:spacing w:after="0" w:line="216" w:lineRule="auto"/>
        <w:rPr>
          <w:sz w:val="20"/>
          <w:szCs w:val="20"/>
          <w:color w:val="auto"/>
        </w:rPr>
      </w:pPr>
      <w:r>
        <w:rPr>
          <w:rFonts w:ascii="Arial" w:cs="Arial" w:eastAsia="Arial" w:hAnsi="Arial"/>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the Nasdaq. The SEC and other regulators have continued to adopt new rules and regulations and make additional changes to existing regulations that require our compliance.</w:t>
      </w:r>
    </w:p>
    <w:p>
      <w:pPr>
        <w:spacing w:after="0" w:line="122" w:lineRule="exact"/>
        <w:rPr>
          <w:sz w:val="20"/>
          <w:szCs w:val="20"/>
          <w:color w:val="auto"/>
        </w:rPr>
      </w:pPr>
    </w:p>
    <w:p>
      <w:pPr>
        <w:ind w:firstLine="441"/>
        <w:spacing w:after="0" w:line="232" w:lineRule="auto"/>
        <w:rPr>
          <w:sz w:val="20"/>
          <w:szCs w:val="20"/>
          <w:color w:val="auto"/>
        </w:rPr>
      </w:pPr>
      <w:r>
        <w:rPr>
          <w:rFonts w:ascii="Arial" w:cs="Arial" w:eastAsia="Arial" w:hAnsi="Arial"/>
          <w:sz w:val="17"/>
          <w:szCs w:val="17"/>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of 2002,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27" w:lineRule="exact"/>
        <w:rPr>
          <w:sz w:val="20"/>
          <w:szCs w:val="20"/>
          <w:color w:val="auto"/>
        </w:rPr>
      </w:pPr>
    </w:p>
    <w:p>
      <w:pPr>
        <w:ind w:right="80" w:firstLine="441"/>
        <w:spacing w:after="0" w:line="216" w:lineRule="auto"/>
        <w:rPr>
          <w:sz w:val="20"/>
          <w:szCs w:val="20"/>
          <w:color w:val="auto"/>
        </w:rPr>
      </w:pPr>
      <w:r>
        <w:rPr>
          <w:rFonts w:ascii="Arial" w:cs="Arial" w:eastAsia="Arial" w:hAnsi="Arial"/>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22" w:lineRule="exact"/>
        <w:rPr>
          <w:sz w:val="20"/>
          <w:szCs w:val="20"/>
          <w:color w:val="auto"/>
        </w:rPr>
      </w:pPr>
    </w:p>
    <w:p>
      <w:pPr>
        <w:ind w:right="260" w:firstLine="441"/>
        <w:spacing w:after="0" w:line="324" w:lineRule="auto"/>
        <w:rPr>
          <w:sz w:val="20"/>
          <w:szCs w:val="20"/>
          <w:color w:val="auto"/>
        </w:rPr>
      </w:pPr>
      <w:r>
        <w:rPr>
          <w:rFonts w:ascii="Arial" w:cs="Arial" w:eastAsia="Arial" w:hAnsi="Arial"/>
          <w:sz w:val="15"/>
          <w:szCs w:val="15"/>
          <w:b w:val="1"/>
          <w:bCs w:val="1"/>
          <w:i w:val="1"/>
          <w:iCs w:val="1"/>
          <w:color w:val="auto"/>
        </w:rPr>
        <w:t>We are an “emerging growth company” under the JOBS Act as well as a “smaller reporting company”; as a result, we cannot be certain if the applicable reduced disclosure requirements will make our common stock less attractive to investors.</w:t>
      </w:r>
    </w:p>
    <w:p>
      <w:pPr>
        <w:spacing w:after="0" w:line="61" w:lineRule="exact"/>
        <w:rPr>
          <w:sz w:val="20"/>
          <w:szCs w:val="20"/>
          <w:color w:val="auto"/>
        </w:rPr>
      </w:pPr>
    </w:p>
    <w:p>
      <w:pPr>
        <w:ind w:right="160" w:firstLine="441"/>
        <w:spacing w:after="0" w:line="22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also qualify as a “smaller reporting company,” as defined in the Exchange Act, and so long as we remain a smaller reporting company, we benefit from and may take advantage of scaled disclosure requirements.</w:t>
      </w:r>
    </w:p>
    <w:p>
      <w:pPr>
        <w:spacing w:after="0" w:line="127" w:lineRule="exact"/>
        <w:rPr>
          <w:sz w:val="20"/>
          <w:szCs w:val="20"/>
          <w:color w:val="auto"/>
        </w:rPr>
      </w:pPr>
    </w:p>
    <w:p>
      <w:pPr>
        <w:ind w:right="20" w:firstLine="441"/>
        <w:spacing w:after="0" w:line="223" w:lineRule="auto"/>
        <w:rPr>
          <w:sz w:val="20"/>
          <w:szCs w:val="20"/>
          <w:color w:val="auto"/>
        </w:rPr>
      </w:pPr>
      <w:r>
        <w:rPr>
          <w:rFonts w:ascii="Arial" w:cs="Arial" w:eastAsia="Arial" w:hAnsi="Arial"/>
          <w:sz w:val="17"/>
          <w:szCs w:val="17"/>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 We will remain an “emerging growth company” for up to five years, although we will lose that status sooner if our revenues exceed $1.07 billion, if we issue more than $1.0 billion in non-convertible debt in a three-year period, or if the market value of our common stock that is held by non-affiliates exceeds $700 million as of September 30.</w:t>
      </w:r>
    </w:p>
    <w:p>
      <w:pPr>
        <w:spacing w:after="0" w:line="121" w:lineRule="exact"/>
        <w:rPr>
          <w:sz w:val="20"/>
          <w:szCs w:val="20"/>
          <w:color w:val="auto"/>
        </w:rPr>
      </w:pPr>
    </w:p>
    <w:p>
      <w:pPr>
        <w:ind w:right="600" w:firstLine="441"/>
        <w:spacing w:after="0" w:line="23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market price and trading volume could decline.</w:t>
      </w:r>
    </w:p>
    <w:p>
      <w:pPr>
        <w:spacing w:after="0" w:line="121" w:lineRule="exact"/>
        <w:rPr>
          <w:sz w:val="20"/>
          <w:szCs w:val="20"/>
          <w:color w:val="auto"/>
        </w:rPr>
      </w:pPr>
    </w:p>
    <w:p>
      <w:pPr>
        <w:ind w:right="60" w:firstLine="441"/>
        <w:spacing w:after="0" w:line="226" w:lineRule="auto"/>
        <w:rPr>
          <w:sz w:val="20"/>
          <w:szCs w:val="20"/>
          <w:color w:val="auto"/>
        </w:rPr>
      </w:pPr>
      <w:r>
        <w:rPr>
          <w:rFonts w:ascii="Arial" w:cs="Arial" w:eastAsia="Arial" w:hAnsi="Arial"/>
          <w:sz w:val="17"/>
          <w:szCs w:val="17"/>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not paid dividends in the past and have no plans to pay dividends</w:t>
      </w:r>
      <w:r>
        <w:rPr>
          <w:rFonts w:ascii="Arial" w:cs="Arial" w:eastAsia="Arial" w:hAnsi="Arial"/>
          <w:sz w:val="18"/>
          <w:szCs w:val="18"/>
          <w:color w:val="auto"/>
        </w:rPr>
        <w:t>.</w:t>
      </w:r>
    </w:p>
    <w:p>
      <w:pPr>
        <w:spacing w:after="0" w:line="144" w:lineRule="exact"/>
        <w:rPr>
          <w:sz w:val="20"/>
          <w:szCs w:val="20"/>
          <w:color w:val="auto"/>
        </w:rPr>
      </w:pPr>
    </w:p>
    <w:p>
      <w:pPr>
        <w:ind w:firstLine="441"/>
        <w:spacing w:after="0" w:line="232" w:lineRule="auto"/>
        <w:rPr>
          <w:sz w:val="20"/>
          <w:szCs w:val="20"/>
          <w:color w:val="auto"/>
        </w:rPr>
      </w:pPr>
      <w:r>
        <w:rPr>
          <w:rFonts w:ascii="Arial" w:cs="Arial" w:eastAsia="Arial" w:hAnsi="Arial"/>
          <w:sz w:val="17"/>
          <w:szCs w:val="17"/>
          <w:color w:val="auto"/>
        </w:rPr>
        <w:t>We plan to reinvest all of our earnings, to the extent we have earnings, into our product research and development. We do not plan to pay any cash dividends with respect to our securities in the foreseeable future.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jc w:val="both"/>
        <w:ind w:right="40" w:firstLine="441"/>
        <w:spacing w:after="0" w:line="22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23" w:lineRule="exact"/>
        <w:rPr>
          <w:sz w:val="20"/>
          <w:szCs w:val="20"/>
          <w:color w:val="auto"/>
        </w:rPr>
      </w:pPr>
    </w:p>
    <w:p>
      <w:pPr>
        <w:ind w:right="40" w:firstLine="441"/>
        <w:spacing w:after="0" w:line="249" w:lineRule="auto"/>
        <w:rPr>
          <w:sz w:val="20"/>
          <w:szCs w:val="20"/>
          <w:color w:val="auto"/>
        </w:rPr>
      </w:pPr>
      <w:r>
        <w:rPr>
          <w:rFonts w:ascii="Arial" w:cs="Arial" w:eastAsia="Arial" w:hAnsi="Arial"/>
          <w:sz w:val="16"/>
          <w:szCs w:val="16"/>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14" w:lineRule="exact"/>
        <w:rPr>
          <w:sz w:val="20"/>
          <w:szCs w:val="20"/>
          <w:color w:val="auto"/>
        </w:rPr>
      </w:pPr>
    </w:p>
    <w:p>
      <w:pPr>
        <w:ind w:left="860" w:right="480" w:hanging="427"/>
        <w:spacing w:after="0" w:line="289" w:lineRule="auto"/>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50,000,000 shares of preferred stock and up to approximately 500,000,000 shares of authorized but unissued shares of common stock;</w:t>
      </w:r>
    </w:p>
    <w:p>
      <w:pPr>
        <w:spacing w:after="0" w:line="83" w:lineRule="exact"/>
        <w:rPr>
          <w:rFonts w:ascii="Arial" w:cs="Arial" w:eastAsia="Arial" w:hAnsi="Arial"/>
          <w:sz w:val="16"/>
          <w:szCs w:val="16"/>
          <w:color w:val="auto"/>
        </w:rPr>
      </w:pPr>
    </w:p>
    <w:p>
      <w:pPr>
        <w:ind w:left="860" w:hanging="427"/>
        <w:spacing w:after="0" w:line="235"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21" w:lineRule="exact"/>
        <w:rPr>
          <w:rFonts w:ascii="Arial" w:cs="Arial" w:eastAsia="Arial" w:hAnsi="Arial"/>
          <w:sz w:val="18"/>
          <w:szCs w:val="18"/>
          <w:color w:val="auto"/>
        </w:rPr>
      </w:pPr>
    </w:p>
    <w:p>
      <w:pPr>
        <w:ind w:left="860" w:right="80" w:hanging="427"/>
        <w:spacing w:after="0" w:line="224"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22" w:lineRule="exact"/>
        <w:rPr>
          <w:rFonts w:ascii="Arial" w:cs="Arial" w:eastAsia="Arial" w:hAnsi="Arial"/>
          <w:sz w:val="18"/>
          <w:szCs w:val="18"/>
          <w:color w:val="auto"/>
        </w:rPr>
      </w:pPr>
    </w:p>
    <w:p>
      <w:pPr>
        <w:ind w:left="860" w:right="620" w:hanging="427"/>
        <w:spacing w:after="0" w:line="258" w:lineRule="auto"/>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06" w:lineRule="exact"/>
        <w:rPr>
          <w:rFonts w:ascii="Arial" w:cs="Arial" w:eastAsia="Arial" w:hAnsi="Arial"/>
          <w:sz w:val="17"/>
          <w:szCs w:val="17"/>
          <w:color w:val="auto"/>
        </w:rPr>
      </w:pPr>
    </w:p>
    <w:p>
      <w:pPr>
        <w:jc w:val="both"/>
        <w:ind w:left="860" w:right="160" w:hanging="427"/>
        <w:spacing w:after="0" w:line="224"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the then outstanding shares of our voting stock, voting together as a single class, to amend provisions of our certificate of incorporation or our bylaws;</w:t>
      </w:r>
    </w:p>
    <w:p>
      <w:pPr>
        <w:spacing w:after="0" w:line="122" w:lineRule="exact"/>
        <w:rPr>
          <w:rFonts w:ascii="Arial" w:cs="Arial" w:eastAsia="Arial" w:hAnsi="Arial"/>
          <w:sz w:val="18"/>
          <w:szCs w:val="18"/>
          <w:color w:val="auto"/>
        </w:rPr>
      </w:pPr>
    </w:p>
    <w:p>
      <w:pPr>
        <w:ind w:left="860" w:hanging="427"/>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the bylaws; and</w:t>
      </w:r>
    </w:p>
    <w:p>
      <w:pPr>
        <w:spacing w:after="0" w:line="144" w:lineRule="exact"/>
        <w:rPr>
          <w:rFonts w:ascii="Arial" w:cs="Arial" w:eastAsia="Arial" w:hAnsi="Arial"/>
          <w:sz w:val="18"/>
          <w:szCs w:val="18"/>
          <w:color w:val="auto"/>
        </w:rPr>
      </w:pPr>
    </w:p>
    <w:p>
      <w:pPr>
        <w:ind w:left="860" w:right="480" w:hanging="427"/>
        <w:spacing w:after="0" w:line="235"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21" w:lineRule="exact"/>
        <w:rPr>
          <w:sz w:val="20"/>
          <w:szCs w:val="20"/>
          <w:color w:val="auto"/>
        </w:rPr>
      </w:pPr>
    </w:p>
    <w:p>
      <w:pPr>
        <w:ind w:right="20" w:firstLine="441"/>
        <w:spacing w:after="0" w:line="22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8760" w:type="dxa"/>
            <w:vAlign w:val="bottom"/>
            <w:gridSpan w:val="7"/>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6"/>
        </w:trPr>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860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2"/>
        </w:trPr>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86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auto"/>
              <w:bottom w:val="single" w:sz="8" w:color="0000EE"/>
            </w:tcBorders>
            <w:shd w:val="clear" w:color="auto" w:fill="CCEEFF"/>
          </w:tcPr>
          <w:p>
            <w:pPr>
              <w:spacing w:after="0" w:line="15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380" w:type="dxa"/>
            <w:vAlign w:val="bottom"/>
            <w:tcBorders>
              <w:top w:val="single" w:sz="8" w:color="auto"/>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240" w:type="dxa"/>
            <w:vAlign w:val="bottom"/>
            <w:tcBorders>
              <w:top w:val="single" w:sz="8" w:color="auto"/>
              <w:bottom w:val="single" w:sz="8" w:color="0000EE"/>
            </w:tcBorders>
            <w:gridSpan w:val="3"/>
            <w:shd w:val="clear" w:color="auto" w:fill="CCEEFF"/>
          </w:tcPr>
          <w:p>
            <w:pPr>
              <w:spacing w:after="0" w:line="15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Chief Executive Officer pursuant to Section 302 of the Sarbanes-Oxley Act of 2002.</w:t>
              </w:r>
            </w:hyperlink>
          </w:p>
        </w:tc>
        <w:tc>
          <w:tcPr>
            <w:tcW w:w="1240" w:type="dxa"/>
            <w:vAlign w:val="bottom"/>
            <w:tcBorders>
              <w:top w:val="single" w:sz="8" w:color="auto"/>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Pr>
          <w:p>
            <w:pPr>
              <w:spacing w:after="0" w:line="15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80" w:type="dxa"/>
            <w:vAlign w:val="bottom"/>
            <w:gridSpan w:val="5"/>
          </w:tcPr>
          <w:p>
            <w:pPr>
              <w:spacing w:after="0" w:line="156" w:lineRule="exact"/>
              <w:rPr>
                <w:rFonts w:ascii="Arial" w:cs="Arial" w:eastAsia="Arial" w:hAnsi="Arial"/>
                <w:sz w:val="18"/>
                <w:szCs w:val="18"/>
                <w:color w:val="0000EE"/>
              </w:rPr>
            </w:pPr>
            <w:hyperlink w:anchor="page56">
              <w:r>
                <w:rPr>
                  <w:rFonts w:ascii="Arial" w:cs="Arial" w:eastAsia="Arial" w:hAnsi="Arial"/>
                  <w:sz w:val="18"/>
                  <w:szCs w:val="18"/>
                  <w:color w:val="0000EE"/>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80" w:type="dxa"/>
            <w:vAlign w:val="bottom"/>
            <w:gridSpan w:val="2"/>
            <w:shd w:val="clear" w:color="auto" w:fill="CCEEFF"/>
          </w:tcPr>
          <w:p>
            <w:pPr>
              <w:spacing w:after="0" w:line="156" w:lineRule="exact"/>
              <w:rPr>
                <w:rFonts w:ascii="Arial" w:cs="Arial" w:eastAsia="Arial" w:hAnsi="Arial"/>
                <w:sz w:val="18"/>
                <w:szCs w:val="18"/>
                <w:color w:val="0000EE"/>
              </w:rPr>
            </w:pPr>
            <w:hyperlink w:anchor="page57">
              <w:r>
                <w:rPr>
                  <w:rFonts w:ascii="Arial" w:cs="Arial" w:eastAsia="Arial" w:hAnsi="Arial"/>
                  <w:sz w:val="18"/>
                  <w:szCs w:val="18"/>
                  <w:color w:val="0000EE"/>
                </w:rPr>
                <w:t>32.</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60" w:type="dxa"/>
            <w:vAlign w:val="bottom"/>
            <w:shd w:val="clear" w:color="auto" w:fill="CCEEFF"/>
          </w:tcPr>
          <w:p>
            <w:pPr>
              <w:spacing w:after="0"/>
              <w:rPr>
                <w:sz w:val="13"/>
                <w:szCs w:val="13"/>
                <w:color w:val="auto"/>
              </w:rPr>
            </w:pPr>
          </w:p>
        </w:tc>
        <w:tc>
          <w:tcPr>
            <w:tcW w:w="8600" w:type="dxa"/>
            <w:vAlign w:val="bottom"/>
            <w:gridSpan w:val="6"/>
            <w:shd w:val="clear" w:color="auto" w:fill="CCEEFF"/>
          </w:tcPr>
          <w:p>
            <w:pPr>
              <w:ind w:left="120"/>
              <w:spacing w:after="0" w:line="15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Certification of the Chief Executive and Chief Financial Officers pursuant to Section 906 of the Sarbanes-Oxley Act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0000EE"/>
              <w:bottom w:val="single" w:sz="8" w:color="CCEEFF"/>
            </w:tcBorders>
            <w:shd w:val="clear" w:color="auto" w:fill="CCEEFF"/>
          </w:tcPr>
          <w:p>
            <w:pPr>
              <w:spacing w:after="0"/>
              <w:rPr>
                <w:sz w:val="13"/>
                <w:szCs w:val="13"/>
                <w:color w:val="auto"/>
              </w:rPr>
            </w:pP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480" w:type="dxa"/>
            <w:vAlign w:val="bottom"/>
            <w:tcBorders>
              <w:top w:val="single" w:sz="8" w:color="0000EE"/>
              <w:bottom w:val="single" w:sz="8" w:color="0000EE"/>
            </w:tcBorders>
            <w:shd w:val="clear" w:color="auto" w:fill="CCEEFF"/>
          </w:tcPr>
          <w:p>
            <w:pPr>
              <w:spacing w:after="0" w:line="15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of 2002 (18 U.S.C. Section 1350).</w:t>
              </w:r>
            </w:hyperlink>
          </w:p>
        </w:tc>
        <w:tc>
          <w:tcPr>
            <w:tcW w:w="5920" w:type="dxa"/>
            <w:vAlign w:val="bottom"/>
            <w:tcBorders>
              <w:top w:val="single" w:sz="8" w:color="0000EE"/>
              <w:bottom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spacing w:after="0" w:line="170" w:lineRule="exact"/>
              <w:rPr>
                <w:sz w:val="20"/>
                <w:szCs w:val="20"/>
                <w:color w:val="auto"/>
              </w:rPr>
            </w:pPr>
            <w:r>
              <w:rPr>
                <w:rFonts w:ascii="Arial" w:cs="Arial" w:eastAsia="Arial" w:hAnsi="Arial"/>
                <w:sz w:val="18"/>
                <w:szCs w:val="18"/>
                <w:color w:val="auto"/>
              </w:rPr>
              <w:t>101.INS</w:t>
            </w:r>
          </w:p>
        </w:tc>
        <w:tc>
          <w:tcPr>
            <w:tcW w:w="160" w:type="dxa"/>
            <w:vAlign w:val="bottom"/>
          </w:tcPr>
          <w:p>
            <w:pPr>
              <w:spacing w:after="0"/>
              <w:rPr>
                <w:sz w:val="14"/>
                <w:szCs w:val="14"/>
                <w:color w:val="auto"/>
              </w:rPr>
            </w:pPr>
          </w:p>
        </w:tc>
        <w:tc>
          <w:tcPr>
            <w:tcW w:w="8600" w:type="dxa"/>
            <w:vAlign w:val="bottom"/>
            <w:gridSpan w:val="6"/>
          </w:tcPr>
          <w:p>
            <w:pPr>
              <w:ind w:left="120"/>
              <w:spacing w:after="0" w:line="170" w:lineRule="exact"/>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101.SCH</w:t>
            </w:r>
          </w:p>
        </w:tc>
        <w:tc>
          <w:tcPr>
            <w:tcW w:w="160" w:type="dxa"/>
            <w:vAlign w:val="bottom"/>
            <w:shd w:val="clear" w:color="auto" w:fill="CCEEFF"/>
          </w:tcPr>
          <w:p>
            <w:pPr>
              <w:spacing w:after="0"/>
              <w:rPr>
                <w:sz w:val="15"/>
                <w:szCs w:val="15"/>
                <w:color w:val="auto"/>
              </w:rPr>
            </w:pPr>
          </w:p>
        </w:tc>
        <w:tc>
          <w:tcPr>
            <w:tcW w:w="8600" w:type="dxa"/>
            <w:vAlign w:val="bottom"/>
            <w:gridSpan w:val="6"/>
            <w:shd w:val="clear" w:color="auto" w:fill="CCEEFF"/>
          </w:tcPr>
          <w:p>
            <w:pPr>
              <w:ind w:left="120"/>
              <w:spacing w:after="0" w:line="176"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color w:val="auto"/>
                <w:w w:val="94"/>
              </w:rPr>
              <w:t>101.CAL</w:t>
            </w:r>
          </w:p>
        </w:tc>
        <w:tc>
          <w:tcPr>
            <w:tcW w:w="160" w:type="dxa"/>
            <w:vAlign w:val="bottom"/>
          </w:tcPr>
          <w:p>
            <w:pPr>
              <w:spacing w:after="0"/>
              <w:rPr>
                <w:sz w:val="15"/>
                <w:szCs w:val="15"/>
                <w:color w:val="auto"/>
              </w:rPr>
            </w:pPr>
          </w:p>
        </w:tc>
        <w:tc>
          <w:tcPr>
            <w:tcW w:w="8600" w:type="dxa"/>
            <w:vAlign w:val="bottom"/>
            <w:gridSpan w:val="6"/>
          </w:tcPr>
          <w:p>
            <w:pPr>
              <w:ind w:left="120"/>
              <w:spacing w:after="0" w:line="176"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101.DEF</w:t>
            </w:r>
          </w:p>
        </w:tc>
        <w:tc>
          <w:tcPr>
            <w:tcW w:w="160" w:type="dxa"/>
            <w:vAlign w:val="bottom"/>
            <w:shd w:val="clear" w:color="auto" w:fill="CCEEFF"/>
          </w:tcPr>
          <w:p>
            <w:pPr>
              <w:spacing w:after="0"/>
              <w:rPr>
                <w:sz w:val="15"/>
                <w:szCs w:val="15"/>
                <w:color w:val="auto"/>
              </w:rPr>
            </w:pPr>
          </w:p>
        </w:tc>
        <w:tc>
          <w:tcPr>
            <w:tcW w:w="8600" w:type="dxa"/>
            <w:vAlign w:val="bottom"/>
            <w:gridSpan w:val="6"/>
            <w:shd w:val="clear" w:color="auto" w:fill="CCEEFF"/>
          </w:tcPr>
          <w:p>
            <w:pPr>
              <w:ind w:left="120"/>
              <w:spacing w:after="0" w:line="176"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color w:val="auto"/>
                <w:w w:val="95"/>
              </w:rPr>
              <w:t>101.LAB</w:t>
            </w:r>
          </w:p>
        </w:tc>
        <w:tc>
          <w:tcPr>
            <w:tcW w:w="160" w:type="dxa"/>
            <w:vAlign w:val="bottom"/>
          </w:tcPr>
          <w:p>
            <w:pPr>
              <w:spacing w:after="0"/>
              <w:rPr>
                <w:sz w:val="15"/>
                <w:szCs w:val="15"/>
                <w:color w:val="auto"/>
              </w:rPr>
            </w:pPr>
          </w:p>
        </w:tc>
        <w:tc>
          <w:tcPr>
            <w:tcW w:w="8600" w:type="dxa"/>
            <w:vAlign w:val="bottom"/>
            <w:gridSpan w:val="6"/>
          </w:tcPr>
          <w:p>
            <w:pPr>
              <w:ind w:left="120"/>
              <w:spacing w:after="0" w:line="176"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101.PRE</w:t>
            </w:r>
          </w:p>
        </w:tc>
        <w:tc>
          <w:tcPr>
            <w:tcW w:w="160" w:type="dxa"/>
            <w:vAlign w:val="bottom"/>
            <w:shd w:val="clear" w:color="auto" w:fill="CCEEFF"/>
          </w:tcPr>
          <w:p>
            <w:pPr>
              <w:spacing w:after="0"/>
              <w:rPr>
                <w:sz w:val="15"/>
                <w:szCs w:val="15"/>
                <w:color w:val="auto"/>
              </w:rPr>
            </w:pPr>
          </w:p>
        </w:tc>
        <w:tc>
          <w:tcPr>
            <w:tcW w:w="8600" w:type="dxa"/>
            <w:vAlign w:val="bottom"/>
            <w:gridSpan w:val="6"/>
            <w:shd w:val="clear" w:color="auto" w:fill="CCEEFF"/>
          </w:tcPr>
          <w:p>
            <w:pPr>
              <w:ind w:left="120"/>
              <w:spacing w:after="0" w:line="176"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spacing w:after="0" w:line="232" w:lineRule="auto"/>
        <w:tabs>
          <w:tab w:leader="none" w:pos="1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Signatures</w:t>
      </w:r>
    </w:p>
    <w:p>
      <w:pPr>
        <w:spacing w:after="0" w:line="324" w:lineRule="exact"/>
        <w:rPr>
          <w:sz w:val="20"/>
          <w:szCs w:val="20"/>
          <w:color w:val="auto"/>
        </w:rPr>
      </w:pPr>
    </w:p>
    <w:p>
      <w:pPr>
        <w:ind w:right="259" w:firstLine="441"/>
        <w:spacing w:after="0" w:line="235"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30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PULSE BIOSCIENCES, INC.</w:t>
      </w:r>
    </w:p>
    <w:p>
      <w:pPr>
        <w:spacing w:after="0" w:line="146" w:lineRule="exact"/>
        <w:rPr>
          <w:sz w:val="20"/>
          <w:szCs w:val="20"/>
          <w:color w:val="auto"/>
        </w:rPr>
      </w:pPr>
    </w:p>
    <w:p>
      <w:pPr>
        <w:spacing w:after="0"/>
        <w:tabs>
          <w:tab w:leader="none" w:pos="4780" w:val="left"/>
          <w:tab w:leader="none" w:pos="646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-635</wp:posOffset>
            </wp:positionV>
            <wp:extent cx="24180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jc w:val="center"/>
        <w:ind w:left="4800"/>
        <w:spacing w:after="0" w:line="193" w:lineRule="auto"/>
        <w:rPr>
          <w:sz w:val="20"/>
          <w:szCs w:val="20"/>
          <w:color w:val="auto"/>
        </w:rPr>
      </w:pPr>
      <w:r>
        <w:rPr>
          <w:rFonts w:ascii="Arial" w:cs="Arial" w:eastAsia="Arial" w:hAnsi="Arial"/>
          <w:sz w:val="18"/>
          <w:szCs w:val="18"/>
          <w:b w:val="1"/>
          <w:bCs w:val="1"/>
          <w:color w:val="auto"/>
        </w:rPr>
        <w:t>Brian B. Dow</w:t>
      </w:r>
    </w:p>
    <w:p>
      <w:pPr>
        <w:jc w:val="center"/>
        <w:ind w:left="4800"/>
        <w:spacing w:after="0" w:line="202"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48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35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239"/>
          </w:cols>
          <w:pgMar w:left="1220" w:top="108"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Darrin R. Uecker, President and Chief Executive Officer, certify that:</w:t>
      </w:r>
    </w:p>
    <w:p>
      <w:pPr>
        <w:spacing w:after="0" w:line="117" w:lineRule="exact"/>
        <w:rPr>
          <w:sz w:val="20"/>
          <w:szCs w:val="20"/>
          <w:color w:val="auto"/>
        </w:rPr>
      </w:pPr>
    </w:p>
    <w:p>
      <w:pPr>
        <w:ind w:left="320" w:hanging="320"/>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2019 of Pulse Biosciences, Inc.;</w:t>
      </w:r>
    </w:p>
    <w:p>
      <w:pPr>
        <w:spacing w:after="0" w:line="140" w:lineRule="exact"/>
        <w:rPr>
          <w:rFonts w:ascii="Arial" w:cs="Arial" w:eastAsia="Arial" w:hAnsi="Arial"/>
          <w:sz w:val="16"/>
          <w:szCs w:val="16"/>
          <w:color w:val="auto"/>
        </w:rPr>
      </w:pPr>
    </w:p>
    <w:p>
      <w:pPr>
        <w:ind w:left="320" w:right="80" w:hanging="320"/>
        <w:spacing w:after="0" w:line="224"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60" w:hanging="320"/>
        <w:spacing w:after="0" w:line="224"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480" w:hanging="320"/>
        <w:spacing w:after="0" w:line="238" w:lineRule="auto"/>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7"/>
          <w:szCs w:val="17"/>
          <w:color w:val="auto"/>
        </w:rPr>
      </w:pPr>
    </w:p>
    <w:p>
      <w:pPr>
        <w:ind w:left="640" w:hanging="315"/>
        <w:spacing w:after="0" w:line="259" w:lineRule="auto"/>
        <w:tabs>
          <w:tab w:leader="none" w:pos="6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ind w:left="640" w:right="280" w:hanging="315"/>
        <w:spacing w:after="0" w:line="259" w:lineRule="auto"/>
        <w:tabs>
          <w:tab w:leader="none" w:pos="6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ind w:left="640" w:right="160" w:hanging="315"/>
        <w:spacing w:after="0" w:line="224" w:lineRule="auto"/>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320" w:hanging="315"/>
        <w:spacing w:after="0" w:line="219" w:lineRule="auto"/>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420" w:hanging="320"/>
        <w:spacing w:after="0" w:line="224"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80" w:hanging="315"/>
        <w:spacing w:after="0" w:line="224" w:lineRule="auto"/>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460" w:hanging="315"/>
        <w:spacing w:after="0" w:line="235" w:lineRule="auto"/>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7" w:lineRule="exact"/>
        <w:rPr>
          <w:sz w:val="20"/>
          <w:szCs w:val="20"/>
          <w:color w:val="auto"/>
        </w:rPr>
      </w:pPr>
    </w:p>
    <w:p>
      <w:pPr>
        <w:spacing w:after="0"/>
        <w:tabs>
          <w:tab w:leader="none" w:pos="4640" w:val="left"/>
          <w:tab w:leader="none" w:pos="510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Darrin R. Uecker</w:t>
      </w:r>
    </w:p>
    <w:p>
      <w:pPr>
        <w:ind w:left="5120"/>
        <w:spacing w:after="0" w:line="204" w:lineRule="auto"/>
        <w:rPr>
          <w:sz w:val="20"/>
          <w:szCs w:val="20"/>
          <w:color w:val="auto"/>
        </w:rPr>
      </w:pPr>
      <w:r>
        <w:rPr>
          <w:rFonts w:ascii="Arial" w:cs="Arial" w:eastAsia="Arial" w:hAnsi="Arial"/>
          <w:sz w:val="18"/>
          <w:szCs w:val="18"/>
          <w:color w:val="auto"/>
        </w:rPr>
        <w:t>President and Chief Executive Officer</w:t>
      </w:r>
    </w:p>
    <w:p>
      <w:pPr>
        <w:ind w:left="51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05409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Brian B. Dow, Senior Vice President and Chief Financial Officer, certify that:</w:t>
      </w:r>
    </w:p>
    <w:p>
      <w:pPr>
        <w:spacing w:after="0" w:line="117" w:lineRule="exact"/>
        <w:rPr>
          <w:sz w:val="20"/>
          <w:szCs w:val="20"/>
          <w:color w:val="auto"/>
        </w:rPr>
      </w:pPr>
    </w:p>
    <w:p>
      <w:pPr>
        <w:ind w:left="320" w:hanging="320"/>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2019 of Pulse Biosciences, Inc.;</w:t>
      </w:r>
    </w:p>
    <w:p>
      <w:pPr>
        <w:spacing w:after="0" w:line="140" w:lineRule="exact"/>
        <w:rPr>
          <w:rFonts w:ascii="Arial" w:cs="Arial" w:eastAsia="Arial" w:hAnsi="Arial"/>
          <w:sz w:val="16"/>
          <w:szCs w:val="16"/>
          <w:color w:val="auto"/>
        </w:rPr>
      </w:pPr>
    </w:p>
    <w:p>
      <w:pPr>
        <w:ind w:left="320" w:right="80" w:hanging="320"/>
        <w:spacing w:after="0" w:line="224"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60" w:hanging="320"/>
        <w:spacing w:after="0" w:line="224"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480" w:hanging="320"/>
        <w:spacing w:after="0" w:line="259" w:lineRule="auto"/>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for the registrant and have:</w:t>
      </w:r>
    </w:p>
    <w:p>
      <w:pPr>
        <w:spacing w:after="0" w:line="79" w:lineRule="exact"/>
        <w:rPr>
          <w:rFonts w:ascii="Arial" w:cs="Arial" w:eastAsia="Arial" w:hAnsi="Arial"/>
          <w:sz w:val="16"/>
          <w:szCs w:val="16"/>
          <w:color w:val="auto"/>
        </w:rPr>
      </w:pPr>
    </w:p>
    <w:p>
      <w:pPr>
        <w:ind w:left="640" w:hanging="315"/>
        <w:spacing w:after="0" w:line="259" w:lineRule="auto"/>
        <w:tabs>
          <w:tab w:leader="none" w:pos="6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ind w:left="640" w:right="280" w:hanging="315"/>
        <w:spacing w:after="0" w:line="259" w:lineRule="auto"/>
        <w:tabs>
          <w:tab w:leader="none" w:pos="6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ind w:left="640" w:right="160" w:hanging="315"/>
        <w:spacing w:after="0" w:line="224" w:lineRule="auto"/>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320" w:hanging="315"/>
        <w:spacing w:after="0" w:line="219" w:lineRule="auto"/>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420" w:hanging="320"/>
        <w:spacing w:after="0" w:line="224"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80" w:hanging="315"/>
        <w:spacing w:after="0" w:line="224" w:lineRule="auto"/>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460" w:hanging="315"/>
        <w:spacing w:after="0" w:line="235" w:lineRule="auto"/>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640" w:val="left"/>
          <w:tab w:leader="none" w:pos="510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Brian B. Dow</w:t>
      </w:r>
    </w:p>
    <w:p>
      <w:pPr>
        <w:ind w:left="5120"/>
        <w:spacing w:after="0" w:line="204" w:lineRule="auto"/>
        <w:rPr>
          <w:sz w:val="20"/>
          <w:szCs w:val="20"/>
          <w:color w:val="auto"/>
        </w:rPr>
      </w:pPr>
      <w:r>
        <w:rPr>
          <w:rFonts w:ascii="Arial" w:cs="Arial" w:eastAsia="Arial" w:hAnsi="Arial"/>
          <w:sz w:val="18"/>
          <w:szCs w:val="18"/>
          <w:color w:val="auto"/>
        </w:rPr>
        <w:t>Senior Vice President and Chief Financial Officer</w:t>
      </w:r>
    </w:p>
    <w:p>
      <w:pPr>
        <w:ind w:left="51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05409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ind w:left="2460"/>
        <w:spacing w:after="0" w:line="203" w:lineRule="auto"/>
        <w:rPr>
          <w:sz w:val="20"/>
          <w:szCs w:val="20"/>
          <w:color w:val="auto"/>
        </w:rPr>
      </w:pPr>
      <w:r>
        <w:rPr>
          <w:rFonts w:ascii="Arial" w:cs="Arial" w:eastAsia="Arial" w:hAnsi="Arial"/>
          <w:sz w:val="18"/>
          <w:szCs w:val="18"/>
          <w:b w:val="1"/>
          <w:bCs w:val="1"/>
          <w:color w:val="auto"/>
        </w:rPr>
        <w:t>18 U.S.C. SECTION 1350, AS ADOPTED PURSUANT TO</w:t>
      </w:r>
    </w:p>
    <w:p>
      <w:pPr>
        <w:ind w:left="24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Quarterly Report of Pulse Biosciences, Inc. (the “Company”) on Form 10-Q for the period</w:t>
      </w:r>
    </w:p>
    <w:p>
      <w:pPr>
        <w:spacing w:after="0" w:line="229" w:lineRule="auto"/>
        <w:rPr>
          <w:sz w:val="20"/>
          <w:szCs w:val="20"/>
          <w:color w:val="auto"/>
        </w:rPr>
      </w:pPr>
      <w:r>
        <w:rPr>
          <w:rFonts w:ascii="Arial" w:cs="Arial" w:eastAsia="Arial" w:hAnsi="Arial"/>
          <w:sz w:val="16"/>
          <w:szCs w:val="16"/>
          <w:color w:val="auto"/>
        </w:rPr>
        <w:t>ended September 30, 2019 as filed with the Securities and Exchange Commission on the date hereof (the “Report”), each of the</w:t>
      </w:r>
    </w:p>
    <w:p>
      <w:pPr>
        <w:spacing w:after="0" w:line="229" w:lineRule="auto"/>
        <w:rPr>
          <w:sz w:val="20"/>
          <w:szCs w:val="20"/>
          <w:color w:val="auto"/>
        </w:rPr>
      </w:pPr>
      <w:r>
        <w:rPr>
          <w:rFonts w:ascii="Arial" w:cs="Arial" w:eastAsia="Arial" w:hAnsi="Arial"/>
          <w:sz w:val="16"/>
          <w:szCs w:val="16"/>
          <w:color w:val="auto"/>
        </w:rPr>
        <w:t>undersigned certify, pursuant to 18 U.S.C. Section 1350, as adopted pursuant to Section 906 of the Sarbanes-Oxley Act of 2002,</w:t>
      </w:r>
    </w:p>
    <w:p>
      <w:pPr>
        <w:spacing w:after="0"/>
        <w:rPr>
          <w:sz w:val="20"/>
          <w:szCs w:val="20"/>
          <w:color w:val="auto"/>
        </w:rPr>
      </w:pPr>
      <w:r>
        <w:rPr>
          <w:rFonts w:ascii="Arial" w:cs="Arial" w:eastAsia="Arial" w:hAnsi="Arial"/>
          <w:sz w:val="18"/>
          <w:szCs w:val="18"/>
          <w:color w:val="auto"/>
        </w:rPr>
        <w:t>that to the best of his knowledge:</w:t>
      </w:r>
    </w:p>
    <w:p>
      <w:pPr>
        <w:spacing w:after="0" w:line="47" w:lineRule="exact"/>
        <w:rPr>
          <w:sz w:val="20"/>
          <w:szCs w:val="20"/>
          <w:color w:val="auto"/>
        </w:rPr>
      </w:pPr>
    </w:p>
    <w:p>
      <w:pPr>
        <w:ind w:left="840" w:hanging="399"/>
        <w:spacing w:after="0"/>
        <w:tabs>
          <w:tab w:leader="none" w:pos="8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right="220" w:firstLine="441"/>
        <w:spacing w:after="0" w:line="235" w:lineRule="auto"/>
        <w:tabs>
          <w:tab w:leader="none" w:pos="8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Darrin R. Uecker</w:t>
      </w:r>
    </w:p>
    <w:p>
      <w:pPr>
        <w:ind w:left="5120"/>
        <w:spacing w:after="0" w:line="204" w:lineRule="auto"/>
        <w:rPr>
          <w:sz w:val="20"/>
          <w:szCs w:val="20"/>
          <w:color w:val="auto"/>
        </w:rPr>
      </w:pPr>
      <w:r>
        <w:rPr>
          <w:rFonts w:ascii="Arial" w:cs="Arial" w:eastAsia="Arial" w:hAnsi="Arial"/>
          <w:sz w:val="18"/>
          <w:szCs w:val="18"/>
          <w:color w:val="auto"/>
        </w:rPr>
        <w:t>President and Chief Executive Officer</w:t>
      </w:r>
    </w:p>
    <w:p>
      <w:pPr>
        <w:ind w:left="5120"/>
        <w:spacing w:after="0"/>
        <w:rPr>
          <w:sz w:val="20"/>
          <w:szCs w:val="20"/>
          <w:color w:val="auto"/>
        </w:rPr>
      </w:pPr>
      <w:r>
        <w:rPr>
          <w:rFonts w:ascii="Arial" w:cs="Arial" w:eastAsia="Arial" w:hAnsi="Arial"/>
          <w:sz w:val="18"/>
          <w:szCs w:val="18"/>
          <w:color w:val="auto"/>
        </w:rPr>
        <w:t>(Principal Executive Officer)</w:t>
      </w:r>
    </w:p>
    <w:p>
      <w:pPr>
        <w:spacing w:after="0" w:line="14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Brian B. Dow</w:t>
      </w:r>
    </w:p>
    <w:p>
      <w:pPr>
        <w:ind w:left="5120"/>
        <w:spacing w:after="0" w:line="204" w:lineRule="auto"/>
        <w:rPr>
          <w:sz w:val="20"/>
          <w:szCs w:val="20"/>
          <w:color w:val="auto"/>
        </w:rPr>
      </w:pPr>
      <w:r>
        <w:rPr>
          <w:rFonts w:ascii="Arial" w:cs="Arial" w:eastAsia="Arial" w:hAnsi="Arial"/>
          <w:sz w:val="18"/>
          <w:szCs w:val="18"/>
          <w:color w:val="auto"/>
        </w:rPr>
        <w:t>Senior Vice President and Chief Financial Officer</w:t>
      </w:r>
    </w:p>
    <w:p>
      <w:pPr>
        <w:ind w:left="5120"/>
        <w:spacing w:after="0"/>
        <w:rPr>
          <w:sz w:val="20"/>
          <w:szCs w:val="20"/>
          <w:color w:val="auto"/>
        </w:rPr>
      </w:pPr>
      <w:r>
        <w:rPr>
          <w:rFonts w:ascii="Arial" w:cs="Arial" w:eastAsia="Arial" w:hAnsi="Arial"/>
          <w:sz w:val="18"/>
          <w:szCs w:val="18"/>
          <w:color w:val="auto"/>
        </w:rPr>
        <w:t>(Principal Financial and Accounting Officer)</w:t>
      </w:r>
    </w:p>
    <w:p>
      <w:pPr>
        <w:spacing w:after="0" w:line="344" w:lineRule="exact"/>
        <w:rPr>
          <w:sz w:val="20"/>
          <w:szCs w:val="20"/>
          <w:color w:val="auto"/>
        </w:rPr>
      </w:pPr>
    </w:p>
    <w:p>
      <w:pPr>
        <w:ind w:right="80" w:firstLine="441"/>
        <w:spacing w:after="0" w:line="219" w:lineRule="auto"/>
        <w:rPr>
          <w:sz w:val="20"/>
          <w:szCs w:val="20"/>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331470</wp:posOffset>
            </wp:positionV>
            <wp:extent cx="605409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sectPr>
      <w:pgSz w:w="11900" w:h="16838" w:orient="portrait"/>
      <w:cols w:equalWidth="0" w:num="1">
        <w:col w:w="9460"/>
      </w:cols>
      <w:pgMar w:left="1220" w:top="10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A"/>
      <w:numFmt w:val="bullet"/>
      <w:start w:val="1"/>
    </w:lvl>
  </w:abstractNum>
  <w:abstractNum w:abstractNumId="3">
    <w:nsid w:val="6B68079A"/>
    <w:multiLevelType w:val="hybridMultilevel"/>
    <w:lvl w:ilvl="0">
      <w:lvlJc w:val="left"/>
      <w:lvlText w:val="%1."/>
      <w:numFmt w:val="decimal"/>
      <w:start w:val="10"/>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2019-12-28T02:04:52Z</dcterms:created>
  <dcterms:modified xsi:type="dcterms:W3CDTF">2019-12-28T02:04:52Z</dcterms:modified>
</cp:coreProperties>
</file>