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58420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1280" w:hanging="3812"/>
        <w:spacing w:after="0" w:line="266" w:lineRule="auto"/>
        <w:tabs>
          <w:tab w:leader="none" w:pos="82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72"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5" w:lineRule="exact"/>
        <w:rPr>
          <w:sz w:val="24"/>
          <w:szCs w:val="24"/>
          <w:color w:val="auto"/>
        </w:rPr>
      </w:pPr>
    </w:p>
    <w:p>
      <w:pPr>
        <w:jc w:val="center"/>
        <w:ind w:right="-19"/>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63" w:lineRule="exact"/>
        <w:rPr>
          <w:sz w:val="24"/>
          <w:szCs w:val="24"/>
          <w:color w:val="auto"/>
        </w:rPr>
      </w:pPr>
    </w:p>
    <w:tbl>
      <w:tblPr>
        <w:tblLayout w:type="fixed"/>
        <w:tblInd w:w="1320" w:type="dxa"/>
        <w:tblCellMar>
          <w:top w:w="0" w:type="dxa"/>
          <w:left w:w="0" w:type="dxa"/>
          <w:bottom w:w="0" w:type="dxa"/>
          <w:right w:w="0" w:type="dxa"/>
        </w:tblCellMar>
      </w:tblPr>
      <w:tr>
        <w:trPr>
          <w:trHeight w:val="389"/>
        </w:trPr>
        <w:tc>
          <w:tcPr>
            <w:tcW w:w="6380" w:type="dxa"/>
            <w:vAlign w:val="bottom"/>
          </w:tcPr>
          <w:p>
            <w:pPr>
              <w:jc w:val="center"/>
              <w:ind w:left="2123"/>
              <w:spacing w:after="0"/>
              <w:rPr>
                <w:sz w:val="20"/>
                <w:szCs w:val="20"/>
                <w:color w:val="auto"/>
              </w:rPr>
            </w:pPr>
            <w:r>
              <w:rPr>
                <w:rFonts w:ascii="Times New Roman" w:cs="Times New Roman" w:eastAsia="Times New Roman" w:hAnsi="Times New Roman"/>
                <w:sz w:val="32"/>
                <w:szCs w:val="32"/>
                <w:b w:val="1"/>
                <w:bCs w:val="1"/>
                <w:color w:val="auto"/>
              </w:rPr>
              <w:t>Pulse Biosciences, Inc.</w:t>
            </w:r>
          </w:p>
        </w:tc>
        <w:tc>
          <w:tcPr>
            <w:tcW w:w="1440" w:type="dxa"/>
            <w:vAlign w:val="bottom"/>
          </w:tcPr>
          <w:p>
            <w:pPr>
              <w:spacing w:after="0"/>
              <w:rPr>
                <w:sz w:val="24"/>
                <w:szCs w:val="24"/>
                <w:color w:val="auto"/>
              </w:rPr>
            </w:pPr>
          </w:p>
        </w:tc>
      </w:tr>
      <w:tr>
        <w:trPr>
          <w:trHeight w:val="216"/>
        </w:trPr>
        <w:tc>
          <w:tcPr>
            <w:tcW w:w="6380" w:type="dxa"/>
            <w:vAlign w:val="bottom"/>
          </w:tcPr>
          <w:p>
            <w:pPr>
              <w:jc w:val="center"/>
              <w:ind w:left="214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440" w:type="dxa"/>
            <w:vAlign w:val="bottom"/>
          </w:tcPr>
          <w:p>
            <w:pPr>
              <w:spacing w:after="0"/>
              <w:rPr>
                <w:sz w:val="18"/>
                <w:szCs w:val="18"/>
                <w:color w:val="auto"/>
              </w:rPr>
            </w:pPr>
          </w:p>
        </w:tc>
      </w:tr>
      <w:tr>
        <w:trPr>
          <w:trHeight w:val="216"/>
        </w:trPr>
        <w:tc>
          <w:tcPr>
            <w:tcW w:w="6380" w:type="dxa"/>
            <w:vAlign w:val="bottom"/>
          </w:tcPr>
          <w:p>
            <w:pPr>
              <w:jc w:val="center"/>
              <w:ind w:right="328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46-5696597</w:t>
            </w:r>
          </w:p>
        </w:tc>
      </w:tr>
      <w:tr>
        <w:trPr>
          <w:trHeight w:val="216"/>
        </w:trPr>
        <w:tc>
          <w:tcPr>
            <w:tcW w:w="6380" w:type="dxa"/>
            <w:vAlign w:val="bottom"/>
          </w:tcPr>
          <w:p>
            <w:pPr>
              <w:jc w:val="center"/>
              <w:ind w:right="3283"/>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380" w:type="dxa"/>
            <w:vAlign w:val="bottom"/>
          </w:tcPr>
          <w:p>
            <w:pPr>
              <w:jc w:val="center"/>
              <w:ind w:right="3283"/>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6380" w:type="dxa"/>
            <w:vAlign w:val="bottom"/>
          </w:tcPr>
          <w:p>
            <w:pPr>
              <w:jc w:val="center"/>
              <w:ind w:right="3283"/>
              <w:spacing w:after="0"/>
              <w:rPr>
                <w:sz w:val="20"/>
                <w:szCs w:val="20"/>
                <w:color w:val="auto"/>
              </w:rPr>
            </w:pPr>
            <w:r>
              <w:rPr>
                <w:rFonts w:ascii="Times New Roman" w:cs="Times New Roman" w:eastAsia="Times New Roman" w:hAnsi="Times New Roman"/>
                <w:sz w:val="18"/>
                <w:szCs w:val="18"/>
                <w:b w:val="1"/>
                <w:bCs w:val="1"/>
                <w:color w:val="auto"/>
                <w:w w:val="99"/>
              </w:rPr>
              <w:t>601 Brickell Key Drive, Suite 1080</w:t>
            </w:r>
          </w:p>
        </w:tc>
        <w:tc>
          <w:tcPr>
            <w:tcW w:w="1440" w:type="dxa"/>
            <w:vAlign w:val="bottom"/>
          </w:tcPr>
          <w:p>
            <w:pPr>
              <w:spacing w:after="0"/>
              <w:rPr>
                <w:sz w:val="24"/>
                <w:szCs w:val="24"/>
                <w:color w:val="auto"/>
              </w:rPr>
            </w:pPr>
          </w:p>
        </w:tc>
      </w:tr>
      <w:tr>
        <w:trPr>
          <w:trHeight w:val="216"/>
        </w:trPr>
        <w:tc>
          <w:tcPr>
            <w:tcW w:w="6380" w:type="dxa"/>
            <w:vAlign w:val="bottom"/>
          </w:tcPr>
          <w:p>
            <w:pPr>
              <w:jc w:val="center"/>
              <w:ind w:right="3283"/>
              <w:spacing w:after="0"/>
              <w:rPr>
                <w:sz w:val="20"/>
                <w:szCs w:val="20"/>
                <w:color w:val="auto"/>
              </w:rPr>
            </w:pPr>
            <w:r>
              <w:rPr>
                <w:rFonts w:ascii="Times New Roman" w:cs="Times New Roman" w:eastAsia="Times New Roman" w:hAnsi="Times New Roman"/>
                <w:sz w:val="18"/>
                <w:szCs w:val="18"/>
                <w:b w:val="1"/>
                <w:bCs w:val="1"/>
                <w:color w:val="auto"/>
              </w:rPr>
              <w:t>Miami, FL</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33131</w:t>
            </w:r>
          </w:p>
        </w:tc>
      </w:tr>
      <w:tr>
        <w:trPr>
          <w:trHeight w:val="216"/>
        </w:trPr>
        <w:tc>
          <w:tcPr>
            <w:tcW w:w="6380" w:type="dxa"/>
            <w:vAlign w:val="bottom"/>
          </w:tcPr>
          <w:p>
            <w:pPr>
              <w:jc w:val="center"/>
              <w:ind w:right="3303"/>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16"/>
        </w:trPr>
        <w:tc>
          <w:tcPr>
            <w:tcW w:w="6380" w:type="dxa"/>
            <w:vAlign w:val="bottom"/>
          </w:tcPr>
          <w:p>
            <w:pPr>
              <w:jc w:val="center"/>
              <w:ind w:left="2123"/>
              <w:spacing w:after="0"/>
              <w:rPr>
                <w:sz w:val="20"/>
                <w:szCs w:val="20"/>
                <w:color w:val="auto"/>
              </w:rPr>
            </w:pPr>
            <w:r>
              <w:rPr>
                <w:rFonts w:ascii="Times New Roman" w:cs="Times New Roman" w:eastAsia="Times New Roman" w:hAnsi="Times New Roman"/>
                <w:sz w:val="18"/>
                <w:szCs w:val="18"/>
                <w:b w:val="1"/>
                <w:bCs w:val="1"/>
                <w:color w:val="auto"/>
                <w:w w:val="99"/>
              </w:rPr>
              <w:t>(510) 906-4600</w:t>
            </w:r>
          </w:p>
        </w:tc>
        <w:tc>
          <w:tcPr>
            <w:tcW w:w="1440" w:type="dxa"/>
            <w:vAlign w:val="bottom"/>
          </w:tcPr>
          <w:p>
            <w:pPr>
              <w:spacing w:after="0"/>
              <w:rPr>
                <w:sz w:val="18"/>
                <w:szCs w:val="18"/>
                <w:color w:val="auto"/>
              </w:rPr>
            </w:pPr>
          </w:p>
        </w:tc>
      </w:tr>
      <w:tr>
        <w:trPr>
          <w:trHeight w:val="238"/>
        </w:trPr>
        <w:tc>
          <w:tcPr>
            <w:tcW w:w="6380" w:type="dxa"/>
            <w:vAlign w:val="bottom"/>
          </w:tcPr>
          <w:p>
            <w:pPr>
              <w:jc w:val="center"/>
              <w:ind w:left="2143"/>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w:t>
            </w:r>
          </w:p>
        </w:tc>
        <w:tc>
          <w:tcPr>
            <w:tcW w:w="14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34290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891" w:right="339" w:bottom="1440" w:gutter="0" w:footer="0" w:header="0"/>
        </w:sectPr>
      </w:pPr>
    </w:p>
    <w:p>
      <w:pPr>
        <w:spacing w:after="0" w:line="225"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PLSE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The Nasdaq Stock Market</w:t>
      </w:r>
    </w:p>
    <w:p>
      <w:pPr>
        <w:spacing w:after="0" w:line="200" w:lineRule="exact"/>
        <w:rPr>
          <w:sz w:val="24"/>
          <w:szCs w:val="24"/>
          <w:color w:val="auto"/>
        </w:rPr>
      </w:pPr>
    </w:p>
    <w:p>
      <w:pPr>
        <w:sectPr>
          <w:pgSz w:w="11900" w:h="16838" w:orient="portrait"/>
          <w:cols w:equalWidth="0" w:num="3">
            <w:col w:w="4080" w:space="720"/>
            <w:col w:w="1920" w:space="720"/>
            <w:col w:w="3800"/>
          </w:cols>
          <w:pgMar w:left="320" w:top="891" w:right="339" w:bottom="1440" w:gutter="0" w:footer="0" w:header="0"/>
          <w:type w:val="continuous"/>
        </w:sectPr>
      </w:pPr>
    </w:p>
    <w:p>
      <w:pPr>
        <w:spacing w:after="0" w:line="7"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2"/>
        </w:trPr>
        <w:tc>
          <w:tcPr>
            <w:tcW w:w="23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49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0" w:firstLine="486"/>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500"/>
        <w:spacing w:after="0" w:line="207" w:lineRule="exact"/>
        <w:tabs>
          <w:tab w:leader="none" w:pos="88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May 12, 2026 was 69,209,712.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61"/>
        </w:trPr>
        <w:tc>
          <w:tcPr>
            <w:tcW w:w="9680" w:type="dxa"/>
            <w:vAlign w:val="bottom"/>
            <w:gridSpan w:val="22"/>
          </w:tcPr>
          <w:p>
            <w:pPr>
              <w:spacing w:after="0" w:line="161" w:lineRule="exact"/>
              <w:rPr>
                <w:rFonts w:ascii="Times New Roman" w:cs="Times New Roman" w:eastAsia="Times New Roman" w:hAnsi="Times New Roman"/>
                <w:sz w:val="16"/>
                <w:szCs w:val="16"/>
                <w:b w:val="1"/>
                <w:bCs w:val="1"/>
                <w:color w:val="0000EE"/>
              </w:rPr>
            </w:pPr>
            <w:hyperlink r:id="rId15">
              <w:r>
                <w:rPr>
                  <w:rFonts w:ascii="Times New Roman" w:cs="Times New Roman" w:eastAsia="Times New Roman" w:hAnsi="Times New Roman"/>
                  <w:sz w:val="16"/>
                  <w:szCs w:val="16"/>
                  <w:b w:val="1"/>
                  <w:bCs w:val="1"/>
                  <w:color w:val="0000EE"/>
                </w:rPr>
                <w:t>PART I. FINANCIAL INFORMATION</w:t>
              </w:r>
            </w:hyperlink>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4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Item 1</w:t>
            </w:r>
            <w:r>
              <w:rPr>
                <w:rFonts w:ascii="Times New Roman" w:cs="Times New Roman" w:eastAsia="Times New Roman" w:hAnsi="Times New Roman"/>
                <w:sz w:val="18"/>
                <w:szCs w:val="18"/>
                <w:color w:val="000000"/>
              </w:rPr>
              <w:t>.</w:t>
            </w:r>
          </w:p>
        </w:tc>
        <w:tc>
          <w:tcPr>
            <w:tcW w:w="8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1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w:t>
            </w:r>
          </w:p>
        </w:tc>
        <w:tc>
          <w:tcPr>
            <w:tcW w:w="2400" w:type="dxa"/>
            <w:vAlign w:val="bottom"/>
            <w:gridSpan w:val="2"/>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w:t>
            </w:r>
          </w:p>
        </w:tc>
      </w:tr>
      <w:tr>
        <w:trPr>
          <w:trHeight w:val="196"/>
        </w:trPr>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1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196"/>
        </w:trPr>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3540" w:type="dxa"/>
            <w:vAlign w:val="bottom"/>
            <w:gridSpan w:val="3"/>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w:t>
            </w:r>
          </w:p>
        </w:tc>
      </w:tr>
      <w:tr>
        <w:trPr>
          <w:trHeight w:val="20"/>
        </w:trPr>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9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4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Item 2</w:t>
            </w:r>
            <w:r>
              <w:rPr>
                <w:rFonts w:ascii="Times New Roman" w:cs="Times New Roman" w:eastAsia="Times New Roman" w:hAnsi="Times New Roman"/>
                <w:sz w:val="18"/>
                <w:szCs w:val="18"/>
                <w:color w:val="000000"/>
              </w:rPr>
              <w:t>.</w:t>
            </w:r>
          </w:p>
        </w:tc>
        <w:tc>
          <w:tcPr>
            <w:tcW w:w="8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19</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2100" w:type="dxa"/>
            <w:vAlign w:val="bottom"/>
            <w:tcBorders>
              <w:left w:val="single" w:sz="8" w:color="0000EE"/>
            </w:tcBorders>
            <w:gridSpan w:val="3"/>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4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Item 3</w:t>
            </w:r>
            <w:r>
              <w:rPr>
                <w:rFonts w:ascii="Times New Roman" w:cs="Times New Roman" w:eastAsia="Times New Roman" w:hAnsi="Times New Roman"/>
                <w:sz w:val="18"/>
                <w:szCs w:val="18"/>
                <w:color w:val="000000"/>
              </w:rPr>
              <w:t>.</w:t>
            </w:r>
          </w:p>
        </w:tc>
        <w:tc>
          <w:tcPr>
            <w:tcW w:w="8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28</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3740" w:type="dxa"/>
            <w:vAlign w:val="bottom"/>
            <w:tcBorders>
              <w:left w:val="single" w:sz="8" w:color="0000EE"/>
            </w:tcBorders>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4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Item 4</w:t>
            </w:r>
            <w:r>
              <w:rPr>
                <w:rFonts w:ascii="Times New Roman" w:cs="Times New Roman" w:eastAsia="Times New Roman" w:hAnsi="Times New Roman"/>
                <w:sz w:val="18"/>
                <w:szCs w:val="18"/>
                <w:color w:val="000000"/>
              </w:rPr>
              <w:t>.</w:t>
            </w:r>
          </w:p>
        </w:tc>
        <w:tc>
          <w:tcPr>
            <w:tcW w:w="8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28</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12"/>
        </w:trPr>
        <w:tc>
          <w:tcPr>
            <w:tcW w:w="2520" w:type="dxa"/>
            <w:vAlign w:val="bottom"/>
            <w:tcBorders>
              <w:bottom w:val="single" w:sz="8" w:color="0000EE"/>
            </w:tcBorders>
            <w:gridSpan w:val="9"/>
          </w:tcPr>
          <w:p>
            <w:pPr>
              <w:spacing w:after="0"/>
              <w:rPr>
                <w:rFonts w:ascii="Times New Roman" w:cs="Times New Roman" w:eastAsia="Times New Roman" w:hAnsi="Times New Roman"/>
                <w:sz w:val="16"/>
                <w:szCs w:val="16"/>
                <w:b w:val="1"/>
                <w:bCs w:val="1"/>
                <w:color w:val="0000EE"/>
              </w:rPr>
            </w:pPr>
            <w:hyperlink r:id="rId16">
              <w:r>
                <w:rPr>
                  <w:rFonts w:ascii="Times New Roman" w:cs="Times New Roman" w:eastAsia="Times New Roman" w:hAnsi="Times New Roman"/>
                  <w:sz w:val="16"/>
                  <w:szCs w:val="16"/>
                  <w:b w:val="1"/>
                  <w:bCs w:val="1"/>
                  <w:color w:val="0000EE"/>
                </w:rPr>
                <w:t>PART II. OTHER INFORMATION</w:t>
              </w:r>
            </w:hyperlink>
          </w:p>
        </w:tc>
        <w:tc>
          <w:tcPr>
            <w:tcW w:w="7160" w:type="dxa"/>
            <w:vAlign w:val="bottom"/>
            <w:gridSpan w:val="13"/>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60" w:type="dxa"/>
            <w:vAlign w:val="bottom"/>
          </w:tcPr>
          <w:p>
            <w:pPr>
              <w:spacing w:after="0"/>
              <w:rPr>
                <w:sz w:val="17"/>
                <w:szCs w:val="17"/>
                <w:color w:val="auto"/>
              </w:rPr>
            </w:pPr>
          </w:p>
        </w:tc>
        <w:tc>
          <w:tcPr>
            <w:tcW w:w="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2"/>
              </w:rPr>
              <w:t>Item 1.</w:t>
            </w:r>
          </w:p>
        </w:tc>
        <w:tc>
          <w:tcPr>
            <w:tcW w:w="960" w:type="dxa"/>
            <w:vAlign w:val="bottom"/>
            <w:gridSpan w:val="2"/>
          </w:tcPr>
          <w:p>
            <w:pPr>
              <w:spacing w:after="0"/>
              <w:rPr>
                <w:sz w:val="17"/>
                <w:szCs w:val="17"/>
                <w:color w:val="auto"/>
              </w:rPr>
            </w:pPr>
          </w:p>
        </w:tc>
        <w:tc>
          <w:tcPr>
            <w:tcW w:w="8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29</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40" w:type="dxa"/>
            <w:vAlign w:val="bottom"/>
            <w:tcBorders>
              <w:left w:val="single" w:sz="8" w:color="0000EE"/>
            </w:tcBorders>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4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8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29</w:t>
            </w:r>
          </w:p>
        </w:tc>
      </w:tr>
      <w:tr>
        <w:trPr>
          <w:trHeight w:val="20"/>
        </w:trPr>
        <w:tc>
          <w:tcPr>
            <w:tcW w:w="1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2"/>
              </w:rPr>
              <w:t>Item 2.</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59</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940" w:type="dxa"/>
            <w:vAlign w:val="bottom"/>
            <w:tcBorders>
              <w:left w:val="single" w:sz="8" w:color="0000EE"/>
            </w:tcBorders>
            <w:gridSpan w:val="2"/>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2"/>
              </w:rPr>
              <w:t>Item 3.</w:t>
            </w:r>
          </w:p>
        </w:tc>
        <w:tc>
          <w:tcPr>
            <w:tcW w:w="960" w:type="dxa"/>
            <w:vAlign w:val="bottom"/>
            <w:gridSpan w:val="2"/>
          </w:tcPr>
          <w:p>
            <w:pPr>
              <w:spacing w:after="0"/>
              <w:rPr>
                <w:sz w:val="17"/>
                <w:szCs w:val="17"/>
                <w:color w:val="auto"/>
              </w:rPr>
            </w:pPr>
          </w:p>
        </w:tc>
        <w:tc>
          <w:tcPr>
            <w:tcW w:w="8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Default Upon Senior Securities</w:t>
            </w:r>
          </w:p>
        </w:tc>
        <w:tc>
          <w:tcPr>
            <w:tcW w:w="1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60</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940" w:type="dxa"/>
            <w:vAlign w:val="bottom"/>
            <w:tcBorders>
              <w:left w:val="single" w:sz="8" w:color="0000EE"/>
            </w:tcBorders>
            <w:gridSpan w:val="2"/>
            <w:shd w:val="clear" w:color="auto" w:fill="0000EE"/>
          </w:tcPr>
          <w:p>
            <w:pPr>
              <w:spacing w:after="0" w:line="20" w:lineRule="exact"/>
              <w:rPr>
                <w:sz w:val="1"/>
                <w:szCs w:val="1"/>
                <w:color w:val="auto"/>
              </w:rPr>
            </w:pPr>
          </w:p>
        </w:tc>
        <w:tc>
          <w:tcPr>
            <w:tcW w:w="584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2"/>
              </w:rPr>
              <w:t>Item 4.</w:t>
            </w:r>
          </w:p>
        </w:tc>
        <w:tc>
          <w:tcPr>
            <w:tcW w:w="960" w:type="dxa"/>
            <w:vAlign w:val="bottom"/>
            <w:gridSpan w:val="2"/>
          </w:tcPr>
          <w:p>
            <w:pPr>
              <w:spacing w:after="0"/>
              <w:rPr>
                <w:sz w:val="17"/>
                <w:szCs w:val="17"/>
                <w:color w:val="auto"/>
              </w:rPr>
            </w:pPr>
          </w:p>
        </w:tc>
        <w:tc>
          <w:tcPr>
            <w:tcW w:w="8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60</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6320" w:type="dxa"/>
            <w:vAlign w:val="bottom"/>
            <w:gridSpan w:val="1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2"/>
              </w:rPr>
              <w:t>Item 5.</w:t>
            </w:r>
          </w:p>
        </w:tc>
        <w:tc>
          <w:tcPr>
            <w:tcW w:w="960" w:type="dxa"/>
            <w:vAlign w:val="bottom"/>
            <w:gridSpan w:val="2"/>
          </w:tcPr>
          <w:p>
            <w:pPr>
              <w:spacing w:after="0"/>
              <w:rPr>
                <w:sz w:val="17"/>
                <w:szCs w:val="17"/>
                <w:color w:val="auto"/>
              </w:rPr>
            </w:pPr>
          </w:p>
        </w:tc>
        <w:tc>
          <w:tcPr>
            <w:tcW w:w="8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60</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6780" w:type="dxa"/>
            <w:vAlign w:val="bottom"/>
            <w:gridSpan w:val="1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82"/>
              </w:rPr>
              <w:t>Item 6.</w:t>
            </w:r>
          </w:p>
        </w:tc>
        <w:tc>
          <w:tcPr>
            <w:tcW w:w="960" w:type="dxa"/>
            <w:vAlign w:val="bottom"/>
            <w:gridSpan w:val="2"/>
          </w:tcPr>
          <w:p>
            <w:pPr>
              <w:spacing w:after="0"/>
              <w:rPr>
                <w:sz w:val="17"/>
                <w:szCs w:val="17"/>
                <w:color w:val="auto"/>
              </w:rPr>
            </w:pPr>
          </w:p>
        </w:tc>
        <w:tc>
          <w:tcPr>
            <w:tcW w:w="8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1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61</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4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46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62</w:t>
            </w:r>
          </w:p>
        </w:tc>
      </w:tr>
      <w:tr>
        <w:trPr>
          <w:trHeight w:val="20"/>
        </w:trPr>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25" w:lineRule="exact"/>
        <w:rPr>
          <w:sz w:val="20"/>
          <w:szCs w:val="20"/>
          <w:color w:val="auto"/>
        </w:rPr>
      </w:pPr>
    </w:p>
    <w:p>
      <w:pPr>
        <w:jc w:val="both"/>
        <w:ind w:firstLine="486"/>
        <w:spacing w:after="0" w:line="233" w:lineRule="auto"/>
        <w:rPr>
          <w:sz w:val="20"/>
          <w:szCs w:val="20"/>
          <w:color w:val="auto"/>
        </w:rPr>
      </w:pPr>
      <w:r>
        <w:rPr>
          <w:rFonts w:ascii="Times New Roman" w:cs="Times New Roman" w:eastAsia="Times New Roman" w:hAnsi="Times New Roman"/>
          <w:sz w:val="18"/>
          <w:szCs w:val="18"/>
          <w:color w:val="auto"/>
        </w:rPr>
        <w:t xml:space="preserve">“Pulse Biosciences,” the Pulse logos and other trademarks or service marks that we use in connection with the operation of our business appearing in this quarterly report on Form 10-Q (this "Quarterly Report"), including nPulse, Vybrance, CellFX, Nano-pulse Stimulation, nsPFA, nano-PFA, and NPS, are the property of Pulse Biosciences, Inc. Solely for your convenience, some of our trademarks and trade names referred to in this Quarterly Report are listed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symbols, but we will assert, to the fullest extent under applicable law, our rights to our trademarks and trade names. Also, this Quarterly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spacing w:after="0" w:line="19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“Pulse,” “Company,” “we,” “us,” and “our,” in this document refer to Pulse Biosciences, Inc., a Delaware corporation, and, where appropriate, its wholly owned subsidiaries.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8"/>
                <w:szCs w:val="18"/>
                <w:color w:val="auto"/>
              </w:rPr>
            </w:pPr>
          </w:p>
        </w:tc>
        <w:tc>
          <w:tcPr>
            <w:tcW w:w="15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68,319</w:t>
            </w:r>
          </w:p>
        </w:tc>
        <w:tc>
          <w:tcPr>
            <w:tcW w:w="560" w:type="dxa"/>
            <w:vAlign w:val="bottom"/>
            <w:gridSpan w:val="2"/>
            <w:shd w:val="clear" w:color="auto" w:fill="CCEEFF"/>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80,735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2,276</w:t>
            </w: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83,421</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6,010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81,622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94,539</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4"/>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2,761</w:t>
            </w:r>
          </w:p>
        </w:tc>
        <w:tc>
          <w:tcPr>
            <w:tcW w:w="56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3,576</w:t>
            </w: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1,570</w:t>
            </w: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7,923</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5,960</w:t>
            </w: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15,324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13,883</w:t>
            </w:r>
          </w:p>
        </w:tc>
      </w:tr>
      <w:tr>
        <w:trPr>
          <w:trHeight w:val="210"/>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authorized – 50,000,000 shares; no shares issued and outstanding</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 500,000,000 shares; issued and outstanding – 68,225,067</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and 67,839,689 shares as of March 31, 2026 and December 31, 2025, respectively</w:t>
            </w: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548,092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543,869</w:t>
            </w: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(481,862)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(463,281)</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66,298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80,656</w:t>
            </w: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81,622</w:t>
            </w:r>
          </w:p>
        </w:tc>
        <w:tc>
          <w:tcPr>
            <w:tcW w:w="56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94,539</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10,313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7,731</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19,551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18,044</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w:t>
            </w:r>
          </w:p>
        </w:tc>
      </w:tr>
      <w:tr>
        <w:trPr>
          <w:trHeight w:val="216"/>
        </w:trPr>
        <w:tc>
          <w:tcPr>
            <w:tcW w:w="8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1,249</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(16,795)</w:t>
            </w:r>
          </w:p>
        </w:tc>
      </w:tr>
      <w:tr>
        <w:trPr>
          <w:trHeight w:val="20"/>
        </w:trPr>
        <w:tc>
          <w:tcPr>
            <w:tcW w:w="8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67,994,566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67,125,967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2"/>
        </w:trPr>
        <w:tc>
          <w:tcPr>
            <w:tcW w:w="4620" w:type="dxa"/>
            <w:vAlign w:val="bottom"/>
          </w:tcPr>
          <w:p>
            <w:pPr>
              <w:spacing w:after="0"/>
              <w:rPr>
                <w:sz w:val="19"/>
                <w:szCs w:val="19"/>
                <w:color w:val="auto"/>
              </w:rPr>
            </w:pPr>
          </w:p>
        </w:tc>
        <w:tc>
          <w:tcPr>
            <w:tcW w:w="228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9"/>
                <w:szCs w:val="19"/>
                <w:color w:val="auto"/>
              </w:rPr>
            </w:pPr>
          </w:p>
        </w:tc>
        <w:tc>
          <w:tcPr>
            <w:tcW w:w="1220" w:type="dxa"/>
            <w:vAlign w:val="bottom"/>
            <w:gridSpan w:val="2"/>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08"/>
        </w:trPr>
        <w:tc>
          <w:tcPr>
            <w:tcW w:w="4620" w:type="dxa"/>
            <w:vAlign w:val="bottom"/>
          </w:tcPr>
          <w:p>
            <w:pPr>
              <w:spacing w:after="0"/>
              <w:rPr>
                <w:sz w:val="18"/>
                <w:szCs w:val="18"/>
                <w:color w:val="auto"/>
              </w:rPr>
            </w:pPr>
          </w:p>
        </w:tc>
        <w:tc>
          <w:tcPr>
            <w:tcW w:w="12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11"/>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2025</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67,839,689</w:t>
            </w:r>
          </w:p>
        </w:tc>
        <w:tc>
          <w:tcPr>
            <w:tcW w:w="1020" w:type="dxa"/>
            <w:vAlign w:val="bottom"/>
            <w:gridSpan w:val="2"/>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543,869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(463,281)</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80,656</w:t>
            </w: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warrants, net of</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9,321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339,840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1,746</w:t>
            </w: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36,217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1,912</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(18,581)</w:t>
            </w:r>
          </w:p>
        </w:tc>
      </w:tr>
      <w:tr>
        <w:trPr>
          <w:trHeight w:val="24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Balance—March 31, 2026</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68,225,067</w:t>
            </w:r>
          </w:p>
        </w:tc>
        <w:tc>
          <w:tcPr>
            <w:tcW w:w="1020" w:type="dxa"/>
            <w:vAlign w:val="bottom"/>
            <w:gridSpan w:val="2"/>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548,092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(481,862)</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66,298</w:t>
            </w:r>
          </w:p>
        </w:tc>
      </w:tr>
      <w:tr>
        <w:trPr>
          <w:trHeight w:val="623"/>
        </w:trPr>
        <w:tc>
          <w:tcPr>
            <w:tcW w:w="4620" w:type="dxa"/>
            <w:vAlign w:val="bottom"/>
            <w:tcBorders>
              <w:top w:val="single" w:sz="8" w:color="CCEEFF"/>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30"/>
        </w:trPr>
        <w:tc>
          <w:tcPr>
            <w:tcW w:w="4620" w:type="dxa"/>
            <w:vAlign w:val="bottom"/>
          </w:tcPr>
          <w:p>
            <w:pPr>
              <w:spacing w:after="0"/>
              <w:rPr>
                <w:sz w:val="19"/>
                <w:szCs w:val="19"/>
                <w:color w:val="auto"/>
              </w:rPr>
            </w:pPr>
          </w:p>
        </w:tc>
        <w:tc>
          <w:tcPr>
            <w:tcW w:w="2280" w:type="dxa"/>
            <w:vAlign w:val="bottom"/>
            <w:tcBorders>
              <w:bottom w:val="single" w:sz="8" w:color="auto"/>
            </w:tcBorders>
            <w:gridSpan w:val="3"/>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9"/>
                <w:szCs w:val="19"/>
                <w:color w:val="auto"/>
              </w:rPr>
            </w:pPr>
          </w:p>
        </w:tc>
        <w:tc>
          <w:tcPr>
            <w:tcW w:w="1220" w:type="dxa"/>
            <w:vAlign w:val="bottom"/>
            <w:gridSpan w:val="2"/>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4"/>
        </w:trPr>
        <w:tc>
          <w:tcPr>
            <w:tcW w:w="46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11"/>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Balance—December 31, 2024</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65,925,503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505,296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114,862</w:t>
            </w: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warrants, net of</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1,271,453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13,971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13,972</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stock options</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51,000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380</w:t>
            </w: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stock purchase</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25,844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5,681</w:t>
            </w:r>
          </w:p>
        </w:tc>
      </w:tr>
      <w:tr>
        <w:trPr>
          <w:trHeight w:val="229"/>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w:t>
            </w:r>
          </w:p>
        </w:tc>
      </w:tr>
      <w:tr>
        <w:trPr>
          <w:trHeight w:val="210"/>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Balance—March 31, 2025</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67,273,800</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525,680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118,452</w:t>
            </w:r>
          </w:p>
        </w:tc>
      </w:tr>
      <w:tr>
        <w:trPr>
          <w:trHeight w:val="20"/>
        </w:trPr>
        <w:tc>
          <w:tcPr>
            <w:tcW w:w="4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13"/>
        </w:trPr>
        <w:tc>
          <w:tcPr>
            <w:tcW w:w="4620" w:type="dxa"/>
            <w:vAlign w:val="bottom"/>
          </w:tcPr>
          <w:p>
            <w:pPr>
              <w:spacing w:after="0"/>
              <w:rPr>
                <w:sz w:val="24"/>
                <w:szCs w:val="24"/>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324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9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Write-off of deferred issuance costs</w:t>
            </w:r>
          </w:p>
        </w:tc>
        <w:tc>
          <w:tcPr>
            <w:tcW w:w="9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9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9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net</w:t>
            </w:r>
          </w:p>
        </w:tc>
        <w:tc>
          <w:tcPr>
            <w:tcW w:w="9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(13,521)</w:t>
            </w:r>
          </w:p>
        </w:tc>
      </w:tr>
      <w:tr>
        <w:trPr>
          <w:trHeight w:val="210"/>
        </w:trPr>
        <w:tc>
          <w:tcPr>
            <w:tcW w:w="8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8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exercises of warrants, net of issuance costs</w:t>
            </w:r>
          </w:p>
        </w:tc>
        <w:tc>
          <w:tcPr>
            <w:tcW w:w="9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14,075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Payment of deferred issuance costs in relation to registration statements</w:t>
            </w: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14,807</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1,241</w:t>
            </w:r>
          </w:p>
        </w:tc>
      </w:tr>
      <w:tr>
        <w:trPr>
          <w:trHeight w:val="216"/>
        </w:trPr>
        <w:tc>
          <w:tcPr>
            <w:tcW w:w="8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80,735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118,038</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68,319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119,279</w:t>
            </w:r>
          </w:p>
        </w:tc>
      </w:tr>
      <w:tr>
        <w:trPr>
          <w:trHeight w:val="196"/>
        </w:trPr>
        <w:tc>
          <w:tcPr>
            <w:tcW w:w="80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 and stock options not yet received</w:t>
            </w: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Unpaid issuance costs in relation to registration statements</w:t>
            </w: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Unpaid amounts related to purchase of equipment</w:t>
            </w: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Unpaid warrant issuance costs</w:t>
            </w:r>
          </w:p>
        </w:tc>
        <w:tc>
          <w:tcPr>
            <w:tcW w:w="90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the Business</w:t>
      </w:r>
    </w:p>
    <w:p>
      <w:pPr>
        <w:spacing w:after="0" w:line="148"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Pulse Biosciences, Inc. is a novel ablation company committed to health innovation using its patented Nano-pulse Stimulation (“NPS”) technology, a revolutionary energy modality that delivers nanosecond-duration pulses of electrical energy, each less than a millionth of a second long, to nonthermally clear or kill targeted cells. NPS technology, also referred to as a Nanosecond Pulsed-Field Ablation (“nsPFA”) energy when used to ablate cellular tissue, can be used to treat a variety of medical conditions for which an optimal solution remains unfulfilled. The Company developed its proprietary nPulse System (formerly known as CellFX), a novel nsPFA delivery platform, and commercialized the initial application of its nsPFA energy to treat benign lesions of the skin and in parallel, designed a variety of applicators, or disposables, to explore the potential use of the nPulse platform in other medical specialties. Based on its preclinical experience and the potential to significantly improve outcomes for patients in a large and growing market, the Company decided to focus its primary efforts on the use of nsPFA energy and the nPulse platform in the treatment of atrial fibrillation (“AF”), and in a select few other markets where it could have a profound positive impact on healthcare for both patients and providers, such as surgical soft tissue ablation.</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is incorporated in the State of Delaware. It is located in Miami, Florida and continues to maintain its offices in Hayward,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its website at www.pulsebiosciences.com where general information about the Company is available.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has incurred net operating losses and negative cash flows from operations since its inception and had an accumulated deficit of $481.9 million as of March 31, 2026. As of March 31, 2026, the Company had cash and cash equivalents of $68.3 million. The Company believes that the existing financial resources combined with the net proceeds received from the shares of common stock sold on May 11, 2026 (see Note 9. Subsequent Events) are sufficient to continue operating activities for at least one year past the issuance date of these condensed consolidated financial statements.</w:t>
      </w:r>
    </w:p>
    <w:p>
      <w:pPr>
        <w:spacing w:after="0" w:line="9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through the sale of common stock and debt. To date, the Company has generated limited revenue from product sales and has incurred significant operating losses in each year since inception. The Company may continue to incur additional losses for the next several years.</w:t>
      </w:r>
    </w:p>
    <w:p>
      <w:pPr>
        <w:spacing w:after="0" w:line="9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While the Company has been able to raise multiple rounds of financing, there can be no assurance that in the event the Company requires additional financing, such financing will be available on terms which are favorable or at all. Failure to raise sufficient capital when needed or generate sufficient cash flow from operations would impact the ability to pursue business strategies and could require the Company to delay, scale back or discontinue one or more product development programs, or other aspects of the Company's business objectives.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8"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basis consistent with the Company’s December 31, 2025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2025 was derived from the audited consolidated financial statements as of that date but does not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10-K for the year ended December 31, 2025. The results of operations for the three months ended March 31, 2026, are not necessarily indicative of the results to be expected for the entire year or any future periods.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48"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financial statements of the Company and its wholly-owned subsidiaries and intercompany balances and transactions have been eliminated in consolidation.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that affect the amounts reported in the financial statements and accompanying notes to the financial statements. Estimates include, but are not limited to, accrued research and development expenses, the valuation and recognition of stock-based compensation, inventory valuation,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right="20" w:firstLine="45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The Company places its cash equivalents with high credit quality financial institutions and, by policy, limits the amounts invested with any one financial institution or issuer. Deposits held with banks may exceed the amount of insurance provided on such deposits. The Company has not experienced any losses since inception.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applies fair value accounting for all financial assets and liabilities and non-financial assets and liabilities that are recognized or disclosed at fair value in the financial statements on a 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1—Observable inputs, such as quoted prices in active markets for identical assets or liabilities at the measurement date.</w:t>
      </w:r>
    </w:p>
    <w:p>
      <w:pPr>
        <w:spacing w:after="0" w:line="225"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Level 3—Unobservable inputs which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62"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Financial instruments carried at fair value include cash and cash equivalents. The carrying amounts of accounts receivable, prepaid expenses and other current assets, accounts payable and accrued liabilities approximate fair value due to their relatively short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from the date of purchase to be cash and cash equivalents. Cash equivalents consist primarily of amounts invested in money market funds and are stated at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invoice value, net of any allowance for credit losses. The allowance for credit losses is based on the Company’s assessment of the collectability of customer accounts. The Company’s expected loss allowance methodology for receivables considers factors such as historical collection experience, credit quality, age of the accounts receivable balances, and current economic conditions that may affect a customer’s ability to pay. Any amounts deemed uncollectible are written off against the allowance for credit losses. The Company’s allowance for credit losses was $0.1 million as of March 31, 2026. There was no allowance for credit losses as of December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4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and based on standard costs approximating the purchase costs on a first-in, first-out basis. Inventory costs include direct materials, direct labor, and normal manufacturing overhead. The cost-basis of the Company’s inventory is reduced for any products that are considered excessive or obsolete based upon assumptions about future demand and market conditions. Additionally, the cost basis of the Company’s inventory does not include any fixed overhead costs associated with abnormally low utilization of its manufacturing facility.</w:t>
      </w:r>
    </w:p>
    <w:p>
      <w:pPr>
        <w:spacing w:after="0" w:line="9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determined that costs had future economic benefit subsequent to receiving FDA approval, and as such, it began to capitalize inventory for its limited market release of percutaneous electrodes for its Vybrance Percutaneous Electrode System. Prior to capitalizing inventory, all direct and indirect manufacturing costs were charged to research and development expenses in the period incurred or written off as excess and obsolete inventory in 2022, including previously manufactured consoles.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48"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Property and Equipment is recorded at cost and depreciated using the straight-line method over their estimated useful lives, ranging from three to five years. Leasehold improvements are amortized using the straight-line method over the shorter of the lease term or estimated useful life. Upon the sale or retirement of property and equipment, the costs and related accumulated depreciation and amortization are removed from the condensed consolidated balance sheet and the resulting gain or loss is reflected in operating expenses in the condensed consolidated statement of operations and comprehensive loss. Maintenance and repairs are charged to operations as incurred.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intangible assets consist of acquired patents and licenses, which are amortized over their estimated useful lives of twelve years.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4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consisting of property and equipment and intangible assets, for impairment during each fiscal year or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No impairment losses were incurred during the periods presented.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4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records goodwill when the consideration paid in a business acquisition exceeds the fair value of the net tangible assets and the identified intangible assets acquired. The Company reviews goodwill for impairment at the reporting unit level, of which there is one reportable unit, at least annually or whenever changes in circumstances indicate that the carrying value of the goodwill may not be recoverable. To date, there has been no impairment of goodwill.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48"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Company accounts for a contract with a customer when the rights and obligations of the parties are identifiable, the contract has commercial substance, and the collectability of the consideration to be received from the customer is considered probable. Contracts with customers are for the sale of the nPulse Vybrance System, which includes system components, software, and system accessories. Instruments and other accessories may also be included with the system or may be sold on a standalone basis. These products are considered performance obligations to the extent they are separately identifiable from other products in the contract and when the customer can either benefit from the product on its own or with other goods or services that are readily available to the customer.</w:t>
      </w:r>
    </w:p>
    <w:p>
      <w:pPr>
        <w:spacing w:after="0" w:line="106"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Company recognizes revenue at a point in time when it satisfies performance obligations by transferring control of promised goods to its customers. Transfer of control occurs based on shipping terms as contractually negotiated. The amount of revenue recognized is equal to the consideration to which the Company expects to be entitled in exchange for the promised goods. Though some products may be sold on a stand-alone basis, initial customer contracts will likely involve the bundling of products which will be delivered concurrently to the customer for a single price. The initial limited market release period will also include evaluation agreements with customers that allow either the Company or the customer to terminate the contract at any point without penalty. The termination right limits the effective contract term to the period for which the contract was not terminated. The Company generally extends payment terms to customers after the Company performs a necessary credit evaluation to ensure future collectability of the outstanding balance. Payment generally occurs within a relatively short period of time after delivery of products.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transaction price is the consideration to which the Company expects to be entitled in exchange for providing the promised goods to customers. Though most customer orders are for a fixed amount of consideration, the Company evaluates the possible impact of variable consideration in determining the transaction price, in particular the possibility of future returns. Sales agreements allow for a right of return only if the product does not conform to the agreed upon quality standards or if the product was shipped due to Company error. The Company anticipates such returns will be minimal and has made no adjustments to the transaction price for any estimated returns. The transaction price is determined at contract execution and updated each quarter for any changes in circumstances (e.g., changes in estimated return amount).</w:t>
      </w:r>
    </w:p>
    <w:p>
      <w:pPr>
        <w:spacing w:after="0" w:line="18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has made an accounting policy election to exclude from the measurement of the transaction price all taxes which are imposed on and concurrent with a specific revenue-producing transaction and collected by the entity from a customer.</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When there are multiple performance obligations present, the total transaction price shall be allocated to each of the performance obligations based upon the relative standalone selling price (“SSP”) of those performance obligations. The Company establishes SSPs based on multiple factors including prices charged by the Company for similar offerings, product-specific business objectives, and the estimated cost to provide the performance obligation.</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Shipping and handling activities are not considered to be a separate performance obligation. The Company has made an accounting policy election to account for shipping and handling activities as fulfillment activities when these activities occur after the customer obtains control of the product.</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certain promises in the multiple-element arrangements, such as installation, training, and certain ancillary products, are immaterial in the context of the contract and do not represent separate performance obligations to which transaction price is allocated.</w:t>
      </w:r>
    </w:p>
    <w:p>
      <w:pPr>
        <w:spacing w:after="0" w:line="162"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utilizes the practical expedient under ASC 606 and does not disclose unsatisfied performance obligations for contracts as the contracts generally have an original duration of less than one year. Additionally, the Company does not currently have significant contract assets or deferred revenue.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does not incur contract origination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compensation expenses, fees paid to consultants and outside service providers and organizations (including university research institutes), costs associated with clinical trials, development prototypes and other expenses relating to the acquisition, design, development and testing of the Company’s product candidates, and certain facilities related costs. Research and development expenses incurred by the Company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accrues liabilities for estimated costs of research and development activities conducted by its third-party service providers, which include the conduct of preclinical and clinical studies. The estimated costs of research and development activities are recorded based upon the estimated amount of services provided but not yet invoiced, and these costs are included in accrued liabilities on the condensed consolidated balance sheets and within research and development expense on the condensed consolidated statements of operations and comprehensive loss.</w:t>
      </w:r>
    </w:p>
    <w:p>
      <w:pPr>
        <w:spacing w:after="0" w:line="180"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These costs are accrued based on factors such as estimates of the work completed and budget provided and in accordance with agreements established with third-party service providers. Significant judgments and estimates are made in determining the accrued liabilities balance in each reporting period. Accrued liabilities are adjusted as actual costs become known. Changes in these estimates that result in material changes to the Company’s accruals could materially affect its financial condition and results of operations. There have not been any material differences between accrued costs and actual costs incurred since the Company’s inception.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Expenses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is the owner of numerous domestic and foreign patents. Due to the significant uncertainty associated with the successful development of one or more commercially viable products based on the Company’s research efforts and any related patent applications, patent costs not related to acquired patents, including patent-related legal fees, filing fees and other costs, including internally generated costs, are expensed as incurred. Patent expenses are included in selling, general and administrative expenses in the condensed consolidated statements of operations and comprehensive loss.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The Company's stock-based compensation programs include stock options, restricted stock units (RSUs), and an employee stock purchase program. The Company periodically issues stock options and RSUs to officers, directors, employees, and consultants for services rendered. Such issuances vest and expire according to terms established at the issuance date. In general, stock options granted to officers, directors and employees are recognized in the financial statements based on their grant date fair values, which are estimated using the Black-Scholes option-pricing model or the Monte Carlo simulation model. The grant date fair value of RSUs is estimated based on the closing stock price of the Company’s common stock on the date of grant. The Company accounts for forfeitures as they occur. The Company has granted stock options with service-based, performance-based, market-based, and both market-based and performance-based vesting conditions and granted RSUs with service-based vesting conditions.</w:t>
      </w:r>
    </w:p>
    <w:p>
      <w:pPr>
        <w:spacing w:after="0" w:line="18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For stock options with service-based and performance-based vesting conditions, the grant date fair value of each grant is determined using the Black-Scholes option pricing model which requires a number of assumptions. Each of these assumptions is subjective and generally requires significant judgment and estimation by management.</w:t>
      </w:r>
    </w:p>
    <w:p>
      <w:pPr>
        <w:spacing w:after="0" w:line="174" w:lineRule="exact"/>
        <w:rPr>
          <w:sz w:val="20"/>
          <w:szCs w:val="20"/>
          <w:color w:val="auto"/>
        </w:rPr>
      </w:pPr>
    </w:p>
    <w:p>
      <w:pPr>
        <w:jc w:val="both"/>
        <w:ind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Company’s expected term represents the period that the Company’s stock awards are expected to be outstanding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using the simplified method (based on the mid-point between the vesting date and the end of the contractual term).</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computation of expected volatility is based on a calculation using the historical volatility of the Company's common stock.</w:t>
      </w:r>
    </w:p>
    <w:p>
      <w:pPr>
        <w:spacing w:after="0" w:line="144" w:lineRule="exact"/>
        <w:rPr>
          <w:sz w:val="20"/>
          <w:szCs w:val="20"/>
          <w:color w:val="auto"/>
        </w:rPr>
      </w:pPr>
    </w:p>
    <w:p>
      <w:pPr>
        <w:jc w:val="both"/>
        <w:ind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Treasury Constant Maturities as provided by the Federal Reserve in effect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grant for periods corresponding with the expected term of the option.</w:t>
      </w:r>
    </w:p>
    <w:p>
      <w:pPr>
        <w:spacing w:after="0" w:line="77" w:lineRule="exact"/>
        <w:rPr>
          <w:sz w:val="20"/>
          <w:szCs w:val="20"/>
          <w:color w:val="auto"/>
        </w:rPr>
      </w:pPr>
    </w:p>
    <w:p>
      <w:pPr>
        <w:jc w:val="both"/>
        <w:ind w:firstLine="45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 </w:t>
      </w:r>
      <w:r>
        <w:rPr>
          <w:rFonts w:ascii="Times New Roman" w:cs="Times New Roman" w:eastAsia="Times New Roman" w:hAnsi="Times New Roman"/>
          <w:sz w:val="18"/>
          <w:szCs w:val="18"/>
          <w:color w:val="auto"/>
        </w:rPr>
        <w:t>The Company has never paid dividends on its common stock and has no plans to pay dividends on its common stock. Therefore,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used an expected dividend yield of zero.</w:t>
      </w:r>
    </w:p>
    <w:p>
      <w:pPr>
        <w:spacing w:after="0" w:line="160"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Stock-based compensation expense for stock awards with service-based vesting conditions is recognized on a straight-line basis over the requisite service period, which is generally the vesting period. For stock awards with performance-based vesting conditions, the Company does not recognize compensation expense until it is probable that the performance-based vesting condition will be achieved. The analysis to determine such probability involves estimates and judgements from management related to certain financial measures and achievements of strategic and operational milestones, which involve inherent risk and uncertainty regarding the future outcomes of the milestones. If actual results are not consistent with the Company’s estimates or assumptions, the Company may be exposed to changes in stock-based compensation expense that could be material.</w:t>
      </w:r>
    </w:p>
    <w:p>
      <w:pPr>
        <w:spacing w:after="0" w:line="18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For stock awards with market-based vesting conditions, the conditions relate to the achievement of certain market capitalization targets of the Company. Using a Monte Carlo simulation model, the Company estimated the fair value of the market-based awards on the grant date or modification date, with the associated stock-based compensation expense recognized over the requisite service period.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w:t>
      </w:r>
    </w:p>
    <w:p>
      <w:pPr>
        <w:spacing w:after="0" w:line="183"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For stock awards with both market-based and performance-based vesting conditions, the conditions relate to both the achievement of certain market capitalization targets of the Company, as well as the achievement of certain revenue and margin metrics. Using a Monte Carlo simulation model, the Company estimates the fair value of the market-based options on the grant date, along with a derived service period. Compensation expense for the awards is recognized over the requisite service period, which is the longer of the service period derived from the Monte Carlo simulation model or the implicit service period (the period when the performance condition is expected to be met). Compensation expense is recognized only once it becomes probable that the associated performance condition will be achieved and the employee is expected to render the requisite service. Once these criteria are met, the Company will recognize expense using the accelerated attribution method over the requisite service period. If, at any point, the performance condition is no longer probable of being achieved or the employee is no longer expected to complete the requisite service period, any previously recognized expense will be reversed. Additionally, if both the market and performance conditions are satisfied before the end of the requisite service period, any remaining unrecognized expense will be recognized immediately, provided that the employee is still providing service.</w:t>
      </w:r>
    </w:p>
    <w:p>
      <w:pPr>
        <w:spacing w:after="0" w:line="194"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Monte Carlo simulation models require the Company to make assumptions and judgements about the variables used in the calculations including the expected volatility, the risk-free interest rate, expected dividend yield, and the expected term. The assumptions used in the option-pricing model represent management’s best estimates. If factors change and different assumptions are used, the Company's stock-based compensation expense could be materially different in the future.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using the liability method, whereby deferred tax asset and liability account balances are determined based on differences between the financial reporting and tax bases of assets and liabilities and are measured using the enacted tax rates and laws that will be in effect when the differences are expected to reverse. The Company provides a valuation allowance when it is more likely than not that some portion, or all of the Company’s deferred tax assets will not be realized.</w:t>
      </w:r>
    </w:p>
    <w:p>
      <w:pPr>
        <w:spacing w:after="0" w:line="180"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 contingencies using a benefit recognition model. If it considers that a tax position is more likely than not to be sustained upon audit, based solely on the technical merits of the position, it recognizes the benefit. The Company measures the benefit by determining the amount that is greater than 50% likely of being realized upon settlement, presuming that the tax position is examined by the appropriate taxing authority that has full knowledge of all relevant information. The Company is subject to taxation in the United States federal jurisdiction, and various state jurisdictions. The net operating loss and research and development credit carryforwards that are available for utilization in future years may be subject to examination by federal and state tax authorities. The Company’s policy is to recognize interest expense and penalties related to income tax matters as a component of income tax expense. As of March 31, 2026 and December 31, 2025, there were no significant accruals for interest related to unrecognized tax benefits or tax penalties.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48"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Company displays comprehensive loss, and if applicable its components, as part of the condensed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4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Potential common shares that have an anti-dilutive effect (i.e., those that increase income per share or decrease loss per share) are excluded from the calculation of diluted net loss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Certain reclassifications have been made to the prior period presentation of the cash flows from operating activities within the condensed consolidated statements of cash flows to conform to current period presentation. Specifically, the presentation of operating lease expenses has been reclassified from “Right-of-use assets” within “Changes in operating assets and liabilities” to “Non-cash lease expense” within “Adjustments to reconcile net loss to net cash used in operating activities”. Additionally, certain reclassifications have been made to the prior period presentation of other income within the condensed consolidated statements of operations and comprehensive loss to conform to current period presentation. Specifically, the presentation of "Other expense" has been reclassified out of "Interest income, net." As a result of these changes, the presentation of these expenses in the comparative periods has been changed to conform to the current period. These reclassifications did not have an impact on the Company’s results of operations and total cash flows from operating activities for the three months ended March 31, 2026 and 2025, respectively, or the Company's financial position as of March 31, 2026 and December 31, 2025,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44"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which provides a practical expedient for entities to measure expected credit losses on current accounts receivable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current contract assets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practical expedient assumes that current conditions as of the balance sheet date remain unchanged for the remaining life of the asset. The guidance is effective for interim and annual reporting periods beginning after December 15, 2025. The Company adopted this guidance effective January 1, 2026. The adoption did not have a material impact on the Company's condensed consolidated financial statements or related disclosures.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4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aims to improve the disclosures about a public business entity’s expenses and address requests from investors for more detailed information about the types of expenses in commonly presented expense captions. The guidance is effective for the Company's annual periods beginning in 2027 and interim periods beginning in the first quarter of fiscal year 2028. The Company is currently evaluating the impact of the new guidance on our condensed consolidated financial statements and related disclosures.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measures and reports certain financial instruments as assets and liabilities at fair value on a recurring basis. The following tables set forth the fair value of the Company's financial assets, which consist of cash equivalents measured and recognized at fair value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4"/>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40" w:type="dxa"/>
            <w:vAlign w:val="bottom"/>
            <w:tcBorders>
              <w:bottom w:val="single" w:sz="8" w:color="auto"/>
            </w:tcBorders>
          </w:tcPr>
          <w:p>
            <w:pPr>
              <w:jc w:val="center"/>
              <w:ind w:left="175"/>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1"/>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440" w:type="dxa"/>
            <w:vAlign w:val="bottom"/>
            <w:tcBorders>
              <w:bottom w:val="single" w:sz="8" w:color="CCEEFF"/>
            </w:tcBorders>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63,684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63,684</w:t>
            </w:r>
          </w:p>
        </w:tc>
      </w:tr>
      <w:tr>
        <w:trPr>
          <w:trHeight w:val="312"/>
        </w:trPr>
        <w:tc>
          <w:tcPr>
            <w:tcW w:w="2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4"/>
        </w:trPr>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40" w:type="dxa"/>
            <w:vAlign w:val="bottom"/>
            <w:tcBorders>
              <w:bottom w:val="single" w:sz="8" w:color="auto"/>
            </w:tcBorders>
          </w:tcPr>
          <w:p>
            <w:pPr>
              <w:jc w:val="center"/>
              <w:ind w:left="175"/>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1"/>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440" w:type="dxa"/>
            <w:vAlign w:val="bottom"/>
            <w:tcBorders>
              <w:bottom w:val="single" w:sz="8" w:color="CCEEFF"/>
            </w:tcBorders>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75,025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75,025</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did not record any credit losses related to its cash equivalents and had no transfers between Level 1, Level 2 or Level 3 of the fair value hierarchy. Additionally, the Company did not have any financial liabilities measured at fair value on a recurring basis as of March 31, 2026 or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Accrued Liabilities</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compensation-related costs</w:t>
            </w:r>
          </w:p>
        </w:tc>
        <w:tc>
          <w:tcPr>
            <w:tcW w:w="1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2,701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1,979</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services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877</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w:t>
            </w:r>
          </w:p>
        </w:tc>
      </w:tr>
      <w:tr>
        <w:trPr>
          <w:trHeight w:val="210"/>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3,576</w:t>
            </w: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March 2026, the Company announced a strategic and organizational realignment to prioritize and accelerate the development of its nsPFA electrophysiology catheters and other cardiac devices for the treatment of atrial fibrillation (the “2026 Realignment”). In connection with the 2026 Realignment, the Company recognized severance and one-time termination expenses of $0.6 million with less than $0.1 million in payments remitted during the three months ended 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Stockholders' Equity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authorized a total of 50,000,000 shares of preferred stock, par value $0.001 per share, none of which were outstanding as of March 31, 2026 and December 31, 2025. The Company’s Board of Directors (the “Board”) has the authority to issue preferred stock and to determine the rights, preferences, privileges, and restrictions, including voting rights, without any further vote or action by the Company’s stockholders.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authorized a total of 500,000,000 shares of common stock, par value $0.001 per share.</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2024 Rights Offering and Subscription Rights</w:t>
      </w:r>
    </w:p>
    <w:p>
      <w:pPr>
        <w:spacing w:after="0" w:line="14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2024, the Company executed a rights offering (the "2024 Rights Offering"), whereby the Company distributed non-transferable subscription rights to purchase up to an aggregate of six million units (the "2024 Units") with an aggregate offering value of up to $60 million at no charge to all holders of the Company's common stock. The 2024 Rights Offering resulted in the sale of six million 2024 Units, at a price of $10.00 per 2024 Unit. Each 2024 Unit consisted of one share of the Company’s common stock, par value $0.001 per share, and two warrants, each being a warrant to purchase one-half of one share of common stock. The common stock and warrants comprising the 2024 Units separated upon the closing of the 2024 Rights Offering and were issued individually. A total of 5,999,998 shares of common stock and warrants to acquire up to approximately an additional six million shares of common stock were issued in the offering. The Company received aggregate gross proceeds from the 2024 Rights Offering of $60 million. See 2024 Rights Offering Warrants below for additional details of the warrants. Robert W. Duggan, the Company’s majority stockholder and Co-Chairman, purchased approximately 88% of the units offered through the 2024 Rights Offering.</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2024 Rights Offering Warrants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connection with the 2024 Rights Offering, the Company issued 2024 Rights Offering Warrants to purchase a total of 5,999,999 shares of its common stock at an exercise price of $11.00 per whole share, which equaled 110% of the subscription price for the Units. The aggregate number of shares of our common stock issuable upon the exercise of each set of warrants included in a given subscription for Units was rounded up to the nearest whole share. Warrants are exercisable immediately and will expire on the fifth anniversary of the closing of the 2024 Rights Offering. Half of the warrants issued in the rights offering were redeemable for $0.01 per underlying share of common stock, on not less than thirty days’ written notice, if the volume-weighted average price ("VWAP") of the Company’s common stock equaled or exceeded 150% of the exercise price for the warrants, or $16.50, for twenty consecutive trading days. In December 2024, the Company delivered an irrevocable notice of redemption to redeem this first tranche of common stock warrants because the VWAP of the Company's common stock over the twenty consecutive trading days before the notice was $18.85. Accordingly, pursuant to the 150% redemption feature, the Company redeemed 36,442 warrants on the redemption date, February 5, 2025, which would have entitled holder to purchase up to 18,221 shares of common stock, and none of these warrants are still outstanding. The other half of the warrants issued in the rights offering remain redeemable for $0.01 per underlying share of common stock, on not less than thirty days’ written notice, but only if the VWAP of the Company’s common stock equals or exceeds 200% of the exercise price for the warrants, or $22.00, for twenty consecutive trading days. As of March 31, 2026, there were no outstanding 2024 Rights Offering Warrants subject to the 150% redemption feature and there were 386,963 warrants remained outstanding subject to the 200% redemption feature, entitling holders to purchase up to 193,481 shares of common stock. For the three months ended March 31, 2026 and 2025, the Company received gross proceeds of $0.1 million and $14.1 million, respectively, from exercises of the 2024 Rights Offering Warrants. Cumulatively, as of March 31, 2026, the Company has received total gross proceeds of $63.7 million from exercises of the 2024 Rights Offering Warrants.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15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Remaining</w:t>
            </w:r>
          </w:p>
        </w:tc>
      </w:tr>
      <w:tr>
        <w:trPr>
          <w:trHeight w:val="219"/>
        </w:trPr>
        <w:tc>
          <w:tcPr>
            <w:tcW w:w="6320" w:type="dxa"/>
            <w:vAlign w:val="bottom"/>
          </w:tcPr>
          <w:p>
            <w:pPr>
              <w:spacing w:after="0"/>
              <w:rPr>
                <w:sz w:val="19"/>
                <w:szCs w:val="19"/>
                <w:color w:val="auto"/>
              </w:rPr>
            </w:pPr>
          </w:p>
        </w:tc>
        <w:tc>
          <w:tcPr>
            <w:tcW w:w="15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Contractual Life</w:t>
            </w:r>
          </w:p>
        </w:tc>
      </w:tr>
      <w:tr>
        <w:trPr>
          <w:trHeight w:val="212"/>
        </w:trPr>
        <w:tc>
          <w:tcPr>
            <w:tcW w:w="6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t>(in years)</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as of December 31, 2025</w:t>
            </w:r>
          </w:p>
        </w:tc>
        <w:tc>
          <w:tcPr>
            <w:tcW w:w="1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405,624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11.00</w:t>
            </w:r>
          </w:p>
        </w:tc>
        <w:tc>
          <w:tcPr>
            <w:tcW w:w="16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Redeemed/Cancelled</w:t>
            </w:r>
          </w:p>
        </w:tc>
        <w:tc>
          <w:tcPr>
            <w:tcW w:w="15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3"/>
        </w:trPr>
        <w:tc>
          <w:tcPr>
            <w:tcW w:w="632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Warrants outstanding as of March 31, 2026</w:t>
            </w:r>
          </w:p>
        </w:tc>
        <w:tc>
          <w:tcPr>
            <w:tcW w:w="1580" w:type="dxa"/>
            <w:vAlign w:val="bottom"/>
            <w:tcBorders>
              <w:top w:val="single" w:sz="8" w:color="CCEEFF"/>
              <w:bottom w:val="single" w:sz="8" w:color="auto"/>
            </w:tcBorders>
            <w:shd w:val="clear" w:color="auto" w:fill="CCEEFF"/>
          </w:tcPr>
          <w:p>
            <w:pPr>
              <w:jc w:val="right"/>
              <w:ind w:right="33"/>
              <w:spacing w:after="0" w:line="203" w:lineRule="exact"/>
              <w:rPr>
                <w:sz w:val="20"/>
                <w:szCs w:val="20"/>
                <w:color w:val="auto"/>
              </w:rPr>
            </w:pPr>
            <w:r>
              <w:rPr>
                <w:rFonts w:ascii="Times New Roman" w:cs="Times New Roman" w:eastAsia="Times New Roman" w:hAnsi="Times New Roman"/>
                <w:sz w:val="18"/>
                <w:szCs w:val="18"/>
                <w:color w:val="auto"/>
              </w:rPr>
              <w:t>386,963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11.00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3.24</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Equity Incentive Plan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May 2017, the Company's Board of Directors (the "Board") adopted, and the Company’s stockholders approved, the Company’s 2017 Equity Incentive Plan (the "2017 Plan").</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2017 Plan has a 10-year term, and provides for the grant of stock options, stock appreciation rights, restricted stock awards, RSUs, performance units, and performance shares to employees, directors and consultants of the Company and any parent or subsidiary of the Company.</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Compensation Committee of the Board. The number of shares of the Company’s common stock available for issuance under the 2017 Plan also include an annual increase on the first day of each fiscal year, equal to the least of (i) 1,200,000 shares, (ii) 4% of the Company’s common stock outstanding at December 31 of the immediately preceding year, or (iii) such number of shares as determined by the Board. As a result of this provision, an additional 1,200,000 shares became available for issuance under the 2017 Plan on January 1, 2026. As of March 31, 2026, 3,670,287 shares of common stock remained available for issuance under the 2017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Inducement Equity Incentive Plan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November 2017, the Board adopted the 2017 Inducement Equity Incentive Plan (the “Inducement Plan”) without stockholder approval and initially reserved 1,000,000 shares of the Company’s common stock for insurance pursuant to equity awards granted under the Inducement Plan. The Inducement Plan has a 10-year term and provides for the grant of equity-based awards, including non-statutory stock options, RSUs,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per year starting upon the first anniversary of the grant. Equity-based awards issued under the Inducement Plan are only issuable to individuals not previously engaged as employees or non-employee directors of the Company prior to the Inducement Plan’s adoption date. As of March 31, 2026, 2,476,359 shares of common stock were available for issuance under the Inducement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Employee Stock Purchase Plan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May 2017, the Board adopted, and the Company's stockholders approved, the Company’s 2017 Employee Stock Purchase Plan (the "2017 ESPP").</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as of December 31 of the immediately preceding year, or (iii) such number of shares as determined by the Board. As a result of this provision, an additional 450,000 shares became available for issuance under the 2017 ESPP on January 1, 2026. As of March 31, 2026, 1,265,365 shares of common stock were available for issuance under the 2017 ESPP.</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stock option activity under the 2015 Plan, 2017 Plan and Inducement Plan for the three months ended March 31, 2026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Stock Options Outstanding</w:t>
            </w: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183"/>
        </w:trPr>
        <w:tc>
          <w:tcPr>
            <w:tcW w:w="4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00" w:type="dxa"/>
            <w:vAlign w:val="bottom"/>
          </w:tcPr>
          <w:p>
            <w:pPr>
              <w:spacing w:after="0"/>
              <w:rPr>
                <w:sz w:val="15"/>
                <w:szCs w:val="15"/>
                <w:color w:val="auto"/>
              </w:rPr>
            </w:pPr>
          </w:p>
        </w:tc>
        <w:tc>
          <w:tcPr>
            <w:tcW w:w="15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15"/>
        </w:trPr>
        <w:tc>
          <w:tcPr>
            <w:tcW w:w="486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Remaining Life</w:t>
            </w:r>
          </w:p>
        </w:tc>
        <w:tc>
          <w:tcPr>
            <w:tcW w:w="100" w:type="dxa"/>
            <w:vAlign w:val="bottom"/>
          </w:tcPr>
          <w:p>
            <w:pPr>
              <w:spacing w:after="0"/>
              <w:rPr>
                <w:sz w:val="18"/>
                <w:szCs w:val="18"/>
                <w:color w:val="auto"/>
              </w:rPr>
            </w:pPr>
          </w:p>
        </w:tc>
        <w:tc>
          <w:tcPr>
            <w:tcW w:w="15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13"/>
        </w:trPr>
        <w:tc>
          <w:tcPr>
            <w:tcW w:w="48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Balances—December 31, 2025</w:t>
            </w:r>
          </w:p>
        </w:tc>
        <w:tc>
          <w:tcPr>
            <w:tcW w:w="14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13,086,288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18"/>
                <w:szCs w:val="18"/>
                <w:color w:val="auto"/>
              </w:rPr>
            </w:pPr>
          </w:p>
        </w:tc>
        <w:tc>
          <w:tcPr>
            <w:tcW w:w="1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58,029</w:t>
            </w: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72,104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(1,699,202)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r>
      <w:tr>
        <w:trPr>
          <w:trHeight w:val="210"/>
        </w:trPr>
        <w:tc>
          <w:tcPr>
            <w:tcW w:w="4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Balances—March 31, 2026</w:t>
            </w:r>
          </w:p>
        </w:tc>
        <w:tc>
          <w:tcPr>
            <w:tcW w:w="1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11,119,350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102,320</w:t>
            </w:r>
          </w:p>
        </w:tc>
      </w:tr>
      <w:tr>
        <w:trPr>
          <w:trHeight w:val="210"/>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Exercisable—March 31, 2026</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5,121,924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13.84</w:t>
            </w:r>
          </w:p>
        </w:tc>
        <w:tc>
          <w:tcPr>
            <w:tcW w:w="1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45,833</w:t>
            </w:r>
          </w:p>
        </w:tc>
      </w:tr>
      <w:tr>
        <w:trPr>
          <w:trHeight w:val="20"/>
        </w:trPr>
        <w:tc>
          <w:tcPr>
            <w:tcW w:w="48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granted 200,000 RSUs to employees with service-based vesting conditions and a weighted-average grant date fair value of $20.93. As of March 31, 2026, the Company had 200,000 RSUs outstanding.</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three months ended March 31, 2026 and 2025 was $5.6 million and $0.7 million, respectively. Intrinsic values of options exercised are calculated as the difference between the exercise price of the underlying options and the fair value of the common stock on the date of exercise. Intrinsic values of options outstanding are calculated as the difference between the exercise price of the underlying options and the fair value of the common stock as of the reporting date.</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weighted-average grant date fair value of options granted was $13.60 and $13.86, respectively.</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granted stock options with service-based, performance-based, market-based, and both market-based and performance-based vesting conditions. The Company grants service-based options which vest and become exercisable, subject to the individual’s continued employment or service through the applicable vesting date. Service-based options can have various vesting schedules, most commonly new hire grants, which generally vest 25% per year starting upon the first anniversary of the grant.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Performance-based stock options granted to certain Company executives and other employees contain performance conditions related to financial measures and achievements of strategic and operational milestones. The options will vest and become exercisable once the specific performance condition is fulfilled.</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Market-based stock options granted to certain Company executives and other employees contain market conditions related to achievement of market capitalization targets. The options will vest and become exercisable once the specific market capitalization target is fulfilled.</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Both market-based and performance-based stock options granted to certain Company executives contain market conditions related to the achievement of market capitalization targets as well as the achievement of revenue and margin metrics. The options will vest and become exercisable once both the specific market capitalization targets as well as the specific revenue and margin targets are fulfilled.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in the condensed consolidated statements of operations and comprehensive loss was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11"/>
        </w:trPr>
        <w:tc>
          <w:tcPr>
            <w:tcW w:w="80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8"/>
                <w:szCs w:val="18"/>
                <w:color w:val="auto"/>
              </w:rPr>
            </w:pPr>
          </w:p>
        </w:tc>
      </w:tr>
      <w:tr>
        <w:trPr>
          <w:trHeight w:val="211"/>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980" w:type="dxa"/>
            <w:vAlign w:val="bottom"/>
            <w:tcBorders>
              <w:top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2,762</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2,919</w:t>
            </w:r>
          </w:p>
        </w:tc>
      </w:tr>
      <w:tr>
        <w:trPr>
          <w:trHeight w:val="22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5,681</w:t>
            </w: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31, 2026, not all of the performance conditions of the performance options are probable to be achieved. Stock-based compensation expense has only been recognized for those conditions that are assumed to be probable.</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stock-based compensation expense by award type was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11"/>
        </w:trPr>
        <w:tc>
          <w:tcPr>
            <w:tcW w:w="80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Pr>
          <w:p>
            <w:pPr>
              <w:spacing w:after="0"/>
              <w:rPr>
                <w:sz w:val="18"/>
                <w:szCs w:val="18"/>
                <w:color w:val="auto"/>
              </w:rPr>
            </w:pP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8"/>
                <w:szCs w:val="18"/>
                <w:color w:val="auto"/>
              </w:rPr>
            </w:pPr>
          </w:p>
        </w:tc>
      </w:tr>
      <w:tr>
        <w:trPr>
          <w:trHeight w:val="211"/>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Service-based options</w:t>
            </w:r>
          </w:p>
        </w:tc>
        <w:tc>
          <w:tcPr>
            <w:tcW w:w="980" w:type="dxa"/>
            <w:vAlign w:val="bottom"/>
            <w:tcBorders>
              <w:top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Market-based options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ESPP</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r>
      <w:tr>
        <w:trPr>
          <w:trHeight w:val="21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5,681</w:t>
            </w: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a total of $24.5 million and $4.2 million of unrecognized stock-based compensation expense for service-based stock options and restricted stock units awards outstanding, which is expected to be recognized over a weighted average period of 5.2 years and 3.0 years, respectively.</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a total of $5.6 million of unrecognized stock-based compensation expense for market-based stock options outstanding, which is expected to be recognized over a weighted average period of 1.9 years. Additionally, total unrecognized stock-based compensation expense related to performance-based and both market-based and performance-based stock options outstanding was $18.9 million, which is not expected to be recognized unless and until the conditions are probable of occurring.</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of service-based stock options granted under the 2017 Plan and Inducement Plan and the shares available for purchase under the ESPP were determined using the Black-Scholes option pricing model on the grant date and modification date. The Company estimated the fair value of market-based stock options and both market and performance-based stock options using a Monte Carlo simulation model on the grant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summarizes the range of assumptions used in calculating the fair value of the awards with stock options grouped by valuation methodology: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318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6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Service-Based Stock Options</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term (in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- 6.9</w:t>
            </w:r>
          </w:p>
        </w:tc>
      </w:tr>
      <w:tr>
        <w:trPr>
          <w:trHeight w:val="216"/>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- 95%</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 - 100%</w:t>
            </w:r>
          </w:p>
        </w:tc>
      </w:tr>
      <w:tr>
        <w:trPr>
          <w:trHeight w:val="216"/>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- 3.8%</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w:t>
            </w:r>
          </w:p>
        </w:tc>
      </w:tr>
      <w:tr>
        <w:trPr>
          <w:trHeight w:val="216"/>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4"/>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Market-Based, and Market and Performance-Based Stock Options</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8"/>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- 8.9</w:t>
            </w:r>
          </w:p>
        </w:tc>
      </w:tr>
      <w:tr>
        <w:trPr>
          <w:trHeight w:val="216"/>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w:t>
            </w:r>
          </w:p>
        </w:tc>
      </w:tr>
      <w:tr>
        <w:trPr>
          <w:trHeight w:val="216"/>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ESPP</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Expected term (in years)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w:t>
            </w:r>
          </w:p>
        </w:tc>
      </w:tr>
      <w:tr>
        <w:trPr>
          <w:trHeight w:val="216"/>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- 86.6%</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- 4.3%</w:t>
            </w:r>
          </w:p>
        </w:tc>
      </w:tr>
      <w:tr>
        <w:trPr>
          <w:trHeight w:val="216"/>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Net Loss per Share</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warrants converted into common stock are considered common stock equivalents. Potential common shares that have an anti-dilutive effect (i.e., those that increase income per share or decrease loss per share) are excluded from the calculation of diluted net loss per share.</w:t>
      </w:r>
    </w:p>
    <w:p>
      <w:pPr>
        <w:spacing w:after="0" w:line="183"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outstanding equity instruments were excluded from the computation of diluted net loss per share for the periods presented because including them would have had an anti-dilutive effect: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20" w:type="dxa"/>
            <w:vAlign w:val="bottom"/>
          </w:tcPr>
          <w:p>
            <w:pPr>
              <w:spacing w:after="0"/>
              <w:rPr>
                <w:sz w:val="18"/>
                <w:szCs w:val="18"/>
                <w:color w:val="auto"/>
              </w:rPr>
            </w:pPr>
          </w:p>
        </w:tc>
        <w:tc>
          <w:tcPr>
            <w:tcW w:w="322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020" w:type="dxa"/>
            <w:vAlign w:val="bottom"/>
          </w:tcPr>
          <w:p>
            <w:pPr>
              <w:spacing w:after="0"/>
              <w:rPr>
                <w:sz w:val="18"/>
                <w:szCs w:val="18"/>
                <w:color w:val="auto"/>
              </w:rPr>
            </w:pPr>
          </w:p>
        </w:tc>
        <w:tc>
          <w:tcPr>
            <w:tcW w:w="15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converted into common stock</w:t>
            </w:r>
          </w:p>
        </w:tc>
        <w:tc>
          <w:tcPr>
            <w:tcW w:w="1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193,481</w:t>
            </w:r>
          </w:p>
        </w:tc>
        <w:tc>
          <w:tcPr>
            <w:tcW w:w="16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208,744</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11,119,350</w:t>
            </w:r>
          </w:p>
        </w:tc>
        <w:tc>
          <w:tcPr>
            <w:tcW w:w="166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13,493,432</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shares issuable under the employee stock purchase plan</w:t>
            </w:r>
          </w:p>
        </w:tc>
        <w:tc>
          <w:tcPr>
            <w:tcW w:w="1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31,577</w:t>
            </w:r>
          </w:p>
        </w:tc>
        <w:tc>
          <w:tcPr>
            <w:tcW w:w="16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26,532</w:t>
            </w:r>
          </w:p>
        </w:tc>
      </w:tr>
      <w:tr>
        <w:trPr>
          <w:trHeight w:val="216"/>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11,544,408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13,728,708</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Reporting</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conducts business as one operating and reportable segment relating to the research and development of the Company’s NPS technology. The Company's chief executive officer, who is the chief operating decision maker ("CODM"), views the Company’s operations and manages its business in one operating segment. The CODM uses the Company’s consolidated net loss to monitor actual results as compared to the budget in assessing segment performance and allocation of resources. Managing and allocating resources on an entity-wide basis enables the CODM to assess the overall level of resources available and how to best deploy these resources across functions and research and development projects that are in line with the Company’s long-term company-wide strategic goals. Consistent with this decision-making process, the CODM uses financial information for purposes of evaluating performance, forecasting future period financial results, allocating resources, and setting incentive targets. Operating expenses are used to monitor budget versus actual results. The CODM is regularly provided with more detailed expense information than what is included in our condensed consolidated statement of operations and comprehensive loss. All product sales are in the United States and there are no significant groupings of product revenue the CODM considers or reviews when making operating decisions and assessing performance.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28"/>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28" w:firstLine="486"/>
        <w:spacing w:after="0" w:line="282" w:lineRule="auto"/>
        <w:rPr>
          <w:sz w:val="20"/>
          <w:szCs w:val="20"/>
          <w:color w:val="auto"/>
        </w:rPr>
      </w:pPr>
      <w:r>
        <w:rPr>
          <w:rFonts w:ascii="Times New Roman" w:cs="Times New Roman" w:eastAsia="Times New Roman" w:hAnsi="Times New Roman"/>
          <w:sz w:val="18"/>
          <w:szCs w:val="18"/>
          <w:color w:val="auto"/>
        </w:rPr>
        <w:t>The table below shows a reconciliation of the Company’s net loss, including the significant expense categories regularly provided to and reviewed by the CODM, as computed under U.S. GAAP to the Company’s total net loss in the condensed consolidated statements of operations (in thousands):</w:t>
      </w:r>
    </w:p>
    <w:p>
      <w:pPr>
        <w:spacing w:after="0" w:line="178" w:lineRule="exact"/>
        <w:rPr>
          <w:sz w:val="20"/>
          <w:szCs w:val="20"/>
          <w:color w:val="auto"/>
        </w:rPr>
      </w:pPr>
    </w:p>
    <w:tbl>
      <w:tblPr>
        <w:tblLayout w:type="fixed"/>
        <w:tblInd w:w="28"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Adjusted cost of product revenue</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Cross platform research and engineering</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3,465</w:t>
            </w: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R&amp;D manufacturing and engineering</w:t>
            </w:r>
            <w:r>
              <w:rPr>
                <w:rFonts w:ascii="Times New Roman" w:cs="Times New Roman" w:eastAsia="Times New Roman" w:hAnsi="Times New Roman"/>
                <w:sz w:val="25"/>
                <w:szCs w:val="25"/>
                <w:color w:val="auto"/>
                <w:vertAlign w:val="superscript"/>
              </w:rPr>
              <w:t>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1,636</w:t>
            </w: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Clinical and regulatory</w:t>
            </w:r>
            <w:r>
              <w:rPr>
                <w:rFonts w:ascii="Times New Roman" w:cs="Times New Roman" w:eastAsia="Times New Roman" w:hAnsi="Times New Roman"/>
                <w:sz w:val="25"/>
                <w:szCs w:val="25"/>
                <w:color w:val="auto"/>
                <w:vertAlign w:val="superscript"/>
              </w:rPr>
              <w:t>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1,530</w:t>
            </w: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5"/>
                <w:szCs w:val="25"/>
                <w:color w:val="auto"/>
                <w:vertAlign w:val="superscript"/>
              </w:rPr>
              <w:t>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3,791</w:t>
            </w: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line="216" w:lineRule="exact"/>
              <w:rPr>
                <w:sz w:val="20"/>
                <w:szCs w:val="20"/>
                <w:color w:val="auto"/>
              </w:rPr>
            </w:pPr>
            <w:r>
              <w:rPr>
                <w:rFonts w:ascii="Times New Roman" w:cs="Times New Roman" w:eastAsia="Times New Roman" w:hAnsi="Times New Roman"/>
                <w:sz w:val="16"/>
                <w:szCs w:val="16"/>
                <w:color w:val="auto"/>
              </w:rPr>
              <w:t>Sales and marketing</w:t>
            </w:r>
            <w:r>
              <w:rPr>
                <w:rFonts w:ascii="Times New Roman" w:cs="Times New Roman" w:eastAsia="Times New Roman" w:hAnsi="Times New Roman"/>
                <w:sz w:val="25"/>
                <w:szCs w:val="25"/>
                <w:color w:val="auto"/>
                <w:vertAlign w:val="superscript"/>
              </w:rPr>
              <w:t>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1,659</w:t>
            </w: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5"/>
                <w:szCs w:val="25"/>
                <w:color w:val="auto"/>
                <w:vertAlign w:val="superscript"/>
              </w:rPr>
              <w:t>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5,963</w:t>
            </w:r>
          </w:p>
        </w:tc>
      </w:tr>
      <w:tr>
        <w:trPr>
          <w:trHeight w:val="236"/>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bottom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43"/>
        </w:trPr>
        <w:tc>
          <w:tcPr>
            <w:tcW w:w="20" w:type="dxa"/>
            <w:vAlign w:val="bottom"/>
          </w:tcPr>
          <w:p>
            <w:pPr>
              <w:spacing w:after="0"/>
              <w:rPr>
                <w:sz w:val="21"/>
                <w:szCs w:val="21"/>
                <w:color w:val="auto"/>
              </w:rPr>
            </w:pPr>
          </w:p>
        </w:tc>
        <w:tc>
          <w:tcPr>
            <w:tcW w:w="798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(16,795)</w:t>
            </w:r>
          </w:p>
        </w:tc>
      </w:tr>
      <w:tr>
        <w:trPr>
          <w:trHeight w:val="198"/>
        </w:trPr>
        <w:tc>
          <w:tcPr>
            <w:tcW w:w="20" w:type="dxa"/>
            <w:vAlign w:val="bottom"/>
          </w:tcPr>
          <w:p>
            <w:pPr>
              <w:spacing w:after="0"/>
              <w:rPr>
                <w:sz w:val="17"/>
                <w:szCs w:val="17"/>
                <w:color w:val="auto"/>
              </w:rPr>
            </w:pPr>
          </w:p>
        </w:tc>
        <w:tc>
          <w:tcPr>
            <w:tcW w:w="7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jc w:val="both"/>
        <w:ind w:left="8" w:hanging="8"/>
        <w:spacing w:after="0" w:line="249" w:lineRule="auto"/>
        <w:tabs>
          <w:tab w:leader="none" w:pos="224"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Adjusted cost of product revenue includes material costs, cash compensation costs, fees paid to consultants and outside service providers and organizations, and other expenses relating to manufacturing the Company’s commercial products. It does not include stock-based compensation, depreciation, amortization, IT and facilities costs - see descriptions of Other segment items in footnote 7 and General and administrative in footnote 5 below.</w:t>
      </w:r>
    </w:p>
    <w:p>
      <w:pPr>
        <w:spacing w:after="0" w:line="3" w:lineRule="exact"/>
        <w:rPr>
          <w:rFonts w:ascii="Times New Roman" w:cs="Times New Roman" w:eastAsia="Times New Roman" w:hAnsi="Times New Roman"/>
          <w:sz w:val="18"/>
          <w:szCs w:val="18"/>
          <w:i w:val="1"/>
          <w:iCs w:val="1"/>
          <w:color w:val="auto"/>
        </w:rPr>
      </w:pPr>
    </w:p>
    <w:p>
      <w:pPr>
        <w:ind w:left="28" w:hanging="10"/>
        <w:spacing w:after="0" w:line="250" w:lineRule="auto"/>
        <w:tabs>
          <w:tab w:leader="none" w:pos="21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Cross platform research and engineering includes compensation costs, fees paid to consultants and outside service providers and organizations, prototype spending and other expenses relating to the acquisition, design and development of the Company’s clinical stage devices.</w:t>
      </w:r>
    </w:p>
    <w:p>
      <w:pPr>
        <w:ind w:left="28" w:hanging="10"/>
        <w:spacing w:after="0" w:line="250" w:lineRule="auto"/>
        <w:tabs>
          <w:tab w:leader="none" w:pos="223"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R&amp;D manufacturing and engineering includes compensation costs, fees paid to consultants and outside service providers and organizations, and costs associated with the procurement of materials and the manufacturing of the Company’s clinical stage devices.</w:t>
      </w:r>
    </w:p>
    <w:p>
      <w:pPr>
        <w:ind w:left="28" w:hanging="10"/>
        <w:spacing w:after="0" w:line="250" w:lineRule="auto"/>
        <w:tabs>
          <w:tab w:leader="none" w:pos="216"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Clinical and regulatory includes compensation costs, fees paid to consultants and outside service providers and organizations, and costs associated with clinical trials and regulatory approvals required for the development of the Company’s clinical stage devices.</w:t>
      </w:r>
    </w:p>
    <w:p>
      <w:pPr>
        <w:ind w:left="28" w:hanging="10"/>
        <w:spacing w:after="0" w:line="250" w:lineRule="auto"/>
        <w:tabs>
          <w:tab w:leader="none" w:pos="222"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General and administrative includes compensation costs and fees paid to consultants and outside service providers and organizations in support of the administrative functions of the Company, including finance, legal, human resources, IT and facilities.</w:t>
      </w:r>
    </w:p>
    <w:p>
      <w:pPr>
        <w:ind w:left="28" w:right="680" w:hanging="10"/>
        <w:spacing w:after="0" w:line="250" w:lineRule="auto"/>
        <w:tabs>
          <w:tab w:leader="none" w:pos="208"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Sales and marketing includes compensation costs, fees paid to consultants and outside service providers and organizations, costs associated with marketing and sales strategy as well as execution of marketing and sales initiatives for the Company's products.</w:t>
      </w:r>
    </w:p>
    <w:p>
      <w:pPr>
        <w:ind w:left="188" w:hanging="170"/>
        <w:spacing w:after="0"/>
        <w:tabs>
          <w:tab w:leader="none" w:pos="188"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Other segment items includes stock-based compensation, depreciation and amortization.</w:t>
      </w:r>
    </w:p>
    <w:p>
      <w:pPr>
        <w:spacing w:after="0" w:line="207"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18"/>
          <w:szCs w:val="18"/>
          <w:color w:val="auto"/>
        </w:rPr>
        <w:t>As of March 31, 2026 and December 31, 2025, all of the Company’s long-lived assets are located in the United States.</w:t>
      </w:r>
    </w:p>
    <w:p>
      <w:pPr>
        <w:spacing w:after="0" w:line="248"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229" w:lineRule="exact"/>
        <w:rPr>
          <w:sz w:val="20"/>
          <w:szCs w:val="20"/>
          <w:color w:val="auto"/>
        </w:rPr>
      </w:pPr>
    </w:p>
    <w:p>
      <w:pPr>
        <w:jc w:val="both"/>
        <w:ind w:left="28" w:firstLine="486"/>
        <w:spacing w:after="0" w:line="266" w:lineRule="auto"/>
        <w:rPr>
          <w:sz w:val="20"/>
          <w:szCs w:val="20"/>
          <w:color w:val="auto"/>
        </w:rPr>
      </w:pPr>
      <w:r>
        <w:rPr>
          <w:rFonts w:ascii="Times New Roman" w:cs="Times New Roman" w:eastAsia="Times New Roman" w:hAnsi="Times New Roman"/>
          <w:sz w:val="18"/>
          <w:szCs w:val="18"/>
          <w:color w:val="auto"/>
        </w:rPr>
        <w:t>In April 2026, the Company granted in aggregate 1,000,000 stock options with an exercise price of $19.06 per share and 350,000 RSUs to an executive and one non-employee consultant. These stock options and RSUs contain service-based, performance-based, and both market-based and performance-based vesting conditions.</w:t>
      </w:r>
    </w:p>
    <w:p>
      <w:pPr>
        <w:spacing w:after="0" w:line="176" w:lineRule="exact"/>
        <w:rPr>
          <w:sz w:val="20"/>
          <w:szCs w:val="20"/>
          <w:color w:val="auto"/>
        </w:rPr>
      </w:pPr>
    </w:p>
    <w:p>
      <w:pPr>
        <w:jc w:val="both"/>
        <w:ind w:left="28" w:firstLine="486"/>
        <w:spacing w:after="0" w:line="261" w:lineRule="auto"/>
        <w:rPr>
          <w:sz w:val="20"/>
          <w:szCs w:val="20"/>
          <w:color w:val="auto"/>
        </w:rPr>
      </w:pPr>
      <w:r>
        <w:rPr>
          <w:rFonts w:ascii="Times New Roman" w:cs="Times New Roman" w:eastAsia="Times New Roman" w:hAnsi="Times New Roman"/>
          <w:sz w:val="18"/>
          <w:szCs w:val="18"/>
          <w:color w:val="auto"/>
        </w:rPr>
        <w:t>On May 11, 2026, the Company sold 675,233 shares of common stock in aggregate for net proceeds of approximately $12.9 million, after deducting underwriting discounts, commissions, and offering costs of approximately $0.4 million, pursuant to a sales agreement with TD Securities LLC under an at-the-market offering program to Mr. Robert Duggan, the majority stockholder and Co-Chairman of the Company, and Mr. Paul LaViolette, the Chief Executive Officer and Co-Chairman of the Company.</w:t>
      </w:r>
    </w:p>
    <w:p>
      <w:pPr>
        <w:spacing w:after="0" w:line="180"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8"/>
          </w:cols>
          <w:pgMar w:left="292"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ind w:right="3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the related notes included in this Quarterly Report on Form 10-Q and those in our Annual Report on Form 10-K, filed with the SEC on February 19, 2026.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Special Note Regarding Forward-Looking Statements</w:t>
      </w:r>
    </w:p>
    <w:p>
      <w:pPr>
        <w:spacing w:after="0" w:line="14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 “Risk Factors” section of this Quarterly Report includes a discussion of important factors that could cause actual results to differ materially from the results described in or implied by the forward-looking statements contained herein. We do not assume any obligation to update any forward-looking statements.</w:t>
      </w:r>
    </w:p>
    <w:p>
      <w:pPr>
        <w:spacing w:after="0" w:line="19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Quarterly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Quarterly Report, actual results may differ from the projections.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a novel ablation company committed to health innovation using our patented Nano-pulse Stimulation (“NPS”) technology, a revolutionary energy modality that delivers nanosecond-duration pulses of electrical energy, each less than a millionth of a second long, to nonthermally clear or kill targeted cells. NPS technology, also referred to as Nanosecond Pulsed-Field Ablation (“nsPFA”) technology when used to ablate cellular tissue, can be used to treat a variety of medical conditions for which an optimal solution remains unfulfilled. We developed our proprietary nPulse System (formerly known as CellFX), a novel nsPFA delivery platform, and commercialized the initial application of its nsPFA technology to treat benign lesions of the skin and in parallel, designed a variety of applicators, or disposables, to explore the potential use of the nPulse platform in other medical specialties. Based on our preclinical experience and the potential to significantly improve outcomes for patients in a large and growing market, we decided to focus our primary efforts on the use of nsPFA energy and the nPulse platform in the treatment of atrial fibrillation (“AF”), where approximately 1.9 million patients in the United States are diagnosed annually. This potentially represents a greater than $3.0 billion addressable market within electrophysiology alone combined with long-term double-digit growth. Additionally, we are also pursuing the treatment of atrial fibrillation via a surgical approach as well as select other markets where nsPFA technology could have a profound positive impact on healthcare for both patients and providers, such as surgical soft tissue ablation.</w:t>
      </w:r>
    </w:p>
    <w:p>
      <w:pPr>
        <w:spacing w:after="0" w:line="11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March 2026, we announced a strategic realignment (“the 2026 Realignment”) to prioritize and accelerate the development of our nsPFA electrophysiology catheters and other cardiac devices for the treatment of AF. This initiative followed the release of our positive clinical data in February 2026 from our first in human feasibility study of our proprietary nPulse Cardiac Catheter System in patients with paroxysmal AF. In connection with the 2026 Realignment, we adjusted our capital allocation to prioritize the electrophysiology market development program and will reduce short term market development investments in cardiac surgery and reduce investments in sales and marketing for the Vybrance Percutaneous Electrode System to focus on additional market development.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Our Cardiac Program</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Atrial fibrillation is a type of heart arrythmia, or irregular heartbeat, caused by faulty electrical signals in the heart. AF is a highly prevalent condition and is growing significantly with an ageing population. It is estimated that 43 million people worldwide are affected by AF. Treatment requires the precise and safe ablation of heart tissue to block or otherwise prevent these faulty electrical signals from causing the irregular heartbeat, and we believe nsPFA energy is uniquely suited to perform an integral role in the treatment of AF and that it will prove to be highly differentiated from other energy modalities in use today.</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results of preclinical and clinical testing of our most advanced nPulse cardiac products, namely our endocardial ablation catheter and surgical ablation clamp, have exceeded our expectations and initial data have been presented at physician and industry conferences. While these devices serve different physicians, the application of nsPFA energy to safely and effectively ablate cardiac tissue to treat AF are the same, and we believe there will be important synergies realized through their contemporaneous development. The Company’s cardiac endocardial ablation catheter and cardiac surgical ablation clamp both generate our proprietary nsPFA pulses of electrical energy. Recently, we initiated pivotal studies to test both these devices for the treatment of AF and we discuss each of these clinical-stage products in more detail below.</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nPulse Cardiac Catheter System</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nPulse Cardiac Catheter System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recent years, Pulsed Field Ablation (“PFA”) has gained attention in electrophysiology for the treatment of AF because of its safety profile and speed. However, current clinical products employing PFA in AF treatment differ from nsPFA technology in that the pulse widths are longer, typically in the microsecond domain. We believe nsPFA technology, which delivers pulses of electrical energy that are each less than a millionth of a second long, can offer similar safety advantages as PFA and may provide improved efficacy advantages based on the circumferential design of our catheter and because it appears nsPFA technology can create deeper ablations. We believe these advantages will be important to electrophysiologists, so we are working with leaders in the field to develop this technology quickly.</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proprietary catheter has been in development for several years and we have been working with leaders in the electrophysiology field to test the catheter in preclinical studies. After seeing encouraging preclinical results, in December 2023, we initiated a first-in-human clinical study in Prague, Czech Republic, to test our nPulse Cardiac Catheter System in patients with AF and both the acute data and initial remapping data from this study were compelling. We therefore expanded the initial clinical protocol in 2024 to include participation by two additional sites, including a clinical site in Rome, Italy, with Dr. Andrea Natale M.D., F.A.C.C., F.H.R.S., F.E.S.C., a world recognized leader in the electrophysiology field and the current Executive Director at the Texas Cardiac Arrhythmia Institute. To date, seven clinical investigators at these European sites, including Dr. Natale and Dr. Vivek Reddy, Director of Cardiac Arrhythmia Services at the Mount Sinai Fuster Heart Hospital in New York, have enrolled and treated more than 175 patients in this first-in-human study. In February 2026, at the AF Symposium, Dr. Reddy presented 6- and 12-month follow up data for the first 150 patients from this study. These data show 96% procedural success of evaluable patients at one year as well as early indications of the disruptive market potential for our nPulse catheter, such as total procedure times in the study of approximately 65 minutes per patient. This long-term data was further reinforced at the 2026 Heart Rhythm meeting with data from a total of 177 patients. The 5 second Cohort (n=141) showed 96.2% procedural success by 24-hour holter at one year in addition to 90% Kaplan-Meier estimated freedom from all atrial arrhythmias at one year.</w:t>
      </w:r>
    </w:p>
    <w:p>
      <w:pPr>
        <w:spacing w:after="0" w:line="1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Given the compelling data seen in the first-in-human study of our nPulse Cardiac Catheter, in 2025 we submitted an Investigational Device Exemption (IDE) application for review by the FDA to conduct a single-arm, multicenter, prospective study designed to demonstrate primary safety and effectiveness of the nsPFA Cardiac Catheter System for the treatment of recurrent drug-resistant symptomatic paroxysmal AF. In December 2025, the FDA approved our IDE submission, and the first patients were treated in April 2026 at St. Bernards Medical Center in Jonesboro, Arkansas, under the leadership of Devi Nair, MD, Principal Investigator of the Arrhythmia Research Group. This IDE study is expected to enroll up to 215 patients at up to 30 sites, including three sites outside the United States. We continue to believe we will need PMA approval from the FDA to market and sell our catheter in the United States. Upon PMA approval, we would expect to commercialize the nPulse Cardiac Catheter System in the United States specifically as a treatment for AF, potentially through one or more strategic partnerships with electrophysiology market leaders.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nPulse Cardiac Surgical Clamp</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These ablation lines block the conduction of electrical impulses and can cure patients of their AF.</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believe our nsPFA energy can provide important advantages over today’s thermal modalities in creating these ablation lines. For example, surgeons using the nPulse System should be able to deliver faster ablations and through thicker tissue than thermal modalities because of the nonthermal mechanism of action that nsPFA employs, which is not affected by heatsinks such as blood in the heart. In preclinical and clinical studies, our nsPFA Cardiac Clamp has consistently achieved transmural ablations in less than three seconds, independent of tissue type or thickness. Moreover, thermal modalities can cause char formation on electrode surfaces which can cause gaps in the ablation lines that might lead to treatment failure. This should not be an issue with nsPFA ablation given its nonthermal nature. Also, because nsPFA ablation does not significantly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important to cardiac surgeons, so we are working with leaders in the field to develop this technology quickly.</w:t>
      </w:r>
    </w:p>
    <w:p>
      <w:pPr>
        <w:spacing w:after="0" w:line="19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Over the last several years, we have been developing the cardiac ablation clamp from proof-of-concept to prototype, and we now have what we believe will be our initial commercial design. The device was designed with the input of key physicians in cardiac surgery, and we believe it will offer a highly differentiated option relative to the standard of care thermal modalities. Today, we plan to pursue a PMA application for FDA approval to market the cardiac clamp specifically as a surgical way to treat AF. Seeking an AF indication through a PMA application will require pivotal clinical data to support the application.</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July 2024, we received Breakthrough Device Designation from the FDA for our nsPFA Cardiac Surgery System for the treatment of AF. The FDA’s Breakthrough Devices Program is a voluntary program for certain medical devices that potentially provide for more effective treatment or diagnosis of a life-threatening or irreversibly debilitating disease or condition. More recently, our Cardiac Surgery System was enrolled in the FDA’s Total Product Life Cycle (TPLC) Advisory Program (TAP). The FDA’s Center for Devices and Radiological Health (CDRH) launched the TAP program to help generate more rapid development of high-quality, safe, effective, and innovative medical devices that are critical to public health. TAP’s primary goal is to expedite patient access to innovative medical devices by providing early, frequent and strategic communications with the FDA and facilitating engagement with other key parties for developers of devices of public health importance. Both programs are designed to expedite the development, assessment, and review of medical devices for premarket approval, 510(k) clearance, or de novo marketing authorization. Breakthrough Devices, even those enrolled in the FDA’s TAP Program, must still meet the FDA’s rigorous standards for device safety and effectiveness in order to be authorized for marketing, however.</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August 2024, we initiated a first-in-human clinical feasibility study of the nPulse Cardiac Surgical System in Europe. To date, we have enrolled more than 60 patients in this feasibility study of the cardiac clamp, a multi-center study of AF in Europe. All of the patients in our first-in-human study have tolerated the procedure well and acute data have been encouraging. Thirty-four patients had ablation effectiveness and durability evaluated by electroanatomical mapping at approximately three months showing durable and consistent pulmonary vein isolation and posterior box isolation, achieved safely with rapid ablation times.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More recently, in September 2025, we received approval of our Investigational Device Exemption (IDE) to initiate our pivotal clinical trial of the cardiac surgical clamp and clinicians have commenced enrollment in the study. This single-arm prospective study is designed to demonstrate primary effectiveness of the nsPFA Cardiac Surgical System for the treatment of AF in concomitant surgical procedures. Up to twenty sites, including two outside the United States, are planned to enroll up to 136 patients. Upon PMA approval, we would expect to commercialize the nPulse Cardiac Surgical System in the United States specifically as a treatment for AF.</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nPulse Vybrance Percutaneous Electrode System</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Outside of our cardiac programs, our first product for soft tissue ablation in a surgical setting, the Vybrance Percutaneous Electrode System (the “Vybrance System” or the “Vybrance Percutaneous Electrode System”), consists of a disposable, percutaneous, needle electrode for use with our proprietary nPulse Console. This novel electrode is designed to harness and deliver the key advantages of nsPFA energy, enabling precise nonthermal removal of cellular tissue without inducing thermal necrosis.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After years of preclinical development and testing, in June 2023, we initiated a first-in-human study using our proprietary nsPFA-enabled percutaneous electrode for the treatment of benign thyroid nodules. This study was conducted by Professor Stefano Spiezia at the Ospedale del Mare in Naples, Italy, to help us better understand and confirm the mechanism of action and tissue response of nsPFA energy in internal organs such as the thyroid. Thirty study subjects were treated, all of whom tolerated the procedure well with no reported serious side effects. Ultrasound images post procedure showed treated portions of the benign thyroid nodules were mostly resorbed with no sign of scarring or fibrosis, which can be a side effect of other ablation modalities using thermal energies.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parallel, in November 2023, we filed a premarket notification 510(k) with the FDA for clearance to commercialize our novel Vybrance System in the United States. In March 2024, we received FDA 510(k) clearance for our Vybrance System for use in the ablation of soft tissue in percutaneous and intraoperative surgical procedures. More recently, in August 2024, we received FDA 510(k) clearance for a second size of the percutaneous electrode needle, which we believe will provide our customers with an additional treatment option for their patients.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Since securing 510(k) clearance to market and sell the Vybrance System in the United States, we have engaged with experts in the field of soft tissue ablation to gather information to help shape our commercial endeavors. We initially placed our Vybrance System at sites in the United States under short-term evaluation or consulting agreements pursuant to which the sites have been performing initial patient treatments and evaluating the Vybrance System as well as providing valuable feedback and support. In the third quarter of 2025, we began entering into commercial agreements with a limited number of sites in the United States.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More recently, in September 2025, we commenced a clinical trial (PRECISE BTN) to generate clinical evidence to demonstrate the safety and effectiveness of this less-invasive thyroid-preserving procedure and support commercialization of the Vybrance System in the United States. In this study, benign thyroid nodule soft tissue ablation procedures will be performed on up to 100 patients at up to four sites, an expansion from the original design of 50 patients. Study endpoints evaluated during the follow-up timepoints will include safety, targeted nodule volume reduction, symptom reduction, and improvements in quality of life and cosmesis over various follow-up periods. We expect to pursue more clinical evidenced-based milestones in connection with further market development of our Vybrance System.</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The nPulse Console</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nPulse Console is a tunable, software-enabled, console-based platform, designed to accommodate the clinical workflow preferred by physicians. The nPulse Console is configured to accept a variety of disposable applicators or electrodes across a range of clinical applications. In 2021, we received 510(k) clearance from the FDA for the nPulse System for dermatologic procedures requiring ablation and resurfacing of the skin and Conformité Européene (“CE”) marking approval, which allows for marketing of the system in the European Union (“EU”). However, in September 2022, we announced a shift in our focus from dermatology to cardiology and ceased all commercial sales efforts and marketing operations in dermatology, and in 2022 we stopped manufacturing new dermatologic treatment tips for the nPulse System. The nPulse Console is being used for our current efforts in the treatment of AF and as part of the Vybrance Percutaneous Electrode System.</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continue to believe nsPFA ablation, as well as NPS technology more broadly, has the potential to provide superior outcomes across a variety of medical disciplines and we may seek partnership opportunities to develop additional applications.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Our Business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Over the past few years, Robert Duggan, our majority stockholder and Co-Chairman, has made significant investments in our Company to fund its operations. In June 2024, for example, when we completed a rights offering of units to our existing stockholders to raise $60.0 million in aggregate, Mr. Duggan purchased approximately 88% of the shares offered through the offering. Mr. Duggan may or may not elect to participate in any number of future fundraisings by the Company, whether similar to those described above or otherwise, and he may choose to invest more than his current pro rata share in any of these fundraisings, or alternatively he may offer to provide additional debt financing as may be needed to maintain the Company as a going concern.</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May 11, 2026, we sold 675,233 shares of common stock in aggregate for net proceeds of approximately $12.9 million, after deducting underwriting discounts, commissions, and offering costs of approximately $0.4 million, pursuant to a sales agreement with TD Securities LLC under an at-the-market offering program to Mr. Robert Duggan, our majority stockholder and Co-Chairman, and Mr. Paul LaViolette, our Chief Executive Officer and Co-Chairman.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condensed financial statements have been prepared in accordance with U.S. generally accepted accounting principles (GAAP). The preparation of these condensed financial statements requires us to make estimates and assumptions that affect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liabilities, and equity and the amount of revenues and expenses, which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critical accounting policies are described in the section titled “Management’s Discussion and Analysis of Financial Condition and Results of Operations—Critical Accounting Policies and Estimates” in our Annual Report on Form 10-K filed with the SEC on February 19, 2026. During the three months ended March 31, 2026, we modified the stock-based compensation policy as a result of granting restricted stock units, which was a new type of stock award issued by the Company. We continue to believe that the assumptions and estimates associated with our most critical accounting policies are those relating to revenue recognition, stock-based compensation, and accrued research and development expenses. Our significant accounting policies are more fully described in Note 2 to our condensed financial statements appearing elsewhere in this Quarterly Report on 10-Q. Additionally, the modified stock-based compensation policy is described as follows:</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stock-based compensation programs include stock options, restricted sock units (RSUs), and an employee stock purchase program. We periodically issue stock options and RSUs to officers, directors, employees, and consultants for their services to the Company. Such issuances vest and expire according to terms established at the issuance date. In general, stock options granted to officers, directors and employees are recognized in the financial statements based on their grant date fair values, which are estimated using the Black-Scholes option-pricing model or Monte Carlo simulation model. The grant date fair value of RSUs is estimated based on the closing stock price of our common stock on the date of grant. We account for forfeitures as they occur. We have granted stock options with service-based, performance-based, market-based, and both market-based and performance-based vesting conditions and granted RSUs with service-based vesting conditions.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stock options with service-based and performance-based vesting conditions, the grant date fair value of each grant is determined using the Black-Scholes option pricing model which requires a number of assumptions. Each of these assumptions is subjective and generally requires significant judgment and estimation by management.</w:t>
      </w:r>
    </w:p>
    <w:p>
      <w:pPr>
        <w:spacing w:after="0" w:line="9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Our expected term represents the period that our stock-based awards are expected to be outstanding and is determined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simplified method (based on the mid-point between the vesting date and the end of the contractual term).</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computation of expected volatility is based on a calculation using the historical volatility of our common stock.</w:t>
      </w:r>
    </w:p>
    <w:p>
      <w:pPr>
        <w:spacing w:after="0" w:line="144"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risk-free interest rate is based on the Treasury Constant Maturities as provided by the Federal Reserve in effect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of grant for periods corresponding with the expected term of option.</w:t>
      </w:r>
    </w:p>
    <w:p>
      <w:pPr>
        <w:spacing w:after="0" w:line="7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 </w:t>
      </w:r>
      <w:r>
        <w:rPr>
          <w:rFonts w:ascii="Times New Roman" w:cs="Times New Roman" w:eastAsia="Times New Roman" w:hAnsi="Times New Roman"/>
          <w:sz w:val="18"/>
          <w:szCs w:val="18"/>
          <w:color w:val="auto"/>
        </w:rPr>
        <w:t>We have never paid dividends on our common stock and have no plans to pay dividends on our common stock. Therefore,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an expected dividend yield of zero.</w:t>
      </w:r>
    </w:p>
    <w:p>
      <w:pPr>
        <w:spacing w:after="0" w:line="16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Stock-based compensation expense for stock awards with service-based vesting conditions is recognized on a straight-line basis over the requisite service period, which is generally the vesting period. For stock awards with performance-based vesting conditions, compensation expense is not recognized until it is probable that the performance-based vesting condition will be achieved. The analysis to determine such probability involves estimates and judgements from management related to certain financial measures and achievements of strategic and operational milestones, which involves inherent risk and uncertainty regarding the future outcomes of the milestones. If actual results are not consistent with our estimates or assumptions, we may be exposed to changes in stock-based compensation expense that could be material.</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stock awards with market-based vesting conditions, the conditions relate to the achievement of certain market capitalization targets of the Company. Using a Monte Carlo simulation model, we estimated the fair value of the market-based awards on the grant date or modification date, with the associated stock-based compensation expense recognized over the requisite service period. The requisite service period is the service period derived from the Monte Carlo simulation model. If the market capitalization targets are met sooner than the derived service period, the recognition of stock-based compensation expense will accelerate to reflect the cumulative expense associated with the vested shares.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For stock awards with both market-based and performance-based vesting conditions, the vesting conditions relate to both the achievement of certain market capitalization targets of the Company, as well as the achievement of certain revenue and margin metrics. Using a Monte Carlo simulation model, we estimated the fair value of the market-based options on the grant date, along with a derived service period. Compensation expense for the awards is recognized over the requisite service period, which is the longer of the service period derived from the Monte Carlo simulation model or the implicit service period (the period when the performance condition is expected to be met). Compensation expense is recognized only once it becomes probable that the associated performance condition will be achieved and the employee is expected to render the requisite service. Once these criteria are met, we will recognize expense using the accelerated attribution method over the requisite service period. If, at any point, the performance condition is no longer probable of being achieved or the employee is no longer expected to complete the requisite service period, any previously recognized expense will be reversed. Additionally, if both the market and performance conditions are satisfied before the end of the requisite service period, any remaining unrecognized expense will be recognized immediately, provided that the employee is still providing service.</w:t>
      </w:r>
    </w:p>
    <w:p>
      <w:pPr>
        <w:spacing w:after="0" w:line="19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Monte Carlo simulation models require us to make assumptions and judgements about the variables used in the calculations including the expected volatility, the risk-free interest rate, expected dividend yield, and the expected term. The assumptions used in the option-pricing model represent our best estimates. If factors change and different assumptions are used, our stock-based compensation expense could be materially different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Refer to the “Recent Accounting Pronouncements” in Note 2 of the condensed consolidated financial statements included elsewhere in this Quarterly Report on Form 10-Q for additional disclosures around recently issued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condensed consolidated statements of operations as discussed herein are presented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5"/>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2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401</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45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2,277</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6,591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7,731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1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19,551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18,044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1,507</w:t>
            </w: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16"/>
        </w:trPr>
        <w:tc>
          <w:tcPr>
            <w:tcW w:w="4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16"/>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Product revenue was $0.4 million for the three months ended March 31, 2026. There was no revenue for the three months ended March 31, 2025. The total revenue generated was in connection with the limited market release commercial sales of the Vybrance Percutaneous Electrode System, with the first commercial sale occurring in the third quarter of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Revenue</w:t>
      </w:r>
    </w:p>
    <w:p>
      <w:pPr>
        <w:spacing w:after="0" w:line="227"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Cost of product revenue was $0.4 million for the three months ended March 31, 2026. There was no cost of product revenue for the three months ended March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compensation and other employee-related expenses for research and development personnel, clinical trials and consulting costs related to the design, development and enhancement of our potential future products, prototype material and devices.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$2.3 million to $12.6 million for the three months ended March 31, 2026, compared to $10.3 million for the three months ended March 31, 2025. The increase was primarily driven by higher expenses of $1.8 million in paid services and external research and $1.5 million in compensation and other employee-related expenses, partially offset by a decrease of $1.0 million in stock-based compensation resulting from forfeitures for an executive departure.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of compensation and other employee-related expenses for sales, marketing, executives, finance, legal, human resources, information technology, and administrative personnel, professional fees, patent fees and costs, insurance costs and other general corporate expenses.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by $1.1 million to $6.6 million for the three months ended March 31, 2026, compared to $7.7 million for the three months ended March 31, 2025. The decrease was primarily driven by a reduction of $2.8 million in stock-based compensation resulting from forfeitures for an executive departure, partially offset by increases of $0.9 million in compensation and other employee-related expenses, and $0.6 million related to a legal settlement recognized in early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Interest income decreased by $0.7 million to $0.6 million for the three months ended March 31, 2026, compared to $1.3 million for the three months ended March 31, 2025, driven by lower invested capital and decreasing yield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funded our business primarily through the issuance of equity securities and debt. To date, we have generated only limited revenue from product sales and we have incurred significant operating losses each year since our inception. Because we intend to continue our investments into new product research and development and the capabilities needed to commercialize our nPulse Vybrance Percutaneous Electrode System, we expect to continue to incur additional losses for the next several years. Accordingly, to fund our business, we may utilize some combination of public or private equity offerings, debt financings, or potential new revenue-generating collaborations with one or more investors or strategic partners. Over the past few years, Robert Duggan, our majority stockholder and Co-Chairman, has made significant investments in our Company to fund its operations. Mr. Duggan may or may not elect to participate in any number of future fundraisings by the Company, whether similar to those described herein or otherwise, or alternatively he may offer to provide additional debt financing as may be needed to maintain the Company as a going concern.</w:t>
      </w:r>
    </w:p>
    <w:p>
      <w:pPr>
        <w:spacing w:after="0" w:line="19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On May 11, 2026, we sold 675,233 shares of common stock in aggregate for net proceeds of approximately $12.9 million, after deducting discounts, commissions, and offering costs, pursuant to a sales agreement with TD Securities LLC under an at-the-market offering program, to Mr. Robert Duggan, our majority stockholder and Co-Chairman, and Mr. Paul LaViolette, our Chief Executive Officer and Co-Chairman (the “May 2026 ATM Sale”).</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of March 31, 2026, we had cash and cash equivalents of $68.3 million. We believe that our existing financial resources combined with net proceeds received from the May 2026 ATM Sale are sufficient to fund our projected operating requirements for at least the next twelve months from the filing date of this Quarterly Report on Form 10-Q. However, we plan to raise additional capital in the near future. These expectations are based on our current operating and financing plans which are subject to change. The source, timing and availability of any future financing will depend largely upon market conditions and perceived progress in the Company’s commercialization efforts, on-going product development initiatives, as well as future clinical and regulatory developments concerning the nPulse System and our other NPS-based technologies. There can be no assurance, however, that any additional financing or any revenue-generating collaboration will be available when needed or that we will be able to obtain financing or enter into a collaboration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global economic instability caused by armed conflicts, tariffs and interest rates, together with other market factors, could have an adverse impact on potential sources of future financing.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2024, we executed our 2024 Rights Offering. The 2024 Rights Offering resulted in the sale of six million 2024 Units, at a price of $10.00 per 2024 Unit. Each 2024 Unit consisted of one share of our common stock, par value $0.001 per share, and two warrants, each being a warrant to purchase one-half of one share of common stock. The common stock and warrants comprising the 2024 Units separated upon the closing of the 2024 Rights Offering and were issued individually. Upon the closing of the offering, we issued a total of 5,999,998 shares of common stock and warrants to acquire up to approximately an additional six million shares of common stock, at an exercise price of $11 per whole share, and we received aggregate gross proceeds of $60 million. Robert W. Duggan, the Company’s majority stockholder and Co-Chairman, purchased approximately 88% of the units offered through the 2024 Rights Offering. Half of the warrants issued in the rights offering were redeemable by us if our volume-weighted average price ("VWAP") exceeded 150% of the exercise price, or $16.50, for twenty consecutive trading days. In December 2024, we delivered an irrevocable notice of redemption to redeem this first tranche of common stock warrants because the VWAP of our common stock over the twenty consecutive trading days before the notice was $18.85. Then, in February 2025, we redeemed 18,221 warrants, specifically the ones subject to the 150% redemption feature, on the announced redemption date. The other half of the warrants issued in the 2024 Rights Offering are redeemable by us if our VWAP exceeds 200% of the exercise price, or $22.00, for twenty consecutive trading days. As of March 31, 2026, there were no outstanding 2024 Rights Offering Warrants subject to the 150% redemption feature and there were 386,963 outstanding 2024 Rights Offering Warrants subject to the 200% redemption feature, entitling holders to purchase up to approximately 193,481 shares of common stock. For the three months ended March 31, 2026 and 2025, we have received gross proceeds of $0.1 million and $14.1 million, respectively, from exercises of the 2024 Rights Offering Warrants. Cumulatively, as of March 31, 2026, we have received total gross proceeds of $63.7 million from exercises of the 2024 Rights Offering Warrants.</w:t>
      </w:r>
    </w:p>
    <w:p>
      <w:pPr>
        <w:spacing w:after="0" w:line="19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Furthermore, from time to time, we may raise additional equity or debt capital through private offerings of securities or through registered offerings of securities, such as offerings of debt or equity off of a shelf registration statement, including “at-the-market” offerings of common stock. In April 2024, we filed a shelf registration statement on Form S-3 with the SEC, which the SEC declared effective on April 8, 2024, and after which we filed a Form S-3MEF to increase the shelf by 20%. Through this shelf registration statement we may, from time to time, sell up to an aggregate of $60 million worth of our common stock, preferred stock, debt securities, depositary shares, warrants, subscription rights, purchase contracts, or units, of which shelf approximately $46.7 million remains available for sale as of the filing date of this Quarterly Report on Form 10-Q. Under this shelf registration statement, in July 2024, we established an at-the-market offering program with Canaccord Genuity LLC and Needham &amp; Company, LLC, as sales agents, in the amount of up to $60 million. However, in February 2026, we terminated this ATM program and instead entered into an at-the-market offering program with TD Securities LLC, as sales agent, in the amount of up to $60 million, of which approximately $46.7 million remains available as of the filing date of this Quarterly Report on Form 10-Q. In February 2026, we also filed a shelf registration statement on Form S-3 with the SEC, which the SEC declared effective on February 27, 2026. Through this shelf registration statement, we may, from time to time, sell up to an aggregate of $200 million worth of our common stock, preferred stock, debt securities, depositary shares, warrants, subscription rights, purchase contracts, or units, of which $200 million remains available for sale as of the filing date of this Quarterly Report on Form 10-Q. To the extent we raise additional capital through the sale of equity or convertible debt securities, the issuance of such securities will result in dilution to our stockholders.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condensed consolidated statements of cash flows as discussed herein are presented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 (used in) provided by:</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14,807</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1,241</w:t>
            </w: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net cash used in operating activities was $14.6 million, which consisted of a net loss of $18.6 million, partially offset by a net change of $2.8 million in non-cash changes and a net change of $1.2 million in net operating assets and liabilities. Non-cash charges consisted of stock-based compensation of $1.9 million, lease expense of $0.3 million, write-off of deferred issuance costs of $0.3 million related to the terminated at-the-market offering program in February 2026, and depreciation and amortization of $0.3 million. The net change in our operating assets and liabilities was primarily due to a net increase in liabilities of $1.3 million.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net cash used in operating activities was $13.5 million, which consisted of a net loss of $16.8 million and a net change of $3.0 million in net operating assets and liabilities, partially offset by $6.2 million in non-cash changes. The net change in our operating assets and liabilities was primarily due to a net decrease in liabilities of $2.7 million. Non-cash charges consisted of stock-based compensation of $5.7 million, lease expense of $0.3 million, and depreciation and amortization of $0.3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cash used in investing activities was less than $0.1 million, which was for the purchase of property and equipment.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cash used in investing activities was less than $0.1 million, which was for the purchase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cash provided by financing activities was $2.2 million, which comprised of $1.7 million of proceeds from the exercise of stock options, $0.5 million of proceeds from the issuance of common stock under our employee stock purchase plan, and $0.1 million of proceeds from the exercise of common stock warrants, partially offset by $0.1 million of deferred issuance costs paid in relation to registration statements.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cash provided by financing activities was $14.8 million, primarily due to $14.1 million of proceeds from the exercise of common stock warrants, $0.4 million of proceeds from issuance of common stock under employee stock purchase plan, and $0.4 million of proceeds from the exercise of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outside the ordinary course of our business to the contractual obligations disclosed in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we did not have any transactions, obligations or relationships that constitute off-balance sheet arrangements.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date, we have not incurred costs to defend lawsuits or settle claims related to these indemnification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Events and Uncertainties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research and development of our technology, including, but not limited to, additional financing through follow-on stock offerings, debt financings, or co-development agreements and/or other alternatives.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assure investors that our technology will be adopted or that we will ever achieve sustainable revenue sufficient to support our operations. Even if we are able to generate revenue, there can be no assurances that we will be able to achieve profitability or positive operating cash flows. There can be no assurances that we will be able to secure additional financing in the future on acceptable terms or at all. If our technology cannot be used to successfully treat AF, tumors and nodules, or if our cash resources are insufficient to satisfy our ongoing cash needs, we would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license our potential products or technologies to third parties, possibly on terms that cannot sustain our current business, or curtail, suspend or discontinue our operations entirely.</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our Annual Report on Form 10-K for the year ended December 31, 2025.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Chief Financial Officer have concluded that, as of March 31, 2026,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Rule 13a-15(d) and 15d-15(d) of the Exchange Act, as amended, that occurred during the quarter ended March 31, 2026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4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arising in the ordinary course of business. We are not presently a party to any legal proceedings that, in the opinion of management, could have a material adverse effect on our results of operations or financial condition. Regardless of outcome, however, any litigation could have an adverse impact on us because of defense and settlement costs, diversion of management resources, negative publicity, reputational harm, and other factors.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Pulse Biosciences, Inc. speculative or risky. The following summary does not contain all of the information that may be important to you, and you should read the below summary in conjunction with the more detailed discussion of risks set forth following the summary.</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229" w:lineRule="exact"/>
        <w:rPr>
          <w:sz w:val="20"/>
          <w:szCs w:val="20"/>
          <w:color w:val="auto"/>
        </w:rPr>
      </w:pPr>
    </w:p>
    <w:p>
      <w:pPr>
        <w:ind w:left="840" w:right="100" w:hanging="326"/>
        <w:spacing w:after="0" w:line="26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obtain additional funding to finance our operations and complete the development and commercialization of our products, which may result in further dilution to our investors, or require us to incur indebtedness, which could impair our liquidity position. If we do not receive substantial capital when needed, we may be forced to restrict our operations or delay, reduce or eliminate our product development programs.</w:t>
      </w:r>
    </w:p>
    <w:p>
      <w:pPr>
        <w:spacing w:after="0" w:line="179" w:lineRule="exact"/>
        <w:rPr>
          <w:rFonts w:ascii="Times New Roman" w:cs="Times New Roman" w:eastAsia="Times New Roman" w:hAnsi="Times New Roman"/>
          <w:sz w:val="18"/>
          <w:szCs w:val="18"/>
          <w:color w:val="auto"/>
        </w:rPr>
      </w:pPr>
    </w:p>
    <w:p>
      <w:pPr>
        <w:ind w:left="840" w:right="420" w:hanging="326"/>
        <w:spacing w:after="0" w:line="266"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the success of NPS to nonthermally clear targeted cells while sparing adjacent noncellular tissue. If we are unable to successfully develop and commercialize this patented technology, or experience significant delays in doing so, we may extend the period during which we will incur significant financial losses as a company.</w:t>
      </w:r>
    </w:p>
    <w:p>
      <w:pPr>
        <w:spacing w:after="0" w:line="175" w:lineRule="exact"/>
        <w:rPr>
          <w:rFonts w:ascii="Times New Roman" w:cs="Times New Roman" w:eastAsia="Times New Roman" w:hAnsi="Times New Roman"/>
          <w:sz w:val="18"/>
          <w:szCs w:val="18"/>
          <w:color w:val="auto"/>
        </w:rPr>
      </w:pPr>
    </w:p>
    <w:p>
      <w:pPr>
        <w:ind w:left="840" w:right="160" w:hanging="326"/>
        <w:spacing w:after="0" w:line="266"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principally a development-stage company with limited experience commercializing products. We have incurred significant losses since our inception. We anticipate that we will continue to incur losses for at least the next several years and may never generate profits from operations or maintain profitability if we do.</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Development and Commercialization of our Medical Products</w:t>
      </w:r>
    </w:p>
    <w:p>
      <w:pPr>
        <w:spacing w:after="0" w:line="229" w:lineRule="exact"/>
        <w:rPr>
          <w:sz w:val="20"/>
          <w:szCs w:val="20"/>
          <w:color w:val="auto"/>
        </w:rPr>
      </w:pPr>
    </w:p>
    <w:p>
      <w:pPr>
        <w:ind w:left="840" w:right="60" w:hanging="326"/>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development and commercialization is a complex, time-consuming and expensive process. Our industry is fraught with risk and a high rate of failure.</w:t>
      </w:r>
    </w:p>
    <w:p>
      <w:pPr>
        <w:spacing w:after="0" w:line="161" w:lineRule="exact"/>
        <w:rPr>
          <w:rFonts w:ascii="Times New Roman" w:cs="Times New Roman" w:eastAsia="Times New Roman" w:hAnsi="Times New Roman"/>
          <w:sz w:val="18"/>
          <w:szCs w:val="18"/>
          <w:color w:val="auto"/>
        </w:rPr>
      </w:pPr>
    </w:p>
    <w:p>
      <w:pPr>
        <w:ind w:left="840" w:right="40" w:hanging="326"/>
        <w:spacing w:after="0" w:line="266"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provide no assurance that our clinical product candidates, including our product candidates for the treatment of atrial fibrillation ("AF"), such as our nPulse Cardiac Clamp and our nPulse Cardiac Catheter, will obtain regulatory approval or that the results of clinical studies will be favorable.</w:t>
      </w:r>
    </w:p>
    <w:p>
      <w:pPr>
        <w:spacing w:after="0" w:line="175" w:lineRule="exact"/>
        <w:rPr>
          <w:rFonts w:ascii="Times New Roman" w:cs="Times New Roman" w:eastAsia="Times New Roman" w:hAnsi="Times New Roman"/>
          <w:sz w:val="18"/>
          <w:szCs w:val="18"/>
          <w:color w:val="auto"/>
        </w:rPr>
      </w:pPr>
    </w:p>
    <w:p>
      <w:pPr>
        <w:ind w:left="840" w:right="800" w:hanging="326"/>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had limited sales and marketing experience and can give no assurances that our devices will be adopted by surgeons or other physicians to treat any medical condition.</w:t>
      </w:r>
    </w:p>
    <w:p>
      <w:pPr>
        <w:spacing w:after="0" w:line="161" w:lineRule="exact"/>
        <w:rPr>
          <w:rFonts w:ascii="Times New Roman" w:cs="Times New Roman" w:eastAsia="Times New Roman" w:hAnsi="Times New Roman"/>
          <w:sz w:val="18"/>
          <w:szCs w:val="18"/>
          <w:color w:val="auto"/>
        </w:rPr>
      </w:pPr>
    </w:p>
    <w:p>
      <w:pPr>
        <w:ind w:left="840" w:right="520" w:hanging="326"/>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may affect the scope and timeline of our trials and the potential market for our product candidates, including the possibility of significant delays to any product launch.</w:t>
      </w:r>
    </w:p>
    <w:p>
      <w:pPr>
        <w:spacing w:after="0" w:line="161" w:lineRule="exact"/>
        <w:rPr>
          <w:rFonts w:ascii="Times New Roman" w:cs="Times New Roman" w:eastAsia="Times New Roman" w:hAnsi="Times New Roman"/>
          <w:sz w:val="18"/>
          <w:szCs w:val="18"/>
          <w:color w:val="auto"/>
        </w:rPr>
      </w:pPr>
    </w:p>
    <w:p>
      <w:pPr>
        <w:jc w:val="both"/>
        <w:ind w:left="840" w:right="40" w:hanging="326"/>
        <w:spacing w:after="0" w:line="289" w:lineRule="auto"/>
        <w:tabs>
          <w:tab w:leader="none" w:pos="8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medical device industry is characterized by intense competition, rapid technological changes, new product introductions and enhancements, and evolving industry standards. If we do not develop and obtain regulatory clearances or approvals for new products or product enhancements in time to meet market demand, or if there is insufficient demand for our products or enhancements, our results of operations will suffer.</w:t>
      </w:r>
    </w:p>
    <w:p>
      <w:pPr>
        <w:spacing w:after="0" w:line="157" w:lineRule="exact"/>
        <w:rPr>
          <w:rFonts w:ascii="Times New Roman" w:cs="Times New Roman" w:eastAsia="Times New Roman" w:hAnsi="Times New Roman"/>
          <w:sz w:val="17"/>
          <w:szCs w:val="17"/>
          <w:color w:val="auto"/>
        </w:rPr>
      </w:pPr>
    </w:p>
    <w:p>
      <w:pPr>
        <w:ind w:left="840" w:right="460" w:hanging="326"/>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of our product candidates could be delayed or prevented if we experience any number of possible unforeseen events in connection with our clinical trials.</w:t>
      </w:r>
    </w:p>
    <w:p>
      <w:pPr>
        <w:spacing w:after="0" w:line="161" w:lineRule="exact"/>
        <w:rPr>
          <w:rFonts w:ascii="Times New Roman" w:cs="Times New Roman" w:eastAsia="Times New Roman" w:hAnsi="Times New Roman"/>
          <w:sz w:val="18"/>
          <w:szCs w:val="18"/>
          <w:color w:val="auto"/>
        </w:rPr>
      </w:pPr>
    </w:p>
    <w:p>
      <w:pPr>
        <w:jc w:val="both"/>
        <w:ind w:left="840" w:right="80" w:hanging="326"/>
        <w:spacing w:after="0" w:line="266"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our product candidates fail to demonstrate safety and effectiveness to the satisfaction of applicable regulatory bodies, such as the U.S. Food and Drug Administration or the European Medicines Agency, we may incur additional costs or experience delays in completing, or ultimately be unable to complete, the development and commercialization of our devices.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Industry and Market</w:t>
      </w:r>
    </w:p>
    <w:p>
      <w:pPr>
        <w:spacing w:after="0" w:line="229" w:lineRule="exact"/>
        <w:rPr>
          <w:sz w:val="20"/>
          <w:szCs w:val="20"/>
          <w:color w:val="auto"/>
        </w:rPr>
      </w:pPr>
    </w:p>
    <w:p>
      <w:pPr>
        <w:ind w:left="820" w:right="240" w:hanging="326"/>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developing or commercializing competitive products before or more successfully than we do.</w:t>
      </w:r>
    </w:p>
    <w:p>
      <w:pPr>
        <w:spacing w:after="0" w:line="161" w:lineRule="exact"/>
        <w:rPr>
          <w:rFonts w:ascii="Times New Roman" w:cs="Times New Roman" w:eastAsia="Times New Roman" w:hAnsi="Times New Roman"/>
          <w:sz w:val="18"/>
          <w:szCs w:val="18"/>
          <w:color w:val="auto"/>
        </w:rPr>
      </w:pPr>
    </w:p>
    <w:p>
      <w:pPr>
        <w:ind w:left="820" w:right="320" w:hanging="326"/>
        <w:spacing w:after="0" w:line="266"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compete against well-established incumbent technologies offering products in cardiology, oncology, and minimally invasive procedures. Many of these companies currently have greater financial, technical, research, and/or other resources than we do and have larger and more established manufacturing capabilities and marketing, sales, and support functions.</w:t>
      </w:r>
    </w:p>
    <w:p>
      <w:pPr>
        <w:spacing w:after="0" w:line="175" w:lineRule="exact"/>
        <w:rPr>
          <w:rFonts w:ascii="Times New Roman" w:cs="Times New Roman" w:eastAsia="Times New Roman" w:hAnsi="Times New Roman"/>
          <w:sz w:val="18"/>
          <w:szCs w:val="18"/>
          <w:color w:val="auto"/>
        </w:rPr>
      </w:pPr>
    </w:p>
    <w:p>
      <w:pPr>
        <w:ind w:left="820" w:right="20" w:hanging="326"/>
        <w:spacing w:after="0" w:line="266"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business development opportunities to expand or enhance our pipeline of potential products, including through potential acquisitions of and/or collaborations with other entities, which may not achieve intended results or could increase the number of our outstanding shares, result in a change of control or cause us to incur a material amount of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Tax, Regulatory, and Compliance Risks</w:t>
      </w:r>
    </w:p>
    <w:p>
      <w:pPr>
        <w:spacing w:after="0" w:line="229" w:lineRule="exact"/>
        <w:rPr>
          <w:sz w:val="20"/>
          <w:szCs w:val="20"/>
          <w:color w:val="auto"/>
        </w:rPr>
      </w:pPr>
    </w:p>
    <w:p>
      <w:pPr>
        <w:ind w:left="820" w:right="580" w:hanging="326"/>
        <w:spacing w:after="0" w:line="282"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any of our product candidates is subject to substantial regulatory and legislative uncertainty, including as to pricing, reimbursement practices or other healthcare initiatives which could harm our business.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costly legal claims such as litigation related to product liability or alleged intellectual property infringement.</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tariffs and changes at the U.S. FDA may adversely affect our operating costs and timelines.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 Cybersecurity and Data Privacy</w:t>
      </w:r>
    </w:p>
    <w:p>
      <w:pPr>
        <w:spacing w:after="0" w:line="229" w:lineRule="exact"/>
        <w:rPr>
          <w:sz w:val="20"/>
          <w:szCs w:val="20"/>
          <w:color w:val="auto"/>
        </w:rPr>
      </w:pPr>
    </w:p>
    <w:p>
      <w:pPr>
        <w:ind w:left="820" w:right="80" w:hanging="326"/>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upon patents to protect our technology. We may be unable to protect our intellectual property rights and we may be liable for infringing the intellectual property rights of others.</w:t>
      </w:r>
    </w:p>
    <w:p>
      <w:pPr>
        <w:spacing w:after="0" w:line="161" w:lineRule="exact"/>
        <w:rPr>
          <w:rFonts w:ascii="Times New Roman" w:cs="Times New Roman" w:eastAsia="Times New Roman" w:hAnsi="Times New Roman"/>
          <w:sz w:val="18"/>
          <w:szCs w:val="18"/>
          <w:color w:val="auto"/>
        </w:rPr>
      </w:pPr>
    </w:p>
    <w:p>
      <w:pPr>
        <w:jc w:val="both"/>
        <w:ind w:left="820" w:hanging="326"/>
        <w:spacing w:after="0" w:line="266"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perceived failure to comply with stringent and changing obligations related to data privacy and security or to any of our other legal compliance obligations could lead to regulatory investigations and actions, litigation, fines and penalties, disruptions to our business operations, reputational harm, loss of revenue and profits, and other adverse business impacts.</w:t>
      </w:r>
    </w:p>
    <w:p>
      <w:pPr>
        <w:spacing w:after="0" w:line="175"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related to cybersecurity and data privacy threats and incidents and we are subject to restrictions and changes in laws and regulations governing our data privacy and data protection, any of which could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Corporate Governance and Employee Relations</w:t>
      </w:r>
    </w:p>
    <w:p>
      <w:pPr>
        <w:spacing w:after="0" w:line="229" w:lineRule="exact"/>
        <w:rPr>
          <w:sz w:val="20"/>
          <w:szCs w:val="20"/>
          <w:color w:val="auto"/>
        </w:rPr>
      </w:pPr>
    </w:p>
    <w:p>
      <w:pPr>
        <w:ind w:left="820" w:right="480" w:hanging="326"/>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our chief executive officers and other key executives and to attract, retain and motivate qualified personnel.</w:t>
      </w:r>
    </w:p>
    <w:p>
      <w:pPr>
        <w:spacing w:after="0" w:line="161" w:lineRule="exact"/>
        <w:rPr>
          <w:rFonts w:ascii="Times New Roman" w:cs="Times New Roman" w:eastAsia="Times New Roman" w:hAnsi="Times New Roman"/>
          <w:sz w:val="18"/>
          <w:szCs w:val="18"/>
          <w:color w:val="auto"/>
        </w:rPr>
      </w:pPr>
    </w:p>
    <w:p>
      <w:pPr>
        <w:jc w:val="both"/>
        <w:ind w:left="820" w:right="420" w:hanging="326"/>
        <w:spacing w:after="0" w:line="312" w:lineRule="auto"/>
        <w:tabs>
          <w:tab w:leader="none" w:pos="8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Co-Chairman, Robert Duggan, owns approximately 72% of the voting power of the outstanding shares of our common stock and, as a result, investors may have limited ability to affect either the corporate governance of the Company or the taking of certain major decisions.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Owning Our Common Stock</w:t>
      </w:r>
    </w:p>
    <w:p>
      <w:pPr>
        <w:spacing w:after="0" w:line="229" w:lineRule="exact"/>
        <w:rPr>
          <w:sz w:val="20"/>
          <w:szCs w:val="20"/>
          <w:color w:val="auto"/>
        </w:rPr>
      </w:pPr>
    </w:p>
    <w:p>
      <w:pPr>
        <w:ind w:left="820" w:right="80" w:hanging="326"/>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our shares of common stock in the public market, or the perception that these sales could occur, could cause the price of the shares to decline significantly, even if our business is doing well.</w:t>
      </w:r>
    </w:p>
    <w:p>
      <w:pPr>
        <w:spacing w:after="0" w:line="161" w:lineRule="exact"/>
        <w:rPr>
          <w:rFonts w:ascii="Times New Roman" w:cs="Times New Roman" w:eastAsia="Times New Roman" w:hAnsi="Times New Roman"/>
          <w:sz w:val="18"/>
          <w:szCs w:val="18"/>
          <w:color w:val="auto"/>
        </w:rPr>
      </w:pPr>
    </w:p>
    <w:p>
      <w:pPr>
        <w:ind w:left="820" w:right="880" w:hanging="326"/>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our shares of common stock may be volatile and fluctuate substantially, which could result in substantial losses for our stockholders.</w:t>
      </w:r>
    </w:p>
    <w:p>
      <w:pPr>
        <w:spacing w:after="0" w:line="161" w:lineRule="exact"/>
        <w:rPr>
          <w:rFonts w:ascii="Times New Roman" w:cs="Times New Roman" w:eastAsia="Times New Roman" w:hAnsi="Times New Roman"/>
          <w:sz w:val="18"/>
          <w:szCs w:val="18"/>
          <w:color w:val="auto"/>
        </w:rPr>
      </w:pPr>
    </w:p>
    <w:p>
      <w:pPr>
        <w:ind w:left="820" w:right="820" w:hanging="326"/>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72% of our outstanding shares are owned by our Co-Chairman and his affiliates, which reduces liquidity of our stock. Historically, our trading volume on Nasdaq has been low.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or political landscape may exacerbate the risks described below, any of which could have a material impact on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Industry and Financial Condition</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Because we have had a limited operating history and no significant revenue stream, it is difficult to evaluate the future of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 novel ablation company with no significant revenue producing operations at present.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not generated significant revenue, and we may never become profitable.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 development, potential product testing and preclinical and clinical investigation, intellectual property development and prosecution, capital expenditures, working capital, selling,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We can give no assurances that any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1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typically encountered by developing medical technology companies in a competitive environment.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can give no assurance that our internal and external sources of liquidity will be sufficient for our cash requirements.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must have sufficient sources of liquidity to fund our working capital requirements and execute on our strategic initiatives. Future new product launches or investments in other growth initiatives would likely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financial position or prospects.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experienced operating losses and we expect to continue to incur operating losses for the next several years as we implement our business plan. Currently, we have limited revenue from operations and we do not have arrangements in place for all the anticipated financing that will likely be required to fully implement our business plan. Our prior losses, combined with expected future losses, have had, and will continue to have, for the foreseeable future, an adverse effect on our stockholders’ equity and working capital.</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will need to raise additional capital in order to continue to execute our business plan. If we are unable to raise sufficient additional funds, we may need to scale back our future operations. Also, the ongoing armed conflicts in the Middle East, Ukraine, and elsewhere, as well as increasing tariffs on international trade, which have negatively impacted the global macroeconomic environment and capital markets, may make it more difficult for us to raise additional funds.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any such funds will be available on commercially reasonable terms, if at all.</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elect to work with a partner on one or more of our products or market development programs, which could lower the economic value of those programs to us.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we may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 If any of these things were to occur, our ability to grow and support our business and to respond to market challenges could be significantly limited or we may be unable to continue operations, in which case you could lose your entire investment.</w:t>
      </w:r>
    </w:p>
    <w:p>
      <w:pPr>
        <w:spacing w:after="0" w:line="183"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If we decide to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Also, any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future profitability are entirely dependent upon one family of products, the nPulse System, and one platform technology, Nano-pulse Stimulation.</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to date has been generated entirely from the nPulse System, which consists of a console, connectors and end-effectors, and these products and all our potential products under development are based upon the same patented platform technology, Nano-pulse Stimulation ("NPS"). Our future revenue is therefore dependent on the success of this platform technology and our single family of products under development, all of which reply on NPS energy for therapeutic effect. Reliance on a single family of products and single platform technology could negatively affect our results of operations and financial condition. Our ability to become profitable will depend upon the commercial success of these future products and platform technology.</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2025 we began marketing the Vybrance Percutaneous Electrode System primarily to Otolaryngologists, Endocrine Surgeons, and Interventional Radiologists (“surgeons”) who have so far been slow to adopt our Vybrance System potentially for a variety of reasons, such as:</w:t>
      </w:r>
    </w:p>
    <w:p>
      <w:pPr>
        <w:spacing w:after="0" w:line="162" w:lineRule="exact"/>
        <w:rPr>
          <w:sz w:val="20"/>
          <w:szCs w:val="20"/>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w:t>
      </w:r>
    </w:p>
    <w:p>
      <w:pPr>
        <w:spacing w:after="0" w:line="252"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reimbursement of patient costs or lack of evidence showing that procedures using our devices are reimbursable by third party payers;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conviction regarding evidence supporting cost benefits or cost effectiveness of our products over existing alternatives;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clinical data showing longer-term patient benefits;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risks generally associated with the use of new products and procedures.</w:t>
      </w:r>
    </w:p>
    <w:p>
      <w:pPr>
        <w:spacing w:after="0" w:line="25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Moreover, our products, including our platform NPS technology, could be rendered obsolete or economically impractical by numerous factors, many of which are beyond our control, including but not limited to:</w:t>
      </w:r>
    </w:p>
    <w:p>
      <w:pPr>
        <w:spacing w:after="0" w:line="162" w:lineRule="exact"/>
        <w:rPr>
          <w:sz w:val="20"/>
          <w:szCs w:val="20"/>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of new competitors into our markets;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 of alternative technologies;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relationships with suppliers, group purchasing organizations, or end-user customers;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or supply interruptions;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tariffs;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product market acceptance;</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existing regulatory approvals or the imposition of new requirements to maintain such approvals or to receive new approvals;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safety alerts.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could cause our stock price to decline.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from time to time, provide financial guidance about its business and future operating results. In developing this guidance, the Company’s management must make certain assumptions and judgments about its future operating performance, including but not limited to projected hiring of sales and marketing professionals, growth of revenue in the relevant device markets, increase or decrease of its market share, costs of production of its recently introduced products, and stability of the macro-economic environment in the Company’s key markets. Furthermore, analysts and investors may develop and publish their own projections of the Company’s business, which may form a consensus about the Company’s anticipated future performance. However, the Company’s business results may vary significantly from any such guidance or consensus due to a number of factors, many of which are outside of the Company’s control, and which could adversely affect its operations and operating results. Furthermore, if the Company makes downward revisions of its own previously announced guidance, or if the Company’s publicly announced guidance of future operating results fails to meet expectations of securities analysts, investors or other interested parties, the price of the Company’s common stock could decline.</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our product revenues are limited and our profit margins are uncertain.</w:t>
      </w:r>
    </w:p>
    <w:p>
      <w:pPr>
        <w:spacing w:after="0" w:line="15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including future revenue and profit margins,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176" w:lineRule="exact"/>
        <w:rPr>
          <w:sz w:val="20"/>
          <w:szCs w:val="20"/>
          <w:color w:val="auto"/>
        </w:rPr>
      </w:pPr>
    </w:p>
    <w:p>
      <w:pPr>
        <w:ind w:left="820" w:right="120" w:hanging="326"/>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relating to our products and product candidates, which may change from time to time;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receipt of approvals or clearances for our product candidates from regulatory authorities;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our clinical trials;</w:t>
      </w:r>
    </w:p>
    <w:p>
      <w:pPr>
        <w:spacing w:after="0" w:line="252" w:lineRule="exact"/>
        <w:rPr>
          <w:rFonts w:ascii="Times New Roman" w:cs="Times New Roman" w:eastAsia="Times New Roman" w:hAnsi="Times New Roman"/>
          <w:sz w:val="18"/>
          <w:szCs w:val="18"/>
          <w:color w:val="auto"/>
        </w:rPr>
      </w:pPr>
    </w:p>
    <w:p>
      <w:pPr>
        <w:ind w:left="820" w:right="260" w:hanging="326"/>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 and product candidates, including the degree to which procedures using our products are covered and receive adequate reimbursement from third-party payors;</w:t>
      </w:r>
    </w:p>
    <w:p>
      <w:pPr>
        <w:spacing w:after="0" w:line="16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products, as well as building out our supply chain, which may vary depending on the quantity of production and which will vary significantly depending upon the terms of our agreements with manufacturers;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 and technologies;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any product candidates, if approved or cleared, which may vary significantly over time;</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including patent, employment, securities class action, stockholder derivative, general commercial, and other lawsuits;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252" w:lineRule="exact"/>
        <w:rPr>
          <w:rFonts w:ascii="Times New Roman" w:cs="Times New Roman" w:eastAsia="Times New Roman" w:hAnsi="Times New Roman"/>
          <w:sz w:val="18"/>
          <w:szCs w:val="18"/>
          <w:color w:val="auto"/>
        </w:rPr>
      </w:pPr>
    </w:p>
    <w:p>
      <w:pPr>
        <w:ind w:left="820" w:right="340" w:hanging="326"/>
        <w:spacing w:after="0" w:line="28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we may face pricing pressure that could reduce our revenues and margins, failure to achieve expected procedure volumes could adversely affect our revenue growth and gross margins, and our limited commercial history makes it difficult to forecast revenue growth. The cumulative effects of these factors could result in large fluctuations and unpredictability in our quarterly and annual operating results. As a result, comparing our operating results on a period-to-period basis may not be meaningful. Investors should not rely on our limited past results as an indication of our future performance.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publicly stated revenue or earnings guidance.</w:t>
      </w:r>
    </w:p>
    <w:p>
      <w:pPr>
        <w:spacing w:after="0" w:line="1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operate in highly competitive markets, we can expect to face competition from large well-established manufacturers of medical technologies, devices and similar products; we may not be able to compete effectively against companies with significantly more resources.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medical technology, medical device, biotechnology, and pharmaceutical industries are characterized by intense and dynamic competition to develop new technologies and proprietary therapies. We face competition from several sources, such as pharmaceutical companies, medical device companies, generic drug companies, biotechnology companies, and academic and research institutions. Notably, all our medical products and products under development are for applications that are constantly under pressure from intense competition from rapidly evolving companies and new scientific discoveries. We compete against well-established incumbent medical device companies that already offer a wide range of commercial products to cardiac surgeons, cardiologists, electrophysiologists, oncologists, interventional radiologists, and others, including products for minimally invasive procedures. For example, Abbott Laboratories, AtriCure, Inc., Boston Scientific Corporation, Johnson &amp; Johnson (Biosense Webster), Medtronic plc, and several other companies all sell ablation-based surgical, minimally invasive, and catheter-based medical devices for the treatment of heart arrhythmias, including AF, as well as products for soft tissue ablation, which could be used to surgically ablate benign thyroid nodules. Additionally, many of these companies are also actively developing or already have microsecond PFA (micro-PFA) products for the treatment of AF. All of these companies currently have greater financial, technical, research, and/or other resources than we do and have larger and more established manufacturing capabilities and marketing, sales, and support functions, as well as broader and deeper customer relationships.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will find ourselves in competition with one or more of these companies, all of which may have competitive advantages over us, such as:</w:t>
      </w:r>
    </w:p>
    <w:p>
      <w:pPr>
        <w:spacing w:after="0" w:line="225" w:lineRule="exact"/>
        <w:rPr>
          <w:sz w:val="20"/>
          <w:szCs w:val="20"/>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healthcare professionals, customers, and third-party payers;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with greater efficacy or better safety profiles;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distribution networks;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products and the ability to offer rebates, higher discounts, or incentives to gain a competitive advantage;</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obtaining patents and regulatory approvals for product candidates;</w:t>
      </w:r>
    </w:p>
    <w:p>
      <w:pPr>
        <w:spacing w:after="0" w:line="252" w:lineRule="exact"/>
        <w:rPr>
          <w:rFonts w:ascii="Times New Roman" w:cs="Times New Roman" w:eastAsia="Times New Roman" w:hAnsi="Times New Roman"/>
          <w:sz w:val="18"/>
          <w:szCs w:val="18"/>
          <w:color w:val="auto"/>
        </w:rPr>
      </w:pPr>
    </w:p>
    <w:p>
      <w:pPr>
        <w:ind w:left="820" w:right="420" w:hanging="326"/>
        <w:spacing w:after="0" w:line="282" w:lineRule="auto"/>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conducting new product research and development, manufacturing medical devices, conducting clinical trials, obtaining regulatory approval for products, and marketing approved products; and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w:t>
      </w:r>
    </w:p>
    <w:p>
      <w:pPr>
        <w:spacing w:after="0" w:line="25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Additionally, the market for the treatment of benign thyroid nodules is characterized by competition from established surgical procedures and minimally invasive thermal therapies. We compete primarily against the traditional surgical standard of care, including thyroid lobectomy and total thyroidectomy, as well as providers of thermal ablation technologies, most notably radiofrequency ablation (“RFA”) and microwave ablation (“MWA”). For example, thermal ablation companies such as STARMED (a subsidiary of TaeWoong Medical), Cambridge Medical, and Merit Medical Systems, Inc. all market RFA systems specifically designed for the treatment of thyroid nodules. These companies have longer histories in the market than we do, providing them with more established clinical track records, larger installed bases of equipment, and more mature sales and support functions. We will find ourselves in competition with the existing surgical standard of care as well as these companies, which may have competitive advantages over us, such as:</w:t>
      </w:r>
    </w:p>
    <w:p>
      <w:pPr>
        <w:spacing w:after="0" w:line="189" w:lineRule="exact"/>
        <w:rPr>
          <w:sz w:val="20"/>
          <w:szCs w:val="20"/>
          <w:color w:val="auto"/>
        </w:rPr>
      </w:pPr>
    </w:p>
    <w:p>
      <w:pPr>
        <w:ind w:left="5540" w:right="1580" w:hanging="5046"/>
        <w:spacing w:after="0" w:line="563" w:lineRule="auto"/>
        <w:tabs>
          <w:tab w:leader="none" w:pos="8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thyroidectomy and lobectomy as the standard of care with proven clinical outcomes and physician familiarity;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clinical adoption within the endocrinology, otolaryngology, and general surgery communities;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referral patterns with surgeons, specialized thyroid clinics, and hospitals;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long-term clinical data and longitudinal studies supporting the efficacy and safety of surgical and thermal interventions;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established reimbursement pathways for surgical procedures and thermal ablation.</w:t>
      </w:r>
    </w:p>
    <w:p>
      <w:pPr>
        <w:spacing w:after="0" w:line="25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future success in this market will depend on our ability to differentiate our nPulse technology from these incumbent treatments. Until recently, surgery was the primary option for symptomatic benign thyroid nodules, but the adoption of thermal modalities like RFA has begun to change the landscape. However, thermal ablation relies on heat to destroy tissue, which presents inherent risks of collateral damage to critical structures near the thyroid, such as the recurrent laryngeal nerve, trachea, esophagus, and the carotid artery. We seek to establish nPulse technology as a competitive alternative to both surgical intervention and thermal ablation. While our clinical data suggests that our minimally invasive nonthermal solution should eliminate the need for surgical or thermal interventions for many patients, research and development by others may render our technology obsolete or lead to the development of other minimally-invasive therapies that are superior to our own.</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may also face increased competition in the future as new companies enter our markets and as scientific developments surrounding electro-signaling therapeutics continue to accelerate. For example, until recently the standard of care in cardiac tissue ablation for the treatment of AF had been the use of thermal ablation modalities, primarily the use of radiofrequency ablation. But in the span of just a few years, Boston Scientific’s FARAPULSE cardiac catheter system, Medtronic’s Pulse Select system, and other PFA systems using micro-PFA technology have dramatically changed the competitive landscape for the endocardial treatment of AF. These micro-PFA devices already account for over half of all EP procedures in the United States, and the speed of technological development in electrophysiology has been remarkable. While we will seek to expand our technological capabilities to remain competitive, and even though our clinical data suggests that nsPFA should have competitive advantages over micro-PFA technologies, such as deeper and more efficient ablations, research and development by others may render our technology or product candidates obsolete or noncompetitive or result in treatments or cures superior to any therapy developed by us.</w:t>
      </w:r>
    </w:p>
    <w:p>
      <w:pPr>
        <w:spacing w:after="0" w:line="184"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for our sales, marketing, manufacturing, and/or distribution activities, and these third parties may not perform satisfactorily.</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however. If we are unable to establish and maintain adequate sales, marketing, manufacturing, and distribution capabilities, independently or with others, we will not be able to generate product revenue and may not become profitable.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highly dependent upon the principal members of our management team, including our Chief Executive Officer, Paul LaViolette, our Chief Financial Officer, Jon Skinner, our Chief Operating Officer, Liane Teplitsky, and our Chief Technology Officer, Darrin Uecker, and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any key employee, the failure of any key employee to perform in their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commercialization efforts, business growth prospects, results of operations, and financial condition.</w:t>
      </w:r>
    </w:p>
    <w:p>
      <w:pPr>
        <w:spacing w:after="0" w:line="183"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successfully commercialize our NPS products. Given the scarcity of professionals with the scientific knowledge we require and the intense competition that exists for qualified personnel among life science businesses, we may not succeed in attracting or retaining the personnel we require to continue or grow our operations.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had limited experience selling the nPulse System.</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Successfully commercializing medical devices such as ours is a complex and uncertain process. We began marketing and selling the nPulse System in the United States, Canada, and certain limited European markets in late 2021 to dermatologists through a limited direct sales force. In January 2022, we established an operating company in the Netherlands to further enhance our operations in Europe. However, in 2022 and 2023, we eliminated all of our full-time sales and marketing positions and, as of March 31, 2026, we had no international sales force and very few employees in the Unites States with sales and marketing experience. We have only just recently begun to market and sell our Vybrance Percutaneous Electrode System. We therefore have had limited experience marketing and selling the nPulse System and our revenue and cash flows have been limited, volatile and difficult to predict.</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hire and train a very limited number of sales representatives and clinical specialists with backgrounds and experience in the relevant markets, especially those familiar with energy-based therapies and who have existing relationships with electrophysiologists, otolaryngologists, endocrine surgeons, interventional radiologists, and cardiothoracic surgeons. However, we expect that our sales force will require lead time in the field to grow their network of accounts and achieve the productivity levels we expect them to reach in any individual territory.</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While few in number, we expect our direct sales representatives to develop long-lasting relationships with the surgeons they serve. Furthermore, the use of our NPS products will often require or benefit from direct support from us. Our future success will depend on our ability to continue to hire, train, retain, and motivate skilled direct sales representatives with significant technical knowledge in various areas, such as cardiology, minimally invasive surgery, and ablation technologies.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Also, if our direct sales representatives or third-party distributors fail to adequately promote, market and sell our products or decide to leave or cease to do business with us, our sales could significantly decrease or grow at a rate too slowly to become profitable. In addition, our future sales will depend on our ability to increase our marketing efforts and adequately address our customers’ needs. If we are unable to adequately address our customers’ needs, we may not generate sufficient revenue to become profitable. 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technology in life sciences could make the products we are developing obsolete.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their intended markets. Our inability to gain market acceptance of new products could harm our future operating results.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the anticipated growth of our business, our future revenue and operating results may be harmed.</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Recent and future growth imposes significant added responsibilities on management, including the need to identify, recruit, train, and integrate additional employees. Rapid expansion of our workforce could result in less experienced people carrying out important activities at our Company,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Our ability to manage our growth properly will require us to continue to improve our operational, financial and management controls, as well as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 We cannot guarantee that any of the personnel, systems, procedures, and controls we put in place will be adequate to support the manufacture and distribution of our products. If we are unable to manage our growth effectively, it may be difficult for us to execute our business strategy and our business could be harmed.</w:t>
      </w:r>
    </w:p>
    <w:p>
      <w:pPr>
        <w:spacing w:after="0" w:line="18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successfully educate and train surgeons and their staff on the proper use of the nPulse System; if our customers do not adopt our technology into their medical practices, or adopt our technology slower than expected, our business could suffer.</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Although many surgeons may have adequate knowledge on how to use our novel nPulse System based on their clinical training and experience, we believe that the most effective way to introduce and build market demand for our products is by directly training surgeons and other physicians in the use of our products. Convincing them to dedicate the time and energy necessary for adequate training is challenging, and we cannot assure you that we will succeed in these efforts. If surgeons and other physicians are not properly trained, they may not use our products and, as a result, we may not maintain or grow our sales or achieve or sustain profitability. If surgeons and other physicians are not properly trained, they may also misuse or ineffectively use our products, which may result in unsatisfactory patient outcomes, patient injury, negative publicity, or lawsuits against us, any of which could have a significant adverse effect on our business, financial condition and results of operations.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our strategy includes educating key opinion leaders in the industry. If these key opinion leaders determine that alternative technologies are more effective or that the benefits offered by our products are not sufficient to justify their cost, or if we encounter difficulty promoting adoption or establishing these systems as a standard of care, our ability to achieve market acceptance of the products we introduce could be significantly limited and our business could suffer.</w:t>
      </w:r>
    </w:p>
    <w:p>
      <w:pPr>
        <w:spacing w:after="0" w:line="17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encounter manufacturing problems or delays that could result in lost revenue or slower than anticipated product development. Additionally, we currently rely on third-party suppliers for critical components needed to manufacture the nPulse System and related applicators. Any problems experienced by these suppliers could result in a delay or interruption of their supply to us and, as a result, we may face delays in the development and commercialization of products.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currently rely upon third-party suppliers to manufacture and supply components for the nPulse System and for our products under development. We perform final assembly of our nPulse Console and other devices at our facility in California. The manufacture of the nPulse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do not control the manufacturing process of, and are completely dependent on, our contract manufacturing partners for their own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11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currently purchase components for our products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Any failure of these suppliers to perform satisfactorily could adversely impact our business and results of operations and we may experience delays in manufacturing of our devices while finding another acceptable supplier.</w:t>
      </w:r>
    </w:p>
    <w:p>
      <w:pPr>
        <w:spacing w:after="0" w:line="9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7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the commercial viability of the nPulse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surgeons and other physicians and other healthcare providers generally rely on insurance coverage and reimbursement for their revenue, therefore this is an important factor in the overall commercialization plans of any proposed product and whether it will be accepted for use in the marketplace. Without insurance coverage and reimbursement for our planned products, we would expect to earn only limited revenue, if any revenue is earned.</w:t>
      </w:r>
    </w:p>
    <w:p>
      <w:pPr>
        <w:spacing w:after="0" w:line="10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nPulse Vybrance Percutaneous Electrode System or any of our other products or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nPulse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surgeons and other physicians may be discouraged from using them, and our sales would suffer.</w:t>
      </w:r>
    </w:p>
    <w:p>
      <w:pPr>
        <w:spacing w:after="0" w:line="11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provisions might apply to the nPulse Vybrance Percutaneous Electrode System or to any of our proposed devices and products, as they are still largely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0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under Section 382 of the Code, a corporation that undergoes an “ownership change” is subject to limitations on its ability to utilize its pre-change NOLs to offset future taxable income. We believe that we have had one or more ownership changes prior to 2018, but recently performed a Section 382 study to analyze fiscal years 2018 through 2024, and we do not believe that we have had any additional ownership changes over that period. Possible future changes in our stock ownership could result in limitations.</w:t>
      </w:r>
    </w:p>
    <w:p>
      <w:pPr>
        <w:spacing w:after="0" w:line="1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Product-Related Risks</w:t>
      </w:r>
    </w:p>
    <w:p>
      <w:pPr>
        <w:spacing w:after="0" w:line="22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nPulse System and any future product candidates may cause serious adverse side effects or have other properties that could delay or prevent their regulatory approval, limit their commercial desirability or result in significant negative consequences.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risk of failure of clinical development is high. For example, the vast majority of our in vivo data has been a result of animal testing outside of cardiac animal models, and we have only completed a limited number of feasibility studies in humans. Undesirable side effects caused by the nPulse System, NPS pulses, or any of our planned future products could cause us, any partners of ours,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if we or others identify undesirable side effects caused by the nPulse System, a number of potentially significant negative consequences could result, including:</w:t>
      </w:r>
    </w:p>
    <w:p>
      <w:pPr>
        <w:spacing w:after="0" w:line="162"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recall such product and suspend the marketing of such product;</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approvals of such product;</w:t>
      </w:r>
    </w:p>
    <w:p>
      <w:pPr>
        <w:spacing w:after="0" w:line="252" w:lineRule="exact"/>
        <w:rPr>
          <w:rFonts w:ascii="Times New Roman" w:cs="Times New Roman" w:eastAsia="Times New Roman" w:hAnsi="Times New Roman"/>
          <w:sz w:val="18"/>
          <w:szCs w:val="18"/>
          <w:color w:val="auto"/>
        </w:rPr>
      </w:pPr>
    </w:p>
    <w:p>
      <w:pPr>
        <w:ind w:left="820" w:right="6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and/or narrow the indication of use for the product which could diminish the usage or otherwise limit the commercial success of such product;</w:t>
      </w:r>
    </w:p>
    <w:p>
      <w:pPr>
        <w:spacing w:after="0" w:line="161" w:lineRule="exact"/>
        <w:rPr>
          <w:rFonts w:ascii="Times New Roman" w:cs="Times New Roman" w:eastAsia="Times New Roman" w:hAnsi="Times New Roman"/>
          <w:sz w:val="18"/>
          <w:szCs w:val="18"/>
          <w:color w:val="auto"/>
        </w:rPr>
      </w:pPr>
    </w:p>
    <w:p>
      <w:pPr>
        <w:ind w:left="820" w:right="40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issue safety alerts, “Dear Healthcare Provider” letters, press releases, or other communications containing warnings about such product;</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restrict distribution of our product and impose burdensome implementation requirements on us;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could suffer.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nPulse System or of any future particular planned product, if approved.</w:t>
      </w:r>
    </w:p>
    <w:p>
      <w:pPr>
        <w:spacing w:after="0" w:line="15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only limited clinical experience treating AF with our nPulse Cardiac Catheter and our nPulse Cardiac Surgery Clamp and only limited clinical and commercial experience treating benign thyroid nodules with our Vybrance Percutaneous Electrode System; our past successes in dermatology may not translate into similar results in cardiology or in any other medical field.</w:t>
      </w:r>
    </w:p>
    <w:p>
      <w:pPr>
        <w:spacing w:after="0" w:line="18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growth depends on our ability to develop marketable products to treat AF, tumors and nodules through our research and development efforts, and if we fail to do so we may be unable to compete effectively or we may decide to scale back or eliminate some or all of our activities or otherwise curtail, suspend or discontinue our operations entirely.</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intense competition, rapid technological changes, new product introductions and enhancements, and evolving industry standards. Our business prospects depend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Moreover, if our technology cannot be used to successfully treat AF, tumors and nodules, we may decide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products, potential products or technologies to third parties, possibly on terms that cannot sustain our current business, or curtail, suspend or discontinue our operations entirely.</w:t>
      </w:r>
    </w:p>
    <w:p>
      <w:pPr>
        <w:spacing w:after="0" w:line="17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Interim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top-line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announce are subject to the risk that one or more of the clinical outcomes may materially change as more follow-up data are gathered, patient enrollment continues and more patient data become available. Preliminary or top-line results, including our preliminary data from our feasibility thyroid nodule study, our first-in-human cardiac clamp study, and our first-in-human cardiac catheter study, also remain subject to audit and verification procedures that may result in the final data being materially different from the preliminary data we previously published or announced.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necessary regulatory clearance for our products, or if clearances or approvals for future devices and indications are delayed or not issued, the commercial prospects for our nPulse System and other NPS technologies would be harmed.</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spacing w:after="0" w:line="176" w:lineRule="exact"/>
        <w:rPr>
          <w:sz w:val="20"/>
          <w:szCs w:val="20"/>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design, development and manufacture;</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preclinical and clinical testing, labeling, packaging, and storage;</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marketing, promotion and advertising, sales and distribution;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and serious injuries and recalls and correction and removals.</w:t>
      </w:r>
    </w:p>
    <w:p>
      <w:pPr>
        <w:spacing w:after="0" w:line="25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FDA and state authorities have broad enforcement powers. Our failure to comply with applicable regulatory requirements could result in enforcement action by the FDA or state agencies, which may include any of the following sanctions, among others:</w:t>
      </w:r>
    </w:p>
    <w:p>
      <w:pPr>
        <w:spacing w:after="0" w:line="162"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fines, injunctions, consent decrees, and civil penalties;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repair, replace, refund, or recall our marketed devices, or government seizure of them;</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or premarket approval of new devices, new intended uses or modifications to existing devices;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premarket approvals that have already been granted;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any of these events were to occur, our business and financial condition would be harmed.</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mechanism of action of our NPS technology platform has not been fully determined or validated.</w:t>
      </w:r>
    </w:p>
    <w:p>
      <w:pPr>
        <w:spacing w:after="0" w:line="14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exact mechanism(s) of action(s) of our NPS technology platform, including nsPFA,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spacing w:after="0" w:line="7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spacing w:after="0" w:line="109"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Laboratory conditions differ from commercial conditions and field conditions, and the safety and effectiveness of our product candidates may depend on the technique of the user.</w:t>
      </w:r>
    </w:p>
    <w:p>
      <w:pPr>
        <w:spacing w:after="0" w:line="7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Observations and developments that may be achievable under laboratory circumstances may not be replicable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Moreover,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nPulse System.</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Issues with our firmware and software may negatively affect the function of our devices.</w:t>
      </w:r>
    </w:p>
    <w:p>
      <w:pPr>
        <w:spacing w:after="0" w:line="14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safety and effectiveness of nsPFA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Cybersecurity, Data Privacy, &amp; Litigation</w:t>
      </w:r>
    </w:p>
    <w:p>
      <w:pPr>
        <w:spacing w:after="0" w:line="14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then our financial condition, results of operations and the value of our technology and products could be adversely affected.</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Patents and other proprietary rights are essential to our business and our ability to compete effectively with other companies is dependent upon the proprietary nature of our technologies. Similarly, our future success partnering our NPS technologies, including our nPulse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8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will not necessarily provide us with competitive advantages.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spacing w:after="0" w:line="176" w:lineRule="exact"/>
        <w:rPr>
          <w:sz w:val="20"/>
          <w:szCs w:val="20"/>
          <w:color w:val="auto"/>
        </w:rPr>
      </w:pPr>
    </w:p>
    <w:p>
      <w:pPr>
        <w:ind w:left="820" w:right="10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 candidates but that are not covered by the claims of the patents that we own or have exclusively licensed;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on our intellectual property rights;</w:t>
      </w:r>
    </w:p>
    <w:p>
      <w:pPr>
        <w:spacing w:after="0" w:line="252" w:lineRule="exact"/>
        <w:rPr>
          <w:rFonts w:ascii="Times New Roman" w:cs="Times New Roman" w:eastAsia="Times New Roman" w:hAnsi="Times New Roman"/>
          <w:sz w:val="18"/>
          <w:szCs w:val="18"/>
          <w:color w:val="auto"/>
        </w:rPr>
      </w:pPr>
    </w:p>
    <w:p>
      <w:pPr>
        <w:ind w:left="820" w:right="68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ind w:left="820" w:right="80" w:hanging="326"/>
        <w:spacing w:after="0" w:line="266"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75" w:lineRule="exact"/>
        <w:rPr>
          <w:rFonts w:ascii="Times New Roman" w:cs="Times New Roman" w:eastAsia="Times New Roman" w:hAnsi="Times New Roman"/>
          <w:sz w:val="18"/>
          <w:szCs w:val="18"/>
          <w:color w:val="auto"/>
        </w:rPr>
      </w:pPr>
    </w:p>
    <w:p>
      <w:pPr>
        <w:ind w:left="820" w:right="4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252" w:lineRule="exact"/>
        <w:rPr>
          <w:rFonts w:ascii="Times New Roman" w:cs="Times New Roman" w:eastAsia="Times New Roman" w:hAnsi="Times New Roman"/>
          <w:sz w:val="18"/>
          <w:szCs w:val="18"/>
          <w:color w:val="auto"/>
        </w:rPr>
      </w:pPr>
    </w:p>
    <w:p>
      <w:pPr>
        <w:ind w:left="820" w:right="26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61" w:lineRule="exact"/>
        <w:rPr>
          <w:rFonts w:ascii="Times New Roman" w:cs="Times New Roman" w:eastAsia="Times New Roman" w:hAnsi="Times New Roman"/>
          <w:sz w:val="18"/>
          <w:szCs w:val="18"/>
          <w:color w:val="auto"/>
        </w:rPr>
      </w:pPr>
    </w:p>
    <w:p>
      <w:pPr>
        <w:ind w:left="820" w:right="440" w:hanging="326"/>
        <w:spacing w:after="0" w:line="282" w:lineRule="auto"/>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harm our business.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4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07"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whom we rely, are or were compromised, we could experience adverse consequences resulting from such compromise, including, but not limited to, regulatory investigations and actions; litigation (including class claims); fines and penalties; a disruption of our business operations such as our clinical trials; reputational harm; loss of revenue and profits; and other adverse consequences.</w:t>
      </w:r>
    </w:p>
    <w:p>
      <w:pPr>
        <w:spacing w:after="0" w:line="9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information technology systems as well as those of our third-party partners, consultants, contractors, suppliers, and service providers, may be vulnerable to attack, damage and interruption from physical or electronic break-ins, accidental or intentional exposure of our data by employees or others with authorized access to our networks, computer viruses, malware, ransomware, malicious code, phishing attacks and other social engineering schemes, denial or degradation of service attacks, attacks by sophisticated nation-state and nation-state-supported actors, supply chain attacks, natural disasters, terrorism, war, telecommunication and electrical failure, denial of service, and other cyberattacks or disruptive incidents that could result in unauthorized access to, use or disclosure of, corruption of, or loss or destruction of sensitive, and/or proprietary data, including health-related and other personal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These threats can come from a variety of sources, ranging in sophistication from an individual hacker to a state-sponsored attack. Cyber threats may be generic, or they may be custom-crafted against our information systems. Over the past few years, cyber-attacks have become more prevalent and much harder to detect and defend against, and the risks appear to be worsening quickly as advances in artificial intelligence, such as Anthropic’s Claude Mythos, are quickly obsoleting certain protections previously available to us. Cyber threats are constantly evolving, are becoming more sophisticated and are being made by groups and individuals with a wide range of expertise and motives, and this increases the difficulty of detecting and successfully defending against them.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(and third parties upon whom we rely) may collect, receive, store, use, transfer, make accessible, protect, secure, dispose of, transmit, disclose or otherwise process proprietary, confidential and sensitive information, including personal data, such as health-related data and participant study related data, intellectual property, and trade secrets (collectively, “sensitive data”). We may share or receive sensitive data with or from third parties whose information security measures may not be adequate. In particular, the COVID-19 pandemic caused us to modify our information technology practices, such as by allowing most of our employees to work remotely, on a full-time basis or from time to time, which increases the risk of data breaches. Additionally, the prevalent use of mobile devices that access our sensitive data increases the risk of data breaches. The techniques used by criminal elements to attack computer systems are sophisticated, change frequently and may originate from less regulated and remote areas of the world, including countries that engage in state-sponsored cyber attacks. As a result, we may not be able to address these techniques proactively or implement adequate preventative measures.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0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The costs to us to attempt to protect against such breaches can be significant and could potentially require us to modify our business, including non-clinical and clinical trial activities. While we have implemented security measures designed to protect our information technology systems and to identify and remediate potential vulnerabilities, such measures may not be successful. We may not be able to detect vulnerabilities in our information technology systems because such threats and techniques used by threat actors change frequently are sophisticated in nature and may not be detected until after a security incident has occurred.</w:t>
      </w:r>
    </w:p>
    <w:p>
      <w:pPr>
        <w:spacing w:after="0" w:line="11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we, or others upon whom we rely, experience or are perceived to have experienced a breach, we may experience adverse consequences. These consequences may include: government enforcement actions (for example, investigations, fines, penalties, audits and inspections), interruptions in our operations (including disruptions to our clinical trials), interruptions or restrictions on processing sensitive data (which could result in delays in obtaining, or our inability to obtain, regulatory approvals and significantly increase our costs to recover or reproduce the sensitive data), unauthorized, unlawful or accidental loss, corruption, access, modification, destruction, alteration, acquisition or disclosure of sensitive data, such as clinical trial data, reputational harm, litigation (including class-action claims), indemnification obligations, monetary fund diversions, financial loss and other harms. In particular, ransomware attacks are becoming increasingly prevalent and severe and can lead to significant disruptions to operations, loss of data and income, reputational harm and diversion of funds.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In addition, such a breach may require notification of the breach to relevant stakeholders. Such disclosures are costly and the disclosure or the failure to comply with such requirements could lead to adverse consequences. We maintain cyber liability insurance; however, this insurance may not be sufficient to cover the financial, legal, business or reputational losses that may result from an interruption or breach of our systems.</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Implementation of artificial intelligence and machine learning technologies may result in legal and regulatory risks, reputational harm, or other adverse consequences to our business.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incorporated, and continue to explore ways to further incorporate, artificial intelligence ("AI") technologies, including generative AI and machine learning, into certain of our internal operations. AI tools are complex and rapidly evolving and may prove flawed, incomplete, biased, or inaccurate in their outputs, which could adversely affect business decisions, expose us to legal claims, and harm our reputation; additionally, employees using AI tools could inadvertently disclose Company confidential information or trade secrets. Also, as a small company with limited resources, we may be unable to access or deploy the most advanced AI tools available, potentially placing us at a competitive disadvantage relative to better-resourced competitors. Moreover, the regulatory landscape governing AI use is subject to rapid and ongoing change, and this risk is particularly acute for us as a medical device company operating in the healthcare industry, where AI regulation is developing especially quickly — including through the EU AI Act, emerging U.S. state AI laws, executive orders imposing transparency requirements on AI used in certified health information technology, and evolving FDA guidance. Our limited resources may make it especially difficult to monitor and achieve timely compliance with new or evolving obligations, and failure to do so could subject us to enforcement actions, fines, or litigation.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our products or any future products that we may develop.</w:t>
      </w:r>
    </w:p>
    <w:p>
      <w:pPr>
        <w:spacing w:after="0" w:line="7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sale of our products and the future sale of planned products and the use of these in human clinical studies. For example, we may be sued if our products or any of our product candidates, including any that are developed in combination therapies, allegedly cause injury, or are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products or planned products caused injuries, we may incur substantial liabilities. Regardless of merit or eventual outcome, liability claims may result in, among other things:</w:t>
      </w:r>
    </w:p>
    <w:p>
      <w:pPr>
        <w:spacing w:after="0" w:line="94" w:lineRule="exact"/>
        <w:rPr>
          <w:sz w:val="20"/>
          <w:szCs w:val="20"/>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or any planned products that we may develop;</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our clinical studies or cancellation of studies;</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distraction to our management team;</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investigations or enforcement actions; and</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future products that we may develop.</w:t>
      </w:r>
    </w:p>
    <w:p>
      <w:pPr>
        <w:spacing w:after="0" w:line="17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For example, during the course of treatment, patients may suffer adverse events for reasons that may or may not be related to the nPulse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if we do not believe that an adverse event is related to our products,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4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domestic and foreign regulation. Any unfavorable regulatory action or adverse change in law may materially and adversely affect our future financial condition and business operations and prospects.</w:t>
      </w:r>
    </w:p>
    <w:p>
      <w:pPr>
        <w:spacing w:after="0" w:line="7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nPulse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06" w:lineRule="exact"/>
        <w:rPr>
          <w:sz w:val="20"/>
          <w:szCs w:val="20"/>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 significant indeterminate amount of time;</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expenditure of substantial resources;</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rigorous preclinical and clinical testing, and possibly post-market surveillance;</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modifications, repairs or replacements of our products;</w:t>
      </w:r>
    </w:p>
    <w:p>
      <w:pPr>
        <w:spacing w:after="0" w:line="17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design changes of our products;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limitations on the indicated uses of our products;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never being granted the regulatory approval or clearance we seek.</w:t>
      </w:r>
    </w:p>
    <w:p>
      <w:pPr>
        <w:spacing w:after="0" w:line="2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experience any of these occurrences, our operations may suffer and we might experience harm to our competitive standing, which could adversely affect our financial condition.</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nPulse System. In addition, negative publicity and product liability claims resulting from any adverse regulatory action could have a material adverse effect on our financial condition and results of operations.</w:t>
      </w:r>
    </w:p>
    <w:p>
      <w:pPr>
        <w:spacing w:after="0" w:line="1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Changes in healthcare policy could increase our costs, decrease our revenue, and impact sales of, and reimbursement for, our current and future products. For example, the Affordable Care Act substantially changed the way healthcare is financed by both governmental and private insurers, and significantly impacted our industry, while recent changes in U.S. federal law and policy, including the expiration of enhanced Affordable Care Act subsidies and reductions in Medicaid funding, as well as Congressional deadlock over healthcare funding, have increased the likelihood that fewer patients in the United States will be insured and that insured patients will face higher out-of-pocket costs, which could result in downward pressure on prices for medical products such as ours. 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products or the amounts of reimbursement available for our current and future products from governmental agencies or third-party payors.</w:t>
      </w:r>
    </w:p>
    <w:p>
      <w:pPr>
        <w:spacing w:after="0" w:line="184"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in the FDA and other government agencies caused by funding shortages or global health concerns could hinder their ability to hire and retain key leadership and other personnel or otherwise prevent new product candidates and services from being developed or commercialized in a timely manner, which could negatively impact our business.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including those that fund research and development activities, is subject to the political process, which is inherently fluid and unpredictable.</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such as those that occurred in October and November 2025, it could significantly impact the ability of the FDA to timely review and process our regulatory submissions, which could have a material adverse effect on our business.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disruptions may result from events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Furthermore, given changes to the U.S. government's policies and priorities since January 2025, there is substantial uncertainty as to how, if at all, the current administration will seek to modify or revise the requirements and policies of the FDA and other regulatory agencies with jurisdiction over our product candidates. There is also uncertainty as to how other measures being implemented by the current administration across the government will impact our activities and those of the FDA and its operations. For example, the potential loss of FDA personnel could lead to further disruptions and delays in FDA review of our product candidates and FDA guidance regarding our or our collaborators’ clinical development programs. Similarly, efforts by the new administration to substantially reduce federal funding of medical research could have substantial indirect impacts on our research activities.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Accordingly,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All our product development depends upon maintaining strong working relationships with physicians.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development, marketing, and sale of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184"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healthcare and other laws and regulations relating to our business and could face substantial penalties if we are determined not to have fully complied with such laws, which could have an adverse impact on our business.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87" w:lineRule="exact"/>
        <w:rPr>
          <w:sz w:val="20"/>
          <w:szCs w:val="20"/>
          <w:color w:val="auto"/>
        </w:rPr>
      </w:pPr>
    </w:p>
    <w:p>
      <w:pPr>
        <w:jc w:val="both"/>
        <w:ind w:left="820" w:hanging="326"/>
        <w:spacing w:after="0" w:line="255"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p>
      <w:pPr>
        <w:spacing w:after="0" w:line="188"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83"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820" w:hanging="326"/>
        <w:spacing w:after="0" w:line="258"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83" w:lineRule="exact"/>
        <w:rPr>
          <w:rFonts w:ascii="Times New Roman" w:cs="Times New Roman" w:eastAsia="Times New Roman" w:hAnsi="Times New Roman"/>
          <w:sz w:val="18"/>
          <w:szCs w:val="18"/>
          <w:color w:val="auto"/>
        </w:rPr>
      </w:pPr>
    </w:p>
    <w:p>
      <w:pPr>
        <w:jc w:val="both"/>
        <w:ind w:left="820" w:hanging="326"/>
        <w:spacing w:after="0" w:line="244" w:lineRule="auto"/>
        <w:tabs>
          <w:tab w:leader="none" w:pos="8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p>
      <w:pPr>
        <w:spacing w:after="0" w:line="197" w:lineRule="exact"/>
        <w:rPr>
          <w:rFonts w:ascii="Times New Roman" w:cs="Times New Roman" w:eastAsia="Times New Roman" w:hAnsi="Times New Roman"/>
          <w:sz w:val="22"/>
          <w:szCs w:val="22"/>
          <w:color w:val="auto"/>
        </w:rPr>
      </w:pPr>
    </w:p>
    <w:p>
      <w:pPr>
        <w:jc w:val="both"/>
        <w:ind w:left="820" w:hanging="326"/>
        <w:spacing w:after="0" w:line="255"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anti-bribery, anti-corruption, and anti-money laundering laws, including the U.S. Foreign Corrupt Practices Act of 1977, or FCPA, and the U.K. Anti-Bribery Act, and similar anti-bribery laws in other non-U.S. jurisdictions, as well as export control laws, customs laws, sanctions laws and other laws governing our operations, all of which expose us to trade and economic sanctions and other restrictions imposed by the United States, the European Union, and other governments and organizations, as we grow our international presence and global operations; additionally, the FCPA imposes accounting standards and requirements on publicly traded U.S. corporations and their foreign affiliates, which are intended to prevent the diversion of corporate funds to the payment of bribes and other improper payments, and numerous other laws restrict, and in some cases prohibit, U.S. companies from directly or indirectly selling goods, technology or services to people or entities in certain countries;</w:t>
      </w:r>
    </w:p>
    <w:p>
      <w:pPr>
        <w:spacing w:after="0" w:line="188"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California Consumer Privacy Act ("CCPA") and California Privacy Rights Act ("CPRA"), which require covered companies, such as companies with over $25 million in annual gross revenue, to, among other things, provide certain disclosures to California consumers and afford such consumers certain abilities to opt-out of certain sales of personal information, conduct and document data protection assessments for high-risk processing, maintain systems to respond to consumer requests, and provide detailed privacy notices explaining data collection, use, retention, and disclosure practices;</w:t>
      </w:r>
    </w:p>
    <w:p>
      <w:pPr>
        <w:spacing w:after="0" w:line="183"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61" w:lineRule="exact"/>
        <w:rPr>
          <w:rFonts w:ascii="Times New Roman" w:cs="Times New Roman" w:eastAsia="Times New Roman" w:hAnsi="Times New Roman"/>
          <w:sz w:val="18"/>
          <w:szCs w:val="18"/>
          <w:color w:val="auto"/>
        </w:rPr>
      </w:pPr>
    </w:p>
    <w:p>
      <w:pPr>
        <w:jc w:val="both"/>
        <w:ind w:left="820" w:hanging="326"/>
        <w:spacing w:after="0" w:line="254"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implemented compliance related programs and procedures consistent with our stage of development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Also, any material changes to any of the laws or regulations applicable to our business could harm our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spacing w:after="0" w:line="161" w:lineRule="exact"/>
        <w:rPr>
          <w:sz w:val="20"/>
          <w:szCs w:val="20"/>
          <w:color w:val="auto"/>
        </w:rPr>
      </w:pPr>
    </w:p>
    <w:p>
      <w:pPr>
        <w:ind w:left="820" w:hanging="326"/>
        <w:spacing w:after="0"/>
        <w:tabs>
          <w:tab w:leader="none" w:pos="8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may not deem a technology or device to be reasonably safe or effective for any intended use or indication;</w:t>
      </w:r>
    </w:p>
    <w:p>
      <w:pPr>
        <w:spacing w:after="0" w:line="224"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interpret data from preclinical and clinical testing differently than we do;</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our manufacturing facility or processes do not comply with quality system regulations;</w:t>
      </w:r>
    </w:p>
    <w:p>
      <w:pPr>
        <w:spacing w:after="0" w:line="252" w:lineRule="exact"/>
        <w:rPr>
          <w:rFonts w:ascii="Times New Roman" w:cs="Times New Roman" w:eastAsia="Times New Roman" w:hAnsi="Times New Roman"/>
          <w:sz w:val="18"/>
          <w:szCs w:val="18"/>
          <w:color w:val="auto"/>
        </w:rPr>
      </w:pPr>
    </w:p>
    <w:p>
      <w:pPr>
        <w:ind w:left="820" w:right="960" w:hanging="326"/>
        <w:spacing w:after="0" w:line="282"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conclude that our products do not meet quality standards for durability, long-term reliability, biocompatibility, electromagnetic compatibility, or electrical safety; or</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their approval or clearance policies or adopt new regulations in a manner that is adverse to us.</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spacing w:after="0" w:line="17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potential device or product ultimately is cleared or approved by regulatory authorities, it may be cleared or approved only for narrow indications which may render it commercially less viable.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nPulse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 that we seek in respect of the proposed product, and we will not be able to become profitable and provide an investment return to our investors.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ongoing requirements and inspections that could lead to the restriction, suspension or revocation of our clearance.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18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regulations and any failure to comply with applicable laws could subject us to significant liabilities and harm our business.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5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62" w:lineRule="exact"/>
        <w:rPr>
          <w:sz w:val="20"/>
          <w:szCs w:val="20"/>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planned products or those of our competitors;</w:t>
      </w:r>
    </w:p>
    <w:p>
      <w:pPr>
        <w:spacing w:after="0" w:line="252" w:lineRule="exact"/>
        <w:rPr>
          <w:rFonts w:ascii="Times New Roman" w:cs="Times New Roman" w:eastAsia="Times New Roman" w:hAnsi="Times New Roman"/>
          <w:sz w:val="18"/>
          <w:szCs w:val="18"/>
          <w:color w:val="auto"/>
        </w:rPr>
      </w:pPr>
    </w:p>
    <w:p>
      <w:pPr>
        <w:ind w:left="820" w:right="260" w:hanging="326"/>
        <w:spacing w:after="0" w:line="282"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regulatory bodies, such as the FDA, that affect our business or have the effect of delaying or rejecting approval or clearance of our planned products;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customers, partners or suppliers relating directly or indirectly to our products, services or technologies;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the nPulse System or to our planned end-effectors;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820" w:right="100" w:hanging="326"/>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capital commitments, or achievement of significant milestones;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52" w:lineRule="exact"/>
        <w:rPr>
          <w:rFonts w:ascii="Times New Roman" w:cs="Times New Roman" w:eastAsia="Times New Roman" w:hAnsi="Times New Roman"/>
          <w:sz w:val="18"/>
          <w:szCs w:val="18"/>
          <w:color w:val="auto"/>
        </w:rPr>
      </w:pPr>
    </w:p>
    <w:p>
      <w:pPr>
        <w:ind w:left="820" w:right="360" w:hanging="326"/>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or our ability to obtain intellectual property protection for our technologies;</w:t>
      </w:r>
    </w:p>
    <w:p>
      <w:pPr>
        <w:spacing w:after="0" w:line="14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alleged security breaches;</w:t>
      </w:r>
    </w:p>
    <w:p>
      <w:pPr>
        <w:spacing w:after="0" w:line="224"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of additional financing efforts;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volume fluctuations attributable to inconsistent trading volume levels of our shares;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guidance and ratings issued by securities or industry analysts;</w:t>
      </w:r>
    </w:p>
    <w:p>
      <w:pPr>
        <w:spacing w:after="0" w:line="252" w:lineRule="exact"/>
        <w:rPr>
          <w:rFonts w:ascii="Times New Roman" w:cs="Times New Roman" w:eastAsia="Times New Roman" w:hAnsi="Times New Roman"/>
          <w:sz w:val="18"/>
          <w:szCs w:val="18"/>
          <w:color w:val="auto"/>
        </w:rPr>
      </w:pPr>
    </w:p>
    <w:p>
      <w:pPr>
        <w:ind w:left="820" w:right="360" w:hanging="326"/>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conditions in our industry and market, including the negative impact of armed conflicts, health epidemics and climate change on the global economy and markets; and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5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Co-Chairman’s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Sales or purchases of shares of our common stock may adversely affect the market for our common stock.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Co-Chairman,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All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an active, liquid and orderly trading market will exist for our common stock and as a result it may be difficult for you to sell your common stock.</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79"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by our principal stockholder limits the ability of others to influence the outcome of director elections and other transactions requiring stockholder approval, or create the potential for conflicts of interest.</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majority percentage of our outstanding stock is held by Robert W. Duggan, Co-Chairman of our Board, who beneficially owns approximately 72% of our common stock outstanding as of March 31, 2026. As a result, Mr. Duggan has control over corporate actions requiring stockholder approval, including the following actions:</w:t>
      </w:r>
    </w:p>
    <w:p>
      <w:pPr>
        <w:spacing w:after="0" w:line="176" w:lineRule="exact"/>
        <w:rPr>
          <w:sz w:val="20"/>
          <w:szCs w:val="20"/>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or defeat the election of our directors;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prevent amendment of our certificate of incorporation or bylaws;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or prevent a merger, sale of assets or other corporate transaction;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control the outcome of any other matter submitted to our stockholders for vote.</w:t>
      </w:r>
    </w:p>
    <w:p>
      <w:pPr>
        <w:spacing w:after="0" w:line="25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Mr. Duggan’s controlling interest in the Company also creates the potential for conflicts of interest which could be viewed unfavorably by minority stockholders, thereby hurting our stock price. For example, in November 2021, we engaged outside legal counsel to represent the Company even though the same legal counsel currently represents Mr. Duggan personally in other matters. In prior years, this legal counsel represented Mr. Duggan in certain related party transactions with the Company and could represent both the Company and Mr. Duggan in future related party transactions. Three of our directors, including Mr. Duggan and Manmeet Soni, our Lead Independent Director and Audit Committee Chairman, are executives at Summit Therapeutics Inc., another company in which Mr. Duggan holds a controlling equity interest. There are no family relationships among any of our directors or executive officers, except that Mr. Duggan and Dr. Zanganeh are married and their beneficial ownership together exceeds 74%.</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Robert W. Duggan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controlling ownership position may impact our stock price and may deter or prevent efforts by others to acquire us, which could prevent our stockholders from realizing a control premium.</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Robert W. Duggan is our Co-Chairman, and he beneficially owns approximately 72% of our common stock outstanding as of March 31, 2026.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Mr. Duggan’s controlling ownership and position as Co-Chairman,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have no plans to pay dividends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80" w:lineRule="exact"/>
        <w:rPr>
          <w:sz w:val="20"/>
          <w:szCs w:val="20"/>
          <w:color w:val="auto"/>
        </w:rPr>
      </w:pPr>
    </w:p>
    <w:p>
      <w:pPr>
        <w:ind w:left="820" w:right="600" w:hanging="326"/>
        <w:spacing w:after="0" w:line="282"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50,000,000 shares of preferred stock and up to approximately 500,000,000 shares of authorized but unissued shares of common stock;</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52" w:lineRule="exact"/>
        <w:rPr>
          <w:rFonts w:ascii="Times New Roman" w:cs="Times New Roman" w:eastAsia="Times New Roman" w:hAnsi="Times New Roman"/>
          <w:sz w:val="18"/>
          <w:szCs w:val="18"/>
          <w:color w:val="auto"/>
        </w:rPr>
      </w:pPr>
    </w:p>
    <w:p>
      <w:pPr>
        <w:jc w:val="both"/>
        <w:ind w:left="820" w:right="80" w:hanging="326"/>
        <w:spacing w:after="0" w:line="266"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75"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820" w:right="460" w:hanging="326"/>
        <w:spacing w:after="0" w:line="282"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holders of at least 66 2/3% of the voting power of all the then outstanding shares of our voting stock, voting together as a single class, to amend provisions of our certificate of incorporation or our bylaws;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board of directors the ability to amend our bylaws by majority vote;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25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or political conditions could adversely affect our business, financial condition or results of operations.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including the negative impact of armed conflicts, health epidemics and climate change on the global economy and markets. A global financial crisis or a banking crisis or a global or regional political disruption could cause extreme volatility in the capital and credit markets. The Company places its cash equivalents and investments with high credit quality financial institutions and, by policy, limits the amounts invested with any one financial institution or issuer and restricts the Company’s investments to U.S. treasuries and money market instruments. However, in general the Company’s deposits held with banks exceed the amount of insurance provided on such deposits. Despite our low-risk investment policies, a severe or prolonged economic downturn or political disruption could result in a variety of risks to our business, including our ability to raise additional capital when needed on acceptable terms, if at all. A weak or declining economy, banking crisis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spacing w:after="0" w:line="19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global financial markets and economy may also be adversely affected by the current or anticipated impact of military conflict, such as the ongoing Russian-Ukrainian war, the war on terrorism, and intensifying hostilities in the Middle East, as well as other geopolitical events. Sanctions imposed by the United States and other countries in response to such conflicts, including the Russian-Ukrainian war, as well as intensifying trade disruptions resulting from the armed conflict between the United States and Iran, may also adversely impact the financial markets and the global economy, and any economic countermeasures by the affected countries or others could exacerbate market and economic instability.</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Recently, the U.S. government has been changing its approach to international trade policy and in some cases it has been renegotiating or terminating certain existing bilateral or multi-lateral trade agreements and treaties with foreign countries. In addition, the U.S. government has initiated or is considering imposing tariffs on certain foreign goods. Related to this action, certain foreign governments have instituted or are considering imposing tariffs on certain U.S. goods. It remains unclear what the U.S. government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affect our suppliers and/or the U.S. or global economy or certain sectors thereof and, thus, could adversely impact our businesses.</w:t>
      </w:r>
    </w:p>
    <w:p>
      <w:pPr>
        <w:spacing w:after="0" w:line="18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spacing w:after="0" w:line="18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interpretations, estimates or judgments we use to prepare our financial statements prove to be incorrect, investors and others may lose confidence in our financial data, which could cause our stock price to decline.</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like all publicly traded companies,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liabilities at the date of the financial statements, as well as the reported expenses incurred during the reporting periods. We base our interpretations, estimates and judgments on our historical experience, appropriate accounting guidance and on various other factors that we believe are reasonable under the circumstances, the results of which form the basis for the preparation of our financial statements. However, accounting guidance can sometimes be conflicting, especially with respect to accounting for complex corporate transactions. Moreover, generally accepted accounting principles presentation is subject to interpretation by the SEC, the Financial Accounting Standards Board (“FASB”) and various other bodies formed to interpret and create appropriate accounting principles and guidance. If one of these bodies disagrees with our accounting recognition, measurement or disclosure or any of our accounting interpretations, estimates or assumptions, we may have to retroactively revise our previously reported results and our investors could lose confidence in the accuracy and completeness of our financial reports, which could cause our stock price to decline.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may materially adversely affect us.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w:t>
      </w:r>
    </w:p>
    <w:p>
      <w:pPr>
        <w:spacing w:after="0" w:line="1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three months ended March 31, 2026, we completed no unregistered sale of our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w:t>
      </w: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b w:val="1"/>
          <w:bCs w:val="1"/>
          <w:color w:val="auto"/>
        </w:rPr>
        <w:t>. 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under the Exchange Act) adopted or terminated a “Rule 10b5-1 trading arrangement” or a “non-Rule 10b5-1 trading arrangement” as such terms are defined under Item 408 of Regulation S-K.</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723"/>
        </w:trPr>
        <w:tc>
          <w:tcPr>
            <w:tcW w:w="12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1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80" w:type="dxa"/>
            <w:vAlign w:val="bottom"/>
            <w:tcBorders>
              <w:top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17"/>
                <w:szCs w:val="17"/>
                <w:color w:val="auto"/>
              </w:rPr>
            </w:pPr>
          </w:p>
        </w:tc>
        <w:tc>
          <w:tcPr>
            <w:tcW w:w="2660" w:type="dxa"/>
            <w:vAlign w:val="bottom"/>
            <w:gridSpan w:val="3"/>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3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Executive Officer pursuant to Section 906 of the Sarbanes-Oxley Act of 2002 (18 U.S.C. Section 1350).</w:t>
            </w:r>
          </w:p>
        </w:tc>
        <w:tc>
          <w:tcPr>
            <w:tcW w:w="520" w:type="dxa"/>
            <w:vAlign w:val="bottom"/>
          </w:tcPr>
          <w:p>
            <w:pPr>
              <w:spacing w:after="0"/>
              <w:rPr>
                <w:sz w:val="17"/>
                <w:szCs w:val="17"/>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Section 906 of the Sarbanes-Oxley Act of 2002 (18 U.S.C. Section 1350).</w:t>
            </w:r>
          </w:p>
        </w:tc>
      </w:tr>
      <w:tr>
        <w:trPr>
          <w:trHeight w:val="21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3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80" w:type="dxa"/>
            <w:vAlign w:val="bottom"/>
            <w:gridSpan w:val="2"/>
          </w:tcPr>
          <w:p>
            <w:pPr>
              <w:spacing w:after="0"/>
              <w:rPr>
                <w:sz w:val="18"/>
                <w:szCs w:val="18"/>
                <w:color w:val="auto"/>
              </w:rPr>
            </w:pP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jc w:val="both"/>
        <w:ind w:firstLine="8"/>
        <w:spacing w:after="0" w:line="261" w:lineRule="auto"/>
        <w:tabs>
          <w:tab w:leader="none" w:pos="1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Exhibit 32.2 that accompanies this Quarterly Report are deemed furnished and not filed with the Securities and Exchange Commission and are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18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PULSE BIOSCIENCES,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A. LaViolette</w:t>
            </w:r>
          </w:p>
        </w:tc>
      </w:tr>
      <w:tr>
        <w:trPr>
          <w:trHeight w:val="187"/>
        </w:trPr>
        <w:tc>
          <w:tcPr>
            <w:tcW w:w="35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1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Paul A. LaViolette</w:t>
            </w:r>
          </w:p>
        </w:tc>
      </w:tr>
      <w:tr>
        <w:trPr>
          <w:trHeight w:val="218"/>
        </w:trPr>
        <w:tc>
          <w:tcPr>
            <w:tcW w:w="3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tc>
      </w:tr>
      <w:tr>
        <w:trPr>
          <w:trHeight w:val="236"/>
        </w:trPr>
        <w:tc>
          <w:tcPr>
            <w:tcW w:w="35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Skinner</w:t>
            </w:r>
          </w:p>
        </w:tc>
      </w:tr>
      <w:tr>
        <w:trPr>
          <w:trHeight w:val="187"/>
        </w:trPr>
        <w:tc>
          <w:tcPr>
            <w:tcW w:w="35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1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Jon Skinner</w:t>
            </w:r>
          </w:p>
        </w:tc>
      </w:tr>
      <w:tr>
        <w:trPr>
          <w:trHeight w:val="218"/>
        </w:trPr>
        <w:tc>
          <w:tcPr>
            <w:tcW w:w="3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6"/>
        </w:trPr>
        <w:tc>
          <w:tcPr>
            <w:tcW w:w="35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Weber</w:t>
            </w:r>
          </w:p>
        </w:tc>
      </w:tr>
      <w:tr>
        <w:trPr>
          <w:trHeight w:val="187"/>
        </w:trPr>
        <w:tc>
          <w:tcPr>
            <w:tcW w:w="35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16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Steven Weber</w:t>
            </w:r>
          </w:p>
        </w:tc>
      </w:tr>
      <w:tr>
        <w:trPr>
          <w:trHeight w:val="218"/>
        </w:trPr>
        <w:tc>
          <w:tcPr>
            <w:tcW w:w="35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VP of Accounting and Global Corporate Controller</w:t>
            </w:r>
          </w:p>
        </w:tc>
      </w:tr>
      <w:tr>
        <w:trPr>
          <w:trHeight w:val="236"/>
        </w:trPr>
        <w:tc>
          <w:tcPr>
            <w:tcW w:w="35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864"/>
        </w:trPr>
        <w:tc>
          <w:tcPr>
            <w:tcW w:w="3500" w:type="dxa"/>
            <w:vAlign w:val="bottom"/>
          </w:tcPr>
          <w:p>
            <w:pPr>
              <w:spacing w:after="0"/>
              <w:rPr>
                <w:sz w:val="24"/>
                <w:szCs w:val="24"/>
                <w:color w:val="auto"/>
              </w:rPr>
            </w:pPr>
          </w:p>
        </w:tc>
        <w:tc>
          <w:tcPr>
            <w:tcW w:w="30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62</w:t>
            </w:r>
          </w:p>
        </w:tc>
        <w:tc>
          <w:tcPr>
            <w:tcW w:w="41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SECURITIES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LaViolette,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Pulse Biosciences,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684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By: /s/ Paul A. LaViolette</w:t>
            </w:r>
          </w:p>
        </w:tc>
      </w:tr>
      <w:tr>
        <w:trPr>
          <w:trHeight w:val="191"/>
        </w:trPr>
        <w:tc>
          <w:tcPr>
            <w:tcW w:w="43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Paul A. LaViolette</w:t>
            </w:r>
          </w:p>
        </w:tc>
      </w:tr>
      <w:tr>
        <w:trPr>
          <w:trHeight w:val="216"/>
        </w:trPr>
        <w:tc>
          <w:tcPr>
            <w:tcW w:w="43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3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SECURITIES EXCHANGE ACT RULES 13a-14(a) and 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Skinner, certify that:</w:t>
      </w:r>
    </w:p>
    <w:p>
      <w:pPr>
        <w:spacing w:after="0" w:line="225" w:lineRule="exact"/>
        <w:rPr>
          <w:sz w:val="20"/>
          <w:szCs w:val="20"/>
          <w:color w:val="auto"/>
        </w:rPr>
      </w:pPr>
    </w:p>
    <w:p>
      <w:pPr>
        <w:ind w:left="240" w:hanging="232"/>
        <w:spacing w:after="0"/>
        <w:tabs>
          <w:tab w:leader="none" w:pos="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Pulse Biosciences, Inc.;</w:t>
      </w:r>
    </w:p>
    <w:p>
      <w:pPr>
        <w:spacing w:after="0" w:line="225" w:lineRule="exact"/>
        <w:rPr>
          <w:rFonts w:ascii="Times New Roman" w:cs="Times New Roman" w:eastAsia="Times New Roman" w:hAnsi="Times New Roman"/>
          <w:sz w:val="18"/>
          <w:szCs w:val="18"/>
          <w:color w:val="auto"/>
        </w:rPr>
      </w:pPr>
    </w:p>
    <w:p>
      <w:pPr>
        <w:jc w:val="both"/>
        <w:ind w:left="240" w:hanging="232"/>
        <w:spacing w:after="0" w:line="184" w:lineRule="auto"/>
        <w:tabs>
          <w:tab w:leader="none" w:pos="240" w:val="left"/>
        </w:tabs>
        <w:numPr>
          <w:ilvl w:val="0"/>
          <w:numId w:val="3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Times New Roman" w:cs="Times New Roman" w:eastAsia="Times New Roman" w:hAnsi="Times New Roman"/>
          <w:sz w:val="34"/>
          <w:szCs w:val="34"/>
          <w:color w:val="auto"/>
          <w:vertAlign w:val="subscript"/>
        </w:rPr>
      </w:pPr>
    </w:p>
    <w:p>
      <w:pPr>
        <w:ind w:left="240" w:hanging="232"/>
        <w:spacing w:after="0" w:line="184" w:lineRule="auto"/>
        <w:tabs>
          <w:tab w:leader="none" w:pos="240" w:val="left"/>
        </w:tabs>
        <w:numPr>
          <w:ilvl w:val="0"/>
          <w:numId w:val="33"/>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Times New Roman" w:cs="Times New Roman" w:eastAsia="Times New Roman" w:hAnsi="Times New Roman"/>
          <w:sz w:val="34"/>
          <w:szCs w:val="34"/>
          <w:color w:val="auto"/>
          <w:vertAlign w:val="subscript"/>
        </w:rPr>
      </w:pPr>
    </w:p>
    <w:p>
      <w:pPr>
        <w:ind w:left="240"/>
        <w:spacing w:after="0"/>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27" w:lineRule="exact"/>
        <w:rPr>
          <w:rFonts w:ascii="Times New Roman" w:cs="Times New Roman" w:eastAsia="Times New Roman" w:hAnsi="Times New Roman"/>
          <w:sz w:val="34"/>
          <w:szCs w:val="34"/>
          <w:color w:val="auto"/>
          <w:vertAlign w:val="subscript"/>
        </w:rPr>
      </w:pPr>
    </w:p>
    <w:p>
      <w:pPr>
        <w:ind w:left="240" w:hanging="232"/>
        <w:spacing w:after="0" w:line="260" w:lineRule="auto"/>
        <w:tabs>
          <w:tab w:leader="none" w:pos="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w:t>
      </w:r>
    </w:p>
    <w:p>
      <w:pPr>
        <w:spacing w:after="0" w:line="27" w:lineRule="exact"/>
        <w:rPr>
          <w:sz w:val="20"/>
          <w:szCs w:val="20"/>
          <w:color w:val="auto"/>
        </w:rPr>
      </w:pPr>
    </w:p>
    <w:p>
      <w:pPr>
        <w:ind w:left="460" w:hanging="223"/>
        <w:spacing w:after="0" w:line="260"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w:t>
      </w:r>
    </w:p>
    <w:p>
      <w:pPr>
        <w:spacing w:after="0" w:line="27" w:lineRule="exact"/>
        <w:rPr>
          <w:sz w:val="20"/>
          <w:szCs w:val="20"/>
          <w:color w:val="auto"/>
        </w:rPr>
      </w:pPr>
    </w:p>
    <w:p>
      <w:pPr>
        <w:ind w:left="460" w:hanging="215"/>
        <w:spacing w:after="0" w:line="260" w:lineRule="auto"/>
        <w:rPr>
          <w:sz w:val="20"/>
          <w:szCs w:val="20"/>
          <w:color w:val="auto"/>
        </w:rPr>
      </w:pPr>
      <w:r>
        <w:rPr>
          <w:rFonts w:ascii="Times New Roman" w:cs="Times New Roman" w:eastAsia="Times New Roman" w:hAnsi="Times New Roman"/>
          <w:sz w:val="18"/>
          <w:szCs w:val="18"/>
          <w:color w:val="auto"/>
        </w:rPr>
        <w:t>(b)to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ind w:left="460" w:right="20" w:hanging="223"/>
        <w:spacing w:after="0" w:line="204" w:lineRule="auto"/>
        <w:tabs>
          <w:tab w:leader="none" w:pos="460" w:val="left"/>
        </w:tabs>
        <w:numPr>
          <w:ilvl w:val="0"/>
          <w:numId w:val="35"/>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w:t>
      </w:r>
    </w:p>
    <w:p>
      <w:pPr>
        <w:spacing w:after="0" w:line="27" w:lineRule="exact"/>
        <w:rPr>
          <w:sz w:val="20"/>
          <w:szCs w:val="20"/>
          <w:color w:val="auto"/>
        </w:rPr>
      </w:pPr>
    </w:p>
    <w:p>
      <w:pPr>
        <w:ind w:left="460" w:right="20" w:hanging="215"/>
        <w:spacing w:after="0" w:line="260" w:lineRule="auto"/>
        <w:rPr>
          <w:sz w:val="20"/>
          <w:szCs w:val="20"/>
          <w:color w:val="auto"/>
        </w:rPr>
      </w:pPr>
      <w:r>
        <w:rPr>
          <w:rFonts w:ascii="Times New Roman" w:cs="Times New Roman" w:eastAsia="Times New Roman" w:hAnsi="Times New Roman"/>
          <w:sz w:val="18"/>
          <w:szCs w:val="18"/>
          <w:color w:val="auto"/>
        </w:rPr>
        <w:t>(d)quarter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240" w:hanging="232"/>
        <w:spacing w:after="0" w:line="184" w:lineRule="auto"/>
        <w:tabs>
          <w:tab w:leader="none" w:pos="240" w:val="left"/>
        </w:tabs>
        <w:numPr>
          <w:ilvl w:val="0"/>
          <w:numId w:val="3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8" w:lineRule="exact"/>
        <w:rPr>
          <w:sz w:val="20"/>
          <w:szCs w:val="20"/>
          <w:color w:val="auto"/>
        </w:rPr>
      </w:pPr>
    </w:p>
    <w:p>
      <w:pPr>
        <w:ind w:left="460" w:right="20" w:hanging="223"/>
        <w:spacing w:after="0" w:line="204" w:lineRule="auto"/>
        <w:tabs>
          <w:tab w:leader="none" w:pos="460" w:val="left"/>
        </w:tabs>
        <w:numPr>
          <w:ilvl w:val="0"/>
          <w:numId w:val="37"/>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sz w:val="20"/>
          <w:szCs w:val="20"/>
          <w:color w:val="auto"/>
        </w:rPr>
      </w:pPr>
    </w:p>
    <w:p>
      <w:pPr>
        <w:ind w:left="460" w:hanging="215"/>
        <w:spacing w:after="0" w:line="198" w:lineRule="auto"/>
        <w:rPr>
          <w:sz w:val="20"/>
          <w:szCs w:val="20"/>
          <w:color w:val="auto"/>
        </w:rPr>
      </w:pPr>
      <w:r>
        <w:rPr>
          <w:rFonts w:ascii="Times New Roman" w:cs="Times New Roman" w:eastAsia="Times New Roman" w:hAnsi="Times New Roman"/>
          <w:sz w:val="35"/>
          <w:szCs w:val="35"/>
          <w:color w:val="auto"/>
          <w:vertAlign w:val="subscript"/>
        </w:rPr>
        <w:t>(b)</w:t>
      </w: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Skinner</w:t>
            </w:r>
          </w:p>
        </w:tc>
      </w:tr>
      <w:tr>
        <w:trPr>
          <w:trHeight w:val="191"/>
        </w:trPr>
        <w:tc>
          <w:tcPr>
            <w:tcW w:w="34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Skinner</w:t>
            </w:r>
          </w:p>
        </w:tc>
      </w:t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Pulse Biosciences, Inc. (the “Company”) on Form 10-Q for the period ended March 31, 2026 as filed with the Securities and Exchange Commission on the date hereof (the “Report”), the undersigned certifies, pursuant to 18 U.S.C. Section 1350, as adopted pursuant to Section 906 of the Sarbanes-Oxley Act of 2002, that to the best of his knowledge:</w:t>
      </w:r>
    </w:p>
    <w:p>
      <w:pPr>
        <w:spacing w:after="0" w:line="176" w:lineRule="exact"/>
        <w:rPr>
          <w:sz w:val="20"/>
          <w:szCs w:val="20"/>
          <w:color w:val="auto"/>
        </w:rPr>
      </w:pPr>
    </w:p>
    <w:p>
      <w:pPr>
        <w:ind w:left="840" w:hanging="382"/>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60" w:hanging="502"/>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A. LaViolette</w:t>
            </w:r>
          </w:p>
        </w:tc>
      </w:tr>
      <w:tr>
        <w:trPr>
          <w:trHeight w:val="191"/>
        </w:trPr>
        <w:tc>
          <w:tcPr>
            <w:tcW w:w="7600" w:type="dxa"/>
            <w:vAlign w:val="bottom"/>
          </w:tcPr>
          <w:p>
            <w:pPr>
              <w:spacing w:after="0"/>
              <w:rPr>
                <w:sz w:val="16"/>
                <w:szCs w:val="16"/>
                <w:color w:val="auto"/>
              </w:rPr>
            </w:pPr>
          </w:p>
        </w:tc>
        <w:tc>
          <w:tcPr>
            <w:tcW w:w="3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A. LaViolette</w:t>
            </w:r>
          </w:p>
        </w:tc>
      </w:tr>
      <w:tr>
        <w:trPr>
          <w:trHeight w:val="216"/>
        </w:trPr>
        <w:tc>
          <w:tcPr>
            <w:tcW w:w="76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60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ectPr>
          <w:pgSz w:w="11900" w:h="16838" w:orient="portrait"/>
          <w:cols w:equalWidth="0" w:num="1">
            <w:col w:w="11240"/>
          </w:cols>
          <w:pgMar w:left="320" w:top="11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Pulse Biosciences, Inc. (the “Company”) on Form 10-Q for the period ended March 31, 2026 as filed with the Securities and Exchange Commission on the date hereof (the “Report”), the undersigned certifies, pursuant to 18 U.S.C. Section 1350, as adopted pursuant to Section 906 of the Sarbanes-Oxley Act of 2002, that to the best of his knowledge:</w:t>
      </w:r>
    </w:p>
    <w:p>
      <w:pPr>
        <w:spacing w:after="0" w:line="176" w:lineRule="exact"/>
        <w:rPr>
          <w:sz w:val="20"/>
          <w:szCs w:val="20"/>
          <w:color w:val="auto"/>
        </w:rPr>
      </w:pPr>
    </w:p>
    <w:p>
      <w:pPr>
        <w:ind w:left="880" w:hanging="386"/>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00" w:hanging="6"/>
        <w:spacing w:after="0" w:line="282" w:lineRule="auto"/>
        <w:tabs>
          <w:tab w:leader="none" w:pos="100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Skinner</w:t>
            </w:r>
          </w:p>
        </w:tc>
      </w:tr>
      <w:tr>
        <w:trPr>
          <w:trHeight w:val="191"/>
        </w:trPr>
        <w:tc>
          <w:tcPr>
            <w:tcW w:w="6080" w:type="dxa"/>
            <w:vAlign w:val="bottom"/>
          </w:tcPr>
          <w:p>
            <w:pPr>
              <w:spacing w:after="0"/>
              <w:rPr>
                <w:sz w:val="16"/>
                <w:szCs w:val="16"/>
                <w:color w:val="auto"/>
              </w:rPr>
            </w:pPr>
          </w:p>
        </w:tc>
        <w:tc>
          <w:tcPr>
            <w:tcW w:w="5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 Skinner</w:t>
            </w:r>
          </w:p>
        </w:tc>
      </w:tr>
      <w:tr>
        <w:trPr>
          <w:trHeight w:val="216"/>
        </w:trPr>
        <w:tc>
          <w:tcPr>
            <w:tcW w:w="60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08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lvl w:ilvl="1">
      <w:lvlJc w:val="left"/>
      <w:lvlText w:val="%2."/>
      <w:numFmt w:val="decimal"/>
      <w:start w:val="2"/>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lvl w:ilvl="1">
      <w:lvlJc w:val="left"/>
      <w:lvlText w:val="(%2)"/>
      <w:numFmt w:val="lowerLetter"/>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3"/>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15" Type="http://schemas.openxmlformats.org/officeDocument/2006/relationships/hyperlink" Target="http://www.sec.gov/Archives/edgar/data/1625101/000143774925026209/plse20250630_10q.htm%22%20/l%20%22Part1" TargetMode="External"/><Relationship Id="rId16" Type="http://schemas.openxmlformats.org/officeDocument/2006/relationships/hyperlink" Target="http://www.sec.gov/Archives/edgar/data/1625101/000143774925026209/plse20250630_10q.htm%22%20/l%20%22part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2026-05-14T08:06:51Z</dcterms:created>
  <dcterms:modified xsi:type="dcterms:W3CDTF">2026-05-14T08:06:51Z</dcterms:modified>
</cp:coreProperties>
</file>