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hyperlink w:anchor="toc">
        <w:bookmarkStart w:id="0" w:name="plse20260914_424b5.htm"/>
        <w:bookmarkStart w:id="1" w:name="ksplse20260914_424b5"/>
        <w:bookmarkEnd w:id="0"/>
        <w:bookmarkEnd w:id="1"/>
        <w:r>
          <w:rPr>
            <w:rStyle w:val="InternetLink"/>
            <w:rFonts w:ascii="Times New Roman" w:hAnsi="Times New Roman"/>
            <w:caps w:val="false"/>
            <w:smallCaps w:val="false"/>
            <w:sz w:val="20"/>
          </w:rPr>
          <w:t>Table of Contents</w:t>
        </w:r>
      </w:hyperlink>
    </w:p>
    <w:p>
      <w:pPr>
        <w:pStyle w:val="TextBody"/>
        <w:bidi w:val="0"/>
        <w:spacing w:before="0" w:after="0"/>
        <w:ind w:left="160" w:right="0" w:hanging="0"/>
        <w:jc w:val="right"/>
        <w:rPr>
          <w:rFonts w:ascii="Times New Roman" w:hAnsi="Times New Roman"/>
          <w:b/>
          <w:caps w:val="false"/>
          <w:smallCaps w:val="false"/>
          <w:sz w:val="20"/>
        </w:rPr>
      </w:pPr>
      <w:r>
        <w:rPr>
          <w:rFonts w:ascii="Times New Roman" w:hAnsi="Times New Roman"/>
          <w:b/>
          <w:caps w:val="false"/>
          <w:smallCaps w:val="false"/>
          <w:sz w:val="20"/>
        </w:rPr>
        <w:t>Filed Pursuant to Rule 424(b)(5)</w:t>
      </w:r>
    </w:p>
    <w:p>
      <w:pPr>
        <w:pStyle w:val="TextBody"/>
        <w:bidi w:val="0"/>
        <w:spacing w:before="0" w:after="0"/>
        <w:ind w:left="160" w:right="0" w:hanging="0"/>
        <w:jc w:val="right"/>
        <w:rPr>
          <w:rFonts w:ascii="Times New Roman" w:hAnsi="Times New Roman"/>
          <w:b/>
          <w:caps w:val="false"/>
          <w:smallCaps w:val="false"/>
          <w:sz w:val="20"/>
        </w:rPr>
      </w:pPr>
      <w:r>
        <w:rPr>
          <w:rFonts w:ascii="Times New Roman" w:hAnsi="Times New Roman"/>
          <w:b/>
          <w:caps w:val="false"/>
          <w:smallCaps w:val="false"/>
          <w:sz w:val="20"/>
        </w:rPr>
        <w:t xml:space="preserve">Registration Nos. 333-293596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PROSPECTUS SUPPLEMENT</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(To Prospectus dated February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$85,000,000</w:t>
      </w:r>
    </w:p>
    <w:p>
      <w:pPr>
        <w:pStyle w:val="TextBody"/>
        <w:bidi w:val="0"/>
        <w:jc w:val="center"/>
        <w:rPr/>
      </w:pPr>
      <w:r>
        <w:rPr/>
        <w:drawing>
          <wp:inline distT="0" distB="0" distL="0" distR="0">
            <wp:extent cx="1562100" cy="1495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62100" cy="14954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36"/>
        </w:rPr>
      </w:pPr>
      <w:r>
        <w:rPr>
          <w:rFonts w:ascii="Times New Roman" w:hAnsi="Times New Roman"/>
          <w:b/>
          <w:caps w:val="false"/>
          <w:smallCaps w:val="false"/>
          <w:sz w:val="36"/>
        </w:rPr>
        <w:t>Pulse Biosciences,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entered into a sales agreement dated September 15, 2026 (the “Sales Agreement”) with Mizuho Securities USA LLC (“Mizuho”) relating to shares of our common stock offered by this prospectus supplement and the accompanying prospectus. In accordance with the terms of the Sales Agreement, we may offer and sell shares of our common stock having an aggregate offering price of up to $85,000,000 from time to time through Mizuho acting as our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previously entered into a sales agreement dated August 6, 2026 (the “August 2026 Sales Agreement”) with Mizuho relating to shares of our common stock offered pursuant to a prospectus supplement dated August 6, 2026 (the “August 2026 Prospectus Supplement”) and the accompanying prospectus. As of September 14, 2026, 1,379,925 shares of common stock, with an aggregate offering price of approximately $68.8 million, were sold under the August 2026 Sales Agreement pursuant to the August 2026 Prospectus Supplement. We do not expect to make any sales under this prospectus supplement unless and until we sell the remaining available shares issuable under the August 2026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common stock is listed on The Nasdaq Capital Market under the symbol “PLSE.”  On September 14, 2026, the last reported sale price of our common stock was $54.21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Sales of our common stock, if any, under this prospectus supplement and the accompanying prospectus will be made in negotiated transactions, including block trades or block sales, or by any method permitted by law deemed to be an “at the market offering” as defined in Rule 415 promulgated under the Securities Act of 1933, as amended, or the Securities Act, including without limitation sales made through The Nasdaq Capital Market or on any other trading market for our common stock, or by any other method permitted by law. Mizuho is not required to sell any specific amount of securities, but will act as our sales agent using commercially reasonable efforts consistent with its normal trading and sales practices, on mutually agreed terms between Mizuho and us.  There is no arrangement for funds to be received in any escrow, trust or similar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compensation to Mizuho for sales of common stock sold pursuant to the Sales Agreement will be an amount up to 3% of the gross proceeds of any shares of common stock sold under the Sales Agreement.  In connection with the sale of the common stock on our behalf, Mizuho will be deemed to be an “underwriter” within the meaning of the Securities Act and the compensation of Mizuho will be deemed to be underwriting commissions or discounts.  We have also agreed to provide indemnification and contribution to Mizuho with respect to certain liabilities, including liabilities under the Securities Act or the Securities Exchange Act of 1934, as amended.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Our business and an investment in our common stock involve significant risks. These risks are described under the caption </w:t>
      </w:r>
      <w:r>
        <w:rPr>
          <w:rFonts w:ascii="Times New Roman" w:hAnsi="Times New Roman"/>
          <w:caps w:val="false"/>
          <w:smallCaps w:val="false"/>
          <w:sz w:val="20"/>
        </w:rPr>
        <w:t>“</w:t>
      </w:r>
      <w:r>
        <w:rPr>
          <w:rFonts w:ascii="Times New Roman" w:hAnsi="Times New Roman"/>
          <w:b/>
          <w:caps w:val="false"/>
          <w:smallCaps w:val="false"/>
          <w:sz w:val="20"/>
        </w:rPr>
        <w:t>Risk Factors</w:t>
      </w:r>
      <w:r>
        <w:rPr>
          <w:rFonts w:ascii="Times New Roman" w:hAnsi="Times New Roman"/>
          <w:caps w:val="false"/>
          <w:smallCaps w:val="false"/>
          <w:sz w:val="20"/>
        </w:rPr>
        <w:t xml:space="preserve">” </w:t>
      </w:r>
      <w:r>
        <w:rPr>
          <w:rFonts w:ascii="Times New Roman" w:hAnsi="Times New Roman"/>
          <w:b/>
          <w:caps w:val="false"/>
          <w:smallCaps w:val="false"/>
          <w:sz w:val="20"/>
        </w:rPr>
        <w:t>beginning on page 4 of this prospectus supplement and in the documents incorporated by reference into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Neither the Securities and Exchange Commission nor any state securities commission has approved or disapproved of these securities or passed upon the accuracy or adequacy of this prospectus.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Mizuho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Prospectus Supplement</w:t>
      </w:r>
    </w:p>
    <w:p>
      <w:pPr>
        <w:pStyle w:val="TextBody"/>
        <w:bidi w:val="0"/>
        <w:spacing w:before="0" w:after="0"/>
        <w:ind w:left="0" w:right="0" w:hanging="0"/>
        <w:jc w:val="left"/>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6230"/>
        <w:gridCol w:w="470"/>
      </w:tblGrid>
      <w:tr>
        <w:trPr/>
        <w:tc>
          <w:tcPr>
            <w:tcW w:w="623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Page</w:t>
            </w:r>
          </w:p>
        </w:tc>
      </w:tr>
      <w:tr>
        <w:trPr/>
        <w:tc>
          <w:tcPr>
            <w:tcW w:w="6230" w:type="dxa"/>
            <w:tcBorders/>
            <w:vAlign w:val="center"/>
          </w:tcPr>
          <w:p>
            <w:pPr>
              <w:pStyle w:val="TableContents"/>
              <w:bidi w:val="0"/>
              <w:spacing w:before="0" w:after="0"/>
              <w:ind w:left="0" w:right="0" w:hanging="0"/>
              <w:jc w:val="left"/>
              <w:rPr/>
            </w:pPr>
            <w:hyperlink w:anchor="about">
              <w:r>
                <w:rPr>
                  <w:rStyle w:val="InternetLink"/>
                  <w:rFonts w:ascii="Times New Roman" w:hAnsi="Times New Roman"/>
                  <w:caps w:val="false"/>
                  <w:smallCaps w:val="false"/>
                  <w:sz w:val="20"/>
                  <w:u w:val="single"/>
                </w:rPr>
                <w:t>ABOUT THIS PROSPECTUS SUPPLEMENT</w:t>
              </w:r>
            </w:hyperlink>
          </w:p>
        </w:tc>
        <w:tc>
          <w:tcPr>
            <w:tcW w:w="470" w:type="dxa"/>
            <w:tcBorders/>
            <w:vAlign w:val="center"/>
          </w:tcPr>
          <w:p>
            <w:pPr>
              <w:pStyle w:val="TableContents"/>
              <w:bidi w:val="0"/>
              <w:spacing w:before="0" w:after="283"/>
              <w:jc w:val="center"/>
              <w:rPr/>
            </w:pPr>
            <w:hyperlink w:anchor="about">
              <w:r>
                <w:rPr>
                  <w:rStyle w:val="InternetLink"/>
                </w:rPr>
                <w:t>S-1</w:t>
              </w:r>
            </w:hyperlink>
          </w:p>
        </w:tc>
      </w:tr>
      <w:tr>
        <w:trPr/>
        <w:tc>
          <w:tcPr>
            <w:tcW w:w="6230" w:type="dxa"/>
            <w:tcBorders/>
            <w:vAlign w:val="center"/>
          </w:tcPr>
          <w:p>
            <w:pPr>
              <w:pStyle w:val="TableContents"/>
              <w:bidi w:val="0"/>
              <w:spacing w:before="0" w:after="0"/>
              <w:ind w:left="0" w:right="0" w:hanging="0"/>
              <w:jc w:val="left"/>
              <w:rPr/>
            </w:pPr>
            <w:hyperlink w:anchor="caution">
              <w:r>
                <w:rPr>
                  <w:rStyle w:val="InternetLink"/>
                  <w:rFonts w:ascii="Times New Roman" w:hAnsi="Times New Roman"/>
                  <w:caps w:val="false"/>
                  <w:smallCaps w:val="false"/>
                  <w:sz w:val="20"/>
                  <w:u w:val="single"/>
                </w:rPr>
                <w:t>CAUTIONARY NOTE REGARDING FORWARD-LOOKING STATEMENTS</w:t>
              </w:r>
            </w:hyperlink>
          </w:p>
        </w:tc>
        <w:tc>
          <w:tcPr>
            <w:tcW w:w="470" w:type="dxa"/>
            <w:tcBorders/>
            <w:vAlign w:val="center"/>
          </w:tcPr>
          <w:p>
            <w:pPr>
              <w:pStyle w:val="TableContents"/>
              <w:bidi w:val="0"/>
              <w:spacing w:before="0" w:after="283"/>
              <w:jc w:val="center"/>
              <w:rPr/>
            </w:pPr>
            <w:hyperlink w:anchor="caution">
              <w:r>
                <w:rPr>
                  <w:rStyle w:val="InternetLink"/>
                </w:rPr>
                <w:t>S-2</w:t>
              </w:r>
            </w:hyperlink>
          </w:p>
        </w:tc>
      </w:tr>
      <w:tr>
        <w:trPr/>
        <w:tc>
          <w:tcPr>
            <w:tcW w:w="6230" w:type="dxa"/>
            <w:tcBorders/>
            <w:vAlign w:val="center"/>
          </w:tcPr>
          <w:p>
            <w:pPr>
              <w:pStyle w:val="TableContents"/>
              <w:bidi w:val="0"/>
              <w:spacing w:before="0" w:after="0"/>
              <w:ind w:left="0" w:right="0" w:hanging="0"/>
              <w:jc w:val="left"/>
              <w:rPr/>
            </w:pPr>
            <w:hyperlink w:anchor="market">
              <w:r>
                <w:rPr>
                  <w:rStyle w:val="InternetLink"/>
                  <w:rFonts w:ascii="Times New Roman" w:hAnsi="Times New Roman"/>
                  <w:caps w:val="false"/>
                  <w:smallCaps w:val="false"/>
                  <w:sz w:val="20"/>
                  <w:u w:val="single"/>
                </w:rPr>
                <w:t>MARKET AND INDUSTRY DATA</w:t>
              </w:r>
            </w:hyperlink>
          </w:p>
        </w:tc>
        <w:tc>
          <w:tcPr>
            <w:tcW w:w="470" w:type="dxa"/>
            <w:tcBorders/>
            <w:vAlign w:val="center"/>
          </w:tcPr>
          <w:p>
            <w:pPr>
              <w:pStyle w:val="TableContents"/>
              <w:bidi w:val="0"/>
              <w:spacing w:before="0" w:after="283"/>
              <w:jc w:val="center"/>
              <w:rPr/>
            </w:pPr>
            <w:hyperlink w:anchor="market">
              <w:r>
                <w:rPr>
                  <w:rStyle w:val="InternetLink"/>
                </w:rPr>
                <w:t>S-3</w:t>
              </w:r>
            </w:hyperlink>
          </w:p>
        </w:tc>
      </w:tr>
      <w:tr>
        <w:trPr/>
        <w:tc>
          <w:tcPr>
            <w:tcW w:w="6230" w:type="dxa"/>
            <w:tcBorders/>
            <w:vAlign w:val="center"/>
          </w:tcPr>
          <w:p>
            <w:pPr>
              <w:pStyle w:val="TableContents"/>
              <w:bidi w:val="0"/>
              <w:spacing w:before="0" w:after="0"/>
              <w:ind w:left="0" w:right="0" w:hanging="0"/>
              <w:jc w:val="left"/>
              <w:rPr/>
            </w:pPr>
            <w:hyperlink w:anchor="prospectus">
              <w:r>
                <w:rPr>
                  <w:rStyle w:val="InternetLink"/>
                  <w:rFonts w:ascii="Times New Roman" w:hAnsi="Times New Roman"/>
                  <w:caps w:val="false"/>
                  <w:smallCaps w:val="false"/>
                  <w:sz w:val="20"/>
                  <w:u w:val="single"/>
                </w:rPr>
                <w:t>PROSPECTUS SUPPLEMENT SUMMARY</w:t>
              </w:r>
            </w:hyperlink>
          </w:p>
        </w:tc>
        <w:tc>
          <w:tcPr>
            <w:tcW w:w="470" w:type="dxa"/>
            <w:tcBorders/>
            <w:vAlign w:val="center"/>
          </w:tcPr>
          <w:p>
            <w:pPr>
              <w:pStyle w:val="TableContents"/>
              <w:bidi w:val="0"/>
              <w:spacing w:before="0" w:after="283"/>
              <w:jc w:val="center"/>
              <w:rPr/>
            </w:pPr>
            <w:hyperlink w:anchor="prospectus">
              <w:r>
                <w:rPr>
                  <w:rStyle w:val="InternetLink"/>
                </w:rPr>
                <w:t>S-4</w:t>
              </w:r>
            </w:hyperlink>
          </w:p>
        </w:tc>
      </w:tr>
      <w:tr>
        <w:trPr/>
        <w:tc>
          <w:tcPr>
            <w:tcW w:w="6230" w:type="dxa"/>
            <w:tcBorders/>
            <w:vAlign w:val="center"/>
          </w:tcPr>
          <w:p>
            <w:pPr>
              <w:pStyle w:val="TableContents"/>
              <w:bidi w:val="0"/>
              <w:spacing w:before="0" w:after="0"/>
              <w:ind w:left="0" w:right="0" w:hanging="0"/>
              <w:jc w:val="left"/>
              <w:rPr/>
            </w:pPr>
            <w:hyperlink w:anchor="offering">
              <w:r>
                <w:rPr>
                  <w:rStyle w:val="InternetLink"/>
                  <w:rFonts w:ascii="Times New Roman" w:hAnsi="Times New Roman"/>
                  <w:caps w:val="false"/>
                  <w:smallCaps w:val="false"/>
                  <w:sz w:val="20"/>
                  <w:u w:val="single"/>
                </w:rPr>
                <w:t>THE OFFERING</w:t>
              </w:r>
            </w:hyperlink>
          </w:p>
        </w:tc>
        <w:tc>
          <w:tcPr>
            <w:tcW w:w="470" w:type="dxa"/>
            <w:tcBorders/>
            <w:vAlign w:val="center"/>
          </w:tcPr>
          <w:p>
            <w:pPr>
              <w:pStyle w:val="TableContents"/>
              <w:bidi w:val="0"/>
              <w:spacing w:before="0" w:after="283"/>
              <w:jc w:val="center"/>
              <w:rPr/>
            </w:pPr>
            <w:hyperlink w:anchor="offering">
              <w:r>
                <w:rPr>
                  <w:rStyle w:val="InternetLink"/>
                </w:rPr>
                <w:t>S-5</w:t>
              </w:r>
            </w:hyperlink>
          </w:p>
        </w:tc>
      </w:tr>
      <w:tr>
        <w:trPr/>
        <w:tc>
          <w:tcPr>
            <w:tcW w:w="6230" w:type="dxa"/>
            <w:tcBorders/>
            <w:vAlign w:val="center"/>
          </w:tcPr>
          <w:p>
            <w:pPr>
              <w:pStyle w:val="TableContents"/>
              <w:bidi w:val="0"/>
              <w:spacing w:before="0" w:after="0"/>
              <w:ind w:left="0" w:right="0" w:hanging="0"/>
              <w:jc w:val="left"/>
              <w:rPr/>
            </w:pPr>
            <w:hyperlink w:anchor="risk">
              <w:r>
                <w:rPr>
                  <w:rStyle w:val="InternetLink"/>
                  <w:rFonts w:ascii="Times New Roman" w:hAnsi="Times New Roman"/>
                  <w:caps w:val="false"/>
                  <w:smallCaps w:val="false"/>
                  <w:sz w:val="20"/>
                  <w:u w:val="single"/>
                </w:rPr>
                <w:t>RISK FACTORS</w:t>
              </w:r>
            </w:hyperlink>
          </w:p>
        </w:tc>
        <w:tc>
          <w:tcPr>
            <w:tcW w:w="470" w:type="dxa"/>
            <w:tcBorders/>
            <w:vAlign w:val="center"/>
          </w:tcPr>
          <w:p>
            <w:pPr>
              <w:pStyle w:val="TableContents"/>
              <w:bidi w:val="0"/>
              <w:spacing w:before="0" w:after="283"/>
              <w:jc w:val="center"/>
              <w:rPr/>
            </w:pPr>
            <w:hyperlink w:anchor="risk">
              <w:r>
                <w:rPr>
                  <w:rStyle w:val="InternetLink"/>
                </w:rPr>
                <w:t>S-7</w:t>
              </w:r>
            </w:hyperlink>
          </w:p>
        </w:tc>
      </w:tr>
      <w:tr>
        <w:trPr/>
        <w:tc>
          <w:tcPr>
            <w:tcW w:w="6230" w:type="dxa"/>
            <w:tcBorders/>
            <w:vAlign w:val="center"/>
          </w:tcPr>
          <w:p>
            <w:pPr>
              <w:pStyle w:val="TableContents"/>
              <w:bidi w:val="0"/>
              <w:spacing w:before="0" w:after="0"/>
              <w:ind w:left="0" w:right="0" w:hanging="0"/>
              <w:jc w:val="left"/>
              <w:rPr/>
            </w:pPr>
            <w:hyperlink w:anchor="use">
              <w:r>
                <w:rPr>
                  <w:rStyle w:val="InternetLink"/>
                  <w:rFonts w:ascii="Times New Roman" w:hAnsi="Times New Roman"/>
                  <w:caps w:val="false"/>
                  <w:smallCaps w:val="false"/>
                  <w:sz w:val="20"/>
                  <w:u w:val="single"/>
                </w:rPr>
                <w:t>USE OF PROCEEDS</w:t>
              </w:r>
            </w:hyperlink>
          </w:p>
        </w:tc>
        <w:tc>
          <w:tcPr>
            <w:tcW w:w="470" w:type="dxa"/>
            <w:tcBorders/>
            <w:vAlign w:val="center"/>
          </w:tcPr>
          <w:p>
            <w:pPr>
              <w:pStyle w:val="TableContents"/>
              <w:bidi w:val="0"/>
              <w:spacing w:before="0" w:after="283"/>
              <w:jc w:val="center"/>
              <w:rPr/>
            </w:pPr>
            <w:hyperlink w:anchor="use">
              <w:r>
                <w:rPr>
                  <w:rStyle w:val="InternetLink"/>
                </w:rPr>
                <w:t>S-9</w:t>
              </w:r>
            </w:hyperlink>
          </w:p>
        </w:tc>
      </w:tr>
      <w:tr>
        <w:trPr/>
        <w:tc>
          <w:tcPr>
            <w:tcW w:w="6230" w:type="dxa"/>
            <w:tcBorders/>
            <w:vAlign w:val="center"/>
          </w:tcPr>
          <w:p>
            <w:pPr>
              <w:pStyle w:val="TableContents"/>
              <w:bidi w:val="0"/>
              <w:spacing w:before="0" w:after="0"/>
              <w:ind w:left="0" w:right="0" w:hanging="0"/>
              <w:jc w:val="left"/>
              <w:rPr/>
            </w:pPr>
            <w:hyperlink w:anchor="dividend">
              <w:r>
                <w:rPr>
                  <w:rStyle w:val="InternetLink"/>
                  <w:rFonts w:ascii="Times New Roman" w:hAnsi="Times New Roman"/>
                  <w:caps w:val="false"/>
                  <w:smallCaps w:val="false"/>
                  <w:sz w:val="20"/>
                  <w:u w:val="single"/>
                </w:rPr>
                <w:t>DIVIDEND POLICY</w:t>
              </w:r>
            </w:hyperlink>
          </w:p>
        </w:tc>
        <w:tc>
          <w:tcPr>
            <w:tcW w:w="470" w:type="dxa"/>
            <w:tcBorders/>
            <w:vAlign w:val="center"/>
          </w:tcPr>
          <w:p>
            <w:pPr>
              <w:pStyle w:val="TableContents"/>
              <w:bidi w:val="0"/>
              <w:spacing w:before="0" w:after="283"/>
              <w:jc w:val="center"/>
              <w:rPr/>
            </w:pPr>
            <w:hyperlink w:anchor="dividend">
              <w:r>
                <w:rPr>
                  <w:rStyle w:val="InternetLink"/>
                </w:rPr>
                <w:t>S-10</w:t>
              </w:r>
            </w:hyperlink>
          </w:p>
        </w:tc>
      </w:tr>
      <w:tr>
        <w:trPr/>
        <w:tc>
          <w:tcPr>
            <w:tcW w:w="6230" w:type="dxa"/>
            <w:tcBorders/>
            <w:vAlign w:val="center"/>
          </w:tcPr>
          <w:p>
            <w:pPr>
              <w:pStyle w:val="TableContents"/>
              <w:bidi w:val="0"/>
              <w:spacing w:before="0" w:after="0"/>
              <w:ind w:left="0" w:right="0" w:hanging="0"/>
              <w:jc w:val="left"/>
              <w:rPr/>
            </w:pPr>
            <w:hyperlink w:anchor="dilution">
              <w:r>
                <w:rPr>
                  <w:rStyle w:val="InternetLink"/>
                  <w:rFonts w:ascii="Times New Roman" w:hAnsi="Times New Roman"/>
                  <w:caps w:val="false"/>
                  <w:smallCaps w:val="false"/>
                  <w:sz w:val="20"/>
                  <w:u w:val="single"/>
                </w:rPr>
                <w:t>DILUTION</w:t>
              </w:r>
            </w:hyperlink>
          </w:p>
        </w:tc>
        <w:tc>
          <w:tcPr>
            <w:tcW w:w="470" w:type="dxa"/>
            <w:tcBorders/>
            <w:vAlign w:val="center"/>
          </w:tcPr>
          <w:p>
            <w:pPr>
              <w:pStyle w:val="TableContents"/>
              <w:bidi w:val="0"/>
              <w:spacing w:before="0" w:after="283"/>
              <w:jc w:val="center"/>
              <w:rPr/>
            </w:pPr>
            <w:hyperlink w:anchor="dilution">
              <w:r>
                <w:rPr>
                  <w:rStyle w:val="InternetLink"/>
                </w:rPr>
                <w:t>S-11</w:t>
              </w:r>
            </w:hyperlink>
          </w:p>
        </w:tc>
      </w:tr>
      <w:tr>
        <w:trPr/>
        <w:tc>
          <w:tcPr>
            <w:tcW w:w="6230" w:type="dxa"/>
            <w:tcBorders/>
            <w:vAlign w:val="center"/>
          </w:tcPr>
          <w:p>
            <w:pPr>
              <w:pStyle w:val="TableContents"/>
              <w:bidi w:val="0"/>
              <w:spacing w:before="0" w:after="0"/>
              <w:ind w:left="0" w:right="0" w:hanging="0"/>
              <w:jc w:val="left"/>
              <w:rPr/>
            </w:pPr>
            <w:hyperlink w:anchor="plan">
              <w:r>
                <w:rPr>
                  <w:rStyle w:val="InternetLink"/>
                  <w:rFonts w:ascii="Times New Roman" w:hAnsi="Times New Roman"/>
                  <w:caps w:val="false"/>
                  <w:smallCaps w:val="false"/>
                  <w:sz w:val="20"/>
                  <w:u w:val="single"/>
                </w:rPr>
                <w:t>PLAN OF DISTRIBUTION</w:t>
              </w:r>
            </w:hyperlink>
          </w:p>
        </w:tc>
        <w:tc>
          <w:tcPr>
            <w:tcW w:w="470" w:type="dxa"/>
            <w:tcBorders/>
            <w:vAlign w:val="center"/>
          </w:tcPr>
          <w:p>
            <w:pPr>
              <w:pStyle w:val="TableContents"/>
              <w:bidi w:val="0"/>
              <w:spacing w:before="0" w:after="283"/>
              <w:jc w:val="center"/>
              <w:rPr/>
            </w:pPr>
            <w:hyperlink w:anchor="plan">
              <w:r>
                <w:rPr>
                  <w:rStyle w:val="InternetLink"/>
                </w:rPr>
                <w:t>S-13</w:t>
              </w:r>
            </w:hyperlink>
          </w:p>
        </w:tc>
      </w:tr>
      <w:tr>
        <w:trPr/>
        <w:tc>
          <w:tcPr>
            <w:tcW w:w="6230" w:type="dxa"/>
            <w:tcBorders/>
            <w:vAlign w:val="center"/>
          </w:tcPr>
          <w:p>
            <w:pPr>
              <w:pStyle w:val="TableContents"/>
              <w:bidi w:val="0"/>
              <w:spacing w:before="0" w:after="0"/>
              <w:ind w:left="0" w:right="0" w:hanging="0"/>
              <w:jc w:val="left"/>
              <w:rPr/>
            </w:pPr>
            <w:hyperlink w:anchor="legal">
              <w:r>
                <w:rPr>
                  <w:rStyle w:val="InternetLink"/>
                  <w:rFonts w:ascii="Times New Roman" w:hAnsi="Times New Roman"/>
                  <w:caps w:val="false"/>
                  <w:smallCaps w:val="false"/>
                  <w:sz w:val="20"/>
                  <w:u w:val="single"/>
                </w:rPr>
                <w:t>LEGAL MATTERS</w:t>
              </w:r>
            </w:hyperlink>
          </w:p>
        </w:tc>
        <w:tc>
          <w:tcPr>
            <w:tcW w:w="470" w:type="dxa"/>
            <w:tcBorders/>
            <w:vAlign w:val="center"/>
          </w:tcPr>
          <w:p>
            <w:pPr>
              <w:pStyle w:val="TableContents"/>
              <w:bidi w:val="0"/>
              <w:spacing w:before="0" w:after="283"/>
              <w:jc w:val="center"/>
              <w:rPr/>
            </w:pPr>
            <w:hyperlink w:anchor="legal">
              <w:r>
                <w:rPr>
                  <w:rStyle w:val="InternetLink"/>
                </w:rPr>
                <w:t>S-14</w:t>
              </w:r>
            </w:hyperlink>
          </w:p>
        </w:tc>
      </w:tr>
      <w:tr>
        <w:trPr/>
        <w:tc>
          <w:tcPr>
            <w:tcW w:w="6230" w:type="dxa"/>
            <w:tcBorders/>
            <w:vAlign w:val="center"/>
          </w:tcPr>
          <w:p>
            <w:pPr>
              <w:pStyle w:val="TableContents"/>
              <w:bidi w:val="0"/>
              <w:spacing w:before="0" w:after="0"/>
              <w:ind w:left="0" w:right="0" w:hanging="0"/>
              <w:jc w:val="left"/>
              <w:rPr/>
            </w:pPr>
            <w:hyperlink w:anchor="experts">
              <w:r>
                <w:rPr>
                  <w:rStyle w:val="InternetLink"/>
                  <w:rFonts w:ascii="Times New Roman" w:hAnsi="Times New Roman"/>
                  <w:caps w:val="false"/>
                  <w:smallCaps w:val="false"/>
                  <w:sz w:val="20"/>
                  <w:u w:val="single"/>
                </w:rPr>
                <w:t>EXPERTS</w:t>
              </w:r>
            </w:hyperlink>
          </w:p>
        </w:tc>
        <w:tc>
          <w:tcPr>
            <w:tcW w:w="470" w:type="dxa"/>
            <w:tcBorders/>
            <w:vAlign w:val="center"/>
          </w:tcPr>
          <w:p>
            <w:pPr>
              <w:pStyle w:val="TableContents"/>
              <w:bidi w:val="0"/>
              <w:spacing w:before="0" w:after="283"/>
              <w:jc w:val="center"/>
              <w:rPr/>
            </w:pPr>
            <w:hyperlink w:anchor="experts">
              <w:r>
                <w:rPr>
                  <w:rStyle w:val="InternetLink"/>
                </w:rPr>
                <w:t>S-14</w:t>
              </w:r>
            </w:hyperlink>
          </w:p>
        </w:tc>
      </w:tr>
      <w:tr>
        <w:trPr/>
        <w:tc>
          <w:tcPr>
            <w:tcW w:w="6230" w:type="dxa"/>
            <w:tcBorders/>
            <w:vAlign w:val="center"/>
          </w:tcPr>
          <w:p>
            <w:pPr>
              <w:pStyle w:val="TableContents"/>
              <w:bidi w:val="0"/>
              <w:spacing w:before="0" w:after="0"/>
              <w:ind w:left="0" w:right="0" w:hanging="0"/>
              <w:jc w:val="left"/>
              <w:rPr/>
            </w:pPr>
            <w:hyperlink w:anchor="where">
              <w:r>
                <w:rPr>
                  <w:rStyle w:val="InternetLink"/>
                  <w:rFonts w:ascii="Times New Roman" w:hAnsi="Times New Roman"/>
                  <w:caps w:val="false"/>
                  <w:smallCaps w:val="false"/>
                  <w:sz w:val="20"/>
                  <w:u w:val="single"/>
                </w:rPr>
                <w:t>WHERE YOU CAN FIND MORE INFORMATION</w:t>
              </w:r>
            </w:hyperlink>
          </w:p>
        </w:tc>
        <w:tc>
          <w:tcPr>
            <w:tcW w:w="470" w:type="dxa"/>
            <w:tcBorders/>
            <w:vAlign w:val="center"/>
          </w:tcPr>
          <w:p>
            <w:pPr>
              <w:pStyle w:val="TableContents"/>
              <w:bidi w:val="0"/>
              <w:spacing w:before="0" w:after="283"/>
              <w:jc w:val="center"/>
              <w:rPr/>
            </w:pPr>
            <w:hyperlink w:anchor="where">
              <w:r>
                <w:rPr>
                  <w:rStyle w:val="InternetLink"/>
                </w:rPr>
                <w:t>S-14</w:t>
              </w:r>
            </w:hyperlink>
          </w:p>
        </w:tc>
      </w:tr>
      <w:tr>
        <w:trPr/>
        <w:tc>
          <w:tcPr>
            <w:tcW w:w="6230" w:type="dxa"/>
            <w:tcBorders/>
            <w:vAlign w:val="center"/>
          </w:tcPr>
          <w:p>
            <w:pPr>
              <w:pStyle w:val="TableContents"/>
              <w:bidi w:val="0"/>
              <w:spacing w:before="0" w:after="0"/>
              <w:ind w:left="0" w:right="0" w:hanging="0"/>
              <w:jc w:val="left"/>
              <w:rPr/>
            </w:pPr>
            <w:hyperlink w:anchor="info">
              <w:r>
                <w:rPr>
                  <w:rStyle w:val="InternetLink"/>
                  <w:rFonts w:ascii="Times New Roman" w:hAnsi="Times New Roman"/>
                  <w:caps w:val="false"/>
                  <w:smallCaps w:val="false"/>
                  <w:sz w:val="20"/>
                  <w:u w:val="single"/>
                </w:rPr>
                <w:t>INFORMATION INCORPORATED BY REFERENCE</w:t>
              </w:r>
            </w:hyperlink>
          </w:p>
        </w:tc>
        <w:tc>
          <w:tcPr>
            <w:tcW w:w="470" w:type="dxa"/>
            <w:tcBorders/>
            <w:vAlign w:val="center"/>
          </w:tcPr>
          <w:p>
            <w:pPr>
              <w:pStyle w:val="TableContents"/>
              <w:bidi w:val="0"/>
              <w:spacing w:before="0" w:after="283"/>
              <w:jc w:val="center"/>
              <w:rPr/>
            </w:pPr>
            <w:hyperlink w:anchor="info">
              <w:r>
                <w:rPr>
                  <w:rStyle w:val="InternetLink"/>
                </w:rPr>
                <w:t>S-15</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Prospectus</w:t>
      </w:r>
    </w:p>
    <w:p>
      <w:pPr>
        <w:pStyle w:val="TextBody"/>
        <w:bidi w:val="0"/>
        <w:spacing w:before="0" w:after="0"/>
        <w:ind w:left="0" w:right="0" w:hanging="0"/>
        <w:jc w:val="left"/>
        <w:rPr/>
      </w:pPr>
      <w:r>
        <w:rPr/>
        <w:t> </w:t>
      </w:r>
    </w:p>
    <w:tbl>
      <w:tblPr>
        <w:tblW w:w="6655" w:type="dxa"/>
        <w:jc w:val="left"/>
        <w:tblInd w:w="0" w:type="dxa"/>
        <w:tblLayout w:type="fixed"/>
        <w:tblCellMar>
          <w:top w:w="0" w:type="dxa"/>
          <w:left w:w="0" w:type="dxa"/>
          <w:bottom w:w="0" w:type="dxa"/>
          <w:right w:w="0" w:type="dxa"/>
        </w:tblCellMar>
      </w:tblPr>
      <w:tblGrid>
        <w:gridCol w:w="6215"/>
        <w:gridCol w:w="440"/>
      </w:tblGrid>
      <w:tr>
        <w:trPr/>
        <w:tc>
          <w:tcPr>
            <w:tcW w:w="621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Page</w:t>
            </w:r>
          </w:p>
        </w:tc>
      </w:tr>
      <w:tr>
        <w:trPr/>
        <w:tc>
          <w:tcPr>
            <w:tcW w:w="6215" w:type="dxa"/>
            <w:tcBorders/>
            <w:vAlign w:val="center"/>
          </w:tcPr>
          <w:p>
            <w:pPr>
              <w:pStyle w:val="TableContents"/>
              <w:bidi w:val="0"/>
              <w:spacing w:before="0" w:after="0"/>
              <w:ind w:left="0" w:right="0" w:hanging="0"/>
              <w:jc w:val="left"/>
              <w:rPr/>
            </w:pPr>
            <w:hyperlink w:anchor="ABOUT_THIS_PROSPECTUS">
              <w:r>
                <w:rPr>
                  <w:rStyle w:val="InternetLink"/>
                  <w:rFonts w:ascii="Times New Roman" w:hAnsi="Times New Roman"/>
                  <w:caps w:val="false"/>
                  <w:smallCaps w:val="false"/>
                  <w:sz w:val="20"/>
                  <w:u w:val="single"/>
                </w:rPr>
                <w:t>ABOUT THIS PROSPECTUS</w:t>
              </w:r>
            </w:hyperlink>
          </w:p>
        </w:tc>
        <w:tc>
          <w:tcPr>
            <w:tcW w:w="440" w:type="dxa"/>
            <w:tcBorders/>
            <w:vAlign w:val="center"/>
          </w:tcPr>
          <w:p>
            <w:pPr>
              <w:pStyle w:val="TableContents"/>
              <w:bidi w:val="0"/>
              <w:spacing w:before="0" w:after="283"/>
              <w:jc w:val="center"/>
              <w:rPr/>
            </w:pPr>
            <w:hyperlink w:anchor="ABOUT_THIS_PROSPECTUS">
              <w:r>
                <w:rPr>
                  <w:rStyle w:val="InternetLink"/>
                </w:rPr>
                <w:t>2</w:t>
              </w:r>
            </w:hyperlink>
          </w:p>
        </w:tc>
      </w:tr>
      <w:tr>
        <w:trPr/>
        <w:tc>
          <w:tcPr>
            <w:tcW w:w="6215" w:type="dxa"/>
            <w:tcBorders/>
            <w:vAlign w:val="center"/>
          </w:tcPr>
          <w:p>
            <w:pPr>
              <w:pStyle w:val="TableContents"/>
              <w:bidi w:val="0"/>
              <w:spacing w:before="0" w:after="0"/>
              <w:ind w:left="0" w:right="0" w:hanging="0"/>
              <w:jc w:val="left"/>
              <w:rPr/>
            </w:pPr>
            <w:hyperlink w:anchor="CAUTIONARY_STATEMENT_REGARDING_FORWARD_LOOKING_STATEMENTS">
              <w:r>
                <w:rPr>
                  <w:rStyle w:val="InternetLink"/>
                  <w:rFonts w:ascii="Times New Roman" w:hAnsi="Times New Roman"/>
                  <w:caps w:val="false"/>
                  <w:smallCaps w:val="false"/>
                  <w:sz w:val="20"/>
                  <w:u w:val="single"/>
                </w:rPr>
                <w:t>CAUTIONARY NOTE REGARDING FORWARD LOOKING STATEMENTS</w:t>
              </w:r>
            </w:hyperlink>
          </w:p>
        </w:tc>
        <w:tc>
          <w:tcPr>
            <w:tcW w:w="440" w:type="dxa"/>
            <w:tcBorders/>
            <w:vAlign w:val="center"/>
          </w:tcPr>
          <w:p>
            <w:pPr>
              <w:pStyle w:val="TableContents"/>
              <w:bidi w:val="0"/>
              <w:spacing w:before="0" w:after="283"/>
              <w:jc w:val="center"/>
              <w:rPr/>
            </w:pPr>
            <w:hyperlink w:anchor="CAUTIONARY_STATEMENT_REGARDING_FORWARD_LOOKING_STATEMENTS">
              <w:r>
                <w:rPr>
                  <w:rStyle w:val="InternetLink"/>
                </w:rPr>
                <w:t>3</w:t>
              </w:r>
            </w:hyperlink>
          </w:p>
        </w:tc>
      </w:tr>
      <w:tr>
        <w:trPr/>
        <w:tc>
          <w:tcPr>
            <w:tcW w:w="6215" w:type="dxa"/>
            <w:tcBorders/>
            <w:vAlign w:val="center"/>
          </w:tcPr>
          <w:p>
            <w:pPr>
              <w:pStyle w:val="TableContents"/>
              <w:bidi w:val="0"/>
              <w:spacing w:before="0" w:after="0"/>
              <w:ind w:left="0" w:right="0" w:hanging="0"/>
              <w:jc w:val="left"/>
              <w:rPr/>
            </w:pPr>
            <w:hyperlink w:anchor="PROSPECTUS_SUMMARY">
              <w:r>
                <w:rPr>
                  <w:rStyle w:val="InternetLink"/>
                  <w:rFonts w:ascii="Times New Roman" w:hAnsi="Times New Roman"/>
                  <w:caps w:val="false"/>
                  <w:smallCaps w:val="false"/>
                  <w:sz w:val="20"/>
                  <w:u w:val="single"/>
                </w:rPr>
                <w:t>PROSPECTUS SUMMARY</w:t>
              </w:r>
            </w:hyperlink>
          </w:p>
        </w:tc>
        <w:tc>
          <w:tcPr>
            <w:tcW w:w="440" w:type="dxa"/>
            <w:tcBorders/>
            <w:vAlign w:val="center"/>
          </w:tcPr>
          <w:p>
            <w:pPr>
              <w:pStyle w:val="TableContents"/>
              <w:bidi w:val="0"/>
              <w:spacing w:before="0" w:after="283"/>
              <w:jc w:val="center"/>
              <w:rPr/>
            </w:pPr>
            <w:hyperlink w:anchor="PROSPECTUS_SUMMARY">
              <w:r>
                <w:rPr>
                  <w:rStyle w:val="InternetLink"/>
                </w:rPr>
                <w:t>4</w:t>
              </w:r>
            </w:hyperlink>
          </w:p>
        </w:tc>
      </w:tr>
      <w:tr>
        <w:trPr/>
        <w:tc>
          <w:tcPr>
            <w:tcW w:w="6215" w:type="dxa"/>
            <w:tcBorders/>
            <w:vAlign w:val="center"/>
          </w:tcPr>
          <w:p>
            <w:pPr>
              <w:pStyle w:val="TableContents"/>
              <w:bidi w:val="0"/>
              <w:spacing w:before="0" w:after="0"/>
              <w:ind w:left="0" w:right="0" w:hanging="0"/>
              <w:jc w:val="left"/>
              <w:rPr/>
            </w:pPr>
            <w:hyperlink w:anchor="RISK_FACTORS_">
              <w:r>
                <w:rPr>
                  <w:rStyle w:val="InternetLink"/>
                  <w:rFonts w:ascii="Times New Roman" w:hAnsi="Times New Roman"/>
                  <w:caps w:val="false"/>
                  <w:smallCaps w:val="false"/>
                  <w:sz w:val="20"/>
                  <w:u w:val="single"/>
                </w:rPr>
                <w:t>RISK FACTORS </w:t>
              </w:r>
            </w:hyperlink>
          </w:p>
        </w:tc>
        <w:tc>
          <w:tcPr>
            <w:tcW w:w="440" w:type="dxa"/>
            <w:tcBorders/>
            <w:vAlign w:val="center"/>
          </w:tcPr>
          <w:p>
            <w:pPr>
              <w:pStyle w:val="TableContents"/>
              <w:bidi w:val="0"/>
              <w:spacing w:before="0" w:after="283"/>
              <w:jc w:val="center"/>
              <w:rPr/>
            </w:pPr>
            <w:hyperlink w:anchor="RISK_FACTORS_">
              <w:r>
                <w:rPr>
                  <w:rStyle w:val="InternetLink"/>
                </w:rPr>
                <w:t>6</w:t>
              </w:r>
            </w:hyperlink>
          </w:p>
        </w:tc>
      </w:tr>
      <w:tr>
        <w:trPr/>
        <w:tc>
          <w:tcPr>
            <w:tcW w:w="6215" w:type="dxa"/>
            <w:tcBorders/>
            <w:vAlign w:val="center"/>
          </w:tcPr>
          <w:p>
            <w:pPr>
              <w:pStyle w:val="TableContents"/>
              <w:bidi w:val="0"/>
              <w:spacing w:before="0" w:after="0"/>
              <w:ind w:left="0" w:right="0" w:hanging="0"/>
              <w:jc w:val="left"/>
              <w:rPr/>
            </w:pPr>
            <w:hyperlink w:anchor="USE_OF_PROCEEDS">
              <w:r>
                <w:rPr>
                  <w:rStyle w:val="InternetLink"/>
                  <w:rFonts w:ascii="Times New Roman" w:hAnsi="Times New Roman"/>
                  <w:caps w:val="false"/>
                  <w:smallCaps w:val="false"/>
                  <w:sz w:val="20"/>
                  <w:u w:val="single"/>
                </w:rPr>
                <w:t>USE OF PROCEEDS</w:t>
              </w:r>
            </w:hyperlink>
          </w:p>
        </w:tc>
        <w:tc>
          <w:tcPr>
            <w:tcW w:w="440" w:type="dxa"/>
            <w:tcBorders/>
            <w:vAlign w:val="center"/>
          </w:tcPr>
          <w:p>
            <w:pPr>
              <w:pStyle w:val="TableContents"/>
              <w:bidi w:val="0"/>
              <w:spacing w:before="0" w:after="283"/>
              <w:jc w:val="center"/>
              <w:rPr/>
            </w:pPr>
            <w:hyperlink w:anchor="USE_OF_PROCEEDS">
              <w:r>
                <w:rPr>
                  <w:rStyle w:val="InternetLink"/>
                </w:rPr>
                <w:t>6</w:t>
              </w:r>
            </w:hyperlink>
          </w:p>
        </w:tc>
      </w:tr>
      <w:tr>
        <w:trPr/>
        <w:tc>
          <w:tcPr>
            <w:tcW w:w="6215" w:type="dxa"/>
            <w:tcBorders/>
            <w:vAlign w:val="center"/>
          </w:tcPr>
          <w:p>
            <w:pPr>
              <w:pStyle w:val="TableContents"/>
              <w:bidi w:val="0"/>
              <w:spacing w:before="0" w:after="0"/>
              <w:ind w:left="0" w:right="0" w:hanging="0"/>
              <w:jc w:val="left"/>
              <w:rPr/>
            </w:pPr>
            <w:hyperlink w:anchor="DESCRIPTION_OF_CAPITAL_STOCK">
              <w:r>
                <w:rPr>
                  <w:rStyle w:val="InternetLink"/>
                  <w:rFonts w:ascii="Times New Roman" w:hAnsi="Times New Roman"/>
                  <w:caps w:val="false"/>
                  <w:smallCaps w:val="false"/>
                  <w:sz w:val="20"/>
                  <w:u w:val="single"/>
                </w:rPr>
                <w:t>DESCRIPTION OF CAPITAL STOCK</w:t>
              </w:r>
            </w:hyperlink>
          </w:p>
        </w:tc>
        <w:tc>
          <w:tcPr>
            <w:tcW w:w="440" w:type="dxa"/>
            <w:tcBorders/>
            <w:vAlign w:val="center"/>
          </w:tcPr>
          <w:p>
            <w:pPr>
              <w:pStyle w:val="TableContents"/>
              <w:bidi w:val="0"/>
              <w:spacing w:before="0" w:after="283"/>
              <w:jc w:val="center"/>
              <w:rPr/>
            </w:pPr>
            <w:hyperlink w:anchor="DESCRIPTION_OF_CAPITAL_STOCK">
              <w:r>
                <w:rPr>
                  <w:rStyle w:val="InternetLink"/>
                </w:rPr>
                <w:t>7</w:t>
              </w:r>
            </w:hyperlink>
          </w:p>
        </w:tc>
      </w:tr>
      <w:tr>
        <w:trPr/>
        <w:tc>
          <w:tcPr>
            <w:tcW w:w="6215" w:type="dxa"/>
            <w:tcBorders/>
            <w:vAlign w:val="center"/>
          </w:tcPr>
          <w:p>
            <w:pPr>
              <w:pStyle w:val="TableContents"/>
              <w:bidi w:val="0"/>
              <w:spacing w:before="0" w:after="0"/>
              <w:ind w:left="0" w:right="0" w:hanging="0"/>
              <w:jc w:val="left"/>
              <w:rPr/>
            </w:pPr>
            <w:hyperlink w:anchor="DESCRIPTION_OF_DEBT_SECURITIES">
              <w:r>
                <w:rPr>
                  <w:rStyle w:val="InternetLink"/>
                  <w:rFonts w:ascii="Times New Roman" w:hAnsi="Times New Roman"/>
                  <w:caps w:val="false"/>
                  <w:smallCaps w:val="false"/>
                  <w:sz w:val="20"/>
                  <w:u w:val="single"/>
                </w:rPr>
                <w:t>DESCRIPTION OF DEBT SECURITIES</w:t>
              </w:r>
            </w:hyperlink>
          </w:p>
        </w:tc>
        <w:tc>
          <w:tcPr>
            <w:tcW w:w="440" w:type="dxa"/>
            <w:tcBorders/>
            <w:vAlign w:val="center"/>
          </w:tcPr>
          <w:p>
            <w:pPr>
              <w:pStyle w:val="TableContents"/>
              <w:bidi w:val="0"/>
              <w:spacing w:before="0" w:after="283"/>
              <w:jc w:val="center"/>
              <w:rPr/>
            </w:pPr>
            <w:hyperlink w:anchor="DESCRIPTION_OF_DEBT_SECURITIES">
              <w:r>
                <w:rPr>
                  <w:rStyle w:val="InternetLink"/>
                </w:rPr>
                <w:t>10</w:t>
              </w:r>
            </w:hyperlink>
          </w:p>
        </w:tc>
      </w:tr>
      <w:tr>
        <w:trPr/>
        <w:tc>
          <w:tcPr>
            <w:tcW w:w="6215" w:type="dxa"/>
            <w:tcBorders/>
            <w:vAlign w:val="center"/>
          </w:tcPr>
          <w:p>
            <w:pPr>
              <w:pStyle w:val="TableContents"/>
              <w:bidi w:val="0"/>
              <w:spacing w:before="0" w:after="0"/>
              <w:ind w:left="0" w:right="0" w:hanging="0"/>
              <w:jc w:val="left"/>
              <w:rPr/>
            </w:pPr>
            <w:hyperlink w:anchor="DESCRIPTION_OF_DEPOSITARY_SHARES">
              <w:r>
                <w:rPr>
                  <w:rStyle w:val="InternetLink"/>
                  <w:rFonts w:ascii="Times New Roman" w:hAnsi="Times New Roman"/>
                  <w:caps w:val="false"/>
                  <w:smallCaps w:val="false"/>
                  <w:sz w:val="20"/>
                  <w:u w:val="single"/>
                </w:rPr>
                <w:t>DESCRIPTION OF DEPOSITARY SHARES</w:t>
              </w:r>
            </w:hyperlink>
          </w:p>
        </w:tc>
        <w:tc>
          <w:tcPr>
            <w:tcW w:w="440" w:type="dxa"/>
            <w:tcBorders/>
            <w:vAlign w:val="center"/>
          </w:tcPr>
          <w:p>
            <w:pPr>
              <w:pStyle w:val="TableContents"/>
              <w:bidi w:val="0"/>
              <w:spacing w:before="0" w:after="283"/>
              <w:jc w:val="center"/>
              <w:rPr/>
            </w:pPr>
            <w:hyperlink w:anchor="DESCRIPTION_OF_DEPOSITARY_SHARES">
              <w:r>
                <w:rPr>
                  <w:rStyle w:val="InternetLink"/>
                </w:rPr>
                <w:t>16</w:t>
              </w:r>
            </w:hyperlink>
          </w:p>
        </w:tc>
      </w:tr>
      <w:tr>
        <w:trPr/>
        <w:tc>
          <w:tcPr>
            <w:tcW w:w="6215" w:type="dxa"/>
            <w:tcBorders/>
            <w:vAlign w:val="center"/>
          </w:tcPr>
          <w:p>
            <w:pPr>
              <w:pStyle w:val="TableContents"/>
              <w:bidi w:val="0"/>
              <w:spacing w:before="0" w:after="0"/>
              <w:ind w:left="0" w:right="0" w:hanging="0"/>
              <w:jc w:val="left"/>
              <w:rPr/>
            </w:pPr>
            <w:hyperlink w:anchor="DESCRIPTION_OF_WARRANTS">
              <w:r>
                <w:rPr>
                  <w:rStyle w:val="InternetLink"/>
                  <w:rFonts w:ascii="Times New Roman" w:hAnsi="Times New Roman"/>
                  <w:caps w:val="false"/>
                  <w:smallCaps w:val="false"/>
                  <w:sz w:val="20"/>
                  <w:u w:val="single"/>
                </w:rPr>
                <w:t>DESCRIPTION OF WARRANTS</w:t>
              </w:r>
            </w:hyperlink>
          </w:p>
        </w:tc>
        <w:tc>
          <w:tcPr>
            <w:tcW w:w="440" w:type="dxa"/>
            <w:tcBorders/>
            <w:vAlign w:val="center"/>
          </w:tcPr>
          <w:p>
            <w:pPr>
              <w:pStyle w:val="TableContents"/>
              <w:bidi w:val="0"/>
              <w:spacing w:before="0" w:after="283"/>
              <w:jc w:val="center"/>
              <w:rPr/>
            </w:pPr>
            <w:hyperlink w:anchor="DESCRIPTION_OF_WARRANTS">
              <w:r>
                <w:rPr>
                  <w:rStyle w:val="InternetLink"/>
                </w:rPr>
                <w:t>18</w:t>
              </w:r>
            </w:hyperlink>
          </w:p>
        </w:tc>
      </w:tr>
      <w:tr>
        <w:trPr/>
        <w:tc>
          <w:tcPr>
            <w:tcW w:w="6215" w:type="dxa"/>
            <w:tcBorders/>
            <w:vAlign w:val="center"/>
          </w:tcPr>
          <w:p>
            <w:pPr>
              <w:pStyle w:val="TableContents"/>
              <w:bidi w:val="0"/>
              <w:spacing w:before="0" w:after="0"/>
              <w:ind w:left="0" w:right="0" w:hanging="0"/>
              <w:jc w:val="left"/>
              <w:rPr/>
            </w:pPr>
            <w:hyperlink w:anchor="DESCRIPTION_OF_SUBSCRIPTION_RIGHTS">
              <w:r>
                <w:rPr>
                  <w:rStyle w:val="InternetLink"/>
                  <w:rFonts w:ascii="Times New Roman" w:hAnsi="Times New Roman"/>
                  <w:caps w:val="false"/>
                  <w:smallCaps w:val="false"/>
                  <w:sz w:val="20"/>
                  <w:u w:val="single"/>
                </w:rPr>
                <w:t>DESCRIPTION OF SUBSCRIPTION RIGHTS</w:t>
              </w:r>
            </w:hyperlink>
          </w:p>
        </w:tc>
        <w:tc>
          <w:tcPr>
            <w:tcW w:w="440" w:type="dxa"/>
            <w:tcBorders/>
            <w:vAlign w:val="center"/>
          </w:tcPr>
          <w:p>
            <w:pPr>
              <w:pStyle w:val="TableContents"/>
              <w:bidi w:val="0"/>
              <w:spacing w:before="0" w:after="283"/>
              <w:jc w:val="center"/>
              <w:rPr/>
            </w:pPr>
            <w:hyperlink w:anchor="DESCRIPTION_OF_SUBSCRIPTION_RIGHTS">
              <w:r>
                <w:rPr>
                  <w:rStyle w:val="InternetLink"/>
                </w:rPr>
                <w:t>19</w:t>
              </w:r>
            </w:hyperlink>
          </w:p>
        </w:tc>
      </w:tr>
      <w:tr>
        <w:trPr/>
        <w:tc>
          <w:tcPr>
            <w:tcW w:w="6215" w:type="dxa"/>
            <w:tcBorders/>
            <w:vAlign w:val="center"/>
          </w:tcPr>
          <w:p>
            <w:pPr>
              <w:pStyle w:val="TableContents"/>
              <w:bidi w:val="0"/>
              <w:spacing w:before="0" w:after="0"/>
              <w:ind w:left="0" w:right="0" w:hanging="0"/>
              <w:jc w:val="left"/>
              <w:rPr/>
            </w:pPr>
            <w:hyperlink w:anchor="DESCRIPTION_OF_PURCHASE_CONTRACTS">
              <w:r>
                <w:rPr>
                  <w:rStyle w:val="InternetLink"/>
                  <w:rFonts w:ascii="Times New Roman" w:hAnsi="Times New Roman"/>
                  <w:caps w:val="false"/>
                  <w:smallCaps w:val="false"/>
                  <w:sz w:val="20"/>
                  <w:u w:val="single"/>
                </w:rPr>
                <w:t>DESCRIPTION OF PURCHASE CONTRACTS</w:t>
              </w:r>
            </w:hyperlink>
          </w:p>
        </w:tc>
        <w:tc>
          <w:tcPr>
            <w:tcW w:w="440" w:type="dxa"/>
            <w:tcBorders/>
            <w:vAlign w:val="center"/>
          </w:tcPr>
          <w:p>
            <w:pPr>
              <w:pStyle w:val="TableContents"/>
              <w:bidi w:val="0"/>
              <w:spacing w:before="0" w:after="283"/>
              <w:jc w:val="center"/>
              <w:rPr/>
            </w:pPr>
            <w:hyperlink w:anchor="DESCRIPTION_OF_PURCHASE_CONTRACTS">
              <w:r>
                <w:rPr>
                  <w:rStyle w:val="InternetLink"/>
                </w:rPr>
                <w:t>20</w:t>
              </w:r>
            </w:hyperlink>
          </w:p>
        </w:tc>
      </w:tr>
      <w:tr>
        <w:trPr/>
        <w:tc>
          <w:tcPr>
            <w:tcW w:w="6215" w:type="dxa"/>
            <w:tcBorders/>
            <w:vAlign w:val="center"/>
          </w:tcPr>
          <w:p>
            <w:pPr>
              <w:pStyle w:val="TableContents"/>
              <w:bidi w:val="0"/>
              <w:spacing w:before="0" w:after="0"/>
              <w:ind w:left="0" w:right="0" w:hanging="0"/>
              <w:jc w:val="left"/>
              <w:rPr/>
            </w:pPr>
            <w:hyperlink w:anchor="DESCRIPTION_OF_UNITS">
              <w:r>
                <w:rPr>
                  <w:rStyle w:val="InternetLink"/>
                  <w:rFonts w:ascii="Times New Roman" w:hAnsi="Times New Roman"/>
                  <w:caps w:val="false"/>
                  <w:smallCaps w:val="false"/>
                  <w:sz w:val="20"/>
                  <w:u w:val="single"/>
                </w:rPr>
                <w:t>DESCRIPTION OF UNITS</w:t>
              </w:r>
            </w:hyperlink>
          </w:p>
        </w:tc>
        <w:tc>
          <w:tcPr>
            <w:tcW w:w="440" w:type="dxa"/>
            <w:tcBorders/>
            <w:vAlign w:val="center"/>
          </w:tcPr>
          <w:p>
            <w:pPr>
              <w:pStyle w:val="TableContents"/>
              <w:bidi w:val="0"/>
              <w:spacing w:before="0" w:after="283"/>
              <w:jc w:val="center"/>
              <w:rPr/>
            </w:pPr>
            <w:hyperlink w:anchor="DESCRIPTION_OF_UNITS">
              <w:r>
                <w:rPr>
                  <w:rStyle w:val="InternetLink"/>
                </w:rPr>
                <w:t>21</w:t>
              </w:r>
            </w:hyperlink>
          </w:p>
        </w:tc>
      </w:tr>
      <w:tr>
        <w:trPr/>
        <w:tc>
          <w:tcPr>
            <w:tcW w:w="6215" w:type="dxa"/>
            <w:tcBorders/>
            <w:vAlign w:val="center"/>
          </w:tcPr>
          <w:p>
            <w:pPr>
              <w:pStyle w:val="TableContents"/>
              <w:bidi w:val="0"/>
              <w:spacing w:before="0" w:after="0"/>
              <w:ind w:left="0" w:right="0" w:hanging="0"/>
              <w:jc w:val="left"/>
              <w:rPr/>
            </w:pPr>
            <w:hyperlink w:anchor="DIVIDEND_POLICY">
              <w:r>
                <w:rPr>
                  <w:rStyle w:val="InternetLink"/>
                  <w:rFonts w:ascii="Times New Roman" w:hAnsi="Times New Roman"/>
                  <w:caps w:val="false"/>
                  <w:smallCaps w:val="false"/>
                  <w:sz w:val="20"/>
                  <w:u w:val="single"/>
                </w:rPr>
                <w:t>DIVIDEND POLICY</w:t>
              </w:r>
            </w:hyperlink>
          </w:p>
        </w:tc>
        <w:tc>
          <w:tcPr>
            <w:tcW w:w="440" w:type="dxa"/>
            <w:tcBorders/>
            <w:vAlign w:val="center"/>
          </w:tcPr>
          <w:p>
            <w:pPr>
              <w:pStyle w:val="TableContents"/>
              <w:bidi w:val="0"/>
              <w:spacing w:before="0" w:after="283"/>
              <w:jc w:val="center"/>
              <w:rPr/>
            </w:pPr>
            <w:hyperlink w:anchor="DIVIDEND_POLICY">
              <w:r>
                <w:rPr>
                  <w:rStyle w:val="InternetLink"/>
                </w:rPr>
                <w:t>21</w:t>
              </w:r>
            </w:hyperlink>
          </w:p>
        </w:tc>
      </w:tr>
      <w:tr>
        <w:trPr/>
        <w:tc>
          <w:tcPr>
            <w:tcW w:w="6215" w:type="dxa"/>
            <w:tcBorders/>
            <w:vAlign w:val="center"/>
          </w:tcPr>
          <w:p>
            <w:pPr>
              <w:pStyle w:val="TableContents"/>
              <w:bidi w:val="0"/>
              <w:spacing w:before="0" w:after="0"/>
              <w:ind w:left="0" w:right="0" w:hanging="0"/>
              <w:jc w:val="left"/>
              <w:rPr/>
            </w:pPr>
            <w:hyperlink w:anchor="PLANOFDISTRIBUTION">
              <w:r>
                <w:rPr>
                  <w:rStyle w:val="InternetLink"/>
                  <w:rFonts w:ascii="Times New Roman" w:hAnsi="Times New Roman"/>
                  <w:caps w:val="false"/>
                  <w:smallCaps w:val="false"/>
                  <w:sz w:val="20"/>
                  <w:u w:val="single"/>
                </w:rPr>
                <w:t>PLAN OF DISTRIBUTION</w:t>
              </w:r>
            </w:hyperlink>
          </w:p>
        </w:tc>
        <w:tc>
          <w:tcPr>
            <w:tcW w:w="440" w:type="dxa"/>
            <w:tcBorders/>
            <w:vAlign w:val="center"/>
          </w:tcPr>
          <w:p>
            <w:pPr>
              <w:pStyle w:val="TableContents"/>
              <w:bidi w:val="0"/>
              <w:spacing w:before="0" w:after="283"/>
              <w:jc w:val="center"/>
              <w:rPr/>
            </w:pPr>
            <w:hyperlink w:anchor="PLANOFDISTRIBUTION">
              <w:r>
                <w:rPr>
                  <w:rStyle w:val="InternetLink"/>
                </w:rPr>
                <w:t>22</w:t>
              </w:r>
            </w:hyperlink>
          </w:p>
        </w:tc>
      </w:tr>
      <w:tr>
        <w:trPr/>
        <w:tc>
          <w:tcPr>
            <w:tcW w:w="6215" w:type="dxa"/>
            <w:tcBorders/>
            <w:vAlign w:val="center"/>
          </w:tcPr>
          <w:p>
            <w:pPr>
              <w:pStyle w:val="TableContents"/>
              <w:bidi w:val="0"/>
              <w:spacing w:before="0" w:after="0"/>
              <w:ind w:left="0" w:right="0" w:hanging="0"/>
              <w:jc w:val="left"/>
              <w:rPr/>
            </w:pPr>
            <w:hyperlink w:anchor="LEGALMATTERS">
              <w:r>
                <w:rPr>
                  <w:rStyle w:val="InternetLink"/>
                  <w:rFonts w:ascii="Times New Roman" w:hAnsi="Times New Roman"/>
                  <w:caps w:val="false"/>
                  <w:smallCaps w:val="false"/>
                  <w:sz w:val="20"/>
                  <w:u w:val="single"/>
                </w:rPr>
                <w:t>LEGAL MATTERS</w:t>
              </w:r>
            </w:hyperlink>
          </w:p>
        </w:tc>
        <w:tc>
          <w:tcPr>
            <w:tcW w:w="440" w:type="dxa"/>
            <w:tcBorders/>
            <w:vAlign w:val="center"/>
          </w:tcPr>
          <w:p>
            <w:pPr>
              <w:pStyle w:val="TableContents"/>
              <w:bidi w:val="0"/>
              <w:spacing w:before="0" w:after="283"/>
              <w:jc w:val="center"/>
              <w:rPr/>
            </w:pPr>
            <w:hyperlink w:anchor="LEGALMATTERS">
              <w:r>
                <w:rPr>
                  <w:rStyle w:val="InternetLink"/>
                </w:rPr>
                <w:t>25</w:t>
              </w:r>
            </w:hyperlink>
          </w:p>
        </w:tc>
      </w:tr>
      <w:tr>
        <w:trPr/>
        <w:tc>
          <w:tcPr>
            <w:tcW w:w="6215" w:type="dxa"/>
            <w:tcBorders/>
            <w:vAlign w:val="center"/>
          </w:tcPr>
          <w:p>
            <w:pPr>
              <w:pStyle w:val="TableContents"/>
              <w:bidi w:val="0"/>
              <w:spacing w:before="0" w:after="0"/>
              <w:ind w:left="0" w:right="0" w:hanging="0"/>
              <w:jc w:val="left"/>
              <w:rPr/>
            </w:pPr>
            <w:hyperlink w:anchor="EXPERTS">
              <w:r>
                <w:rPr>
                  <w:rStyle w:val="InternetLink"/>
                  <w:rFonts w:ascii="Times New Roman" w:hAnsi="Times New Roman"/>
                  <w:caps w:val="false"/>
                  <w:smallCaps w:val="false"/>
                  <w:sz w:val="20"/>
                  <w:u w:val="single"/>
                </w:rPr>
                <w:t>EXPERTS</w:t>
              </w:r>
            </w:hyperlink>
          </w:p>
        </w:tc>
        <w:tc>
          <w:tcPr>
            <w:tcW w:w="440" w:type="dxa"/>
            <w:tcBorders/>
            <w:vAlign w:val="center"/>
          </w:tcPr>
          <w:p>
            <w:pPr>
              <w:pStyle w:val="TableContents"/>
              <w:bidi w:val="0"/>
              <w:spacing w:before="0" w:after="283"/>
              <w:jc w:val="center"/>
              <w:rPr/>
            </w:pPr>
            <w:hyperlink w:anchor="EXPERTS">
              <w:r>
                <w:rPr>
                  <w:rStyle w:val="InternetLink"/>
                </w:rPr>
                <w:t>25</w:t>
              </w:r>
            </w:hyperlink>
          </w:p>
        </w:tc>
      </w:tr>
      <w:tr>
        <w:trPr/>
        <w:tc>
          <w:tcPr>
            <w:tcW w:w="6215" w:type="dxa"/>
            <w:tcBorders/>
            <w:vAlign w:val="center"/>
          </w:tcPr>
          <w:p>
            <w:pPr>
              <w:pStyle w:val="TableContents"/>
              <w:bidi w:val="0"/>
              <w:spacing w:before="0" w:after="0"/>
              <w:ind w:left="0" w:right="0" w:hanging="0"/>
              <w:jc w:val="left"/>
              <w:rPr/>
            </w:pPr>
            <w:hyperlink w:anchor="INCORPORATIONBYREFERENCE">
              <w:r>
                <w:rPr>
                  <w:rStyle w:val="InternetLink"/>
                  <w:rFonts w:ascii="Times New Roman" w:hAnsi="Times New Roman"/>
                  <w:caps w:val="false"/>
                  <w:smallCaps w:val="false"/>
                  <w:sz w:val="20"/>
                  <w:u w:val="single"/>
                </w:rPr>
                <w:t>INCORPORATION OF CERTAIN INFORMATION BY REFERENCE</w:t>
              </w:r>
            </w:hyperlink>
          </w:p>
        </w:tc>
        <w:tc>
          <w:tcPr>
            <w:tcW w:w="440" w:type="dxa"/>
            <w:tcBorders/>
            <w:vAlign w:val="center"/>
          </w:tcPr>
          <w:p>
            <w:pPr>
              <w:pStyle w:val="TableContents"/>
              <w:bidi w:val="0"/>
              <w:spacing w:before="0" w:after="283"/>
              <w:jc w:val="center"/>
              <w:rPr/>
            </w:pPr>
            <w:hyperlink w:anchor="INCORPORATIONBYREFERENCE">
              <w:r>
                <w:rPr>
                  <w:rStyle w:val="InternetLink"/>
                </w:rPr>
                <w:t>25</w:t>
              </w:r>
            </w:hyperlink>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i</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3" w:name="about"/>
      <w:bookmarkEnd w:id="3"/>
      <w:r>
        <w:rPr>
          <w:rFonts w:ascii="Times New Roman" w:hAnsi="Times New Roman"/>
          <w:b/>
          <w:caps w:val="false"/>
          <w:smallCaps w:val="false"/>
          <w:sz w:val="20"/>
        </w:rPr>
        <w:t>ABOUT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This prospectus supplement is part of a Registration Statement on Form S-3 (the “</w:t>
      </w:r>
      <w:r>
        <w:rPr>
          <w:rFonts w:ascii="Times New Roman" w:hAnsi="Times New Roman"/>
          <w:caps w:val="false"/>
          <w:smallCaps w:val="false"/>
          <w:sz w:val="20"/>
          <w:u w:val="single"/>
        </w:rPr>
        <w:t>Registration Statement</w:t>
      </w:r>
      <w:r>
        <w:rPr>
          <w:rFonts w:ascii="Times New Roman" w:hAnsi="Times New Roman"/>
          <w:caps w:val="false"/>
          <w:smallCaps w:val="false"/>
          <w:sz w:val="20"/>
        </w:rPr>
        <w:t>”) that we filed with the U.S. Securities and Exchange Commission (“</w:t>
      </w:r>
      <w:r>
        <w:rPr>
          <w:rFonts w:ascii="Times New Roman" w:hAnsi="Times New Roman"/>
          <w:caps w:val="false"/>
          <w:smallCaps w:val="false"/>
          <w:sz w:val="20"/>
          <w:u w:val="single"/>
        </w:rPr>
        <w:t>SEC</w:t>
      </w:r>
      <w:r>
        <w:rPr>
          <w:rFonts w:ascii="Times New Roman" w:hAnsi="Times New Roman"/>
          <w:caps w:val="false"/>
          <w:smallCaps w:val="false"/>
          <w:sz w:val="20"/>
        </w:rPr>
        <w:t>”) on February 19, 2026, using the “shelf” registration process. By using a shelf registration statement, we may offer and sell securities having an aggregate offering price of up to $200,000,000 from time to time under the Registration Statement at prices and on terms to be determined by market conditions at the time of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This prospectus supplement provides you with a description of the offering. You should read this prospectus supplement together with the additional information to which we refer you in the section of this prospectus supplement entitled “Where You Can Find More Information,” and together with the information incorporated by reference as described in the section of this prospectus supplement entitled “Information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We provide information to you about this offering in two separate documents that are bound together: (i) this prospectus supplement, which describes the specific details regarding this offering; and (ii) the accompanying base prospectus, which provides general information, some of which may not apply to this offering. Generally, when we refer to this “prospectus,” we are referring to both documents combined. If information in this prospectus supplement is inconsistent with the accompanying base prospectus, you should rely on this prospectus supplement. To the extent there is a conflict between the information contained in this prospectus supplement and the information contained in any document incorporated by reference in this prospectus supplement, you should rely on the information in this prospectus supplement. If any statement in one of these documents is inconsistent with a statement in another document having a later date (for example, a document incorporated by reference in this prospectus supplement), the statement in the document having the later date modifies or supersedes the earlier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You should rely only on the information incorporated by reference or set forth in this prospectus supplement. We have not, and Mizuho has not, authorized anyone to provide you with any information or to make any representations other than those contained in this prospectus supplement. We and Mizuho do not take responsibility for, and can provide no assurance as to the reliability of, any other information that others may give you. We will not, and Mizuho will not, make an offer to sell these securities in any jurisdiction where the offer or sale is not permitted. You should assume that the information appearing in this prospectus supplement is accurate only as of the date on the front cover of this prospectus supplement. Our business, financial condition, results of operations, and prospects may have changed since that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For investors outside of the United States: We have not, and Mizuho has not, done anything that would permit this offering or possession or distribution of this prospectus supplement in any jurisdiction where action for that purpose is required, other than the United States. Persons outside of the United States who come into possession of this prospectus supplement must inform themselves about, and observe any restrictions relating to, the offering of securities and the distribution of this prospectus supplement outside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We urge you to read carefully this prospectus supplement, together with information incorporated by reference herein, before deciding whether to invest in the securities being offered.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This prospectus supplement and the accompanying base prospectus contain summaries of certain provisions contained in some of the documents described herein or therein, but reference is made to the actual documents for complete information. All of the summaries are qualified in their entirety by the actual documents. Copies of some of the documents referred to herein or therein have been filed, will be filed or will be incorporated by reference as exhibits to the registration statement of which this prospectus supplement is a part, and you may obtain copies of those documents as described under “Where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left"/>
        <w:rPr>
          <w:rFonts w:ascii="Times New Roman" w:hAnsi="Times New Roman"/>
          <w:caps w:val="false"/>
          <w:smallCaps w:val="false"/>
          <w:sz w:val="20"/>
        </w:rPr>
      </w:pPr>
      <w:r>
        <w:rPr>
          <w:rFonts w:ascii="Times New Roman" w:hAnsi="Times New Roman"/>
          <w:b/>
          <w:caps w:val="false"/>
          <w:smallCaps w:val="false"/>
          <w:sz w:val="20"/>
        </w:rPr>
        <w:t xml:space="preserve">We use various trademarks and trade names in our business, including without limitation our corporate name and logo. All other trademarks or trade names referred to in this prospectus supplement are the property of their respective owners. Solely for convenience, the trademarks and trade names in this prospectus supplement may be referred to without the </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and </w:t>
      </w:r>
      <w:r>
        <w:rPr>
          <w:rFonts w:ascii="Times New Roman" w:hAnsi="Times New Roman"/>
          <w:caps w:val="false"/>
          <w:smallCaps w:val="false"/>
          <w:sz w:val="20"/>
        </w:rPr>
        <w:t xml:space="preserve">™ </w:t>
      </w:r>
      <w:r>
        <w:rPr>
          <w:rFonts w:ascii="Times New Roman" w:hAnsi="Times New Roman"/>
          <w:b/>
          <w:caps w:val="false"/>
          <w:smallCaps w:val="false"/>
          <w:sz w:val="20"/>
        </w:rPr>
        <w:t>symbols, but such references should not be construed as any indicator that their respective owners will not assert, to the fullest extent under applicable law, their rights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4" w:name="caution"/>
      <w:bookmarkEnd w:id="4"/>
      <w:r>
        <w:rPr>
          <w:rFonts w:ascii="Times New Roman" w:hAnsi="Times New Roman"/>
          <w:b/>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This prospectus supplement and the other documents we have filed with the SEC that are incorporated by reference herein contain forward-looking statements within the meaning of Section 21E of the Securities Exchange Act of 1934, as amended (the “Exchange Act”), and Section 27A of the Securities Act. Certain statements in this prospectus supplement may constitute “forward-looking statements” for purposes of the federal securities laws. Our forward-looking statements include, but are not limited to, statements regarding our or our management team’s expectations, hopes, beliefs, intentions or strategies regarding our future operations.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These forward-looking statements include, but are not limited to, statements related to our expected business, new product introductions, results of clinical studies, expectations regarding regulatory clearance and the timing of FDA or non-U.S. filings or approvals including meetings with FDA or non-U.S. regulatory bodies, procedures and procedure adoption, future results of operations, future financial position, our ability to generate revenue, our financing plans and future capital requirements, anticipated costs of revenue, anticipated expenses, the effect of recent accounting pronouncements, our anticipated cash flows, our ability to finance operations from cash flows or otherwise, and statements based on current expectations, estimates, forecasts, and projections about the economies and markets in which we operate and intend to operate and our beliefs and assumptions regarding these economies and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Forward-looking statements are not guarantees of future performance and are subject to risks and uncertainties. We have based these forward-looking statements on assumptions and assessments made by our management in light of their experience and their perception of historical trends, current conditions, expected future developments, and other factors they believe to be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Important factors that could cause actual results, developments and business decisions to differ materially from those anticipated in these forward-looking statements include, among others, those factors referred to in our Annual Report on Form 10-K for the fiscal year ended December 31, 2025, which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the documents incorporated by reference herein. You should not rely upon forward-looking statements as predictions of future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 after the date of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5" w:name="market"/>
      <w:bookmarkEnd w:id="5"/>
      <w:r>
        <w:rPr>
          <w:rFonts w:ascii="Times New Roman" w:hAnsi="Times New Roman"/>
          <w:b/>
          <w:caps w:val="false"/>
          <w:smallCaps w:val="false"/>
          <w:sz w:val="20"/>
        </w:rPr>
        <w:t>MARKET AND INDUSTRY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We obtained the industry and market data used throughout this prospectus supplement from our own internal estimates and research, as well as from independent market research, industry and general publications and surveys, governmental agencies, publicly available information and research, surveys, and studies by third parties. Internal estimates are derived from publicly available information released by industry analysts and third-party sources, our internal research and our industry experience, and are based on assumptions made by us based on such data and our knowledge of our industry and market, which we believe to be reasonable. In some cases, we do not expressly refer to the sources from which this data is derived. In addition, while we believe the industry and market data included in this prospectus supplement is reliable and based on reasonable assumptions, such data involves material risks and other uncertainties and is subject to change based on various factors, including those discussed in “Risk Factors.” These and other factors could cause results to differ materially from those expressed in the estimates made by the independent parties or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bdr w:val="single" w:sz="2" w:space="8" w:color="000000"/>
        </w:rPr>
      </w:pPr>
      <w:r>
        <w:rPr>
          <w:caps w:val="false"/>
          <w:smallCaps w:val="false"/>
          <w:bdr w:val="single" w:sz="2" w:space="8" w:color="000000"/>
        </w:rPr>
        <w:t> </w:t>
      </w:r>
    </w:p>
    <w:p>
      <w:pPr>
        <w:pStyle w:val="TextBody"/>
        <w:bidi w:val="0"/>
        <w:spacing w:before="0" w:after="0"/>
        <w:ind w:left="340" w:right="0" w:hanging="0"/>
        <w:jc w:val="center"/>
        <w:rPr>
          <w:rFonts w:ascii="Times New Roman" w:hAnsi="Times New Roman"/>
          <w:b/>
          <w:caps w:val="false"/>
          <w:smallCaps w:val="false"/>
          <w:sz w:val="20"/>
          <w:bdr w:val="single" w:sz="2" w:space="8" w:color="000000"/>
        </w:rPr>
      </w:pPr>
      <w:bookmarkStart w:id="6" w:name="prospectus"/>
      <w:bookmarkEnd w:id="6"/>
      <w:r>
        <w:rPr>
          <w:rFonts w:ascii="Times New Roman" w:hAnsi="Times New Roman"/>
          <w:b/>
          <w:caps w:val="false"/>
          <w:smallCaps w:val="false"/>
          <w:sz w:val="20"/>
          <w:bdr w:val="single" w:sz="2" w:space="8" w:color="000000"/>
        </w:rPr>
        <w:t>PROSPECTUS SUPPLEMENT SUMMARY</w:t>
      </w:r>
    </w:p>
    <w:p>
      <w:pPr>
        <w:pStyle w:val="TextBody"/>
        <w:bidi w:val="0"/>
        <w:spacing w:before="0" w:after="0"/>
        <w:ind w:left="0" w:right="0" w:hanging="0"/>
        <w:jc w:val="left"/>
        <w:rPr>
          <w:caps w:val="false"/>
          <w:smallCaps w:val="false"/>
          <w:bdr w:val="single" w:sz="2" w:space="8" w:color="000000"/>
        </w:rPr>
      </w:pPr>
      <w:r>
        <w:rPr>
          <w:caps w:val="false"/>
          <w:smallCaps w:val="false"/>
          <w:bdr w:val="single" w:sz="2" w:space="8" w:color="000000"/>
        </w:rPr>
        <w:t> </w:t>
      </w:r>
    </w:p>
    <w:p>
      <w:pPr>
        <w:pStyle w:val="TextBody"/>
        <w:bidi w:val="0"/>
        <w:spacing w:before="0" w:after="0"/>
        <w:ind w:left="0" w:right="0" w:firstLine="580"/>
        <w:jc w:val="both"/>
        <w:rPr>
          <w:rFonts w:ascii="Times New Roman" w:hAnsi="Times New Roman"/>
          <w:caps w:val="false"/>
          <w:smallCaps w:val="false"/>
          <w:sz w:val="20"/>
          <w:bdr w:val="single" w:sz="2" w:space="8" w:color="000000"/>
        </w:rPr>
      </w:pPr>
      <w:r>
        <w:rPr>
          <w:rFonts w:ascii="Times New Roman" w:hAnsi="Times New Roman"/>
          <w:i/>
          <w:caps w:val="false"/>
          <w:smallCaps w:val="false"/>
          <w:sz w:val="20"/>
          <w:bdr w:val="single" w:sz="2" w:space="8" w:color="000000"/>
        </w:rPr>
        <w:t xml:space="preserve">This summary highlights selected information from this prospectus supplement and does not contain all of the information that is important to you in making an investment decision. This summary is qualified in its entirety by the more detailed information included elsewhere in this prospectus supplement. Before making your investment decision with respect to our securities, you should carefully read this entire prospectus supplement, the accompanying base prospectus and the information incorporated herein and therein by reference. Unless the context otherwise requires, references to </w:t>
      </w:r>
      <w:r>
        <w:rPr>
          <w:rFonts w:ascii="Times New Roman" w:hAnsi="Times New Roman"/>
          <w:caps w:val="false"/>
          <w:smallCaps w:val="false"/>
          <w:sz w:val="20"/>
          <w:bdr w:val="single" w:sz="2" w:space="8" w:color="000000"/>
        </w:rPr>
        <w:t>“</w:t>
      </w:r>
      <w:r>
        <w:rPr>
          <w:rFonts w:ascii="Times New Roman" w:hAnsi="Times New Roman"/>
          <w:i/>
          <w:caps w:val="false"/>
          <w:smallCaps w:val="false"/>
          <w:sz w:val="20"/>
          <w:bdr w:val="single" w:sz="2" w:space="8" w:color="000000"/>
        </w:rPr>
        <w:t>we,</w:t>
      </w:r>
      <w:r>
        <w:rPr>
          <w:rFonts w:ascii="Times New Roman" w:hAnsi="Times New Roman"/>
          <w:caps w:val="false"/>
          <w:smallCaps w:val="false"/>
          <w:sz w:val="20"/>
          <w:bdr w:val="single" w:sz="2" w:space="8" w:color="000000"/>
        </w:rPr>
        <w:t>” “</w:t>
      </w:r>
      <w:r>
        <w:rPr>
          <w:rFonts w:ascii="Times New Roman" w:hAnsi="Times New Roman"/>
          <w:i/>
          <w:caps w:val="false"/>
          <w:smallCaps w:val="false"/>
          <w:sz w:val="20"/>
          <w:bdr w:val="single" w:sz="2" w:space="8" w:color="000000"/>
        </w:rPr>
        <w:t>us,</w:t>
      </w:r>
      <w:r>
        <w:rPr>
          <w:rFonts w:ascii="Times New Roman" w:hAnsi="Times New Roman"/>
          <w:caps w:val="false"/>
          <w:smallCaps w:val="false"/>
          <w:sz w:val="20"/>
          <w:bdr w:val="single" w:sz="2" w:space="8" w:color="000000"/>
        </w:rPr>
        <w:t>” “</w:t>
      </w:r>
      <w:r>
        <w:rPr>
          <w:rFonts w:ascii="Times New Roman" w:hAnsi="Times New Roman"/>
          <w:i/>
          <w:caps w:val="false"/>
          <w:smallCaps w:val="false"/>
          <w:sz w:val="20"/>
          <w:bdr w:val="single" w:sz="2" w:space="8" w:color="000000"/>
        </w:rPr>
        <w:t>our,</w:t>
      </w:r>
      <w:r>
        <w:rPr>
          <w:rFonts w:ascii="Times New Roman" w:hAnsi="Times New Roman"/>
          <w:caps w:val="false"/>
          <w:smallCaps w:val="false"/>
          <w:sz w:val="20"/>
          <w:bdr w:val="single" w:sz="2" w:space="8" w:color="000000"/>
        </w:rPr>
        <w:t>” </w:t>
      </w:r>
      <w:r>
        <w:rPr>
          <w:rFonts w:ascii="Times New Roman" w:hAnsi="Times New Roman"/>
          <w:i/>
          <w:caps w:val="false"/>
          <w:smallCaps w:val="false"/>
          <w:sz w:val="20"/>
          <w:bdr w:val="single" w:sz="2" w:space="8" w:color="000000"/>
        </w:rPr>
        <w:t xml:space="preserve">the </w:t>
      </w:r>
      <w:r>
        <w:rPr>
          <w:rFonts w:ascii="Times New Roman" w:hAnsi="Times New Roman"/>
          <w:caps w:val="false"/>
          <w:smallCaps w:val="false"/>
          <w:sz w:val="20"/>
          <w:bdr w:val="single" w:sz="2" w:space="8" w:color="000000"/>
        </w:rPr>
        <w:t>“</w:t>
      </w:r>
      <w:r>
        <w:rPr>
          <w:rFonts w:ascii="Times New Roman" w:hAnsi="Times New Roman"/>
          <w:i/>
          <w:caps w:val="false"/>
          <w:smallCaps w:val="false"/>
          <w:sz w:val="20"/>
          <w:bdr w:val="single" w:sz="2" w:space="8" w:color="000000"/>
        </w:rPr>
        <w:t>Company,</w:t>
      </w:r>
      <w:r>
        <w:rPr>
          <w:rFonts w:ascii="Times New Roman" w:hAnsi="Times New Roman"/>
          <w:caps w:val="false"/>
          <w:smallCaps w:val="false"/>
          <w:sz w:val="20"/>
          <w:bdr w:val="single" w:sz="2" w:space="8" w:color="000000"/>
        </w:rPr>
        <w:t>” “</w:t>
      </w:r>
      <w:r>
        <w:rPr>
          <w:rFonts w:ascii="Times New Roman" w:hAnsi="Times New Roman"/>
          <w:i/>
          <w:caps w:val="false"/>
          <w:smallCaps w:val="false"/>
          <w:sz w:val="20"/>
          <w:bdr w:val="single" w:sz="2" w:space="8" w:color="000000"/>
        </w:rPr>
        <w:t>Pulse</w:t>
      </w:r>
      <w:r>
        <w:rPr>
          <w:rFonts w:ascii="Times New Roman" w:hAnsi="Times New Roman"/>
          <w:caps w:val="false"/>
          <w:smallCaps w:val="false"/>
          <w:sz w:val="20"/>
          <w:bdr w:val="single" w:sz="2" w:space="8" w:color="000000"/>
        </w:rPr>
        <w:t>”, “</w:t>
      </w:r>
      <w:r>
        <w:rPr>
          <w:rFonts w:ascii="Times New Roman" w:hAnsi="Times New Roman"/>
          <w:i/>
          <w:caps w:val="false"/>
          <w:smallCaps w:val="false"/>
          <w:sz w:val="20"/>
          <w:bdr w:val="single" w:sz="2" w:space="8" w:color="000000"/>
        </w:rPr>
        <w:t>Pulse Biosciences</w:t>
      </w:r>
      <w:r>
        <w:rPr>
          <w:rFonts w:ascii="Times New Roman" w:hAnsi="Times New Roman"/>
          <w:caps w:val="false"/>
          <w:smallCaps w:val="false"/>
          <w:sz w:val="20"/>
          <w:bdr w:val="single" w:sz="2" w:space="8" w:color="000000"/>
        </w:rPr>
        <w:t>” </w:t>
      </w:r>
      <w:r>
        <w:rPr>
          <w:rFonts w:ascii="Times New Roman" w:hAnsi="Times New Roman"/>
          <w:i/>
          <w:caps w:val="false"/>
          <w:smallCaps w:val="false"/>
          <w:sz w:val="20"/>
          <w:bdr w:val="single" w:sz="2" w:space="8" w:color="000000"/>
        </w:rPr>
        <w:t>and similar designations are intended to mean the business and operations of Pulse Biosciences, Inc. and its consolidated subsidiaries.</w:t>
      </w:r>
    </w:p>
    <w:p>
      <w:pPr>
        <w:pStyle w:val="TextBody"/>
        <w:bidi w:val="0"/>
        <w:spacing w:before="0" w:after="0"/>
        <w:ind w:left="0" w:right="0" w:hanging="0"/>
        <w:jc w:val="left"/>
        <w:rPr>
          <w:caps w:val="false"/>
          <w:smallCaps w:val="false"/>
          <w:bdr w:val="single" w:sz="2" w:space="8" w:color="000000"/>
        </w:rPr>
      </w:pPr>
      <w:r>
        <w:rPr>
          <w:caps w:val="false"/>
          <w:smallCaps w:val="false"/>
          <w:bdr w:val="single" w:sz="2" w:space="8" w:color="000000"/>
        </w:rPr>
        <w:t> </w:t>
      </w:r>
    </w:p>
    <w:p>
      <w:pPr>
        <w:pStyle w:val="TextBody"/>
        <w:bidi w:val="0"/>
        <w:spacing w:before="0" w:after="0"/>
        <w:ind w:left="0" w:right="0" w:hanging="0"/>
        <w:jc w:val="both"/>
        <w:rPr>
          <w:rFonts w:ascii="Times New Roman" w:hAnsi="Times New Roman"/>
          <w:b/>
          <w:caps w:val="false"/>
          <w:smallCaps w:val="false"/>
          <w:sz w:val="20"/>
          <w:bdr w:val="single" w:sz="2" w:space="8" w:color="000000"/>
        </w:rPr>
      </w:pPr>
      <w:r>
        <w:rPr>
          <w:rFonts w:ascii="Times New Roman" w:hAnsi="Times New Roman"/>
          <w:b/>
          <w:caps w:val="false"/>
          <w:smallCaps w:val="false"/>
          <w:sz w:val="20"/>
          <w:bdr w:val="single" w:sz="2" w:space="8" w:color="000000"/>
        </w:rPr>
        <w:t>Overview</w:t>
      </w:r>
    </w:p>
    <w:p>
      <w:pPr>
        <w:pStyle w:val="TextBody"/>
        <w:bidi w:val="0"/>
        <w:spacing w:before="0" w:after="0"/>
        <w:ind w:left="0" w:right="0" w:hanging="0"/>
        <w:jc w:val="left"/>
        <w:rPr>
          <w:caps w:val="false"/>
          <w:smallCaps w:val="false"/>
          <w:bdr w:val="single" w:sz="2" w:space="8" w:color="000000"/>
        </w:rPr>
      </w:pPr>
      <w:r>
        <w:rPr>
          <w:caps w:val="false"/>
          <w:smallCaps w:val="false"/>
          <w:bdr w:val="single" w:sz="2" w:space="8" w:color="000000"/>
        </w:rPr>
        <w:t> </w:t>
      </w:r>
    </w:p>
    <w:p>
      <w:pPr>
        <w:pStyle w:val="TextBody"/>
        <w:bidi w:val="0"/>
        <w:spacing w:before="0" w:after="0"/>
        <w:ind w:left="0" w:right="0" w:firstLine="580"/>
        <w:jc w:val="both"/>
        <w:rPr>
          <w:rFonts w:ascii="Times New Roman" w:hAnsi="Times New Roman"/>
          <w:caps w:val="false"/>
          <w:smallCaps w:val="false"/>
          <w:sz w:val="20"/>
          <w:bdr w:val="single" w:sz="2" w:space="8" w:color="000000"/>
        </w:rPr>
      </w:pPr>
      <w:r>
        <w:rPr>
          <w:rFonts w:ascii="Times New Roman" w:hAnsi="Times New Roman"/>
          <w:caps w:val="false"/>
          <w:smallCaps w:val="false"/>
          <w:sz w:val="20"/>
          <w:bdr w:val="single" w:sz="2" w:space="8" w:color="000000"/>
        </w:rPr>
        <w:t>We are a novel ablation company committed to health innovation using our patented Nano-pulse Stimulation (“NPS”) technology, a revolutionary energy modality that delivers nanosecond-duration pulses of electrical energy, each less than a millionth of a second long, to nonthermally clear or kill targeted cells. NPS technology, also referred to as Nanosecond Pulsed-Field Ablation (“nsPFA”) technology when used to ablate cellular tissue, can be used to treat a variety of medical conditions for which an optimal solution remains unfulfilled. We developed our proprietary nPulse System (formerly known as CellFX), a novel nsPFA delivery platform, and commercialized the initial application of its nsPFA technology to treat benign lesions of the skin and in parallel, designed a variety of applicators, or disposables, to explore the potential use of the nPulse platform in other medical specialties. Based on our preclinical experience and the potential to significantly improve outcomes for patients in a large and growing market, we decided to focus our primary efforts on the use of nsPFA energy and the nPulse platform in the treatment of atrial fibrillation (“AF”), where approximately 1.9 million patients in the United States are diagnosed annually. This potentially represents a greater than $3.0 billion addressable market within electrophysiology alone combined with long-term double-digit growth. Additionally, we are also pursuing the treatment of atrial fibrillation via a surgical approach as well as select other markets where nsPFA technology could have a profound positive impact on healthcare for both patients and providers, such as surgical soft tissue ablation.</w:t>
      </w:r>
    </w:p>
    <w:p>
      <w:pPr>
        <w:pStyle w:val="TextBody"/>
        <w:bidi w:val="0"/>
        <w:spacing w:before="0" w:after="0"/>
        <w:ind w:left="0" w:right="0" w:hanging="0"/>
        <w:jc w:val="left"/>
        <w:rPr>
          <w:caps w:val="false"/>
          <w:smallCaps w:val="false"/>
          <w:bdr w:val="single" w:sz="2" w:space="8" w:color="000000"/>
        </w:rPr>
      </w:pPr>
      <w:r>
        <w:rPr>
          <w:caps w:val="false"/>
          <w:smallCaps w:val="false"/>
          <w:bdr w:val="single" w:sz="2" w:space="8" w:color="000000"/>
        </w:rPr>
        <w:t> </w:t>
      </w:r>
    </w:p>
    <w:p>
      <w:pPr>
        <w:pStyle w:val="TextBody"/>
        <w:bidi w:val="0"/>
        <w:spacing w:before="0" w:after="0"/>
        <w:ind w:left="0" w:right="0" w:hanging="0"/>
        <w:jc w:val="left"/>
        <w:rPr>
          <w:caps w:val="false"/>
          <w:smallCaps w:val="false"/>
          <w:bdr w:val="single" w:sz="2" w:space="8" w:color="000000"/>
        </w:rPr>
      </w:pPr>
      <w:r>
        <w:rPr>
          <w:caps w:val="false"/>
          <w:smallCaps w:val="false"/>
          <w:bdr w:val="single" w:sz="2" w:space="8" w:color="000000"/>
        </w:rPr>
        <w:t> </w:t>
      </w:r>
    </w:p>
    <w:p>
      <w:pPr>
        <w:pStyle w:val="TextBody"/>
        <w:bidi w:val="0"/>
        <w:spacing w:before="0" w:after="0"/>
        <w:ind w:left="0" w:right="0" w:hanging="0"/>
        <w:jc w:val="left"/>
        <w:rPr>
          <w:rFonts w:ascii="Times New Roman" w:hAnsi="Times New Roman"/>
          <w:b/>
          <w:caps w:val="false"/>
          <w:smallCaps w:val="false"/>
          <w:sz w:val="20"/>
          <w:bdr w:val="single" w:sz="2" w:space="8" w:color="000000"/>
        </w:rPr>
      </w:pPr>
      <w:r>
        <w:rPr>
          <w:rFonts w:ascii="Times New Roman" w:hAnsi="Times New Roman"/>
          <w:b/>
          <w:caps w:val="false"/>
          <w:smallCaps w:val="false"/>
          <w:sz w:val="20"/>
          <w:bdr w:val="single" w:sz="2" w:space="8" w:color="000000"/>
        </w:rPr>
        <w:t>Recent Developments</w:t>
      </w:r>
    </w:p>
    <w:p>
      <w:pPr>
        <w:pStyle w:val="TextBody"/>
        <w:bidi w:val="0"/>
        <w:spacing w:before="0" w:after="0"/>
        <w:ind w:left="0" w:right="0" w:hanging="0"/>
        <w:jc w:val="left"/>
        <w:rPr>
          <w:caps w:val="false"/>
          <w:smallCaps w:val="false"/>
          <w:bdr w:val="single" w:sz="2" w:space="8" w:color="000000"/>
        </w:rPr>
      </w:pPr>
      <w:r>
        <w:rPr>
          <w:caps w:val="false"/>
          <w:smallCaps w:val="false"/>
          <w:bdr w:val="single" w:sz="2" w:space="8" w:color="000000"/>
        </w:rPr>
        <w:t> </w:t>
      </w:r>
    </w:p>
    <w:p>
      <w:pPr>
        <w:pStyle w:val="TextBody"/>
        <w:bidi w:val="0"/>
        <w:spacing w:before="0" w:after="0"/>
        <w:ind w:left="0" w:right="0" w:firstLine="580"/>
        <w:jc w:val="both"/>
        <w:rPr>
          <w:rFonts w:ascii="Times New Roman" w:hAnsi="Times New Roman"/>
          <w:caps w:val="false"/>
          <w:smallCaps w:val="false"/>
          <w:sz w:val="20"/>
          <w:bdr w:val="single" w:sz="2" w:space="8" w:color="000000"/>
        </w:rPr>
      </w:pPr>
      <w:r>
        <w:rPr>
          <w:rFonts w:ascii="Times New Roman" w:hAnsi="Times New Roman"/>
          <w:caps w:val="false"/>
          <w:smallCaps w:val="false"/>
          <w:sz w:val="20"/>
          <w:bdr w:val="single" w:sz="2" w:space="8" w:color="000000"/>
        </w:rPr>
        <w:t>On July 13, 2026, in connection with a rights offering executed in 2024 (the “2024 Rights Offering”), the Company redeemed 50,607 warrants, pursuant to the irrevocable notice of redemption provided to warrant holders in June 2026, which would have entitled the holders to purchase up to 25,303 shares of common stock. In July 2026, the Company received gross proceeds of $1.8 million related to exercises of the second tranche of the 2024 Rights Offering Warrants. As of July 31, 2026, there were no remaining warrants outstanding from the 2024 Rights Offering and the cumulative gross proceeds received from the exercise of all warrants was $65.5 million.</w:t>
      </w:r>
    </w:p>
    <w:p>
      <w:pPr>
        <w:pStyle w:val="TextBody"/>
        <w:bidi w:val="0"/>
        <w:spacing w:before="0" w:after="0"/>
        <w:ind w:left="0" w:right="0" w:hanging="0"/>
        <w:jc w:val="left"/>
        <w:rPr>
          <w:caps w:val="false"/>
          <w:smallCaps w:val="false"/>
          <w:bdr w:val="single" w:sz="2" w:space="8" w:color="000000"/>
        </w:rPr>
      </w:pPr>
      <w:r>
        <w:rPr>
          <w:caps w:val="false"/>
          <w:smallCaps w:val="false"/>
          <w:bdr w:val="single" w:sz="2" w:space="8" w:color="000000"/>
        </w:rPr>
        <w:t> </w:t>
      </w:r>
    </w:p>
    <w:p>
      <w:pPr>
        <w:pStyle w:val="TextBody"/>
        <w:bidi w:val="0"/>
        <w:spacing w:before="0" w:after="0"/>
        <w:ind w:left="0" w:right="0" w:firstLine="580"/>
        <w:jc w:val="both"/>
        <w:rPr>
          <w:rFonts w:ascii="Times New Roman" w:hAnsi="Times New Roman"/>
          <w:caps w:val="false"/>
          <w:smallCaps w:val="false"/>
          <w:sz w:val="20"/>
          <w:bdr w:val="single" w:sz="2" w:space="8" w:color="000000"/>
        </w:rPr>
      </w:pPr>
      <w:r>
        <w:rPr>
          <w:rFonts w:ascii="Times New Roman" w:hAnsi="Times New Roman"/>
          <w:caps w:val="false"/>
          <w:smallCaps w:val="false"/>
          <w:sz w:val="20"/>
          <w:bdr w:val="single" w:sz="2" w:space="8" w:color="000000"/>
        </w:rPr>
        <w:t>On July 29, 2026, we announced that our previously disclosed NANOPULSE-AF clinical study (“NANOPULSE-AF Study”) surpassed its enrollment midpoint. NANOPULSE-AF Study is a prospective, multicenter, pivotal, clinical investigation currently evaluating our nPulse Cardiac Catheter System for treating recurrent, drug-resistant, symptomatic paroxysmal atrial fibrillation. The study commenced in April 2026 and is expected to enroll patients at up to 30 sites, including sites outside the United States.</w:t>
      </w:r>
    </w:p>
    <w:p>
      <w:pPr>
        <w:pStyle w:val="TextBody"/>
        <w:bidi w:val="0"/>
        <w:spacing w:before="0" w:after="0"/>
        <w:ind w:left="0" w:right="0" w:hanging="0"/>
        <w:jc w:val="left"/>
        <w:rPr>
          <w:caps w:val="false"/>
          <w:smallCaps w:val="false"/>
          <w:bdr w:val="single" w:sz="2" w:space="8" w:color="000000"/>
        </w:rPr>
      </w:pPr>
      <w:r>
        <w:rPr>
          <w:caps w:val="false"/>
          <w:smallCaps w:val="false"/>
          <w:bdr w:val="single" w:sz="2" w:space="8" w:color="000000"/>
        </w:rPr>
        <w:t> </w:t>
      </w:r>
    </w:p>
    <w:p>
      <w:pPr>
        <w:pStyle w:val="TextBody"/>
        <w:bidi w:val="0"/>
        <w:spacing w:before="0" w:after="0"/>
        <w:ind w:left="0" w:right="0" w:firstLine="580"/>
        <w:jc w:val="both"/>
        <w:rPr>
          <w:rFonts w:ascii="Times New Roman" w:hAnsi="Times New Roman"/>
          <w:caps w:val="false"/>
          <w:smallCaps w:val="false"/>
          <w:sz w:val="20"/>
          <w:bdr w:val="single" w:sz="2" w:space="8" w:color="000000"/>
        </w:rPr>
      </w:pPr>
      <w:r>
        <w:rPr>
          <w:rFonts w:ascii="Times New Roman" w:hAnsi="Times New Roman"/>
          <w:caps w:val="false"/>
          <w:smallCaps w:val="false"/>
          <w:sz w:val="20"/>
          <w:bdr w:val="single" w:sz="2" w:space="8" w:color="000000"/>
        </w:rPr>
        <w:t>On August 6, 2026, we entered into the August 2026 Sales Agreement with Mizuho, pursuant to which shares of common stock with an aggregate offering price of up to $75,000,000 were available for sale from time to time. As of September 14, 2026, 1,379,925 shares of common stock, with an aggregate offering price of approximately $68.8 million, have been sold under the August 2026 Agreement pursuant to the August 2026 Prospectus Supplement. Prior to commencing sales under the Sales Agreement, we anticipate completing sales under the August 2026 Sales Agreement, from time to time.</w:t>
      </w:r>
    </w:p>
    <w:p>
      <w:pPr>
        <w:pStyle w:val="TextBody"/>
        <w:bidi w:val="0"/>
        <w:spacing w:before="0" w:after="0"/>
        <w:ind w:left="0" w:right="0" w:hanging="0"/>
        <w:jc w:val="left"/>
        <w:rPr>
          <w:caps w:val="false"/>
          <w:smallCaps w:val="false"/>
          <w:bdr w:val="single" w:sz="2" w:space="8" w:color="000000"/>
        </w:rPr>
      </w:pPr>
      <w:r>
        <w:rPr>
          <w:caps w:val="false"/>
          <w:smallCaps w:val="false"/>
          <w:bdr w:val="single" w:sz="2" w:space="8" w:color="000000"/>
        </w:rPr>
        <w:t> </w:t>
      </w:r>
    </w:p>
    <w:p>
      <w:pPr>
        <w:pStyle w:val="TextBody"/>
        <w:bidi w:val="0"/>
        <w:spacing w:before="0" w:after="0"/>
        <w:ind w:left="0" w:right="0" w:firstLine="580"/>
        <w:jc w:val="both"/>
        <w:rPr>
          <w:rFonts w:ascii="Times New Roman" w:hAnsi="Times New Roman"/>
          <w:caps w:val="false"/>
          <w:smallCaps w:val="false"/>
          <w:sz w:val="20"/>
          <w:bdr w:val="single" w:sz="2" w:space="8" w:color="000000"/>
        </w:rPr>
      </w:pPr>
      <w:r>
        <w:rPr>
          <w:rFonts w:ascii="Times New Roman" w:hAnsi="Times New Roman"/>
          <w:caps w:val="false"/>
          <w:smallCaps w:val="false"/>
          <w:sz w:val="20"/>
          <w:bdr w:val="single" w:sz="2" w:space="8" w:color="000000"/>
        </w:rPr>
        <w:t>On September 14, 2026, we terminated our at-the-market offering program (the “February 2026 ATM”) in accordance with the terms of our prior equity distribution agreement, dated as of February 19, 2026, between us and TD Securities (USA) LLC. As of the time of its termination, shares of our common stock having an aggregate offering price of up to $1.0 million remained unsold under the February 2026 ATM.</w:t>
      </w:r>
    </w:p>
    <w:p>
      <w:pPr>
        <w:pStyle w:val="TextBody"/>
        <w:bidi w:val="0"/>
        <w:spacing w:before="0" w:after="0"/>
        <w:ind w:left="0" w:right="0" w:hanging="0"/>
        <w:jc w:val="left"/>
        <w:rPr>
          <w:caps w:val="false"/>
          <w:smallCaps w:val="false"/>
          <w:bdr w:val="single" w:sz="2" w:space="8" w:color="000000"/>
        </w:rPr>
      </w:pPr>
      <w:r>
        <w:rPr>
          <w:caps w:val="false"/>
          <w:smallCaps w:val="false"/>
          <w:bdr w:val="single" w:sz="2" w:space="8" w:color="000000"/>
        </w:rPr>
        <w:t> </w:t>
      </w:r>
    </w:p>
    <w:p>
      <w:pPr>
        <w:pStyle w:val="TextBody"/>
        <w:bidi w:val="0"/>
        <w:spacing w:before="0" w:after="0"/>
        <w:ind w:left="0" w:right="0" w:hanging="0"/>
        <w:jc w:val="both"/>
        <w:rPr>
          <w:rFonts w:ascii="Times New Roman" w:hAnsi="Times New Roman"/>
          <w:b/>
          <w:caps w:val="false"/>
          <w:smallCaps w:val="false"/>
          <w:sz w:val="20"/>
          <w:bdr w:val="single" w:sz="2" w:space="8" w:color="000000"/>
        </w:rPr>
      </w:pPr>
      <w:r>
        <w:rPr>
          <w:rFonts w:ascii="Times New Roman" w:hAnsi="Times New Roman"/>
          <w:b/>
          <w:caps w:val="false"/>
          <w:smallCaps w:val="false"/>
          <w:sz w:val="20"/>
          <w:bdr w:val="single" w:sz="2" w:space="8" w:color="000000"/>
        </w:rPr>
        <w:t>Corporate Information</w:t>
      </w:r>
    </w:p>
    <w:p>
      <w:pPr>
        <w:pStyle w:val="TextBody"/>
        <w:bidi w:val="0"/>
        <w:spacing w:before="0" w:after="0"/>
        <w:ind w:left="0" w:right="0" w:hanging="0"/>
        <w:jc w:val="left"/>
        <w:rPr>
          <w:caps w:val="false"/>
          <w:smallCaps w:val="false"/>
          <w:bdr w:val="single" w:sz="2" w:space="8" w:color="000000"/>
        </w:rPr>
      </w:pPr>
      <w:r>
        <w:rPr>
          <w:caps w:val="false"/>
          <w:smallCaps w:val="false"/>
          <w:bdr w:val="single" w:sz="2" w:space="8" w:color="000000"/>
        </w:rPr>
        <w:t> </w:t>
      </w:r>
    </w:p>
    <w:p>
      <w:pPr>
        <w:pStyle w:val="TextBody"/>
        <w:bidi w:val="0"/>
        <w:spacing w:before="0" w:after="0"/>
        <w:ind w:left="0" w:right="0" w:firstLine="580"/>
        <w:jc w:val="both"/>
        <w:rPr>
          <w:rFonts w:ascii="Times New Roman" w:hAnsi="Times New Roman"/>
          <w:caps w:val="false"/>
          <w:smallCaps w:val="false"/>
          <w:sz w:val="20"/>
          <w:bdr w:val="single" w:sz="2" w:space="8" w:color="000000"/>
        </w:rPr>
      </w:pPr>
      <w:r>
        <w:rPr>
          <w:rFonts w:ascii="Times New Roman" w:hAnsi="Times New Roman"/>
          <w:caps w:val="false"/>
          <w:smallCaps w:val="false"/>
          <w:sz w:val="20"/>
          <w:bdr w:val="single" w:sz="2" w:space="8" w:color="000000"/>
        </w:rPr>
        <w:t>Pulse Biosciences, Inc., formerly Electroblate, Inc., was incorporated in the State of Nevada on May 19, 2014, and was reincorporated in the State of Delaware on June 18, 2018. Our corporate offices are located at 3957 Point Eden Way, Hayward, CA 94545, and our telephone number is (510) 906-4600. We maintain a website at www.pulsebiosciences.com where general information about us is available. Our website, and the information contained therein, or that can be accessed through, our website, is not a part of this prospectus, and the inclusion of our website address is an inactive textual reference only.</w:t>
      </w:r>
    </w:p>
    <w:p>
      <w:pPr>
        <w:pStyle w:val="TextBody"/>
        <w:bidi w:val="0"/>
        <w:spacing w:before="0" w:after="0"/>
        <w:ind w:left="0" w:right="0" w:hanging="0"/>
        <w:jc w:val="left"/>
        <w:rPr>
          <w:caps w:val="false"/>
          <w:smallCaps w:val="false"/>
          <w:bdr w:val="single" w:sz="2" w:space="8" w:color="000000"/>
        </w:rPr>
      </w:pPr>
      <w:r>
        <w:rPr>
          <w:caps w:val="false"/>
          <w:smallCaps w:val="false"/>
          <w:bdr w:val="single" w:sz="2" w:space="8" w:color="000000"/>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7" w:name="offering"/>
      <w:bookmarkEnd w:id="7"/>
      <w:r>
        <w:rPr>
          <w:rFonts w:ascii="Times New Roman" w:hAnsi="Times New Roman"/>
          <w:b/>
          <w:caps w:val="false"/>
          <w:smallCaps w:val="false"/>
          <w:sz w:val="20"/>
        </w:rPr>
        <w:t>THE OFFERING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3"/>
        <w:gridCol w:w="8802"/>
      </w:tblGrid>
      <w:tr>
        <w:trPr/>
        <w:tc>
          <w:tcPr>
            <w:tcW w:w="140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Shares of common stock offered by us</w:t>
            </w:r>
          </w:p>
        </w:tc>
        <w:tc>
          <w:tcPr>
            <w:tcW w:w="880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Shares of our common stock having an aggregate offering price of up to $85,000,000.</w:t>
            </w:r>
          </w:p>
        </w:tc>
      </w:tr>
      <w:tr>
        <w:trPr/>
        <w:tc>
          <w:tcPr>
            <w:tcW w:w="1403" w:type="dxa"/>
            <w:tcBorders/>
            <w:vAlign w:val="center"/>
          </w:tcPr>
          <w:p>
            <w:pPr>
              <w:pStyle w:val="TableContents"/>
              <w:bidi w:val="0"/>
              <w:spacing w:before="0" w:after="283"/>
              <w:jc w:val="left"/>
              <w:rPr/>
            </w:pPr>
            <w:r>
              <w:rPr/>
              <w:t> </w:t>
            </w:r>
          </w:p>
        </w:tc>
        <w:tc>
          <w:tcPr>
            <w:tcW w:w="8802" w:type="dxa"/>
            <w:tcBorders/>
            <w:vAlign w:val="center"/>
          </w:tcPr>
          <w:p>
            <w:pPr>
              <w:pStyle w:val="TableContents"/>
              <w:bidi w:val="0"/>
              <w:spacing w:before="0" w:after="283"/>
              <w:jc w:val="left"/>
              <w:rPr/>
            </w:pPr>
            <w:r>
              <w:rPr/>
              <w:t> </w:t>
            </w:r>
          </w:p>
        </w:tc>
      </w:tr>
      <w:tr>
        <w:trPr/>
        <w:tc>
          <w:tcPr>
            <w:tcW w:w="140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Shares of common stock to be outstanding immediately after this offering</w:t>
            </w:r>
          </w:p>
        </w:tc>
        <w:tc>
          <w:tcPr>
            <w:tcW w:w="880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Up to 72,367,938 shares, assuming the sale of 1,567,976 shares of our common stock in this offering at an offering price of $54.21 per share, which was the last reported sale price of our common stock on Nasdaq on September 14, 2026. The actual number of shares issued will vary depending on the sales price under this offering.</w:t>
            </w:r>
          </w:p>
        </w:tc>
      </w:tr>
      <w:tr>
        <w:trPr/>
        <w:tc>
          <w:tcPr>
            <w:tcW w:w="1403" w:type="dxa"/>
            <w:tcBorders/>
            <w:vAlign w:val="center"/>
          </w:tcPr>
          <w:p>
            <w:pPr>
              <w:pStyle w:val="TableContents"/>
              <w:bidi w:val="0"/>
              <w:spacing w:before="0" w:after="283"/>
              <w:jc w:val="left"/>
              <w:rPr/>
            </w:pPr>
            <w:r>
              <w:rPr/>
              <w:t> </w:t>
            </w:r>
          </w:p>
        </w:tc>
        <w:tc>
          <w:tcPr>
            <w:tcW w:w="8802" w:type="dxa"/>
            <w:tcBorders/>
            <w:vAlign w:val="center"/>
          </w:tcPr>
          <w:p>
            <w:pPr>
              <w:pStyle w:val="TableContents"/>
              <w:bidi w:val="0"/>
              <w:spacing w:before="0" w:after="283"/>
              <w:jc w:val="left"/>
              <w:rPr/>
            </w:pPr>
            <w:r>
              <w:rPr/>
              <w:t> </w:t>
            </w:r>
          </w:p>
        </w:tc>
      </w:tr>
      <w:tr>
        <w:trPr/>
        <w:tc>
          <w:tcPr>
            <w:tcW w:w="140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Plan of distribution</w:t>
            </w:r>
          </w:p>
        </w:tc>
        <w:tc>
          <w:tcPr>
            <w:tcW w:w="8802"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At the market offering” that may be made from time to time through or to our sales agent, Mizuho. See “Plan of Distribution” for additional information.</w:t>
            </w:r>
          </w:p>
        </w:tc>
      </w:tr>
      <w:tr>
        <w:trPr/>
        <w:tc>
          <w:tcPr>
            <w:tcW w:w="1403" w:type="dxa"/>
            <w:tcBorders/>
            <w:vAlign w:val="center"/>
          </w:tcPr>
          <w:p>
            <w:pPr>
              <w:pStyle w:val="TableContents"/>
              <w:bidi w:val="0"/>
              <w:spacing w:before="0" w:after="283"/>
              <w:jc w:val="left"/>
              <w:rPr/>
            </w:pPr>
            <w:r>
              <w:rPr/>
              <w:t> </w:t>
            </w:r>
          </w:p>
        </w:tc>
        <w:tc>
          <w:tcPr>
            <w:tcW w:w="8802" w:type="dxa"/>
            <w:tcBorders/>
            <w:vAlign w:val="center"/>
          </w:tcPr>
          <w:p>
            <w:pPr>
              <w:pStyle w:val="TableContents"/>
              <w:bidi w:val="0"/>
              <w:spacing w:before="0" w:after="283"/>
              <w:jc w:val="left"/>
              <w:rPr/>
            </w:pPr>
            <w:r>
              <w:rPr/>
              <w:t> </w:t>
            </w:r>
          </w:p>
        </w:tc>
      </w:tr>
      <w:tr>
        <w:trPr/>
        <w:tc>
          <w:tcPr>
            <w:tcW w:w="140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Use of proceeds</w:t>
            </w:r>
          </w:p>
        </w:tc>
        <w:tc>
          <w:tcPr>
            <w:tcW w:w="880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principal purposes of this offering are to increase our financial flexibility and to obtain additional capital to support our operations. We currently intend to use the net proceeds from this offering, if any, together with our existing cash, for general corporate purposes, including further clinical evaluations of our proprietary nPulse Cardiac Catheter and its IDE study in the United States, our ongoing first-in-human study of the nPulse Cardiac Catheter in Europe, and corresponding regulatory submissions in the United States and Europe, and for continued development of the nPulse Cardiac Clamp IDE study in the United States, our ongoing first-in-human study of the nPulse Cardiac Clamp in Europe, and corresponding regulatory submissions in the United States and Europe. We also intend to use the net proceeds from this offering, if any, to obtain further regulatory approvals to market the nPulse Vybrance Percutaneous Electrode System for the treatment of benign thyroid nodules and other applications, and for continued market development, early commercialization activities, and market readiness for all these products and for new product development activities. Net proceeds may be temporarily invested prior to use.</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“Use of Proceeds” for additional information.</w:t>
            </w:r>
          </w:p>
        </w:tc>
      </w:tr>
      <w:tr>
        <w:trPr/>
        <w:tc>
          <w:tcPr>
            <w:tcW w:w="1403" w:type="dxa"/>
            <w:tcBorders/>
            <w:vAlign w:val="center"/>
          </w:tcPr>
          <w:p>
            <w:pPr>
              <w:pStyle w:val="TableContents"/>
              <w:bidi w:val="0"/>
              <w:spacing w:before="0" w:after="283"/>
              <w:jc w:val="left"/>
              <w:rPr/>
            </w:pPr>
            <w:r>
              <w:rPr/>
              <w:t> </w:t>
            </w:r>
          </w:p>
        </w:tc>
        <w:tc>
          <w:tcPr>
            <w:tcW w:w="8802" w:type="dxa"/>
            <w:tcBorders/>
            <w:vAlign w:val="center"/>
          </w:tcPr>
          <w:p>
            <w:pPr>
              <w:pStyle w:val="TableContents"/>
              <w:bidi w:val="0"/>
              <w:spacing w:before="0" w:after="283"/>
              <w:jc w:val="left"/>
              <w:rPr/>
            </w:pPr>
            <w:r>
              <w:rPr/>
              <w:t> </w:t>
            </w:r>
          </w:p>
        </w:tc>
      </w:tr>
      <w:tr>
        <w:trPr/>
        <w:tc>
          <w:tcPr>
            <w:tcW w:w="140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Risk factors</w:t>
            </w:r>
          </w:p>
        </w:tc>
        <w:tc>
          <w:tcPr>
            <w:tcW w:w="880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investment in the common stock offered hereby is speculative and involves a high degree of risk. You should read carefully the information set forth in “Risk Factors” in this prospectus supplement and the accompanying base prospectus, together with other information included elsewhere in this prospectus supplement, or incorporated by reference into this prospectus supplement, for a discussion of factors that you should consider before deciding to invest in our common stock.</w:t>
            </w:r>
          </w:p>
        </w:tc>
      </w:tr>
      <w:tr>
        <w:trPr/>
        <w:tc>
          <w:tcPr>
            <w:tcW w:w="1403" w:type="dxa"/>
            <w:tcBorders/>
            <w:vAlign w:val="center"/>
          </w:tcPr>
          <w:p>
            <w:pPr>
              <w:pStyle w:val="TableContents"/>
              <w:bidi w:val="0"/>
              <w:spacing w:before="0" w:after="283"/>
              <w:jc w:val="left"/>
              <w:rPr/>
            </w:pPr>
            <w:r>
              <w:rPr/>
              <w:t> </w:t>
            </w:r>
          </w:p>
        </w:tc>
        <w:tc>
          <w:tcPr>
            <w:tcW w:w="8802" w:type="dxa"/>
            <w:tcBorders/>
            <w:vAlign w:val="center"/>
          </w:tcPr>
          <w:p>
            <w:pPr>
              <w:pStyle w:val="TableContents"/>
              <w:bidi w:val="0"/>
              <w:spacing w:before="0" w:after="283"/>
              <w:jc w:val="left"/>
              <w:rPr/>
            </w:pPr>
            <w:r>
              <w:rPr/>
              <w:t> </w:t>
            </w:r>
          </w:p>
        </w:tc>
      </w:tr>
      <w:tr>
        <w:trPr/>
        <w:tc>
          <w:tcPr>
            <w:tcW w:w="140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Nasdaq Capital Market symbol</w:t>
            </w:r>
          </w:p>
        </w:tc>
        <w:tc>
          <w:tcPr>
            <w:tcW w:w="880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"PLSE"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The number of shares of common stock to be outstanding after this offering is based on 70,799,962 shares of our common stock outstanding as of June 30, 2026, and excludes the following, in each case as of such date: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11,670,734 shares of common stock issuable upon the exercise of outstanding stock options as of June 30, 2026 having a weighted-average exercise price of $13.90 per share;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150,224 shares of common stock issuable upon exercise of warrants outstanding as of June 30, 2026, each with an exercise price of $11.00 per share;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550,000 shares of common stock issuable upon the vesting and settlement of outstanding restricted stock units as of June 30,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5,000 shares of common stock issuable upon exercise of stock options granted subsequent to June 30, 2026 pursuant to our 2017 Equity Incentive Plan, as amended (the “Incentive Plan”), with an exercise price of $28.33 per share;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28,150 shares of common stock issuable upon exercise of stock options granted subsequent to June 30, 2026, pursuant to our 2017 Inducement Equity Incentive Plan (the “Inducement Plan”), with a weighted exercise price of $39.44 per share;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25,000 shares of common stock issuable upon the vesting and settlement of restricted stock units granted subsequent to June 30, 2026 pursuant to the Incentive Plan;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388,949 shares of common stock issued and sold pursuant to the February 2026 ATM subsequent to June 30, 2026 (the February 2026 ATM was terminated as of September 14,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1,379,925 shares of common stock issued and sold pursuant to the August 2026 ATM Program subsequent to June 30, 2026 (as of the date of this prospectus supplement up to approximately $6.2 million of shares of our common stock remain available to be sold under the August 2026 ATM Program);</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3,031,072 shares of common stock reserved as of June 30, 2026, for future grants under the Incentive Plan (of which (i) 5,000 shares are issuable upon exercise of stock options granted subsequent to June 30, 2026 and (ii) 25,000 shares are issuable upon the vesting and settlement of restricted stock units granted subsequent to June 30, 2026, each as described above), as well as any annual evergreen increases in the number of shares reserved for future issuance under this plan;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1,602,359 shares of common stock reserved as of June 30, 2026, for future grants under the Inducement Plan (of which 28,150 shares are issuable upon exercise of stock options granted subsequent to June 30, 2026, as described above);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1,265,365 shares of common stock reserved as of June 30, 2026, for future grants under our 2017 Employee Stock Purchase Plan, as well as any annual evergreen increases in the number of shares reserved for future issuance under this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Except as otherwise indicated, all information in this prospectus supplement assumes no exercise of the outstanding options referred to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8" w:name="risk"/>
      <w:bookmarkEnd w:id="8"/>
      <w:r>
        <w:rPr>
          <w:rFonts w:ascii="Times New Roman" w:hAnsi="Times New Roman"/>
          <w:b/>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 xml:space="preserve">Investing in our securities involves a high degree of risk. Before deciding whether to invest in our securities, you should carefully consider the risks and uncertainties described below and under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 our most recent Annual Report on Form 10-K and any subsequent Quarterly Reports on Form 10-Q, which are incorporated herein by reference, together with the information contained in this prospectus supplement, the accompanying base prospectus and any other information that has been or will be incorporated herein or therein by reference.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event the market price of our common stock could decline, and you could lose part or all of your investment. The risk factors are not intended to be exhaustive and are not the only ones we face. Additional risks and uncertainties not presently known to us or that we currently deem immaterial may also impair our business operations. This prospectus supplement also contains forward-looking statements that involve risks and uncertainties. Our actual results could differ materially and adversely from those anticipated in the forward-looking statements as a result of a number of factors. See </w:t>
      </w:r>
      <w:r>
        <w:rPr>
          <w:rFonts w:ascii="Times New Roman" w:hAnsi="Times New Roman"/>
          <w:caps w:val="false"/>
          <w:smallCaps w:val="false"/>
          <w:sz w:val="20"/>
        </w:rPr>
        <w:t>“</w:t>
      </w:r>
      <w:r>
        <w:rPr>
          <w:rFonts w:ascii="Times New Roman" w:hAnsi="Times New Roman"/>
          <w:i/>
          <w:caps w:val="false"/>
          <w:smallCaps w:val="false"/>
          <w:sz w:val="20"/>
        </w:rPr>
        <w:t>Cautionary Note Regarding Forward-Looking Statements.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Our Common Stock and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management will have broad discretion over the use of the net proceeds, if any, we receive in this offering and may not apply the proceeds in ways that increase the value of your investment, which could cause the market price of our common stock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management will have broad discretion to use the net proceeds, if any, payable to us from this offering and you will be relying on the judgment of our management regarding the application of these net proceeds. Our management might not apply any such net proceeds in ways that increase the value of your investment. Until we use the net proceeds, if any, payable to us from this offering, we plan to invest them, and these investments may not yield a favorable rate of return. If we do not invest or apply any net proceeds from this offering in ways that enhance stockholder value, we may fail to achieve expected financial results, which could cause the market price of our common stock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It is not possible to predict the aggregate proceeds resulting from sales made under the Sales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Subject to certain limitations in the Sales Agreement and compliance with applicable law, we have the discretion to deliver a placement notice to Mizuho at any time throughout the term of the Sales Agreement. The number of shares that are sold through Mizuho after delivering a placement notice will fluctuate based on a number of factors, including the market price of our common stock during the sales period, any limits we may set with Mizuho in any applicable placement notice and the demand for our common stock. Because this offering can be terminated at any time and the price per share of each share sold pursuant to the Sales Agreement will fluctuate over time, it is not currently possible to predict the aggregate proceeds to be raised in connection with sales under the Sales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Sales of common stock offered hereby will be in </w:t>
      </w:r>
      <w:r>
        <w:rPr>
          <w:rFonts w:ascii="Times New Roman" w:hAnsi="Times New Roman"/>
          <w:caps w:val="false"/>
          <w:smallCaps w:val="false"/>
          <w:sz w:val="20"/>
        </w:rPr>
        <w:t>“</w:t>
      </w:r>
      <w:r>
        <w:rPr>
          <w:rFonts w:ascii="Times New Roman" w:hAnsi="Times New Roman"/>
          <w:b/>
          <w:i/>
          <w:caps w:val="false"/>
          <w:smallCaps w:val="false"/>
          <w:sz w:val="20"/>
        </w:rPr>
        <w:t>at the market offerings,</w:t>
      </w:r>
      <w:r>
        <w:rPr>
          <w:rFonts w:ascii="Times New Roman" w:hAnsi="Times New Roman"/>
          <w:caps w:val="false"/>
          <w:smallCaps w:val="false"/>
          <w:sz w:val="20"/>
        </w:rPr>
        <w:t xml:space="preserve">” </w:t>
      </w:r>
      <w:r>
        <w:rPr>
          <w:rFonts w:ascii="Times New Roman" w:hAnsi="Times New Roman"/>
          <w:b/>
          <w:i/>
          <w:caps w:val="false"/>
          <w:smallCaps w:val="false"/>
          <w:sz w:val="20"/>
        </w:rPr>
        <w:t>and investors who buy shares at different times will likely pay different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Investors who purchase shares in this offering at different times will likely pay different prices, and accordingly may experience different levels of dilution and different outcomes in their investment results. We will have discretion, subject to market demand, to vary the timing, prices and number of shares sold in this offering. In addition, subject to the final determination by our board of directors, and any restrictions we may place in any applicable placement notice delivered to Mizuho, there is no minimum or maximum sales price for shares to be sold in this offering. Investors may experience a decline in the value of the shares they purchase in this offering as a result of sales made at prices lower than the prices they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Future sales or issuances of our common stock in the public markets, or the perception of such sales, could depress the trading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sale of a substantial number of shares of our common stock or other equity-related securities in the public markets, or the perception that such sales could occur, could depress the market price of our common stock and impair our ability to raise capital through the sale of additional equity securities. We may sell large quantities of our common stock at any time pursuant to this prospectus supplement and/or in one or more separate offerings. We cannot predict the effect that future sales of common stock or other equity-related securities would have on the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you purchase our common stock in this offering, you may incur immediate and substantial dilution in the book value of your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offering price per share of common stock in this offering may exceed the net tangible book value per share of our common stock outstanding prior to this offering. Therefore, if you purchase common stock in this offering, you may pay a price per share that exceeds our as adjusted net tangible book value per share of common stock. Assuming that an aggregate of 1,567,976 shares of our common stock are sold at an assumed offering price of $54.21 per share, the last reported sale price of our common stock on Nasdaq on September 14, 2026, and after deducting commissions and estimated offering expenses payable by us, you would experience immediate dilution of $51.74 per share, representing the difference between our as adjusted net tangible book value per share as of June 30, 2026, after giving effect to this offering, and the assumed offering price. To the extent outstanding options or warrants are exercised, you will experience further dilution. See the section titled “Dilution” below for a more detailed illustration of the dilution you would incur if you participate in this offering. Because the sales of the shares offered hereby will be made directly into the market, the prices at which we sell these shares will vary and these variations may be significant. Purchasers of the shares we sell, as well as our existing stockholders, will experience significant dilution if we sell shares at prices significantly below the price at which they invested.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You may experience future dilution as a result of future equity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order to raise additional capital, we may in the future offer additional shares of our common stock or other securities convertible into or exchangeable for our common stock at prices that may not be the same as the price per share in this offering. The price per share at which we sell additional shares of our common stock, or securities convertible or exchangeable into common stock, in future transactions may be lower than the price per share paid by investors in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9" w:name="use"/>
      <w:bookmarkEnd w:id="9"/>
      <w:r>
        <w:rPr>
          <w:rFonts w:ascii="Times New Roman" w:hAnsi="Times New Roman"/>
          <w:b/>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issue and sell shares of our common stock having aggregate sales proceeds of up to $85,000,000 from time to time. Because there is no minimum offering amount required as a condition to close this offering, the actual total public offering amount, commissions and proceeds to us, if any, are not determinable at this time. There can be no assurance that we will be able to sell any shares under, or fully utilize, the Sales Agreement with Mizuho as a source of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principal purposes of this offering are to increase our financial flexibility and to obtain additional capital to support our operations. We currently intend to use the net proceeds from this offering, if any, together with our existing cash, for general corporate purposes, including further clinical evaluations of our proprietary nPulse Cardiac Catheter and its IDE study in the United States, our ongoing first-in-human study of the nPulse Cardiac Catheter in Europe and corresponding regulatory submissions in the United States and Europe, and for continued development of the nPulse Cardiac Clamp IDE study in the United States, our ongoing first-in-human study of the nPulse Cardiac Clamp in Europe, and corresponding regulatory submissions in the United States and Europe. We also intend to use the net proceeds from this offering, if any, to obtain further regulatory approvals to market the nPulse Vybrance Percutaneous Electrode System for the treatment of benign thyroid nodules and other applications, and for continued market development, early commercialization activities, and market readiness for all these products and for new product development activities. As of the date of this prospectus, we cannot specify with certainty all of the particular uses for the net proceeds to us from this offering. As a result, our management will have broad discretion regarding the timing and application of the net proceeds from this offering. Pending the uses described above, we intend to invest the net proceeds in interest-bearing, investment-grade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expected use of net proceeds represents our intentions, based upon our present plans and business conditions. We cannot specify with certainty all of the particular uses for the net proceeds. Due to uncertainties inherent in the medical device development process, it is difficult to estimate the exact amounts of the net proceeds that will be used for any particular purpose. We may use our existing cash and the future payments, if any, generated from any future collaboration agreements to fund our operations, either of which may alter the amount of net proceeds used for a particular purpose. In addition, the amount, allocation and timing of our actual expenditures will depend upon numerous factors, including the results of our research and development efforts, the timing and success of our clinical trials, and the timing of our regulatory submissions. Accordingly, we will have broad discretion in using these net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0" w:name="dividend"/>
      <w:bookmarkEnd w:id="10"/>
      <w:r>
        <w:rPr>
          <w:rFonts w:ascii="Times New Roman" w:hAnsi="Times New Roman"/>
          <w:b/>
          <w:caps w:val="false"/>
          <w:smallCaps w:val="false"/>
          <w:sz w:val="20"/>
        </w:rPr>
        <w:t>DIVIDEND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have not declared or paid any cash dividends on our capital stock. We currently intend to retain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S-10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bookmarkStart w:id="11" w:name="dilution"/>
      <w:bookmarkEnd w:id="11"/>
      <w:r>
        <w:rPr>
          <w:rFonts w:ascii="Times New Roman" w:hAnsi="Times New Roman"/>
          <w:b/>
          <w:caps w:val="false"/>
          <w:smallCaps w:val="false"/>
          <w:sz w:val="20"/>
        </w:rPr>
        <w:t>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you invest in our common stock in this offering, you will experience immediate and substantial dilution to the extent of the difference between the public offering price per share of our common stock, and the adjusted net tangible book value per share of our common stock immediately upon the consummation of this offering. Net tangible book value per share represents the book value of our tangible assets less the book value of our total liabilities divided by the number of shares of common stock then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historical net tangible book value as of June 30, 2026 was $96.5 million, or $1.36 per share of our common stock. Our historical net tangible book value is the amount of our total tangible assets less our total liabilities. Historical net tangible book value per share represents historical net tangible book value divided by 70,799,962 shares of our common stock outstanding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After giving effect to our issuance and sale of 1,567,976 shares of our common stock in this offering at an assumed public offering price of $54.21 per share, which was the last reported sale price of our common stock on Nasdaq on September 14, 2026, and after deducting commissions and estimated offering expenses payable by us, our as adjusted net tangible book value as of June 30, 2026 would have been $178.7 million, or $2.47 per share. This represents an immediate increase in as adjusted net tangible book value per share of $1.11 to existing stockholders and an immediate dilution of $51.74 in as adjusted net tangible book value per share to investors purchasing common stock in this offering. Dilution per share to investors purchasing common stock in this offering is determined by subtracting as adjusted net tangible book value per share after this offering from the assumed public offering price per share paid by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table illustrates this dilution on a per share basis:</w:t>
      </w:r>
    </w:p>
    <w:p>
      <w:pPr>
        <w:pStyle w:val="TextBody"/>
        <w:bidi w:val="0"/>
        <w:spacing w:before="0" w:after="0"/>
        <w:ind w:left="0" w:right="0" w:hanging="0"/>
        <w:jc w:val="left"/>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6680"/>
        <w:gridCol w:w="60"/>
        <w:gridCol w:w="125"/>
        <w:gridCol w:w="380"/>
        <w:gridCol w:w="60"/>
        <w:gridCol w:w="60"/>
        <w:gridCol w:w="125"/>
        <w:gridCol w:w="485"/>
        <w:gridCol w:w="60"/>
      </w:tblGrid>
      <w:tr>
        <w:trPr/>
        <w:tc>
          <w:tcPr>
            <w:tcW w:w="66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Assumed public offering price per share</w:t>
            </w:r>
            <w:bookmarkStart w:id="12" w:name=".lead.B2"/>
            <w:bookmarkEnd w:id="12"/>
          </w:p>
        </w:tc>
        <w:tc>
          <w:tcPr>
            <w:tcW w:w="60" w:type="dxa"/>
            <w:tcBorders/>
            <w:shd w:fill="CCEEFF" w:val="clear"/>
            <w:vAlign w:val="center"/>
          </w:tcPr>
          <w:p>
            <w:pPr>
              <w:pStyle w:val="TableContents"/>
              <w:bidi w:val="0"/>
              <w:spacing w:before="0" w:after="283"/>
              <w:jc w:val="left"/>
              <w:rPr/>
            </w:pPr>
            <w:r>
              <w:rPr/>
              <w:t> </w:t>
            </w:r>
            <w:bookmarkStart w:id="13" w:name=".symb.B2"/>
            <w:bookmarkEnd w:id="13"/>
          </w:p>
        </w:tc>
        <w:tc>
          <w:tcPr>
            <w:tcW w:w="125" w:type="dxa"/>
            <w:tcBorders/>
            <w:shd w:fill="CCEEFF" w:val="clear"/>
            <w:vAlign w:val="center"/>
          </w:tcPr>
          <w:p>
            <w:pPr>
              <w:pStyle w:val="TableContents"/>
              <w:bidi w:val="0"/>
              <w:spacing w:before="0" w:after="283"/>
              <w:jc w:val="left"/>
              <w:rPr/>
            </w:pPr>
            <w:r>
              <w:rPr/>
              <w:t> </w:t>
            </w:r>
            <w:bookmarkStart w:id="14" w:name=".amt.B2"/>
            <w:bookmarkEnd w:id="14"/>
          </w:p>
        </w:tc>
        <w:tc>
          <w:tcPr>
            <w:tcW w:w="380" w:type="dxa"/>
            <w:tcBorders/>
            <w:shd w:fill="CCEEFF" w:val="clear"/>
            <w:vAlign w:val="center"/>
          </w:tcPr>
          <w:p>
            <w:pPr>
              <w:pStyle w:val="TableContents"/>
              <w:bidi w:val="0"/>
              <w:spacing w:before="0" w:after="283"/>
              <w:jc w:val="left"/>
              <w:rPr/>
            </w:pPr>
            <w:r>
              <w:rPr/>
              <w:t> </w:t>
            </w:r>
            <w:bookmarkStart w:id="15" w:name=".trail.B2"/>
            <w:bookmarkEnd w:id="15"/>
          </w:p>
        </w:tc>
        <w:tc>
          <w:tcPr>
            <w:tcW w:w="60" w:type="dxa"/>
            <w:tcBorders/>
            <w:shd w:fill="CCEEFF" w:val="clear"/>
            <w:vAlign w:val="center"/>
          </w:tcPr>
          <w:p>
            <w:pPr>
              <w:pStyle w:val="TableContents"/>
              <w:bidi w:val="0"/>
              <w:spacing w:before="0" w:after="283"/>
              <w:jc w:val="left"/>
              <w:rPr/>
            </w:pPr>
            <w:r>
              <w:rPr/>
              <w:t> </w:t>
            </w:r>
            <w:bookmarkStart w:id="16" w:name=".lead.3"/>
            <w:bookmarkEnd w:id="16"/>
          </w:p>
        </w:tc>
        <w:tc>
          <w:tcPr>
            <w:tcW w:w="60" w:type="dxa"/>
            <w:tcBorders/>
            <w:shd w:fill="CCEEFF" w:val="clear"/>
            <w:vAlign w:val="center"/>
          </w:tcPr>
          <w:p>
            <w:pPr>
              <w:pStyle w:val="TableContents"/>
              <w:bidi w:val="0"/>
              <w:spacing w:before="0" w:after="283"/>
              <w:jc w:val="left"/>
              <w:rPr/>
            </w:pPr>
            <w:r>
              <w:rPr/>
              <w:t> </w:t>
            </w:r>
            <w:bookmarkStart w:id="17" w:name=".symb.3"/>
            <w:bookmarkEnd w:id="17"/>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 w:name=".amt.3"/>
            <w:bookmarkEnd w:id="18"/>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54.21</w:t>
            </w:r>
            <w:bookmarkStart w:id="19" w:name=".trail.3"/>
            <w:bookmarkEnd w:id="19"/>
          </w:p>
        </w:tc>
        <w:tc>
          <w:tcPr>
            <w:tcW w:w="60" w:type="dxa"/>
            <w:tcBorders/>
            <w:shd w:fill="CCEEFF" w:val="clear"/>
            <w:vAlign w:val="center"/>
          </w:tcPr>
          <w:p>
            <w:pPr>
              <w:pStyle w:val="TableContents"/>
              <w:bidi w:val="0"/>
              <w:spacing w:before="0" w:after="283"/>
              <w:jc w:val="left"/>
              <w:rPr/>
            </w:pPr>
            <w:r>
              <w:rPr/>
              <w:t> </w:t>
            </w:r>
          </w:p>
        </w:tc>
      </w:tr>
      <w:tr>
        <w:trPr/>
        <w:tc>
          <w:tcPr>
            <w:tcW w:w="66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Historical net tangible book value per share as of June 30, 2026</w:t>
            </w:r>
            <w:bookmarkStart w:id="20" w:name=".lead.2"/>
            <w:bookmarkEnd w:id="20"/>
          </w:p>
        </w:tc>
        <w:tc>
          <w:tcPr>
            <w:tcW w:w="60" w:type="dxa"/>
            <w:tcBorders/>
            <w:shd w:fill="FFFFFF" w:val="clear"/>
            <w:vAlign w:val="center"/>
          </w:tcPr>
          <w:p>
            <w:pPr>
              <w:pStyle w:val="TableContents"/>
              <w:bidi w:val="0"/>
              <w:spacing w:before="0" w:after="283"/>
              <w:ind w:left="0" w:right="0" w:hanging="0"/>
              <w:jc w:val="left"/>
              <w:rPr/>
            </w:pPr>
            <w:r>
              <w:rPr/>
              <w:t> </w:t>
            </w:r>
            <w:bookmarkStart w:id="21" w:name=".symb.2"/>
            <w:bookmarkEnd w:id="21"/>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 w:name=".amt.2"/>
            <w:bookmarkEnd w:id="22"/>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w:t>
            </w:r>
            <w:bookmarkStart w:id="23" w:name=".trail.2"/>
            <w:bookmarkEnd w:id="23"/>
          </w:p>
        </w:tc>
        <w:tc>
          <w:tcPr>
            <w:tcW w:w="60" w:type="dxa"/>
            <w:tcBorders/>
            <w:shd w:fill="FFFFFF" w:val="clear"/>
            <w:vAlign w:val="center"/>
          </w:tcPr>
          <w:p>
            <w:pPr>
              <w:pStyle w:val="TableContents"/>
              <w:bidi w:val="0"/>
              <w:spacing w:before="0" w:after="283"/>
              <w:jc w:val="left"/>
              <w:rPr/>
            </w:pPr>
            <w:r>
              <w:rPr/>
              <w:t> </w:t>
            </w:r>
            <w:bookmarkStart w:id="24" w:name=".lead.B3"/>
            <w:bookmarkEnd w:id="24"/>
          </w:p>
        </w:tc>
        <w:tc>
          <w:tcPr>
            <w:tcW w:w="60" w:type="dxa"/>
            <w:tcBorders/>
            <w:shd w:fill="FFFFFF" w:val="clear"/>
            <w:vAlign w:val="center"/>
          </w:tcPr>
          <w:p>
            <w:pPr>
              <w:pStyle w:val="TableContents"/>
              <w:bidi w:val="0"/>
              <w:spacing w:before="0" w:after="283"/>
              <w:jc w:val="left"/>
              <w:rPr/>
            </w:pPr>
            <w:r>
              <w:rPr/>
              <w:t> </w:t>
            </w:r>
            <w:bookmarkStart w:id="25" w:name=".symb.B3"/>
            <w:bookmarkEnd w:id="25"/>
          </w:p>
        </w:tc>
        <w:tc>
          <w:tcPr>
            <w:tcW w:w="125" w:type="dxa"/>
            <w:tcBorders/>
            <w:shd w:fill="FFFFFF" w:val="clear"/>
            <w:vAlign w:val="center"/>
          </w:tcPr>
          <w:p>
            <w:pPr>
              <w:pStyle w:val="TableContents"/>
              <w:bidi w:val="0"/>
              <w:spacing w:before="0" w:after="283"/>
              <w:jc w:val="left"/>
              <w:rPr/>
            </w:pPr>
            <w:r>
              <w:rPr/>
              <w:t> </w:t>
            </w:r>
            <w:bookmarkStart w:id="26" w:name=".amt.B3"/>
            <w:bookmarkEnd w:id="26"/>
          </w:p>
        </w:tc>
        <w:tc>
          <w:tcPr>
            <w:tcW w:w="485" w:type="dxa"/>
            <w:tcBorders/>
            <w:shd w:fill="FFFFFF" w:val="clear"/>
            <w:vAlign w:val="center"/>
          </w:tcPr>
          <w:p>
            <w:pPr>
              <w:pStyle w:val="TableContents"/>
              <w:bidi w:val="0"/>
              <w:spacing w:before="0" w:after="283"/>
              <w:jc w:val="right"/>
              <w:rPr/>
            </w:pPr>
            <w:r>
              <w:rPr/>
              <w:t> </w:t>
            </w:r>
            <w:bookmarkStart w:id="27" w:name=".trail.B3"/>
            <w:bookmarkEnd w:id="27"/>
          </w:p>
        </w:tc>
        <w:tc>
          <w:tcPr>
            <w:tcW w:w="60" w:type="dxa"/>
            <w:tcBorders/>
            <w:shd w:fill="FFFFFF" w:val="clear"/>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in historical net tangible book value per share attributable to this offering</w:t>
            </w:r>
            <w:bookmarkStart w:id="28" w:name=".lead.21"/>
            <w:bookmarkStart w:id="29" w:name=".lead.22"/>
            <w:bookmarkEnd w:id="28"/>
            <w:bookmarkEnd w:id="29"/>
          </w:p>
        </w:tc>
        <w:tc>
          <w:tcPr>
            <w:tcW w:w="60" w:type="dxa"/>
            <w:tcBorders/>
            <w:shd w:fill="CCEEFF" w:val="clear"/>
            <w:vAlign w:val="center"/>
          </w:tcPr>
          <w:p>
            <w:pPr>
              <w:pStyle w:val="TableContents"/>
              <w:bidi w:val="0"/>
              <w:spacing w:before="0" w:after="283"/>
              <w:ind w:left="0" w:right="0" w:hanging="0"/>
              <w:jc w:val="left"/>
              <w:rPr/>
            </w:pPr>
            <w:r>
              <w:rPr/>
              <w:t> </w:t>
            </w:r>
            <w:bookmarkStart w:id="30" w:name=".symb.21"/>
            <w:bookmarkStart w:id="31" w:name=".symb.22"/>
            <w:bookmarkEnd w:id="30"/>
            <w:bookmarkEnd w:id="3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 w:name=".amt.21"/>
            <w:bookmarkStart w:id="33" w:name=".amt.22"/>
            <w:bookmarkEnd w:id="32"/>
            <w:bookmarkEnd w:id="33"/>
          </w:p>
        </w:tc>
        <w:tc>
          <w:tcPr>
            <w:tcW w:w="3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bookmarkStart w:id="34" w:name=".trail.21"/>
            <w:bookmarkStart w:id="35" w:name=".trail.22"/>
            <w:bookmarkEnd w:id="34"/>
            <w:bookmarkEnd w:id="35"/>
          </w:p>
        </w:tc>
        <w:tc>
          <w:tcPr>
            <w:tcW w:w="60" w:type="dxa"/>
            <w:tcBorders/>
            <w:shd w:fill="CCEEFF" w:val="clear"/>
            <w:vAlign w:val="center"/>
          </w:tcPr>
          <w:p>
            <w:pPr>
              <w:pStyle w:val="TableContents"/>
              <w:bidi w:val="0"/>
              <w:spacing w:before="0" w:after="283"/>
              <w:jc w:val="left"/>
              <w:rPr/>
            </w:pPr>
            <w:r>
              <w:rPr/>
              <w:t> </w:t>
            </w:r>
            <w:bookmarkStart w:id="36" w:name=".lead.B31"/>
            <w:bookmarkStart w:id="37" w:name=".lead.B32"/>
            <w:bookmarkEnd w:id="36"/>
            <w:bookmarkEnd w:id="37"/>
          </w:p>
        </w:tc>
        <w:tc>
          <w:tcPr>
            <w:tcW w:w="60" w:type="dxa"/>
            <w:tcBorders/>
            <w:shd w:fill="CCEEFF" w:val="clear"/>
            <w:vAlign w:val="center"/>
          </w:tcPr>
          <w:p>
            <w:pPr>
              <w:pStyle w:val="TableContents"/>
              <w:bidi w:val="0"/>
              <w:spacing w:before="0" w:after="283"/>
              <w:jc w:val="left"/>
              <w:rPr/>
            </w:pPr>
            <w:r>
              <w:rPr/>
              <w:t> </w:t>
            </w:r>
            <w:bookmarkStart w:id="38" w:name=".symb.B31"/>
            <w:bookmarkStart w:id="39" w:name=".symb.B32"/>
            <w:bookmarkEnd w:id="38"/>
            <w:bookmarkEnd w:id="39"/>
          </w:p>
        </w:tc>
        <w:tc>
          <w:tcPr>
            <w:tcW w:w="125" w:type="dxa"/>
            <w:tcBorders/>
            <w:shd w:fill="CCEEFF" w:val="clear"/>
            <w:vAlign w:val="center"/>
          </w:tcPr>
          <w:p>
            <w:pPr>
              <w:pStyle w:val="TableContents"/>
              <w:bidi w:val="0"/>
              <w:spacing w:before="0" w:after="283"/>
              <w:jc w:val="left"/>
              <w:rPr/>
            </w:pPr>
            <w:r>
              <w:rPr/>
              <w:t> </w:t>
            </w:r>
            <w:bookmarkStart w:id="40" w:name=".amt.B31"/>
            <w:bookmarkStart w:id="41" w:name=".amt.B32"/>
            <w:bookmarkEnd w:id="40"/>
            <w:bookmarkEnd w:id="41"/>
          </w:p>
        </w:tc>
        <w:tc>
          <w:tcPr>
            <w:tcW w:w="485" w:type="dxa"/>
            <w:tcBorders/>
            <w:shd w:fill="CCEEFF" w:val="clear"/>
            <w:vAlign w:val="center"/>
          </w:tcPr>
          <w:p>
            <w:pPr>
              <w:pStyle w:val="TableContents"/>
              <w:bidi w:val="0"/>
              <w:spacing w:before="0" w:after="283"/>
              <w:jc w:val="right"/>
              <w:rPr/>
            </w:pPr>
            <w:r>
              <w:rPr/>
              <w:t> </w:t>
            </w:r>
            <w:bookmarkStart w:id="42" w:name=".trail.B31"/>
            <w:bookmarkStart w:id="43" w:name=".trail.B32"/>
            <w:bookmarkEnd w:id="42"/>
            <w:bookmarkEnd w:id="43"/>
          </w:p>
        </w:tc>
        <w:tc>
          <w:tcPr>
            <w:tcW w:w="60" w:type="dxa"/>
            <w:tcBorders/>
            <w:shd w:fill="CCEEFF" w:val="clear"/>
            <w:vAlign w:val="center"/>
          </w:tcPr>
          <w:p>
            <w:pPr>
              <w:pStyle w:val="TableContents"/>
              <w:bidi w:val="0"/>
              <w:spacing w:before="0" w:after="283"/>
              <w:jc w:val="left"/>
              <w:rPr/>
            </w:pPr>
            <w:r>
              <w:rPr/>
              <w:t> </w:t>
            </w:r>
          </w:p>
        </w:tc>
      </w:tr>
      <w:tr>
        <w:trPr/>
        <w:tc>
          <w:tcPr>
            <w:tcW w:w="66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adjusted net tangible book value per share after giving effect to this offering</w:t>
            </w:r>
            <w:bookmarkStart w:id="44" w:name=".lead.B21"/>
            <w:bookmarkStart w:id="45" w:name=".lead.B22"/>
            <w:bookmarkEnd w:id="44"/>
            <w:bookmarkEnd w:id="45"/>
          </w:p>
        </w:tc>
        <w:tc>
          <w:tcPr>
            <w:tcW w:w="60" w:type="dxa"/>
            <w:tcBorders/>
            <w:shd w:fill="FFFFFF" w:val="clear"/>
            <w:vAlign w:val="center"/>
          </w:tcPr>
          <w:p>
            <w:pPr>
              <w:pStyle w:val="TableContents"/>
              <w:bidi w:val="0"/>
              <w:spacing w:before="0" w:after="283"/>
              <w:jc w:val="left"/>
              <w:rPr/>
            </w:pPr>
            <w:r>
              <w:rPr/>
              <w:t> </w:t>
            </w:r>
            <w:bookmarkStart w:id="46" w:name=".symb.B21"/>
            <w:bookmarkStart w:id="47" w:name=".symb.B22"/>
            <w:bookmarkEnd w:id="46"/>
            <w:bookmarkEnd w:id="47"/>
          </w:p>
        </w:tc>
        <w:tc>
          <w:tcPr>
            <w:tcW w:w="125" w:type="dxa"/>
            <w:tcBorders/>
            <w:shd w:fill="FFFFFF" w:val="clear"/>
            <w:vAlign w:val="center"/>
          </w:tcPr>
          <w:p>
            <w:pPr>
              <w:pStyle w:val="TableContents"/>
              <w:bidi w:val="0"/>
              <w:spacing w:before="0" w:after="283"/>
              <w:jc w:val="left"/>
              <w:rPr/>
            </w:pPr>
            <w:r>
              <w:rPr/>
              <w:t> </w:t>
            </w:r>
            <w:bookmarkStart w:id="48" w:name=".amt.B21"/>
            <w:bookmarkStart w:id="49" w:name=".amt.B22"/>
            <w:bookmarkEnd w:id="48"/>
            <w:bookmarkEnd w:id="49"/>
          </w:p>
        </w:tc>
        <w:tc>
          <w:tcPr>
            <w:tcW w:w="380" w:type="dxa"/>
            <w:tcBorders/>
            <w:shd w:fill="FFFFFF" w:val="clear"/>
            <w:vAlign w:val="center"/>
          </w:tcPr>
          <w:p>
            <w:pPr>
              <w:pStyle w:val="TableContents"/>
              <w:bidi w:val="0"/>
              <w:spacing w:before="0" w:after="283"/>
              <w:jc w:val="left"/>
              <w:rPr/>
            </w:pPr>
            <w:r>
              <w:rPr/>
              <w:t> </w:t>
            </w:r>
            <w:bookmarkStart w:id="50" w:name=".trail.B21"/>
            <w:bookmarkStart w:id="51" w:name=".trail.B22"/>
            <w:bookmarkEnd w:id="50"/>
            <w:bookmarkEnd w:id="51"/>
          </w:p>
        </w:tc>
        <w:tc>
          <w:tcPr>
            <w:tcW w:w="60" w:type="dxa"/>
            <w:tcBorders/>
            <w:shd w:fill="FFFFFF" w:val="clear"/>
            <w:vAlign w:val="center"/>
          </w:tcPr>
          <w:p>
            <w:pPr>
              <w:pStyle w:val="TableContents"/>
              <w:bidi w:val="0"/>
              <w:spacing w:before="0" w:after="283"/>
              <w:jc w:val="left"/>
              <w:rPr/>
            </w:pPr>
            <w:r>
              <w:rPr/>
              <w:t> </w:t>
            </w:r>
            <w:bookmarkStart w:id="52" w:name=".lead.31"/>
            <w:bookmarkStart w:id="53" w:name=".lead.32"/>
            <w:bookmarkEnd w:id="52"/>
            <w:bookmarkEnd w:id="53"/>
          </w:p>
        </w:tc>
        <w:tc>
          <w:tcPr>
            <w:tcW w:w="60" w:type="dxa"/>
            <w:tcBorders/>
            <w:shd w:fill="FFFFFF" w:val="clear"/>
            <w:vAlign w:val="center"/>
          </w:tcPr>
          <w:p>
            <w:pPr>
              <w:pStyle w:val="TableContents"/>
              <w:bidi w:val="0"/>
              <w:spacing w:before="0" w:after="283"/>
              <w:jc w:val="left"/>
              <w:rPr/>
            </w:pPr>
            <w:r>
              <w:rPr/>
              <w:t> </w:t>
            </w:r>
            <w:bookmarkStart w:id="54" w:name=".symb.31"/>
            <w:bookmarkStart w:id="55" w:name=".symb.32"/>
            <w:bookmarkEnd w:id="54"/>
            <w:bookmarkEnd w:id="55"/>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6" w:name=".amt.31"/>
            <w:bookmarkStart w:id="57" w:name=".amt.32"/>
            <w:bookmarkEnd w:id="56"/>
            <w:bookmarkEnd w:id="57"/>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w:t>
            </w:r>
            <w:bookmarkStart w:id="58" w:name=".trail.31"/>
            <w:bookmarkStart w:id="59" w:name=".trail.32"/>
            <w:bookmarkEnd w:id="58"/>
            <w:bookmarkEnd w:id="59"/>
          </w:p>
        </w:tc>
        <w:tc>
          <w:tcPr>
            <w:tcW w:w="60" w:type="dxa"/>
            <w:tcBorders/>
            <w:shd w:fill="FFFFFF" w:val="clear"/>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Dilution per share to investors participating in this offering</w:t>
            </w:r>
            <w:bookmarkStart w:id="60" w:name=".lead.B23"/>
            <w:bookmarkStart w:id="61" w:name=".lead.B24"/>
            <w:bookmarkEnd w:id="60"/>
            <w:bookmarkEnd w:id="61"/>
          </w:p>
        </w:tc>
        <w:tc>
          <w:tcPr>
            <w:tcW w:w="60" w:type="dxa"/>
            <w:tcBorders/>
            <w:shd w:fill="CCEEFF" w:val="clear"/>
            <w:vAlign w:val="center"/>
          </w:tcPr>
          <w:p>
            <w:pPr>
              <w:pStyle w:val="TableContents"/>
              <w:bidi w:val="0"/>
              <w:spacing w:before="0" w:after="283"/>
              <w:jc w:val="left"/>
              <w:rPr/>
            </w:pPr>
            <w:r>
              <w:rPr/>
              <w:t> </w:t>
            </w:r>
            <w:bookmarkStart w:id="62" w:name=".symb.B23"/>
            <w:bookmarkStart w:id="63" w:name=".symb.B24"/>
            <w:bookmarkEnd w:id="62"/>
            <w:bookmarkEnd w:id="63"/>
          </w:p>
        </w:tc>
        <w:tc>
          <w:tcPr>
            <w:tcW w:w="125" w:type="dxa"/>
            <w:tcBorders/>
            <w:shd w:fill="CCEEFF" w:val="clear"/>
            <w:vAlign w:val="center"/>
          </w:tcPr>
          <w:p>
            <w:pPr>
              <w:pStyle w:val="TableContents"/>
              <w:bidi w:val="0"/>
              <w:spacing w:before="0" w:after="283"/>
              <w:jc w:val="left"/>
              <w:rPr/>
            </w:pPr>
            <w:r>
              <w:rPr/>
              <w:t> </w:t>
            </w:r>
            <w:bookmarkStart w:id="64" w:name=".amt.B23"/>
            <w:bookmarkStart w:id="65" w:name=".amt.B24"/>
            <w:bookmarkEnd w:id="64"/>
            <w:bookmarkEnd w:id="65"/>
          </w:p>
        </w:tc>
        <w:tc>
          <w:tcPr>
            <w:tcW w:w="380" w:type="dxa"/>
            <w:tcBorders/>
            <w:shd w:fill="CCEEFF" w:val="clear"/>
            <w:vAlign w:val="center"/>
          </w:tcPr>
          <w:p>
            <w:pPr>
              <w:pStyle w:val="TableContents"/>
              <w:bidi w:val="0"/>
              <w:spacing w:before="0" w:after="283"/>
              <w:jc w:val="left"/>
              <w:rPr/>
            </w:pPr>
            <w:r>
              <w:rPr/>
              <w:t> </w:t>
            </w:r>
            <w:bookmarkStart w:id="66" w:name=".trail.B23"/>
            <w:bookmarkStart w:id="67" w:name=".trail.B24"/>
            <w:bookmarkEnd w:id="66"/>
            <w:bookmarkEnd w:id="67"/>
          </w:p>
        </w:tc>
        <w:tc>
          <w:tcPr>
            <w:tcW w:w="60" w:type="dxa"/>
            <w:tcBorders/>
            <w:shd w:fill="CCEEFF" w:val="clear"/>
            <w:vAlign w:val="center"/>
          </w:tcPr>
          <w:p>
            <w:pPr>
              <w:pStyle w:val="TableContents"/>
              <w:bidi w:val="0"/>
              <w:spacing w:before="0" w:after="283"/>
              <w:jc w:val="left"/>
              <w:rPr/>
            </w:pPr>
            <w:r>
              <w:rPr/>
              <w:t> </w:t>
            </w:r>
            <w:bookmarkStart w:id="68" w:name=".lead.33"/>
            <w:bookmarkStart w:id="69" w:name=".lead.34"/>
            <w:bookmarkEnd w:id="68"/>
            <w:bookmarkEnd w:id="69"/>
          </w:p>
        </w:tc>
        <w:tc>
          <w:tcPr>
            <w:tcW w:w="60" w:type="dxa"/>
            <w:tcBorders/>
            <w:shd w:fill="CCEEFF" w:val="clear"/>
            <w:vAlign w:val="center"/>
          </w:tcPr>
          <w:p>
            <w:pPr>
              <w:pStyle w:val="TableContents"/>
              <w:bidi w:val="0"/>
              <w:spacing w:before="0" w:after="283"/>
              <w:jc w:val="left"/>
              <w:rPr/>
            </w:pPr>
            <w:r>
              <w:rPr/>
              <w:t> </w:t>
            </w:r>
            <w:bookmarkStart w:id="70" w:name=".symb.33"/>
            <w:bookmarkStart w:id="71" w:name=".symb.34"/>
            <w:bookmarkEnd w:id="70"/>
            <w:bookmarkEnd w:id="71"/>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2" w:name=".amt.33"/>
            <w:bookmarkStart w:id="73" w:name=".amt.34"/>
            <w:bookmarkEnd w:id="72"/>
            <w:bookmarkEnd w:id="73"/>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51.74</w:t>
            </w:r>
            <w:bookmarkStart w:id="74" w:name=".trail.33"/>
            <w:bookmarkStart w:id="75" w:name=".trail.34"/>
            <w:bookmarkEnd w:id="74"/>
            <w:bookmarkEnd w:id="75"/>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dilution information discussed above is illustrative only and will change based on the actual public offering price or prices if and when we sell shares of our common stock and other terms of this offering determined at pricing. A $1.00 increase in the assumed public offering price of $54.21 per share shown in the table above, assuming all of our common stock in the aggregate amount of $85,000,000 during the term of the Sales Agreement is sold at that price, would result in an as adjusted net tangible book value per share after this offering of approximately $2.47 and dilution per share to investors participating in this offering of approximately $52.74, after deducting commissions and estimated offering expenses payable by us. A $1.00 decrease in the assumed public offering price of $54.21 per share shown in the table above, assuming all of our common stock in the aggregate amount of $85,000,000 during the term of the Sales Agreement is sold at that price, would result in an as adjusted net tangible book value per share after this offering of approximately $2.47 and dilution per share to investors participating in this offering of approximately $50.74, after deducting underwriting discounts and commissions and estimated offering expenses payable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foregoing tables and calculations (other than the historical net tangible book value calculations) are based on 70,799,962</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shares of our common stock outstanding as of June 30, 2026, and excludes the following, in each case as of such date: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11,670,734 shares of common stock issuable upon the exercise of outstanding stock options as of June 30, 2026 having a weighted-average exercise price of $13.90 per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150,224 shares of common stock issuable upon exercise of warrants outstanding as of June 30, 2026, each with an exercise price of $11.00 per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550,000 shares of common stock issuable upon the vesting and settlement of outstanding restricted stock units as of June 30,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5,000 shares of common stock issuable upon exercise of stock options granted subsequent to June 30, 2026 pursuant to the Incentive Plan, with an exercise price of $28.33 per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28,150 shares of common stock issuable upon exercise of stock options granted subsequent to June 30, 2026 pursuant to the Inducement Plan, with a weighted exercise price of $39.44 per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25,000 shares of common stock issuable upon the vesting and settlement of restricted stock units granted subsequent to June 30, 2026 pursuant to the Incentive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388,949 shares of common stock issued and sold pursuant to the February 2026 ATM subsequent to June 30, 2026 (the February 2026 ATM was terminated as of September 14,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1,379,925 shares of common stock issued and sold under the August 2026 ATM Program subsequent to June 30, 2026 (as of the date of this prospectus supplement up to approximately $6.2 million of shares of our common stock remain available to be sold under the August 2026 ATM Program);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3,031,072 shares of common stock reserved as of June 30, 2026, for future grants under the Incentive Plan (of which (i) 5,000 shares are issuable upon exercise of stock options granted subsequent to June 30, 2026 and (ii) 25,000 shares are issuable upon the vesting and settlement of restricted stock units granted subsequent to June 30, 2026, each as described above), as well as any annual evergreen increases in the number of shares reserved for future issuance under this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1,602,359 shares of common stock reserved as of June 30, 2026, for future grants under our 2017 Inducement Equity Incentive Plan (of which 28,150 shares are issuable upon exercise of stock options granted subsequent to June 30, 2026, as described above);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1,265,365 shares of common stock reserved as of June 30, 2026, for future grants under our 2017 Employee Stock Purchase Plan, as well as any annual evergreen increases in the number of shares reserved for future issuance under this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To the extent that any outstanding stock options and warrants described above are exercised, vested, or converted to shares of common stock at prices below the prices paid by investors participating in this offering, investors in this offering may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S-12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76" w:name="plan"/>
      <w:bookmarkEnd w:id="76"/>
      <w:r>
        <w:rPr>
          <w:rFonts w:ascii="Times New Roman" w:hAnsi="Times New Roman"/>
          <w:b/>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have entered into the Sales Agreement, dated September 15, 2026, with Mizuho, under which we may issue and sell from time to time up to $85,000,000 of our common stock through or to Mizuho as our sales agent. We previously entered into the August 2026 Agreement with Mizuho relating to shares of our common stock offered pursuant to the August 2026 Prospectus Supplement. As of September 14, 2026, 1,379,925 shares of common stock, with an aggregate offering price of approximately $68.8 million, were sold under the August 2026 Sales Agreement pursuant to the August 2026 Prospectus Supplement. We do not expect to make any sales under this prospectus supplement unless and until we sell the remaining available shares issuable under the August 2026 Prospectus Supplement. Sales of our common stock, if any, will be made in negotiated transactions, including block trades or block sales, or by any method permitted by law deemed to be an “at the market offering” as defined in Rule 415 under the Securities Act, including without limitation sales made through Nasdaq or on any other existing trading market for our common stock, or by any other method permitted by law.  Sales pursuant to the Sales Agreement may be made through an affiliate of Mizuho.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Mizuho will offer our common stock subject to the terms and conditions of the Sales Agreement on a daily basis or as otherwise agreed upon by us and Mizuho. We will designate the maximum amount of common stock to be sold through Mizuho on a daily basis or otherwise determine such maximum amount together with Mizuho.  Subject to the terms and conditions of the Sales Agreement, Mizuho will use its commercially reasonable efforts to sell on our behalf all of the shares of common stock requested to be sold by us.  We may instruct Mizuho not to sell common stock if the sales cannot be effected at or above the price designated by us in any such instruction.  Mizuho or we may suspend the offering of our common stock being made through Mizuho under the Sales Agreement upon proper notice to the other party.  Mizuho and we each have the right, by giving written notice as specified in the Sales Agreement, to terminate the Sales Agreement in each party’s sole discretion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aggregate compensation payable to Mizuho as sales agent equals up to 3.0% of the gross sales price of the shares sold through it pursuant to the Sales Agreement.  We have also agreed to reimburse Mizuho up to $85,000 of Mizuho’s actual outside legal expenses incurred by Mizuho in connection with the execution of the sales agreement, in addition to certain ongoing disbursements of its legal counsel.  We estimate that the total expenses of the offering payable by us, excluding commissions payable to Mizuho under the Sales Agreement, will be approximately $100,000.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remaining sales proceeds, after deducting any expenses payable by us and any transaction fees imposed by any governmental, regulatory, or self-regulatory organization in connection with the sales, will equal our net proceeds for the sale of such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Mizuho will provide written confirmation to us following the close of trading on The Nasdaq Capital Market on each day in which common stock is sold through it as sales agent under the Sales Agreement.  Each confirmation will include the number of shares of common stock sold through it as sales agent on that day, the volume weighted average price of the shares sold, the percentage of the daily trading volume and the net proceeds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will report at least quarterly the number of shares of common stock sold through Mizuho under the Sales Agreement and the net proceeds to us in connection with the sales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Settlement for sales of common stock will occur, unless the parties agree otherwise, on the first business day that is also a trading day following the date on which any sales were made in return for payment of the net proceeds to us. There is no arrangement for funds to be received in an escrow, trust or similar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connection with the sales of our common stock on our behalf, Mizuho will be deemed to be an “underwriter” within the meaning of the Securities Act, and the compensation paid to Mizuho will be deemed to be underwriting commissions or discounts.  We have agreed in the Sales Agreement to provide indemnification and contribution to Mizuho against certain liabilities, including liabilities under the Securities Act.  As sales agent, Mizuho will not engage in any transactions that stabilizes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common stock is listed on The Nasdaq Capital Market and trades under the symbol “PLSE.”  The transfer agent of our common stock is Broadridge Corporate Issuer Solutions,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Mizuho and/or its affiliates have and may in the future provide various investment banking and other financial services for us for which services they may in the future receive, customary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S-13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77" w:name="legal"/>
      <w:bookmarkEnd w:id="77"/>
      <w:r>
        <w:rPr>
          <w:rFonts w:ascii="Times New Roman" w:hAnsi="Times New Roman"/>
          <w:b/>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validity of the securities offered pursuant to this prospectus supplement will be passed upon by Baker &amp; Hostetler LLP. Certain legal matters in connection with this offering will be passed upon for Mizuho by DLA Piper LLP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78" w:name="experts"/>
      <w:bookmarkEnd w:id="78"/>
      <w:r>
        <w:rPr>
          <w:rFonts w:ascii="Times New Roman" w:hAnsi="Times New Roman"/>
          <w:b/>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financial statements of Pulse Biosciences, Inc. as of December 31, 2025 and 2024, and for each of the two years in the period ended December 31, 2025, incorporated by reference in this prospectus by reference to Pulse Biosciences, Inc.’s annual report on Form 10-K for the year ended December 31, 2025,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79" w:name="where"/>
      <w:bookmarkEnd w:id="79"/>
      <w:r>
        <w:rPr>
          <w:rFonts w:ascii="Times New Roman" w:hAnsi="Times New Roman"/>
          <w:b/>
          <w:caps w:val="false"/>
          <w:smallCaps w:val="false"/>
          <w:sz w:val="20"/>
        </w:rPr>
        <w:t>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have filed with the SEC a registration statement on Form S-3 (File No. 333-293596), including exhibits, under the Securities Act, with respect to the securities offered pursuant to this prospectus supplement. This prospectus supplement is part of the registration statement, but does not contain all of the information included in the registration statement or the exhibits. For further information with respect to us and the securities offered by this prospectus supplement, we refer you to the registration statement and its exhibits. Statements contained in this prospectus supplement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 xml:space="preserve">In addition, we file annual, quarterly and current reports, proxy statements and other information with the SEC. The SEC maintains an internet site that contains reports, proxy and information statements, and other information regarding issuers that file electronically with the SEC, including our SEC filings, located at </w:t>
      </w:r>
      <w:r>
        <w:rPr>
          <w:rFonts w:ascii="Times New Roman" w:hAnsi="Times New Roman"/>
          <w:i/>
          <w:caps w:val="false"/>
          <w:smallCaps w:val="false"/>
          <w:sz w:val="20"/>
        </w:rPr>
        <w:t>https://www.sec.gov</w:t>
      </w:r>
      <w:r>
        <w:rPr>
          <w:rFonts w:ascii="Times New Roman" w:hAnsi="Times New Roman"/>
          <w:caps w:val="false"/>
          <w:smallCaps w:val="false"/>
          <w:sz w:val="20"/>
        </w:rPr>
        <w:t xml:space="preserve">. We also maintain a website at </w:t>
      </w:r>
      <w:r>
        <w:rPr>
          <w:rFonts w:ascii="Times New Roman" w:hAnsi="Times New Roman"/>
          <w:i/>
          <w:caps w:val="false"/>
          <w:smallCaps w:val="false"/>
          <w:sz w:val="20"/>
        </w:rPr>
        <w:t>https://www.pulsebiosciences.com</w:t>
      </w:r>
      <w:r>
        <w:rPr>
          <w:rFonts w:ascii="Times New Roman" w:hAnsi="Times New Roman"/>
          <w:caps w:val="false"/>
          <w:smallCaps w:val="false"/>
          <w:sz w:val="20"/>
        </w:rPr>
        <w:t>. The information contained in or accessible from our website is not incorporated into this prospectus supplement, and you should not consider it part of this prospectus supplement. We have included our website address in this prospectus supplement solely as an inactive textual reference. You may access, free of charge, our annual reports on Form 10-K, quarterly reports on Form 10-Q, current reports on Form 8-K, and amendments to those reports filed or furnished pursuant to Section 13(a) or 15(d) of the Exchange Act as soon as reasonably practicable after such material is electronically filed with, or furnished to,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S-14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bookmarkStart w:id="80" w:name="info"/>
      <w:bookmarkEnd w:id="80"/>
      <w:r>
        <w:rPr>
          <w:rFonts w:ascii="Times New Roman" w:hAnsi="Times New Roman"/>
          <w:b/>
          <w:caps w:val="false"/>
          <w:smallCaps w:val="false"/>
          <w:sz w:val="20"/>
        </w:rPr>
        <w:t>INFORMATION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SEC allows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and subsequent information that we file with the SEC will automatically update and supersede that information. Any statement contained in this prospectus supplement or a previously filed document incorporated by reference will be deemed to be modified or superseded for purposes of this prospectus supplement to the extent that a statement contained in this prospectus supplement or a subsequently filed document incorporated by reference modifies or replaces that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This prospectus supplement incorporates by reference the documents set forth below that have previously been filed with the SEC:</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our Annual Report on Form 10-K for the year ended December 31, 2025, filed with the SEC on </w:t>
            </w:r>
            <w:hyperlink r:id="rId3">
              <w:r>
                <w:rPr>
                  <w:rStyle w:val="InternetLink"/>
                  <w:rFonts w:ascii="Times New Roman;Times;serif" w:hAnsi="Times New Roman;Times;serif"/>
                  <w:caps w:val="false"/>
                  <w:smallCaps w:val="false"/>
                  <w:sz w:val="20"/>
                  <w:u w:val="single"/>
                </w:rPr>
                <w:t>February 19, 2026</w:t>
              </w:r>
            </w:hyperlink>
            <w:r>
              <w:rPr>
                <w:rFonts w:ascii="Times New Roman;Times;serif" w:hAnsi="Times New Roman;Times;serif"/>
                <w:caps w:val="false"/>
                <w:smallCaps w:val="false"/>
                <w:sz w:val="20"/>
              </w:rPr>
              <w:t xml:space="preserve">, as amended by Amendment No. 1 to our Annual Report on Form 10-K/A for the fiscal year ended December 31, 2025, filed with the SEC on </w:t>
            </w:r>
            <w:hyperlink r:id="rId4">
              <w:r>
                <w:rPr>
                  <w:rStyle w:val="InternetLink"/>
                  <w:rFonts w:ascii="Times New Roman;Times;serif" w:hAnsi="Times New Roman;Times;serif"/>
                  <w:caps w:val="false"/>
                  <w:smallCaps w:val="false"/>
                  <w:sz w:val="20"/>
                  <w:u w:val="single"/>
                </w:rPr>
                <w:t>April 30, 2026</w:t>
              </w:r>
            </w:hyperlink>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our Quarterly Reports on Form 10-Q for the quarters ended March 31, 2026, filed with the SEC on </w:t>
            </w:r>
            <w:hyperlink r:id="rId5">
              <w:r>
                <w:rPr>
                  <w:rStyle w:val="InternetLink"/>
                  <w:rFonts w:ascii="Times New Roman;Times;serif" w:hAnsi="Times New Roman;Times;serif"/>
                  <w:caps w:val="false"/>
                  <w:smallCaps w:val="false"/>
                  <w:sz w:val="20"/>
                  <w:u w:val="single"/>
                </w:rPr>
                <w:t>May 14, 2026</w:t>
              </w:r>
            </w:hyperlink>
            <w:r>
              <w:rPr>
                <w:rFonts w:ascii="Times New Roman;Times;serif" w:hAnsi="Times New Roman;Times;serif"/>
                <w:caps w:val="false"/>
                <w:smallCaps w:val="false"/>
                <w:sz w:val="20"/>
              </w:rPr>
              <w:t xml:space="preserve">, and June 30, 2026, filed with the SEC on </w:t>
            </w:r>
            <w:hyperlink r:id="rId6">
              <w:r>
                <w:rPr>
                  <w:rStyle w:val="InternetLink"/>
                  <w:rFonts w:ascii="Times New Roman;Times;serif" w:hAnsi="Times New Roman;Times;serif"/>
                  <w:caps w:val="false"/>
                  <w:smallCaps w:val="false"/>
                  <w:sz w:val="20"/>
                  <w:u w:val="single"/>
                </w:rPr>
                <w:t>August 6, 2026</w:t>
              </w:r>
            </w:hyperlink>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our Current Reports on Form 8-K (other than information furnished rather than filed), filed with the SEC on </w:t>
            </w:r>
            <w:hyperlink r:id="rId7">
              <w:r>
                <w:rPr>
                  <w:rStyle w:val="InternetLink"/>
                  <w:rFonts w:ascii="Times New Roman;Times;serif" w:hAnsi="Times New Roman;Times;serif"/>
                  <w:caps w:val="false"/>
                  <w:smallCaps w:val="false"/>
                  <w:sz w:val="20"/>
                  <w:u w:val="single"/>
                </w:rPr>
                <w:t>February 6, 2026</w:t>
              </w:r>
            </w:hyperlink>
            <w:r>
              <w:rPr>
                <w:rFonts w:ascii="Times New Roman;Times;serif" w:hAnsi="Times New Roman;Times;serif"/>
                <w:caps w:val="false"/>
                <w:smallCaps w:val="false"/>
                <w:sz w:val="20"/>
              </w:rPr>
              <w:t xml:space="preserve">, </w:t>
            </w:r>
            <w:hyperlink r:id="rId8">
              <w:r>
                <w:rPr>
                  <w:rStyle w:val="InternetLink"/>
                  <w:rFonts w:ascii="Times New Roman;Times;serif" w:hAnsi="Times New Roman;Times;serif"/>
                  <w:caps w:val="false"/>
                  <w:smallCaps w:val="false"/>
                  <w:sz w:val="20"/>
                  <w:u w:val="single"/>
                </w:rPr>
                <w:t>February 19, 2026</w:t>
              </w:r>
            </w:hyperlink>
            <w:r>
              <w:rPr>
                <w:rFonts w:ascii="Times New Roman;Times;serif" w:hAnsi="Times New Roman;Times;serif"/>
                <w:caps w:val="false"/>
                <w:smallCaps w:val="false"/>
                <w:sz w:val="20"/>
              </w:rPr>
              <w:t xml:space="preserve">, </w:t>
            </w:r>
            <w:hyperlink r:id="rId9">
              <w:r>
                <w:rPr>
                  <w:rStyle w:val="InternetLink"/>
                  <w:rFonts w:ascii="Times New Roman;Times;serif" w:hAnsi="Times New Roman;Times;serif"/>
                  <w:caps w:val="false"/>
                  <w:smallCaps w:val="false"/>
                  <w:sz w:val="20"/>
                  <w:u w:val="single"/>
                </w:rPr>
                <w:t>February 27, 2026</w:t>
              </w:r>
            </w:hyperlink>
            <w:r>
              <w:rPr>
                <w:rFonts w:ascii="Times New Roman;Times;serif" w:hAnsi="Times New Roman;Times;serif"/>
                <w:caps w:val="false"/>
                <w:smallCaps w:val="false"/>
                <w:sz w:val="20"/>
              </w:rPr>
              <w:t xml:space="preserve">, </w:t>
            </w:r>
            <w:hyperlink r:id="rId10">
              <w:r>
                <w:rPr>
                  <w:rStyle w:val="InternetLink"/>
                  <w:rFonts w:ascii="Times New Roman;Times;serif" w:hAnsi="Times New Roman;Times;serif"/>
                  <w:caps w:val="false"/>
                  <w:smallCaps w:val="false"/>
                  <w:sz w:val="20"/>
                  <w:u w:val="single"/>
                </w:rPr>
                <w:t>March 2, 2026</w:t>
              </w:r>
            </w:hyperlink>
            <w:r>
              <w:rPr>
                <w:rFonts w:ascii="Times New Roman;Times;serif" w:hAnsi="Times New Roman;Times;serif"/>
                <w:caps w:val="false"/>
                <w:smallCaps w:val="false"/>
                <w:sz w:val="20"/>
              </w:rPr>
              <w:t xml:space="preserve">, </w:t>
            </w:r>
            <w:hyperlink r:id="rId11">
              <w:r>
                <w:rPr>
                  <w:rStyle w:val="InternetLink"/>
                  <w:rFonts w:ascii="Times New Roman;Times;serif" w:hAnsi="Times New Roman;Times;serif"/>
                  <w:caps w:val="false"/>
                  <w:smallCaps w:val="false"/>
                  <w:sz w:val="20"/>
                  <w:u w:val="single"/>
                </w:rPr>
                <w:t>March 9, 2026</w:t>
              </w:r>
            </w:hyperlink>
            <w:r>
              <w:rPr>
                <w:rFonts w:ascii="Times New Roman;Times;serif" w:hAnsi="Times New Roman;Times;serif"/>
                <w:caps w:val="false"/>
                <w:smallCaps w:val="false"/>
                <w:sz w:val="20"/>
              </w:rPr>
              <w:t xml:space="preserve">, </w:t>
            </w:r>
            <w:hyperlink r:id="rId12">
              <w:r>
                <w:rPr>
                  <w:rStyle w:val="InternetLink"/>
                  <w:rFonts w:ascii="Times New Roman;Times;serif" w:hAnsi="Times New Roman;Times;serif"/>
                  <w:caps w:val="false"/>
                  <w:smallCaps w:val="false"/>
                  <w:sz w:val="20"/>
                  <w:u w:val="single"/>
                </w:rPr>
                <w:t>March 12, 2026</w:t>
              </w:r>
            </w:hyperlink>
            <w:r>
              <w:rPr>
                <w:rFonts w:ascii="Times New Roman;Times;serif" w:hAnsi="Times New Roman;Times;serif"/>
                <w:caps w:val="false"/>
                <w:smallCaps w:val="false"/>
                <w:sz w:val="20"/>
              </w:rPr>
              <w:t xml:space="preserve">, </w:t>
            </w:r>
            <w:hyperlink r:id="rId13">
              <w:r>
                <w:rPr>
                  <w:rStyle w:val="InternetLink"/>
                  <w:rFonts w:ascii="Times New Roman;Times;serif" w:hAnsi="Times New Roman;Times;serif"/>
                  <w:caps w:val="false"/>
                  <w:smallCaps w:val="false"/>
                  <w:sz w:val="20"/>
                  <w:u w:val="single"/>
                </w:rPr>
                <w:t>March 17, 2026</w:t>
              </w:r>
            </w:hyperlink>
            <w:r>
              <w:rPr>
                <w:rFonts w:ascii="Times New Roman;Times;serif" w:hAnsi="Times New Roman;Times;serif"/>
                <w:caps w:val="false"/>
                <w:smallCaps w:val="false"/>
                <w:sz w:val="20"/>
              </w:rPr>
              <w:t xml:space="preserve">, </w:t>
            </w:r>
            <w:hyperlink r:id="rId14">
              <w:r>
                <w:rPr>
                  <w:rStyle w:val="InternetLink"/>
                  <w:rFonts w:ascii="Times New Roman;Times;serif" w:hAnsi="Times New Roman;Times;serif"/>
                  <w:caps w:val="false"/>
                  <w:smallCaps w:val="false"/>
                  <w:sz w:val="20"/>
                  <w:u w:val="single"/>
                </w:rPr>
                <w:t>April 7, 2026</w:t>
              </w:r>
            </w:hyperlink>
            <w:r>
              <w:rPr>
                <w:rFonts w:ascii="Times New Roman;Times;serif" w:hAnsi="Times New Roman;Times;serif"/>
                <w:caps w:val="false"/>
                <w:smallCaps w:val="false"/>
                <w:sz w:val="20"/>
              </w:rPr>
              <w:t xml:space="preserve">, </w:t>
            </w:r>
            <w:hyperlink r:id="rId15">
              <w:r>
                <w:rPr>
                  <w:rStyle w:val="InternetLink"/>
                  <w:rFonts w:ascii="Times New Roman;Times;serif" w:hAnsi="Times New Roman;Times;serif"/>
                  <w:caps w:val="false"/>
                  <w:smallCaps w:val="false"/>
                  <w:sz w:val="20"/>
                  <w:u w:val="single"/>
                </w:rPr>
                <w:t>April 9, 2026</w:t>
              </w:r>
            </w:hyperlink>
            <w:r>
              <w:rPr>
                <w:rFonts w:ascii="Times New Roman;Times;serif" w:hAnsi="Times New Roman;Times;serif"/>
                <w:caps w:val="false"/>
                <w:smallCaps w:val="false"/>
                <w:sz w:val="20"/>
              </w:rPr>
              <w:t xml:space="preserve">, </w:t>
            </w:r>
            <w:hyperlink r:id="rId16">
              <w:r>
                <w:rPr>
                  <w:rStyle w:val="InternetLink"/>
                  <w:rFonts w:ascii="Times New Roman;Times;serif" w:hAnsi="Times New Roman;Times;serif"/>
                  <w:caps w:val="false"/>
                  <w:smallCaps w:val="false"/>
                  <w:sz w:val="20"/>
                  <w:u w:val="single"/>
                </w:rPr>
                <w:t>May 4, 2026</w:t>
              </w:r>
            </w:hyperlink>
            <w:r>
              <w:rPr>
                <w:rFonts w:ascii="Times New Roman;Times;serif" w:hAnsi="Times New Roman;Times;serif"/>
                <w:caps w:val="false"/>
                <w:smallCaps w:val="false"/>
                <w:sz w:val="20"/>
              </w:rPr>
              <w:t xml:space="preserve">, </w:t>
            </w:r>
            <w:hyperlink r:id="rId17">
              <w:r>
                <w:rPr>
                  <w:rStyle w:val="InternetLink"/>
                  <w:rFonts w:ascii="Times New Roman;Times;serif" w:hAnsi="Times New Roman;Times;serif"/>
                  <w:caps w:val="false"/>
                  <w:smallCaps w:val="false"/>
                  <w:sz w:val="20"/>
                  <w:u w:val="single"/>
                </w:rPr>
                <w:t>May 6, 2026</w:t>
              </w:r>
            </w:hyperlink>
            <w:r>
              <w:rPr>
                <w:rFonts w:ascii="Times New Roman;Times;serif" w:hAnsi="Times New Roman;Times;serif"/>
                <w:caps w:val="false"/>
                <w:smallCaps w:val="false"/>
                <w:sz w:val="20"/>
              </w:rPr>
              <w:t xml:space="preserve">, </w:t>
            </w:r>
            <w:hyperlink r:id="rId18">
              <w:r>
                <w:rPr>
                  <w:rStyle w:val="InternetLink"/>
                  <w:rFonts w:ascii="Times New Roman;Times;serif" w:hAnsi="Times New Roman;Times;serif"/>
                  <w:caps w:val="false"/>
                  <w:smallCaps w:val="false"/>
                  <w:sz w:val="20"/>
                  <w:u w:val="single"/>
                </w:rPr>
                <w:t>June 10, 2026</w:t>
              </w:r>
            </w:hyperlink>
            <w:r>
              <w:rPr>
                <w:rFonts w:ascii="Times New Roman;Times;serif" w:hAnsi="Times New Roman;Times;serif"/>
                <w:caps w:val="false"/>
                <w:smallCaps w:val="false"/>
                <w:sz w:val="20"/>
              </w:rPr>
              <w:t xml:space="preserve">, </w:t>
            </w:r>
            <w:hyperlink r:id="rId19">
              <w:r>
                <w:rPr>
                  <w:rStyle w:val="InternetLink"/>
                  <w:rFonts w:ascii="Times New Roman;Times;serif" w:hAnsi="Times New Roman;Times;serif"/>
                  <w:caps w:val="false"/>
                  <w:smallCaps w:val="false"/>
                  <w:sz w:val="20"/>
                  <w:u w:val="single"/>
                </w:rPr>
                <w:t>June 12, 2026</w:t>
              </w:r>
            </w:hyperlink>
            <w:r>
              <w:rPr>
                <w:rFonts w:ascii="Times New Roman;Times;serif" w:hAnsi="Times New Roman;Times;serif"/>
                <w:caps w:val="false"/>
                <w:smallCaps w:val="false"/>
                <w:sz w:val="20"/>
              </w:rPr>
              <w:t xml:space="preserve">, </w:t>
            </w:r>
            <w:hyperlink r:id="rId20">
              <w:r>
                <w:rPr>
                  <w:rStyle w:val="InternetLink"/>
                  <w:rFonts w:ascii="Times New Roman;Times;serif" w:hAnsi="Times New Roman;Times;serif"/>
                  <w:caps w:val="false"/>
                  <w:smallCaps w:val="false"/>
                  <w:sz w:val="20"/>
                  <w:u w:val="single"/>
                </w:rPr>
                <w:t>July 29, 2026</w:t>
              </w:r>
            </w:hyperlink>
            <w:r>
              <w:rPr>
                <w:rFonts w:ascii="Times New Roman;Times;serif" w:hAnsi="Times New Roman;Times;serif"/>
                <w:caps w:val="false"/>
                <w:smallCaps w:val="false"/>
                <w:sz w:val="20"/>
              </w:rPr>
              <w:t xml:space="preserve"> and </w:t>
            </w:r>
            <w:hyperlink r:id="rId21">
              <w:r>
                <w:rPr>
                  <w:rStyle w:val="InternetLink"/>
                  <w:rFonts w:ascii="Times New Roman;Times;serif" w:hAnsi="Times New Roman;Times;serif"/>
                  <w:caps w:val="false"/>
                  <w:smallCaps w:val="false"/>
                  <w:sz w:val="20"/>
                  <w:u w:val="single"/>
                </w:rPr>
                <w:t>August 6, 2026</w:t>
              </w:r>
            </w:hyperlink>
            <w:r>
              <w:rPr>
                <w:rFonts w:ascii="Times New Roman;Times;serif" w:hAnsi="Times New Roman;Times;serif"/>
                <w:caps w:val="false"/>
                <w:smallCaps w:val="false"/>
                <w:sz w:val="20"/>
              </w:rPr>
              <w: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the description of our common stock which is registered under Section 12 of the Exchange Act, in our registration statement on Form 8-A, filed with the SEC on </w:t>
            </w:r>
            <w:hyperlink r:id="rId22">
              <w:r>
                <w:rPr>
                  <w:rStyle w:val="InternetLink"/>
                  <w:rFonts w:ascii="Times New Roman;Times;serif" w:hAnsi="Times New Roman;Times;serif"/>
                  <w:caps w:val="false"/>
                  <w:smallCaps w:val="false"/>
                  <w:sz w:val="20"/>
                  <w:u w:val="single"/>
                </w:rPr>
                <w:t>April 15, 2016</w:t>
              </w:r>
            </w:hyperlink>
            <w:r>
              <w:rPr>
                <w:rFonts w:ascii="Times New Roman;Times;serif" w:hAnsi="Times New Roman;Times;serif"/>
                <w:caps w:val="false"/>
                <w:smallCaps w:val="false"/>
                <w:sz w:val="20"/>
              </w:rPr>
              <w:t>, including any amendment or report filed for the purpose of updating such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All reports and other documents we subsequently file pursuant to Section 13(a), 13(c), 14 or 15(d) of the Exchange Act prior to the termination of this offering, but excluding any information furnished to, rather than filed with, the SEC, will also be incorporated by reference into this prospectus supplement and deemed to be part of this prospectus supplement from the date of the filing of such reports and other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will provide to each person, including any beneficial owner, to whom a prospectus supplement is delivered, a copy of any or all of the information that has been incorporated by reference in the prospectus but not delivered with the prospectus. You may request a copy of any documents incorporated by reference in this prospectus supplement and the accompanying base prospectus, at no cost, by writing or telephoning us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Pulse Biosciences,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3957 Point Eden Way</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Hayward, California 94545</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Attention: Investor Relations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Telephone: 510-906-4600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Exhibits to the filings will not be sent, however, unless those exhibits have been specifically incorporated by reference in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S-15</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0"/>
        </w:rPr>
      </w:pPr>
      <w:r>
        <w:rPr>
          <w:rFonts w:ascii="Times New Roman" w:hAnsi="Times New Roman"/>
          <w:b/>
          <w:caps w:val="false"/>
          <w:smallCaps w:val="false"/>
          <w:sz w:val="40"/>
        </w:rPr>
        <w:t>Pulse Biosciences, Inc.</w:t>
      </w:r>
    </w:p>
    <w:p>
      <w:pPr>
        <w:pStyle w:val="TextBody"/>
        <w:bidi w:val="0"/>
        <w:spacing w:before="0" w:after="0"/>
        <w:ind w:left="160" w:right="0" w:hanging="0"/>
        <w:jc w:val="center"/>
        <w:rPr>
          <w:rFonts w:ascii="Times New Roman" w:hAnsi="Times New Roman"/>
          <w:b/>
          <w:caps w:val="false"/>
          <w:smallCaps w:val="false"/>
          <w:sz w:val="24"/>
        </w:rPr>
      </w:pPr>
      <w:r>
        <w:rPr>
          <w:rFonts w:ascii="Times New Roman" w:hAnsi="Times New Roman"/>
          <w:b/>
          <w:caps w:val="false"/>
          <w:smallCaps w:val="false"/>
          <w:sz w:val="24"/>
        </w:rPr>
        <w:t>$200,000,000</w:t>
      </w:r>
    </w:p>
    <w:p>
      <w:pPr>
        <w:pStyle w:val="TextBody"/>
        <w:bidi w:val="0"/>
        <w:spacing w:before="0" w:after="0"/>
        <w:ind w:left="160" w:right="0" w:hanging="0"/>
        <w:jc w:val="center"/>
        <w:rPr>
          <w:rFonts w:ascii="Times New Roman" w:hAnsi="Times New Roman"/>
          <w:caps w:val="false"/>
          <w:smallCaps w:val="false"/>
          <w:sz w:val="24"/>
        </w:rPr>
      </w:pPr>
      <w:r>
        <w:rPr>
          <w:rFonts w:ascii="Times New Roman" w:hAnsi="Times New Roman"/>
          <w:b/>
          <w:caps w:val="false"/>
          <w:smallCaps w:val="false"/>
          <w:sz w:val="24"/>
        </w:rPr>
        <w:t>Common Stock</w:t>
      </w:r>
      <w:r>
        <w:rPr>
          <w:rFonts w:ascii="Times New Roman" w:hAnsi="Times New Roman"/>
          <w:caps w:val="false"/>
          <w:smallCaps w:val="false"/>
          <w:sz w:val="24"/>
        </w:rPr>
        <w:br/>
      </w:r>
      <w:r>
        <w:rPr>
          <w:rFonts w:ascii="Times New Roman" w:hAnsi="Times New Roman"/>
          <w:b/>
          <w:caps w:val="false"/>
          <w:smallCaps w:val="false"/>
          <w:sz w:val="24"/>
        </w:rPr>
        <w:t>Preferred Stock</w:t>
      </w:r>
    </w:p>
    <w:p>
      <w:pPr>
        <w:pStyle w:val="TextBody"/>
        <w:bidi w:val="0"/>
        <w:spacing w:before="0" w:after="0"/>
        <w:ind w:left="160" w:right="0" w:hanging="0"/>
        <w:jc w:val="center"/>
        <w:rPr>
          <w:rFonts w:ascii="Times New Roman" w:hAnsi="Times New Roman"/>
          <w:b/>
          <w:caps w:val="false"/>
          <w:smallCaps w:val="false"/>
          <w:sz w:val="24"/>
        </w:rPr>
      </w:pPr>
      <w:r>
        <w:rPr>
          <w:rFonts w:ascii="Times New Roman" w:hAnsi="Times New Roman"/>
          <w:b/>
          <w:caps w:val="false"/>
          <w:smallCaps w:val="false"/>
          <w:sz w:val="24"/>
        </w:rPr>
        <w:t>Debt Securities</w:t>
      </w:r>
    </w:p>
    <w:p>
      <w:pPr>
        <w:pStyle w:val="TextBody"/>
        <w:bidi w:val="0"/>
        <w:spacing w:before="0" w:after="0"/>
        <w:ind w:left="160" w:right="0" w:hanging="0"/>
        <w:jc w:val="center"/>
        <w:rPr>
          <w:rFonts w:ascii="Times New Roman" w:hAnsi="Times New Roman"/>
          <w:b/>
          <w:caps w:val="false"/>
          <w:smallCaps w:val="false"/>
          <w:sz w:val="24"/>
        </w:rPr>
      </w:pPr>
      <w:r>
        <w:rPr>
          <w:rFonts w:ascii="Times New Roman" w:hAnsi="Times New Roman"/>
          <w:b/>
          <w:caps w:val="false"/>
          <w:smallCaps w:val="false"/>
          <w:sz w:val="24"/>
        </w:rPr>
        <w:t>Depositary Shares</w:t>
      </w:r>
    </w:p>
    <w:p>
      <w:pPr>
        <w:pStyle w:val="TextBody"/>
        <w:bidi w:val="0"/>
        <w:spacing w:before="0" w:after="0"/>
        <w:ind w:left="160" w:right="0" w:hanging="0"/>
        <w:jc w:val="center"/>
        <w:rPr>
          <w:rFonts w:ascii="Times New Roman" w:hAnsi="Times New Roman"/>
          <w:b/>
          <w:caps w:val="false"/>
          <w:smallCaps w:val="false"/>
          <w:sz w:val="24"/>
        </w:rPr>
      </w:pPr>
      <w:r>
        <w:rPr>
          <w:rFonts w:ascii="Times New Roman" w:hAnsi="Times New Roman"/>
          <w:b/>
          <w:caps w:val="false"/>
          <w:smallCaps w:val="false"/>
          <w:sz w:val="24"/>
        </w:rPr>
        <w:t>Warrants</w:t>
      </w:r>
    </w:p>
    <w:p>
      <w:pPr>
        <w:pStyle w:val="TextBody"/>
        <w:bidi w:val="0"/>
        <w:spacing w:before="0" w:after="0"/>
        <w:ind w:left="160" w:right="0" w:hanging="0"/>
        <w:jc w:val="center"/>
        <w:rPr>
          <w:rFonts w:ascii="Times New Roman" w:hAnsi="Times New Roman"/>
          <w:b/>
          <w:caps w:val="false"/>
          <w:smallCaps w:val="false"/>
          <w:sz w:val="24"/>
        </w:rPr>
      </w:pPr>
      <w:r>
        <w:rPr>
          <w:rFonts w:ascii="Times New Roman" w:hAnsi="Times New Roman"/>
          <w:b/>
          <w:caps w:val="false"/>
          <w:smallCaps w:val="false"/>
          <w:sz w:val="24"/>
        </w:rPr>
        <w:t>Subscription Rights</w:t>
      </w:r>
    </w:p>
    <w:p>
      <w:pPr>
        <w:pStyle w:val="TextBody"/>
        <w:bidi w:val="0"/>
        <w:spacing w:before="0" w:after="0"/>
        <w:ind w:left="160" w:right="0" w:hanging="0"/>
        <w:jc w:val="center"/>
        <w:rPr>
          <w:rFonts w:ascii="Times New Roman" w:hAnsi="Times New Roman"/>
          <w:b/>
          <w:caps w:val="false"/>
          <w:smallCaps w:val="false"/>
          <w:sz w:val="24"/>
        </w:rPr>
      </w:pPr>
      <w:r>
        <w:rPr>
          <w:rFonts w:ascii="Times New Roman" w:hAnsi="Times New Roman"/>
          <w:b/>
          <w:caps w:val="false"/>
          <w:smallCaps w:val="false"/>
          <w:sz w:val="24"/>
        </w:rPr>
        <w:t>Purchase Contracts</w:t>
      </w:r>
    </w:p>
    <w:p>
      <w:pPr>
        <w:pStyle w:val="TextBody"/>
        <w:bidi w:val="0"/>
        <w:spacing w:before="0" w:after="0"/>
        <w:ind w:left="160" w:right="0" w:hanging="0"/>
        <w:jc w:val="center"/>
        <w:rPr>
          <w:rFonts w:ascii="Times New Roman" w:hAnsi="Times New Roman"/>
          <w:b/>
          <w:caps w:val="false"/>
          <w:smallCaps w:val="false"/>
          <w:sz w:val="24"/>
        </w:rPr>
      </w:pPr>
      <w:r>
        <w:rPr>
          <w:rFonts w:ascii="Times New Roman" w:hAnsi="Times New Roman"/>
          <w:b/>
          <w:caps w:val="false"/>
          <w:smallCaps w:val="false"/>
          <w:sz w:val="24"/>
        </w:rPr>
        <w:t>Units</w:t>
      </w:r>
    </w:p>
    <w:tbl>
      <w:tblPr>
        <w:tblW w:w="60" w:type="dxa"/>
        <w:jc w:val="left"/>
        <w:tblInd w:w="0" w:type="dxa"/>
        <w:tblLayout w:type="fixed"/>
        <w:tblCellMar>
          <w:top w:w="0" w:type="dxa"/>
          <w:left w:w="0" w:type="dxa"/>
          <w:bottom w:w="28" w:type="dxa"/>
          <w:right w:w="0" w:type="dxa"/>
        </w:tblCellMar>
      </w:tblPr>
      <w:tblGrid>
        <w:gridCol w:w="60"/>
      </w:tblGrid>
      <w:tr>
        <w:trPr/>
        <w:tc>
          <w:tcPr>
            <w:tcW w:w="60" w:type="dxa"/>
            <w:tcBorders>
              <w:bottom w:val="single" w:sz="2"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This prospectus provides a general description of the common stock, preferred stock, debt securities, depositary shares, warrants, subscription rights, purchase contracts, and units that we may offer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Each time we offer and sell securities, we will file a supplement to this prospectus that contains specific information about the offering and the amounts, prices, and terms of the securities. Each supplement may also add, update, or change information contained in this prospectus with respect to that offering. You should carefully read this prospectus and the applicable prospectus supplement before you invest in any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offer and sell these securities to or through one or more agents, underwriters, dealers, or other third parties, “at the market,” to or through a market maker, into an existing trading market, or otherwise directly to one or more purchasers on a continuous or delayed basis or through a combination of methods of sale. If agents, underwriters, or dealers are used to sell our securities, we will name them and describe their compensation in a prospectus supplement. The price to the public of our securities and the net proceeds from the sale of such securities will also be set forth in a prospectus supplement. You should carefully read this prospectus and any accompanying prospectus supplement, together with the documents we incorporate by reference, before you invest in our securities. The aggregate offering price of the securities we sell pursuant to this prospectus will not exceed $200,000,000.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common stock is listed on the Nasdaq Capital Market under the symbol “PLSE.” On February 18, 2026, the last reported sales price of our common stock was $25.46.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Investing in our securities involves a high degree of risk. See </w:t>
      </w:r>
      <w:r>
        <w:rPr>
          <w:rFonts w:ascii="Times New Roman;Times;serif" w:hAnsi="Times New Roman;Times;serif"/>
          <w:caps w:val="false"/>
          <w:smallCaps w:val="false"/>
          <w:sz w:val="20"/>
        </w:rPr>
        <w:t>“</w:t>
      </w:r>
      <w:r>
        <w:rPr>
          <w:rFonts w:ascii="Times New Roman;Times;serif" w:hAnsi="Times New Roman;Times;serif"/>
          <w:b/>
          <w:caps w:val="false"/>
          <w:smallCaps w:val="false"/>
          <w:sz w:val="20"/>
        </w:rPr>
        <w:t>Risk Factors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beginning on page 6 of this prospectus and contained in the applicable prospectus supplement and any related free writing prospectus, and under similar headings in the other documents that are incorporated by reference into this prospectus for a discussion of the factors you should carefully consider before making a decision to invest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You should rely only on the information contained in this prospectus or any prospectus supplement or amendment hereto. We have not authorized anyone to provide you with different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The date of this prospectus is February 27, 2026.</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8530" w:type="dxa"/>
        <w:jc w:val="left"/>
        <w:tblInd w:w="0" w:type="dxa"/>
        <w:tblLayout w:type="fixed"/>
        <w:tblCellMar>
          <w:top w:w="0" w:type="dxa"/>
          <w:left w:w="0" w:type="dxa"/>
          <w:bottom w:w="0" w:type="dxa"/>
          <w:right w:w="0" w:type="dxa"/>
        </w:tblCellMar>
      </w:tblPr>
      <w:tblGrid>
        <w:gridCol w:w="8015"/>
        <w:gridCol w:w="515"/>
      </w:tblGrid>
      <w:tr>
        <w:trPr/>
        <w:tc>
          <w:tcPr>
            <w:tcW w:w="801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b/>
                <w:u w:val="single"/>
              </w:rPr>
            </w:pPr>
            <w:r>
              <w:rPr>
                <w:b/>
                <w:u w:val="single"/>
              </w:rPr>
              <w:t>Page</w:t>
            </w:r>
          </w:p>
        </w:tc>
      </w:tr>
      <w:tr>
        <w:trPr/>
        <w:tc>
          <w:tcPr>
            <w:tcW w:w="8015" w:type="dxa"/>
            <w:tcBorders/>
            <w:vAlign w:val="center"/>
          </w:tcPr>
          <w:p>
            <w:pPr>
              <w:pStyle w:val="TableContents"/>
              <w:bidi w:val="0"/>
              <w:spacing w:before="0" w:after="283"/>
              <w:jc w:val="left"/>
              <w:rPr/>
            </w:pPr>
            <w:hyperlink w:anchor="ABOUT_THIS_PROSPECTUS">
              <w:r>
                <w:rPr>
                  <w:rStyle w:val="InternetLink"/>
                </w:rPr>
                <w:t>ABOUT THIS PROSPECTUS</w:t>
              </w:r>
            </w:hyperlink>
          </w:p>
        </w:tc>
        <w:tc>
          <w:tcPr>
            <w:tcW w:w="515" w:type="dxa"/>
            <w:tcBorders/>
            <w:vAlign w:val="center"/>
          </w:tcPr>
          <w:p>
            <w:pPr>
              <w:pStyle w:val="TableContents"/>
              <w:bidi w:val="0"/>
              <w:spacing w:before="0" w:after="283"/>
              <w:jc w:val="right"/>
              <w:rPr/>
            </w:pPr>
            <w:hyperlink w:anchor="ABOUT_THIS_PROSPECTUS">
              <w:r>
                <w:rPr>
                  <w:rStyle w:val="InternetLink"/>
                </w:rPr>
                <w:t>2</w:t>
              </w:r>
            </w:hyperlink>
          </w:p>
        </w:tc>
      </w:tr>
      <w:tr>
        <w:trPr/>
        <w:tc>
          <w:tcPr>
            <w:tcW w:w="8015" w:type="dxa"/>
            <w:tcBorders/>
            <w:vAlign w:val="center"/>
          </w:tcPr>
          <w:p>
            <w:pPr>
              <w:pStyle w:val="TableContents"/>
              <w:bidi w:val="0"/>
              <w:spacing w:before="0" w:after="283"/>
              <w:jc w:val="left"/>
              <w:rPr/>
            </w:pPr>
            <w:hyperlink w:anchor="CAUTIONARY_STATEMENT_REGARDING_FORWARD_LOOKING_STATEMENTS">
              <w:r>
                <w:rPr>
                  <w:rStyle w:val="InternetLink"/>
                </w:rPr>
                <w:t>CAUTIONARY NOTE REGARDING FORWARD LOOKING STATEMENTS</w:t>
              </w:r>
            </w:hyperlink>
          </w:p>
        </w:tc>
        <w:tc>
          <w:tcPr>
            <w:tcW w:w="515" w:type="dxa"/>
            <w:tcBorders/>
            <w:vAlign w:val="center"/>
          </w:tcPr>
          <w:p>
            <w:pPr>
              <w:pStyle w:val="TableContents"/>
              <w:bidi w:val="0"/>
              <w:spacing w:before="0" w:after="283"/>
              <w:jc w:val="right"/>
              <w:rPr/>
            </w:pPr>
            <w:hyperlink w:anchor="CAUTIONARY_STATEMENT_REGARDING_FORWARD_LOOKING_STATEMENTS">
              <w:r>
                <w:rPr>
                  <w:rStyle w:val="InternetLink"/>
                </w:rPr>
                <w:t>3</w:t>
              </w:r>
            </w:hyperlink>
          </w:p>
        </w:tc>
      </w:tr>
      <w:tr>
        <w:trPr/>
        <w:tc>
          <w:tcPr>
            <w:tcW w:w="8015" w:type="dxa"/>
            <w:tcBorders/>
            <w:vAlign w:val="center"/>
          </w:tcPr>
          <w:p>
            <w:pPr>
              <w:pStyle w:val="TableContents"/>
              <w:bidi w:val="0"/>
              <w:spacing w:before="0" w:after="283"/>
              <w:jc w:val="left"/>
              <w:rPr/>
            </w:pPr>
            <w:hyperlink w:anchor="PROSPECTUS_SUMMARY">
              <w:r>
                <w:rPr>
                  <w:rStyle w:val="InternetLink"/>
                </w:rPr>
                <w:t>PROSPECTUS SUMMARY</w:t>
              </w:r>
            </w:hyperlink>
          </w:p>
        </w:tc>
        <w:tc>
          <w:tcPr>
            <w:tcW w:w="515" w:type="dxa"/>
            <w:tcBorders/>
            <w:vAlign w:val="center"/>
          </w:tcPr>
          <w:p>
            <w:pPr>
              <w:pStyle w:val="TableContents"/>
              <w:bidi w:val="0"/>
              <w:spacing w:before="0" w:after="283"/>
              <w:jc w:val="right"/>
              <w:rPr/>
            </w:pPr>
            <w:hyperlink w:anchor="PROSPECTUS_SUMMARY">
              <w:r>
                <w:rPr>
                  <w:rStyle w:val="InternetLink"/>
                </w:rPr>
                <w:t>4</w:t>
              </w:r>
            </w:hyperlink>
          </w:p>
        </w:tc>
      </w:tr>
      <w:tr>
        <w:trPr/>
        <w:tc>
          <w:tcPr>
            <w:tcW w:w="8015" w:type="dxa"/>
            <w:tcBorders/>
            <w:vAlign w:val="center"/>
          </w:tcPr>
          <w:p>
            <w:pPr>
              <w:pStyle w:val="TableContents"/>
              <w:bidi w:val="0"/>
              <w:spacing w:before="0" w:after="283"/>
              <w:jc w:val="left"/>
              <w:rPr/>
            </w:pPr>
            <w:hyperlink w:anchor="RISK_FACTORS_">
              <w:r>
                <w:rPr>
                  <w:rStyle w:val="InternetLink"/>
                </w:rPr>
                <w:t>RISK FACTORS </w:t>
              </w:r>
            </w:hyperlink>
          </w:p>
        </w:tc>
        <w:tc>
          <w:tcPr>
            <w:tcW w:w="515" w:type="dxa"/>
            <w:tcBorders/>
            <w:vAlign w:val="center"/>
          </w:tcPr>
          <w:p>
            <w:pPr>
              <w:pStyle w:val="TableContents"/>
              <w:bidi w:val="0"/>
              <w:spacing w:before="0" w:after="283"/>
              <w:jc w:val="right"/>
              <w:rPr/>
            </w:pPr>
            <w:hyperlink w:anchor="RISK_FACTORS_">
              <w:r>
                <w:rPr>
                  <w:rStyle w:val="InternetLink"/>
                </w:rPr>
                <w:t>6</w:t>
              </w:r>
            </w:hyperlink>
          </w:p>
        </w:tc>
      </w:tr>
      <w:tr>
        <w:trPr/>
        <w:tc>
          <w:tcPr>
            <w:tcW w:w="8015" w:type="dxa"/>
            <w:tcBorders/>
            <w:vAlign w:val="center"/>
          </w:tcPr>
          <w:p>
            <w:pPr>
              <w:pStyle w:val="TableContents"/>
              <w:bidi w:val="0"/>
              <w:spacing w:before="0" w:after="283"/>
              <w:jc w:val="left"/>
              <w:rPr/>
            </w:pPr>
            <w:hyperlink w:anchor="USE_OF_PROCEEDS">
              <w:r>
                <w:rPr>
                  <w:rStyle w:val="InternetLink"/>
                </w:rPr>
                <w:t>USE OF PROCEEDS</w:t>
              </w:r>
            </w:hyperlink>
          </w:p>
        </w:tc>
        <w:tc>
          <w:tcPr>
            <w:tcW w:w="515" w:type="dxa"/>
            <w:tcBorders/>
            <w:vAlign w:val="center"/>
          </w:tcPr>
          <w:p>
            <w:pPr>
              <w:pStyle w:val="TableContents"/>
              <w:bidi w:val="0"/>
              <w:spacing w:before="0" w:after="283"/>
              <w:jc w:val="right"/>
              <w:rPr/>
            </w:pPr>
            <w:hyperlink w:anchor="USE_OF_PROCEEDS">
              <w:r>
                <w:rPr>
                  <w:rStyle w:val="InternetLink"/>
                </w:rPr>
                <w:t>6</w:t>
              </w:r>
            </w:hyperlink>
          </w:p>
        </w:tc>
      </w:tr>
      <w:tr>
        <w:trPr/>
        <w:tc>
          <w:tcPr>
            <w:tcW w:w="8015" w:type="dxa"/>
            <w:tcBorders/>
            <w:vAlign w:val="center"/>
          </w:tcPr>
          <w:p>
            <w:pPr>
              <w:pStyle w:val="TableContents"/>
              <w:bidi w:val="0"/>
              <w:spacing w:before="0" w:after="283"/>
              <w:jc w:val="left"/>
              <w:rPr/>
            </w:pPr>
            <w:hyperlink w:anchor="DESCRIPTION_OF_CAPITAL_STOCK">
              <w:r>
                <w:rPr>
                  <w:rStyle w:val="InternetLink"/>
                </w:rPr>
                <w:t>DESCRIPTION OF CAPITAL STOCK</w:t>
              </w:r>
            </w:hyperlink>
          </w:p>
        </w:tc>
        <w:tc>
          <w:tcPr>
            <w:tcW w:w="515" w:type="dxa"/>
            <w:tcBorders/>
            <w:vAlign w:val="center"/>
          </w:tcPr>
          <w:p>
            <w:pPr>
              <w:pStyle w:val="TableContents"/>
              <w:bidi w:val="0"/>
              <w:spacing w:before="0" w:after="283"/>
              <w:jc w:val="right"/>
              <w:rPr/>
            </w:pPr>
            <w:hyperlink w:anchor="DESCRIPTION_OF_CAPITAL_STOCK">
              <w:r>
                <w:rPr>
                  <w:rStyle w:val="InternetLink"/>
                </w:rPr>
                <w:t>7</w:t>
              </w:r>
            </w:hyperlink>
          </w:p>
        </w:tc>
      </w:tr>
      <w:tr>
        <w:trPr/>
        <w:tc>
          <w:tcPr>
            <w:tcW w:w="8015" w:type="dxa"/>
            <w:tcBorders/>
            <w:vAlign w:val="center"/>
          </w:tcPr>
          <w:p>
            <w:pPr>
              <w:pStyle w:val="TableContents"/>
              <w:bidi w:val="0"/>
              <w:spacing w:before="0" w:after="283"/>
              <w:jc w:val="left"/>
              <w:rPr/>
            </w:pPr>
            <w:hyperlink w:anchor="DESCRIPTION_OF_DEBT_SECURITIES">
              <w:r>
                <w:rPr>
                  <w:rStyle w:val="InternetLink"/>
                </w:rPr>
                <w:t>DESCRIPTION OF DEBT SECURITIES</w:t>
              </w:r>
            </w:hyperlink>
          </w:p>
        </w:tc>
        <w:tc>
          <w:tcPr>
            <w:tcW w:w="515" w:type="dxa"/>
            <w:tcBorders/>
            <w:vAlign w:val="center"/>
          </w:tcPr>
          <w:p>
            <w:pPr>
              <w:pStyle w:val="TableContents"/>
              <w:bidi w:val="0"/>
              <w:spacing w:before="0" w:after="283"/>
              <w:jc w:val="right"/>
              <w:rPr/>
            </w:pPr>
            <w:hyperlink w:anchor="DESCRIPTION_OF_DEBT_SECURITIES">
              <w:r>
                <w:rPr>
                  <w:rStyle w:val="InternetLink"/>
                </w:rPr>
                <w:t>10</w:t>
              </w:r>
            </w:hyperlink>
          </w:p>
        </w:tc>
      </w:tr>
      <w:tr>
        <w:trPr/>
        <w:tc>
          <w:tcPr>
            <w:tcW w:w="8015" w:type="dxa"/>
            <w:tcBorders/>
            <w:vAlign w:val="center"/>
          </w:tcPr>
          <w:p>
            <w:pPr>
              <w:pStyle w:val="TableContents"/>
              <w:bidi w:val="0"/>
              <w:spacing w:before="0" w:after="283"/>
              <w:jc w:val="left"/>
              <w:rPr/>
            </w:pPr>
            <w:hyperlink w:anchor="DESCRIPTION_OF_DEPOSITARY_SHARES">
              <w:r>
                <w:rPr>
                  <w:rStyle w:val="InternetLink"/>
                </w:rPr>
                <w:t>DESCRIPTION OF DEPOSITARY SHARES</w:t>
              </w:r>
            </w:hyperlink>
          </w:p>
        </w:tc>
        <w:tc>
          <w:tcPr>
            <w:tcW w:w="515" w:type="dxa"/>
            <w:tcBorders/>
            <w:vAlign w:val="center"/>
          </w:tcPr>
          <w:p>
            <w:pPr>
              <w:pStyle w:val="TableContents"/>
              <w:bidi w:val="0"/>
              <w:spacing w:before="0" w:after="283"/>
              <w:jc w:val="right"/>
              <w:rPr/>
            </w:pPr>
            <w:hyperlink w:anchor="DESCRIPTION_OF_DEPOSITARY_SHARES">
              <w:r>
                <w:rPr>
                  <w:rStyle w:val="InternetLink"/>
                </w:rPr>
                <w:t>16</w:t>
              </w:r>
            </w:hyperlink>
          </w:p>
        </w:tc>
      </w:tr>
      <w:tr>
        <w:trPr/>
        <w:tc>
          <w:tcPr>
            <w:tcW w:w="8015" w:type="dxa"/>
            <w:tcBorders/>
            <w:vAlign w:val="center"/>
          </w:tcPr>
          <w:p>
            <w:pPr>
              <w:pStyle w:val="TableContents"/>
              <w:bidi w:val="0"/>
              <w:spacing w:before="0" w:after="283"/>
              <w:jc w:val="left"/>
              <w:rPr/>
            </w:pPr>
            <w:hyperlink w:anchor="DESCRIPTION_OF_WARRANTS">
              <w:r>
                <w:rPr>
                  <w:rStyle w:val="InternetLink"/>
                </w:rPr>
                <w:t>DESCRIPTION OF WARRANTS</w:t>
              </w:r>
            </w:hyperlink>
          </w:p>
        </w:tc>
        <w:tc>
          <w:tcPr>
            <w:tcW w:w="515" w:type="dxa"/>
            <w:tcBorders/>
            <w:vAlign w:val="center"/>
          </w:tcPr>
          <w:p>
            <w:pPr>
              <w:pStyle w:val="TableContents"/>
              <w:bidi w:val="0"/>
              <w:spacing w:before="0" w:after="283"/>
              <w:jc w:val="right"/>
              <w:rPr/>
            </w:pPr>
            <w:hyperlink w:anchor="DESCRIPTION_OF_WARRANTS">
              <w:r>
                <w:rPr>
                  <w:rStyle w:val="InternetLink"/>
                </w:rPr>
                <w:t>18</w:t>
              </w:r>
            </w:hyperlink>
          </w:p>
        </w:tc>
      </w:tr>
      <w:tr>
        <w:trPr/>
        <w:tc>
          <w:tcPr>
            <w:tcW w:w="8015" w:type="dxa"/>
            <w:tcBorders/>
            <w:vAlign w:val="center"/>
          </w:tcPr>
          <w:p>
            <w:pPr>
              <w:pStyle w:val="TableContents"/>
              <w:bidi w:val="0"/>
              <w:spacing w:before="0" w:after="283"/>
              <w:jc w:val="left"/>
              <w:rPr/>
            </w:pPr>
            <w:hyperlink w:anchor="DESCRIPTION_OF_SUBSCRIPTION_RIGHTS">
              <w:r>
                <w:rPr>
                  <w:rStyle w:val="InternetLink"/>
                </w:rPr>
                <w:t>DESCRIPTION OF SUBSCRIPTION RIGHTS</w:t>
              </w:r>
            </w:hyperlink>
          </w:p>
        </w:tc>
        <w:tc>
          <w:tcPr>
            <w:tcW w:w="515" w:type="dxa"/>
            <w:tcBorders/>
            <w:vAlign w:val="center"/>
          </w:tcPr>
          <w:p>
            <w:pPr>
              <w:pStyle w:val="TableContents"/>
              <w:bidi w:val="0"/>
              <w:spacing w:before="0" w:after="283"/>
              <w:jc w:val="right"/>
              <w:rPr/>
            </w:pPr>
            <w:hyperlink w:anchor="DESCRIPTION_OF_SUBSCRIPTION_RIGHTS">
              <w:r>
                <w:rPr>
                  <w:rStyle w:val="InternetLink"/>
                </w:rPr>
                <w:t>19</w:t>
              </w:r>
            </w:hyperlink>
          </w:p>
        </w:tc>
      </w:tr>
      <w:tr>
        <w:trPr/>
        <w:tc>
          <w:tcPr>
            <w:tcW w:w="8015" w:type="dxa"/>
            <w:tcBorders/>
            <w:vAlign w:val="center"/>
          </w:tcPr>
          <w:p>
            <w:pPr>
              <w:pStyle w:val="TableContents"/>
              <w:bidi w:val="0"/>
              <w:spacing w:before="0" w:after="283"/>
              <w:jc w:val="left"/>
              <w:rPr/>
            </w:pPr>
            <w:hyperlink w:anchor="DESCRIPTION_OF_PURCHASE_CONTRACTS">
              <w:r>
                <w:rPr>
                  <w:rStyle w:val="InternetLink"/>
                </w:rPr>
                <w:t>DESCRIPTION OF PURCHASE CONTRACTS</w:t>
              </w:r>
            </w:hyperlink>
          </w:p>
        </w:tc>
        <w:tc>
          <w:tcPr>
            <w:tcW w:w="515" w:type="dxa"/>
            <w:tcBorders/>
            <w:vAlign w:val="center"/>
          </w:tcPr>
          <w:p>
            <w:pPr>
              <w:pStyle w:val="TableContents"/>
              <w:bidi w:val="0"/>
              <w:spacing w:before="0" w:after="283"/>
              <w:jc w:val="right"/>
              <w:rPr/>
            </w:pPr>
            <w:hyperlink w:anchor="DESCRIPTION_OF_PURCHASE_CONTRACTS">
              <w:r>
                <w:rPr>
                  <w:rStyle w:val="InternetLink"/>
                </w:rPr>
                <w:t>20</w:t>
              </w:r>
            </w:hyperlink>
          </w:p>
        </w:tc>
      </w:tr>
      <w:tr>
        <w:trPr/>
        <w:tc>
          <w:tcPr>
            <w:tcW w:w="8015" w:type="dxa"/>
            <w:tcBorders/>
            <w:vAlign w:val="center"/>
          </w:tcPr>
          <w:p>
            <w:pPr>
              <w:pStyle w:val="TableContents"/>
              <w:bidi w:val="0"/>
              <w:spacing w:before="0" w:after="283"/>
              <w:jc w:val="left"/>
              <w:rPr/>
            </w:pPr>
            <w:hyperlink w:anchor="DESCRIPTION_OF_UNITS">
              <w:r>
                <w:rPr>
                  <w:rStyle w:val="InternetLink"/>
                </w:rPr>
                <w:t>DESCRIPTION OF UNITS</w:t>
              </w:r>
            </w:hyperlink>
          </w:p>
        </w:tc>
        <w:tc>
          <w:tcPr>
            <w:tcW w:w="515" w:type="dxa"/>
            <w:tcBorders/>
            <w:vAlign w:val="center"/>
          </w:tcPr>
          <w:p>
            <w:pPr>
              <w:pStyle w:val="TableContents"/>
              <w:bidi w:val="0"/>
              <w:spacing w:before="0" w:after="283"/>
              <w:jc w:val="right"/>
              <w:rPr/>
            </w:pPr>
            <w:hyperlink w:anchor="DESCRIPTION_OF_UNITS">
              <w:r>
                <w:rPr>
                  <w:rStyle w:val="InternetLink"/>
                </w:rPr>
                <w:t>21</w:t>
              </w:r>
            </w:hyperlink>
          </w:p>
        </w:tc>
      </w:tr>
      <w:tr>
        <w:trPr/>
        <w:tc>
          <w:tcPr>
            <w:tcW w:w="8015" w:type="dxa"/>
            <w:tcBorders/>
            <w:vAlign w:val="center"/>
          </w:tcPr>
          <w:p>
            <w:pPr>
              <w:pStyle w:val="TableContents"/>
              <w:bidi w:val="0"/>
              <w:spacing w:before="0" w:after="283"/>
              <w:jc w:val="left"/>
              <w:rPr/>
            </w:pPr>
            <w:hyperlink w:anchor="DIVIDEND_POLICY">
              <w:r>
                <w:rPr>
                  <w:rStyle w:val="InternetLink"/>
                </w:rPr>
                <w:t>DIVIDEND POLICY</w:t>
              </w:r>
            </w:hyperlink>
          </w:p>
        </w:tc>
        <w:tc>
          <w:tcPr>
            <w:tcW w:w="515" w:type="dxa"/>
            <w:tcBorders/>
            <w:vAlign w:val="center"/>
          </w:tcPr>
          <w:p>
            <w:pPr>
              <w:pStyle w:val="TableContents"/>
              <w:bidi w:val="0"/>
              <w:spacing w:before="0" w:after="283"/>
              <w:jc w:val="right"/>
              <w:rPr/>
            </w:pPr>
            <w:hyperlink w:anchor="DIVIDEND_POLICY">
              <w:r>
                <w:rPr>
                  <w:rStyle w:val="InternetLink"/>
                </w:rPr>
                <w:t>21</w:t>
              </w:r>
            </w:hyperlink>
          </w:p>
        </w:tc>
      </w:tr>
      <w:tr>
        <w:trPr/>
        <w:tc>
          <w:tcPr>
            <w:tcW w:w="8015" w:type="dxa"/>
            <w:tcBorders/>
            <w:vAlign w:val="center"/>
          </w:tcPr>
          <w:p>
            <w:pPr>
              <w:pStyle w:val="TableContents"/>
              <w:bidi w:val="0"/>
              <w:spacing w:before="0" w:after="283"/>
              <w:jc w:val="left"/>
              <w:rPr/>
            </w:pPr>
            <w:hyperlink w:anchor="PLANOFDISTRIBUTION">
              <w:r>
                <w:rPr>
                  <w:rStyle w:val="InternetLink"/>
                </w:rPr>
                <w:t>PLAN OF DISTRIBUTION</w:t>
              </w:r>
            </w:hyperlink>
          </w:p>
        </w:tc>
        <w:tc>
          <w:tcPr>
            <w:tcW w:w="515" w:type="dxa"/>
            <w:tcBorders/>
            <w:vAlign w:val="center"/>
          </w:tcPr>
          <w:p>
            <w:pPr>
              <w:pStyle w:val="TableContents"/>
              <w:bidi w:val="0"/>
              <w:spacing w:before="0" w:after="283"/>
              <w:jc w:val="right"/>
              <w:rPr/>
            </w:pPr>
            <w:hyperlink w:anchor="PLANOFDISTRIBUTION">
              <w:r>
                <w:rPr>
                  <w:rStyle w:val="InternetLink"/>
                </w:rPr>
                <w:t>22</w:t>
              </w:r>
            </w:hyperlink>
          </w:p>
        </w:tc>
      </w:tr>
      <w:tr>
        <w:trPr/>
        <w:tc>
          <w:tcPr>
            <w:tcW w:w="8015" w:type="dxa"/>
            <w:tcBorders/>
            <w:vAlign w:val="center"/>
          </w:tcPr>
          <w:p>
            <w:pPr>
              <w:pStyle w:val="TableContents"/>
              <w:bidi w:val="0"/>
              <w:spacing w:before="0" w:after="283"/>
              <w:jc w:val="left"/>
              <w:rPr/>
            </w:pPr>
            <w:hyperlink w:anchor="LEGALMATTERS">
              <w:r>
                <w:rPr>
                  <w:rStyle w:val="InternetLink"/>
                </w:rPr>
                <w:t>LEGAL MATTERS</w:t>
              </w:r>
            </w:hyperlink>
          </w:p>
        </w:tc>
        <w:tc>
          <w:tcPr>
            <w:tcW w:w="515" w:type="dxa"/>
            <w:tcBorders/>
            <w:vAlign w:val="center"/>
          </w:tcPr>
          <w:p>
            <w:pPr>
              <w:pStyle w:val="TableContents"/>
              <w:bidi w:val="0"/>
              <w:spacing w:before="0" w:after="283"/>
              <w:jc w:val="right"/>
              <w:rPr/>
            </w:pPr>
            <w:hyperlink w:anchor="LEGALMATTERS">
              <w:r>
                <w:rPr>
                  <w:rStyle w:val="InternetLink"/>
                </w:rPr>
                <w:t>25</w:t>
              </w:r>
            </w:hyperlink>
          </w:p>
        </w:tc>
      </w:tr>
      <w:tr>
        <w:trPr/>
        <w:tc>
          <w:tcPr>
            <w:tcW w:w="8015" w:type="dxa"/>
            <w:tcBorders/>
            <w:vAlign w:val="center"/>
          </w:tcPr>
          <w:p>
            <w:pPr>
              <w:pStyle w:val="TableContents"/>
              <w:bidi w:val="0"/>
              <w:spacing w:before="0" w:after="283"/>
              <w:jc w:val="left"/>
              <w:rPr/>
            </w:pPr>
            <w:hyperlink w:anchor="EXPERTS">
              <w:r>
                <w:rPr>
                  <w:rStyle w:val="InternetLink"/>
                </w:rPr>
                <w:t>EXPERTS</w:t>
              </w:r>
            </w:hyperlink>
          </w:p>
        </w:tc>
        <w:tc>
          <w:tcPr>
            <w:tcW w:w="515" w:type="dxa"/>
            <w:tcBorders/>
            <w:vAlign w:val="center"/>
          </w:tcPr>
          <w:p>
            <w:pPr>
              <w:pStyle w:val="TableContents"/>
              <w:bidi w:val="0"/>
              <w:spacing w:before="0" w:after="283"/>
              <w:jc w:val="right"/>
              <w:rPr/>
            </w:pPr>
            <w:hyperlink w:anchor="EXPERTS">
              <w:r>
                <w:rPr>
                  <w:rStyle w:val="InternetLink"/>
                </w:rPr>
                <w:t>25</w:t>
              </w:r>
            </w:hyperlink>
          </w:p>
        </w:tc>
      </w:tr>
      <w:tr>
        <w:trPr/>
        <w:tc>
          <w:tcPr>
            <w:tcW w:w="8015" w:type="dxa"/>
            <w:tcBorders/>
            <w:vAlign w:val="center"/>
          </w:tcPr>
          <w:p>
            <w:pPr>
              <w:pStyle w:val="TableContents"/>
              <w:bidi w:val="0"/>
              <w:spacing w:before="0" w:after="283"/>
              <w:jc w:val="left"/>
              <w:rPr/>
            </w:pPr>
            <w:hyperlink w:anchor="INCORPORATIONBYREFERENCE">
              <w:r>
                <w:rPr>
                  <w:rStyle w:val="InternetLink"/>
                </w:rPr>
                <w:t>INCORPORATION OF CERTAIN INFORMATION BY REFERENCE</w:t>
              </w:r>
            </w:hyperlink>
          </w:p>
        </w:tc>
        <w:tc>
          <w:tcPr>
            <w:tcW w:w="515" w:type="dxa"/>
            <w:tcBorders/>
            <w:vAlign w:val="center"/>
          </w:tcPr>
          <w:p>
            <w:pPr>
              <w:pStyle w:val="TableContents"/>
              <w:bidi w:val="0"/>
              <w:spacing w:before="0" w:after="283"/>
              <w:jc w:val="right"/>
              <w:rPr/>
            </w:pPr>
            <w:hyperlink w:anchor="INCORPORATIONBYREFERENCE">
              <w:r>
                <w:rPr>
                  <w:rStyle w:val="InternetLink"/>
                </w:rPr>
                <w:t>25</w:t>
              </w:r>
            </w:hyperlink>
          </w:p>
        </w:tc>
      </w:tr>
      <w:tr>
        <w:trPr/>
        <w:tc>
          <w:tcPr>
            <w:tcW w:w="8015" w:type="dxa"/>
            <w:tcBorders/>
            <w:vAlign w:val="center"/>
          </w:tcPr>
          <w:p>
            <w:pPr>
              <w:pStyle w:val="TableContents"/>
              <w:bidi w:val="0"/>
              <w:spacing w:before="0" w:after="283"/>
              <w:jc w:val="left"/>
              <w:rPr/>
            </w:pPr>
            <w:r>
              <w:rPr/>
              <w:t>PART II INFORMATION NOT REQUIRED IN THE PROSPECTUS</w:t>
            </w:r>
          </w:p>
        </w:tc>
        <w:tc>
          <w:tcPr>
            <w:tcW w:w="515" w:type="dxa"/>
            <w:tcBorders/>
            <w:vAlign w:val="center"/>
          </w:tcPr>
          <w:p>
            <w:pPr>
              <w:pStyle w:val="TableContents"/>
              <w:bidi w:val="0"/>
              <w:spacing w:before="0" w:after="283"/>
              <w:jc w:val="right"/>
              <w:rPr/>
            </w:pPr>
            <w:r>
              <w:rPr/>
              <w:t>II-1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81" w:name="ABOUT_THIS_PROSPECTUS"/>
      <w:bookmarkStart w:id="82" w:name="ABOUT_THIS_PROSPECTUS"/>
      <w:bookmarkEnd w:id="81"/>
      <w:bookmarkEnd w:id="82"/>
      <w:r>
        <w:rPr>
          <w:rFonts w:ascii="Times New Roman;Times;serif" w:hAnsi="Times New Roman;Times;serif"/>
          <w:b/>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This prospectus is part of a registration statement on Form S-3 that we filed with the Securities and Exchange Commission (the “SEC”) using the “shelf” registration process. Under this shelf registration process, we may, from time to time, sell any combination of the securities described in this prospectus in one or more offerings.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types of securities that we may offer and sell from time to time by this prospectus are:</w:t>
      </w:r>
    </w:p>
    <w:p>
      <w:pPr>
        <w:pStyle w:val="TextBody"/>
        <w:bidi w:val="0"/>
        <w:spacing w:before="0" w:after="0"/>
        <w:ind w:left="0" w:right="0" w:hanging="0"/>
        <w:jc w:val="left"/>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60"/>
        <w:gridCol w:w="170"/>
        <w:gridCol w:w="12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w:t>
            </w:r>
          </w:p>
        </w:tc>
      </w:tr>
    </w:tbl>
    <w:p>
      <w:pPr>
        <w:pStyle w:val="TextBody"/>
        <w:bidi w:val="0"/>
        <w:spacing w:before="0" w:after="0"/>
        <w:ind w:left="0" w:right="0" w:hanging="0"/>
        <w:jc w:val="left"/>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60"/>
        <w:gridCol w:w="170"/>
        <w:gridCol w:w="12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2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preferred stock;</w:t>
            </w:r>
          </w:p>
        </w:tc>
      </w:tr>
    </w:tbl>
    <w:p>
      <w:pPr>
        <w:pStyle w:val="TextBody"/>
        <w:bidi w:val="0"/>
        <w:spacing w:before="0" w:after="0"/>
        <w:ind w:left="0" w:right="0" w:hanging="0"/>
        <w:jc w:val="left"/>
        <w:rPr>
          <w:caps w:val="false"/>
          <w:smallCaps w:val="false"/>
        </w:rPr>
      </w:pPr>
      <w:r>
        <w:rPr>
          <w:caps w:val="false"/>
          <w:smallCaps w:val="false"/>
        </w:rPr>
        <w:t> </w:t>
      </w:r>
    </w:p>
    <w:tbl>
      <w:tblPr>
        <w:tblW w:w="6640" w:type="dxa"/>
        <w:jc w:val="left"/>
        <w:tblInd w:w="0" w:type="dxa"/>
        <w:tblLayout w:type="fixed"/>
        <w:tblCellMar>
          <w:top w:w="0" w:type="dxa"/>
          <w:left w:w="0" w:type="dxa"/>
          <w:bottom w:w="0" w:type="dxa"/>
          <w:right w:w="0" w:type="dxa"/>
        </w:tblCellMar>
      </w:tblPr>
      <w:tblGrid>
        <w:gridCol w:w="60"/>
        <w:gridCol w:w="170"/>
        <w:gridCol w:w="64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debt securities, which may be senior or subordinated and secured or unsecured;</w:t>
            </w:r>
          </w:p>
        </w:tc>
      </w:tr>
    </w:tbl>
    <w:p>
      <w:pPr>
        <w:pStyle w:val="TextBody"/>
        <w:bidi w:val="0"/>
        <w:spacing w:before="0" w:after="0"/>
        <w:ind w:left="0" w:right="0" w:hanging="0"/>
        <w:jc w:val="left"/>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60"/>
        <w:gridCol w:w="170"/>
        <w:gridCol w:w="14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4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depositary shares;</w:t>
            </w:r>
          </w:p>
        </w:tc>
      </w:tr>
    </w:tbl>
    <w:p>
      <w:pPr>
        <w:pStyle w:val="TextBody"/>
        <w:bidi w:val="0"/>
        <w:spacing w:before="0" w:after="0"/>
        <w:ind w:left="0" w:right="0" w:hanging="0"/>
        <w:jc w:val="left"/>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60"/>
        <w:gridCol w:w="170"/>
        <w:gridCol w:w="73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warrants entitling the holders to purchase common stock, preferred stock or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60"/>
        <w:gridCol w:w="170"/>
        <w:gridCol w:w="90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subscription rights entitling the holders to purchase common stock, preferred stock, warrants, or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60"/>
        <w:gridCol w:w="170"/>
        <w:gridCol w:w="19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purchase contracts; and</w:t>
            </w:r>
          </w:p>
        </w:tc>
      </w:tr>
    </w:tbl>
    <w:p>
      <w:pPr>
        <w:pStyle w:val="TextBody"/>
        <w:bidi w:val="0"/>
        <w:spacing w:before="0" w:after="0"/>
        <w:ind w:left="0" w:right="0" w:hanging="0"/>
        <w:jc w:val="left"/>
        <w:rPr>
          <w:caps w:val="false"/>
          <w:smallCaps w:val="false"/>
        </w:rPr>
      </w:pPr>
      <w:r>
        <w:rPr>
          <w:caps w:val="false"/>
          <w:smallCaps w:val="false"/>
        </w:rPr>
        <w:t> </w:t>
      </w:r>
    </w:p>
    <w:tbl>
      <w:tblPr>
        <w:tblW w:w="700" w:type="dxa"/>
        <w:jc w:val="left"/>
        <w:tblInd w:w="0" w:type="dxa"/>
        <w:tblLayout w:type="fixed"/>
        <w:tblCellMar>
          <w:top w:w="0" w:type="dxa"/>
          <w:left w:w="0" w:type="dxa"/>
          <w:bottom w:w="0" w:type="dxa"/>
          <w:right w:w="0" w:type="dxa"/>
        </w:tblCellMar>
      </w:tblPr>
      <w:tblGrid>
        <w:gridCol w:w="60"/>
        <w:gridCol w:w="170"/>
        <w:gridCol w:w="4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sell these securities either separately or in units. The preferred stock may be convertible into shares of our common stock or another series of preferred stock. This prospectus provides a general description of the securities that may be offered. Each time we sell securities, we will provide a supplement to this prospectus that contains specific information about the offering and the specific terms of the securities being offered.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You should rely only on the information provided in this prospectus, as well as the information incorporated by reference into this prospectus and any applicable prospectus supplement. We have not authorized anyone to provide you with different or additional information or to make any representations other than those contained in this prospectus or any applicable prospectus supplement. We do not take responsibility for, and can provide no assurance as to the reliability of, any other information that others may give you. You should not assume that the information in this prospectus or any applicable prospectus supplement is accurate as of any date other than the date of the applicable document. Since the date of this prospectus and the documents incorporated by reference into this prospectus, our business, financial condition, results of operations, and prospects may have changed. We will not make an offer to sell these securities in any jurisdiction where the offer or sale is not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information incorporated by reference herein or therein. For general information about the distribution of securities offered, please see “</w:t>
      </w:r>
      <w:r>
        <w:rPr>
          <w:rFonts w:ascii="Times New Roman" w:hAnsi="Times New Roman"/>
          <w:i/>
          <w:caps w:val="false"/>
          <w:smallCaps w:val="false"/>
          <w:sz w:val="20"/>
        </w:rPr>
        <w:t>Plan of Distribution</w:t>
      </w:r>
      <w:r>
        <w:rPr>
          <w:rFonts w:ascii="Times New Roman" w:hAnsi="Times New Roman"/>
          <w:caps w:val="false"/>
          <w:smallCaps w:val="false"/>
          <w:sz w:val="20"/>
        </w:rPr>
        <w:t>,” below. You should read both this prospectus and any prospectus supplement, together with the additional information described in “</w:t>
      </w:r>
      <w:r>
        <w:rPr>
          <w:rFonts w:ascii="Times New Roman" w:hAnsi="Times New Roman"/>
          <w:i/>
          <w:caps w:val="false"/>
          <w:smallCaps w:val="false"/>
          <w:sz w:val="20"/>
        </w:rPr>
        <w:t>Information Incorporated by Reference</w:t>
      </w:r>
      <w:r>
        <w:rPr>
          <w:rFonts w:ascii="Times New Roman" w:hAnsi="Times New Roman"/>
          <w:caps w:val="false"/>
          <w:smallCaps w:val="false"/>
          <w:sz w:val="20"/>
        </w:rPr>
        <w:t>” and “</w:t>
      </w:r>
      <w:r>
        <w:rPr>
          <w:rFonts w:ascii="Times New Roman" w:hAnsi="Times New Roman"/>
          <w:i/>
          <w:caps w:val="false"/>
          <w:smallCaps w:val="false"/>
          <w:sz w:val="20"/>
        </w:rPr>
        <w:t>Where You Can Find More Information</w:t>
      </w:r>
      <w:r>
        <w:rPr>
          <w:rFonts w:ascii="Times New Roman" w:hAnsi="Times New Roman"/>
          <w:caps w:val="false"/>
          <w:smallCaps w:val="false"/>
          <w:sz w:val="20"/>
        </w:rPr>
        <w:t>,” before you make any investment decisions regarding the securities. You may obtain the information incorporated by reference into this prospectus without charge by following the instructions under “</w:t>
      </w:r>
      <w:r>
        <w:rPr>
          <w:rFonts w:ascii="Times New Roman" w:hAnsi="Times New Roman"/>
          <w:i/>
          <w:caps w:val="false"/>
          <w:smallCaps w:val="false"/>
          <w:sz w:val="20"/>
        </w:rPr>
        <w:t>Information Incorporated by Reference</w:t>
      </w:r>
      <w:r>
        <w:rPr>
          <w:rFonts w:ascii="Times New Roman" w:hAnsi="Times New Roman"/>
          <w:caps w:val="false"/>
          <w:smallCaps w:val="false"/>
          <w:sz w:val="20"/>
        </w:rPr>
        <w:t>” and “</w:t>
      </w:r>
      <w:r>
        <w:rPr>
          <w:rFonts w:ascii="Times New Roman" w:hAnsi="Times New Roman"/>
          <w:i/>
          <w:caps w:val="false"/>
          <w:smallCaps w:val="false"/>
          <w:sz w:val="20"/>
        </w:rPr>
        <w:t>Where You Can Find More Information</w:t>
      </w:r>
      <w:r>
        <w:rPr>
          <w:rFonts w:ascii="Times New Roman" w:hAnsi="Times New Roman"/>
          <w:caps w:val="false"/>
          <w:smallCaps w:val="false"/>
          <w:sz w:val="20"/>
        </w:rPr>
        <w:t>,”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This prospectus summarizes certain documents and other information, and we refer you to them for a more complete understanding of what we discuss in this prospectus. All of the summaries are qualified in their entirety by the actual documents. In making an investment decision, you must rely on your own examination of our Company and the terms of the offering and the securities, including the merits and risks involved.</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not making any representation to any purchasers of our securities regarding the legality of an investment in our securities by such purchasers. You should not consider any information in this prospectus to be legal, business or tax advice. You should consult your own attorney, business advisor or tax advisor for legal, business and tax advice regarding an investment in our securities.</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Unless the context indicates otherwise, references in this prospectus to the “Company,” “Pulse,” “Pulse Biosciences,” “we,” “us,” “our,” and similar terms refer to Pulse Biosciences, Inc., a Delaware corporation, and its consolidated subsidiaries.</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83" w:name="CAUTIONARY_STATEMENT_REGARDING_FORWARD_L"/>
      <w:bookmarkStart w:id="84" w:name="CAUTIONARY_STATEMENT_REGARDING_FORWARD_L"/>
      <w:bookmarkEnd w:id="83"/>
      <w:bookmarkEnd w:id="84"/>
      <w:r>
        <w:rPr>
          <w:rFonts w:ascii="Times New Roman" w:hAnsi="Times New Roman"/>
          <w:b/>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Some of the statements made under “Prospectus Summary,” “Use of Proceeds,” and elsewhere in this prospectus and the documents incorporated by reference into this prospectus, constitute forward-looking statements within the meaning of The Private Securities Litigation Reform Act of 1995. In some cases, you can identify forward-looking statements by terminology such as “may,” “will,” “should,” “expects,” “plans,” “anticipates,” “believes,” “estimates,” “predicts,” “potential,” “intends,” or “continue,” or the negative of these terms or other comparable terminology.</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These forward-looking statements include, but are not limited to, statements related to our expected business, new product introductions, results of clinical studies, expectations regarding regulatory clearance and the timing of FDA or non-US filings or approvals including meetings with FDA or non-US regulatory bodies, procedures and procedure adoption, future results of operations, future financial position, our ability to generate revenue, our financing plans and future capital requirements, anticipated costs of revenue, anticipated expenses, the effect of recent accounting pronouncements, our anticipated cash flows, our ability to finance operations from cash flows or otherwise, and statements based on current expectations, estimates, forecasts, and projections about the economies and markets in which we operate and intend to operate and our beliefs and assumptions regarding these economies and markets.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You should read the information under the heading “Risk Factors” contained in the applicable prospectus supplement and any related free writing prospectus, and under similar headings in the other documents that are incorporated by reference into this prospectus, including our most recent Annual Report on Form 10-K and Quarterly Reports on Form 10-Q, as well as any amendments thereto reflected in subsequent filings with the SEC. Readers are urged not to place undue reliance on these forward-looking statements, which speak only as of the date made. We do not assume any obligation to update any forward-looking statements.</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Forward-looking statements are not guarantees of future performance and are subject to risks and uncertainties. We have based these forward-looking statements on assumptions and assessments made by our management in light of their experience and their perception of historical trends, current conditions, expected future developments, and other factors they believe to be appropriate.</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the documents incorporated by reference herein. You should not rely upon forward-looking statements as predictions of future events. 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 after the date of this prospectus.</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85" w:name="PROSPECTUS_SUMMARY"/>
      <w:bookmarkStart w:id="86" w:name="PROSPECTUS_SUMMARY"/>
      <w:bookmarkEnd w:id="85"/>
      <w:bookmarkEnd w:id="86"/>
      <w:r>
        <w:rPr>
          <w:rFonts w:ascii="Times New Roman" w:hAnsi="Times New Roman"/>
          <w:b/>
          <w:caps w:val="false"/>
          <w:smallCaps w:val="false"/>
          <w:sz w:val="20"/>
        </w:rPr>
        <w:t>PROSPECTUS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This summary highlights certain information about us and selected information contained in the prospectus. This summary is not complete and does not contain all of the information that may be important to you. For a more complete understanding of the Company, we encourage you to read and consider the more detailed information included or incorporated by reference in this prospectus and our most recent consolidated financial statements and related notes.</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are a novel ablation company committed to health innovation using our patented Nano-pulse Stimulation (“NPS”) technology, a revolutionary energy modality that delivers nanosecond-duration pulses of electrical energy, each less than a millionth of a second long, to nonthermally clear or kill targeted cells. NPS technology, also referred to as Nanosecond Pulsed-Field Ablation (“nsPFA”) technology when used to ablate cellular tissue, can be used to treat a variety of medical conditions for which an optimal solution remains unfulfilled. We developed our proprietary nPulse System (formerly known as CellFX), a novel nsPFA delivery platform, and commercialized the initial application of its nsPFA technology to treat benign lesions of the skin. In parallel, we have designed a variety of applicators, or disposables, to explore the potential use of the nPulse platform to treat disorders in other medical specialties, such as cardiology, gastroenterology, gynecology, and otolaryngology. These applicators include devices for open surgical procedures, endoscopic or minimally invasive procedures, and endoluminal catheters, and each has been used in preclinical studies. Based on our preclinical experience and the potential to significantly improve outcomes for patients in a large and growing market, we decided in 2022 to focus our primary efforts on the use of nsPFA energy and the nPulse platform in the treatment of atrial fibrillation and in a select few other markets where it could have a profound positive impact on healthcare for both patients and providers, such as surgical soft tissue ablation.</w:t>
      </w:r>
    </w:p>
    <w:p>
      <w:pPr>
        <w:pStyle w:val="TextBody"/>
        <w:bidi w:val="0"/>
        <w:spacing w:before="0" w:after="0"/>
        <w:ind w:left="14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Corporate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Pulse Biosciences, Inc., formerly Electroblate, Inc., was incorporated in the State of Nevada on May 19, 2014, and was reincorporated in the State of Delaware on June 18, 2018. Our corporate offices are located at 601 Brickell Key Drive, Suite 1080, Miami, Florida, 33131. Our telephone number is (510) 906-4600. We maintain a website at www.pulsebiosciences.com where general information about us is available. Our website, and the information contained therein, or that can be accessed through, our website, is not a part of this prospectus, and the inclusion of our website address is an inactive textual reference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For additional information related to our business and operations, please refer to the reports incorporated herein by reference, as described under the captions “</w:t>
      </w:r>
      <w:r>
        <w:rPr>
          <w:rFonts w:ascii="Times New Roman" w:hAnsi="Times New Roman"/>
          <w:i/>
          <w:caps w:val="false"/>
          <w:smallCaps w:val="false"/>
          <w:sz w:val="20"/>
        </w:rPr>
        <w:t>Where You Can Find More Information</w:t>
      </w:r>
      <w:r>
        <w:rPr>
          <w:rFonts w:ascii="Times New Roman" w:hAnsi="Times New Roman"/>
          <w:caps w:val="false"/>
          <w:smallCaps w:val="false"/>
          <w:sz w:val="20"/>
        </w:rPr>
        <w:t>” and “</w:t>
      </w:r>
      <w:r>
        <w:rPr>
          <w:rFonts w:ascii="Times New Roman" w:hAnsi="Times New Roman"/>
          <w:i/>
          <w:caps w:val="false"/>
          <w:smallCaps w:val="false"/>
          <w:sz w:val="20"/>
        </w:rPr>
        <w:t>Incorporation of Certain Information by Reference</w:t>
      </w:r>
      <w:r>
        <w:rPr>
          <w:rFonts w:ascii="Times New Roman" w:hAnsi="Times New Roman"/>
          <w:caps w:val="false"/>
          <w:smallCaps w:val="false"/>
          <w:sz w:val="20"/>
        </w:rPr>
        <w:t>” in this prospectus.</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The Securities That May Be Offered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offer or sell common stock, preferred stock, debt securities, depositary shares, warrants, subscription rights, purchase contracts, and units in one or more offerings and in any combination. The aggregate offering price of the securities we sell pursuant to this prospectus will not exceed $200,000,000. Each time securities are offered with this prospectus, we will provide a prospectus supplement that will describe the specific amounts, prices and terms of the securities being offered and the net proceeds we expect to receive from that sale.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securities may be sold from time to time pursuant to underwritten public offerings, negotiated transactions, block trades, “at the market” offerings into an existing trading market, subscription rights offering, or a combination of these methods, to or through underwriters, dealers or agents or directly to purchasers or as otherwise set forth in the section of this prospectus captioned “</w:t>
      </w:r>
      <w:r>
        <w:rPr>
          <w:rFonts w:ascii="Times New Roman" w:hAnsi="Times New Roman"/>
          <w:i/>
          <w:caps w:val="false"/>
          <w:smallCaps w:val="false"/>
          <w:sz w:val="20"/>
        </w:rPr>
        <w:t>Plan of Distribution</w:t>
      </w:r>
      <w:r>
        <w:rPr>
          <w:rFonts w:ascii="Times New Roman" w:hAnsi="Times New Roman"/>
          <w:caps w:val="false"/>
          <w:smallCaps w:val="false"/>
          <w:sz w:val="20"/>
        </w:rPr>
        <w:t>” or in any applicable prospectus supplement. Each prospectus supplement will set forth the names of any underwriters, dealers, agents or other entities involved in the sale of securities described in that prospectus supplement and any applicable fee, commission or discount arrangements with them.</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offer shares of our common stock, par value $0.001 per share, either alone or underlying other registered securities convertible into our common stock. Holders of our common stock are entitled to receive dividends declared by our board of directors out of assets or funds legally available for the payment of dividends, subject to rights, if any, of preferred stockholders. The holders of common stock have no preemptive rights.</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board of directors has the authority, subject to limitations prescribed by Delaware law and our restated certificate of incorporation, to issue up to 50,000,000 shares of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Each series of preferred stock offered by us will be more fully described in the particular prospectus supplement that will accompany this prospectus, including redemption provisions, rights in the event of our liquidation, dissolution or winding up, voting rights and rights to convert into common stock. </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offer one or more series of senior or subordinated debt. The senior debt securities and the subordinated debt securities are together referred to in this prospectus as the “debt securities.” The debt securities may be issued in one or more series with the same or various maturities at par, at premium or at a discount. Unless otherwise specified in a prospectus supplement, the debt securities will be our direct, unsecured obligations. The subordinated debt securities generally will be entitled to payment only after payment of our senior debt. Senior debt generally includes all debt for money borrowed by us, except debt that is stated in the instrument governing the terms of that debt not to be senior to, or to have the same rank in right of payment as, or to be expressly junior to, the subordinated debt securities. We may issue debt securities that are convertible into shares of our common stock.</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debt securities will be issued under an indenture between us and a trustee to be identified in an accompanying prospectus supplement. We have summarized the general features of the debt securities to be governed by the form of indenture in this prospectus and the form of indenture has been filed as an exhibit to the registration statement of which this prospectus forms a part. We encourage you to read the indenture.</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Depositary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issue fractional shares of preferred stock that will be represented by depositary shares and depositary receipts. Each series of depositary shares or depositary receipts offered by us will be more fully described in the particular prospectus supplement that will accompany this prospectus, including redemption provisions, rights in the event of our liquidation, dissolution or winding up, voting rights and rights to convert into common stock.</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offer warrants for the purchase of common stock, preferred stock or debt securities. We may offer warrants independently or together with other securities.</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Subscription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offer subscription rights to purchase our common stock, preferred stock, warrants or debt securities, or units consisting of some or all of these securities. These subscription rights may be offered independently or together with any other security offered hereby and may or may not be transferable by the stockholder receiving the subscription rights in such offering.</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Purchase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offer purchase contracts, including contracts obligating holders or us to purchase from the other a specific or variable number of securities at a future date or dates.</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may offer units comprised of one or more of the other classes of securities described in this prospectus in any combination. Each unit will be issued so that the holder of the unit is also the holder of each security included in the unit.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87" w:name="RISK_FACTORS_"/>
      <w:bookmarkStart w:id="88" w:name="RISK_FACTORS_"/>
      <w:bookmarkEnd w:id="87"/>
      <w:bookmarkEnd w:id="88"/>
      <w:r>
        <w:rPr>
          <w:rFonts w:ascii="Times New Roman" w:hAnsi="Times New Roman"/>
          <w:b/>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Investing in our securities involves a high degree of risk. You should carefully review the risks and uncertainties described under the heading “Risk Factors” contained in the applicable prospectus supplement and any related free writing prospectus, and under similar headings in the other documents that are incorporated by reference into this prospectus (including our most recently filed Annual Report on Form 10-K), and in other documents which are incorporated by reference into this prospectus, including all future filings we make with the SEC pursuant to Sections 13(a), 13(c), 14, or 15(d) of the Securities Exchange Act of 1934, as amended (the “Exchange Act”) before investing in any of our securities. The risks referenced above are not the only risks facing our Company. Additional risk and uncertainties not currently known to us or that we currently deem to be immaterial also may materially adversely affect our business, financial condition and/or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For more information about our SEC filings, please see “</w:t>
      </w:r>
      <w:r>
        <w:rPr>
          <w:rFonts w:ascii="Times New Roman" w:hAnsi="Times New Roman"/>
          <w:i/>
          <w:caps w:val="false"/>
          <w:smallCaps w:val="false"/>
          <w:sz w:val="20"/>
        </w:rPr>
        <w:t>Where You Can Find More Information</w:t>
      </w:r>
      <w:r>
        <w:rPr>
          <w:rFonts w:ascii="Times New Roman" w:hAnsi="Times New Roman"/>
          <w:caps w:val="false"/>
          <w:smallCaps w:val="false"/>
          <w:sz w:val="20"/>
        </w:rPr>
        <w:t>” and “</w:t>
      </w:r>
      <w:r>
        <w:rPr>
          <w:rFonts w:ascii="Times New Roman" w:hAnsi="Times New Roman"/>
          <w:i/>
          <w:caps w:val="false"/>
          <w:smallCaps w:val="false"/>
          <w:sz w:val="20"/>
        </w:rPr>
        <w:t>Incorporation of Certain Information by Reference</w:t>
      </w:r>
      <w:r>
        <w:rPr>
          <w:rFonts w:ascii="Times New Roman" w:hAnsi="Times New Roman"/>
          <w:caps w:val="false"/>
          <w:smallCaps w:val="false"/>
          <w:sz w:val="20"/>
        </w:rPr>
        <w:t>.”</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89" w:name="USE_OF_PROCEEDS"/>
      <w:bookmarkStart w:id="90" w:name="USE_OF_PROCEEDS"/>
      <w:bookmarkEnd w:id="89"/>
      <w:bookmarkEnd w:id="90"/>
      <w:r>
        <w:rPr>
          <w:rFonts w:ascii="Times New Roman" w:hAnsi="Times New Roman"/>
          <w:b/>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Unless otherwise specified in a prospectus supplement accompanying this prospectus, the net proceeds from the sale by us of the securities to which this prospectus relates will be used for general corporate purposes. Net proceeds may be temporarily invested prior to use. When we offer and sell the securities to which this prospectus relates, the prospectus supplement related to such offering will set forth our intended use of the proceeds, if any, received from the sale of such securities.</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91" w:name="DESCRIPTION_OF_CAPITAL_STOCK"/>
      <w:bookmarkStart w:id="92" w:name="DESCRIPTION_OF_CAPITAL_STOCK"/>
      <w:bookmarkEnd w:id="91"/>
      <w:bookmarkEnd w:id="92"/>
      <w:r>
        <w:rPr>
          <w:rFonts w:ascii="Times New Roman" w:hAnsi="Times New Roman"/>
          <w:b/>
          <w:caps w:val="false"/>
          <w:smallCaps w:val="false"/>
          <w:sz w:val="20"/>
        </w:rPr>
        <w:t>DESCRIPTION OF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description of our common stock is a summary and is qualified in its entirety by reference to our restated certificate of incorporation, as amended (“Certificate of Incorporation”) and amended and restated bylaws (“Bylaws”), copies of which have been filed with the SEC and are incorporated by reference as exhibits to the registration statement of which this prospectus forms a part, and by applicable law.</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As of the date of this prospectus, our authorized capital stock consists of 500,000,000 shares of common stock, par value $0.001 per share and 50,000,000 shares of preferred stock, par value $0.001 per share. As of December 31, 2025, we had 67,839,689 shares of our common stock issued and outstanding. The shares of our common stock were held by 11 stockholders of record.</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Voting Rights</w:t>
      </w:r>
      <w:r>
        <w:rPr>
          <w:rFonts w:ascii="Times New Roman" w:hAnsi="Times New Roman"/>
          <w:caps w:val="false"/>
          <w:smallCaps w:val="false"/>
          <w:sz w:val="20"/>
        </w:rPr>
        <w:t>. Each holder of common stock is entitled to one vote for each share held of record on all matters to be voted upon by stockholders. The common stock does not have cumulative 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Dividends</w:t>
      </w:r>
      <w:r>
        <w:rPr>
          <w:rFonts w:ascii="Times New Roman" w:hAnsi="Times New Roman"/>
          <w:caps w:val="false"/>
          <w:smallCaps w:val="false"/>
          <w:sz w:val="20"/>
        </w:rPr>
        <w:t>. Subject to the preferences that may be applicable to any preferred stock outstanding at the time, the holders of outstanding shares of our common stock are entitled to receive such dividends as may be declared from time to time by the board of directors out of funds legally available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Liquidation, Dissolution and Winding Up</w:t>
      </w:r>
      <w:r>
        <w:rPr>
          <w:rFonts w:ascii="Times New Roman" w:hAnsi="Times New Roman"/>
          <w:caps w:val="false"/>
          <w:smallCaps w:val="false"/>
          <w:sz w:val="20"/>
        </w:rPr>
        <w:t>. Subject to the rights, powers and preferences of any outstanding preferred stock, in the event of liquidation, dissolution or winding up of the company to holders of outstanding shares of our common stock are entitled to share ratably in all assets remaining after payment of liabilities and the liquidation preference of any then outstanding shares of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Other Rights</w:t>
      </w:r>
      <w:r>
        <w:rPr>
          <w:rFonts w:ascii="Times New Roman" w:hAnsi="Times New Roman"/>
          <w:caps w:val="false"/>
          <w:smallCaps w:val="false"/>
          <w:sz w:val="20"/>
        </w:rPr>
        <w:t>. Holders of common stock have no preemptive or conversion rights. There are no redemption or sinking fund provisions applicable to the common stock.</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board of directors is authorized, subject to limitations prescribed by Delaware law, to issue up to 50,000,000 shares of preferred stock in one or more series without stockholder approval. Our board of directors may designate the powers, designations, preferences, and relative participation, optional or other rights, if any, and the qualifications, limitations or restrictions of the shares of each series of preferred stock, including dividend rights, conversion rights, voting rights, redemption rights, liquidation preference, sinking fund terms and the number of shares constituting any series or the designation or any series. The rights, preferences, rights and restrictions of the preferred stock of each series will be fixed by the certificate of designation relating to that series. There are no restrictions presently on the repurchase or redemption of any shares of our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 series of our preferred stock could, depending on the terms of such series, impede the completion of a merger, tender offer or other takeover attempt. Our board of directors will make any determination to issue preferred shares based upon its judgment as to the best interests of our stockholders. Our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issuance of shares of preferred stock will affect, and may adversely affect, the rights of holders of common stock. It is not possible to state the actual effect of the issuance of any shares of preferred stock on the rights of holders of common stock until our board of directors determines the specific rights attached to that preferred stock. The effects of issuing additional preferred stock could include one or more of the following:</w:t>
      </w:r>
    </w:p>
    <w:p>
      <w:pPr>
        <w:pStyle w:val="TextBody"/>
        <w:bidi w:val="0"/>
        <w:spacing w:before="0" w:after="0"/>
        <w:ind w:left="160" w:right="0" w:firstLine="720"/>
        <w:jc w:val="both"/>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60"/>
        <w:gridCol w:w="170"/>
        <w:gridCol w:w="35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restricting dividends on the common stock;</w:t>
            </w:r>
          </w:p>
        </w:tc>
      </w:tr>
    </w:tbl>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60"/>
        <w:gridCol w:w="170"/>
        <w:gridCol w:w="39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diluting the voting power of the common stock;</w:t>
            </w:r>
          </w:p>
        </w:tc>
      </w:tr>
    </w:tbl>
    <w:p>
      <w:pPr>
        <w:pStyle w:val="TextBody"/>
        <w:bidi w:val="0"/>
        <w:spacing w:before="0" w:after="0"/>
        <w:ind w:left="0" w:right="0" w:hanging="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60"/>
        <w:gridCol w:w="170"/>
        <w:gridCol w:w="43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3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impairing the liquidation rights of the common stock;</w:t>
            </w:r>
          </w:p>
        </w:tc>
      </w:tr>
    </w:tbl>
    <w:p>
      <w:pPr>
        <w:pStyle w:val="TextBody"/>
        <w:bidi w:val="0"/>
        <w:spacing w:before="0" w:after="0"/>
        <w:ind w:left="0" w:right="0" w:hanging="0"/>
        <w:jc w:val="left"/>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60"/>
        <w:gridCol w:w="170"/>
        <w:gridCol w:w="60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delaying or preventing changes in control or management of our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Certain Provisions of Our Certificate of Incorporation and Bylaws and Delaware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Some provisions of Delaware law and our certificate of incorporation and bylaws contain provisions that could make the following transactions more difficult:</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60"/>
        <w:gridCol w:w="170"/>
        <w:gridCol w:w="35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acquisition of us by means of a tender offer;</w:t>
            </w:r>
          </w:p>
        </w:tc>
      </w:tr>
    </w:tbl>
    <w:p>
      <w:pPr>
        <w:pStyle w:val="TextBody"/>
        <w:bidi w:val="0"/>
        <w:spacing w:before="0" w:after="0"/>
        <w:ind w:left="0" w:right="0" w:hanging="0"/>
        <w:jc w:val="left"/>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60"/>
        <w:gridCol w:w="170"/>
        <w:gridCol w:w="49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acquisition of us by means of a proxy contest or otherwise; or</w:t>
            </w:r>
          </w:p>
        </w:tc>
      </w:tr>
    </w:tbl>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60"/>
        <w:gridCol w:w="170"/>
        <w:gridCol w:w="39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removal of our incumbent officers and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Those provisions, summarized below, are expected to discourage coercive takeover practices and inadequate takeover bids and to promote stability in our management. These provisions are also designed to encourage persons seeking to acquire control of us to first negotiate with our board of directors.</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Certificate of Incorporation and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certificate of incorporation and our bylaws provide for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 xml:space="preserve">Stockholder Meetings. </w:t>
      </w:r>
      <w:r>
        <w:rPr>
          <w:rFonts w:ascii="Times New Roman" w:hAnsi="Times New Roman"/>
          <w:caps w:val="false"/>
          <w:smallCaps w:val="false"/>
          <w:sz w:val="20"/>
        </w:rPr>
        <w:t>Our bylaws provide that in general a special meeting of stockholders may be called only by our board of directors, the chairman of our board of directors, any of our officers, or any stockholder holding at least fifteen percent (15%) of the voting power of the capital stock issued and outstanding and entitled to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Requirements for Advance Notification of Stockholder Nominations and Proposals</w:t>
      </w:r>
      <w:r>
        <w:rPr>
          <w:rFonts w:ascii="Times New Roman" w:hAnsi="Times New Roman"/>
          <w:caps w:val="false"/>
          <w:smallCaps w:val="false"/>
          <w:sz w:val="20"/>
        </w:rPr>
        <w:t>. Our bylaws establish advance notice procedures with respect to stockholder proposals and the nomination of candidates for election as directors, other than nominations made by or at the direction of our board of directors or a committee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Limits on Ability of Stockholders to Act by Written Consent</w:t>
      </w:r>
      <w:r>
        <w:rPr>
          <w:rFonts w:ascii="Times New Roman" w:hAnsi="Times New Roman"/>
          <w:caps w:val="false"/>
          <w:smallCaps w:val="false"/>
          <w:sz w:val="20"/>
        </w:rPr>
        <w:t>. We have provided in our bylaws that our stockholders may not act by written consent. This limit on the ability of our stockholders to act by written consent may lengthen the amount of time required to take stockholder actions. As a result, a holder controlling a majority of our capital stock would not be able to amend our bylaws or remove directors without holding a meeting of our stockholders called in accordance with our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Amendment of Certificate of Incorporation and Bylaws</w:t>
      </w:r>
      <w:r>
        <w:rPr>
          <w:rFonts w:ascii="Times New Roman" w:hAnsi="Times New Roman"/>
          <w:caps w:val="false"/>
          <w:smallCaps w:val="false"/>
          <w:sz w:val="20"/>
        </w:rPr>
        <w:t>. The amendment of the above provisions of our certificate of incorporation and bylaws requires approval by holders of at least two-thirds of our outstanding capital stock entitled to vote generally in the election of directors.</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Delaware Anti-Takeover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are subject to the provisions of Section 203 of the Delaware General Corporation Law regulating corporate takeovers. In general, Section 203 prohibits a publicly-held Delaware corporation from engaging, under certain circumstances, in a business combination with an interested stockholder for a period of three years following the date the person became an interested stockholder unless:</w:t>
      </w:r>
    </w:p>
    <w:p>
      <w:pPr>
        <w:pStyle w:val="TextBody"/>
        <w:bidi w:val="0"/>
        <w:spacing w:before="0" w:after="0"/>
        <w:ind w:left="1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prior to the date of the transaction, the board of directors of the corporation approved either the business combination or the transaction which resulted in the stockholder becoming an interested stockholder;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for determining the outstanding voting stock owned by the interested stockholder, (i) shares owned by persons who are directors and also officers, and (ii) shares owned by employee stock plans in which employee participants do not have the right to determine confidentially whether shares held subject to the plan will be tendered in a tender or exchange offer;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or subsequent to the date of the transaction, the business combination is approved by the board of directors of the corporation and authorized at an annual or special meeting of stockholders, and not by written consent, by the affirmative vote of at least 66-2/3% of the outstanding voting stock which is not owned by the interested stockholder.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Generally, a business combination includes a merger, asset or stock sale, or other transaction resulting in a financial benefit to the interested stockholder. An interested stockholder is a person who, together with affiliates and associates, owns 15% or more of a corporation’s outstanding voting stock or is an affiliate or associate of a corporation and was the owner of 15% or more of the corporation’s outstanding voting stock within three years prior to the determination of interested stockholder status.</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Choice of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bylaws provide that unless we consent in writing to the selection of an alternative forum, the Court of Chancery of the State of Delaware shall, to the fullest extent permitted by law, be the sole and exclusive forum for (a) any derivative action or proceeding brought on our behalf, (b) any action asserting a claim of breach of fiduciary duty owed by any our directors, officers or other employees to us or our stockholders, (c) any action asserting a claim arising pursuant to any provision of the Delaware General Corporation Law, our certificate of incorporation or our bylaws, or (d) any action asserting a claim governed by the internal affairs doctrine, in each case subject to the Court of Chancery having personal jurisdiction over the indispensable parties named as defendants therein; provided that, if and only if the Court of Chancery dismisses any such action for lack of subject matter jurisdiction, such action may be brought in another state or federal court sitting in Delaware. Our bylaws further provide that the federal district courts of the United States of America will be the exclusive forum for resolving any complaint asserting a cause of action arising under the Securities Act.</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transfer agent and registrar for our common stock is Broadridge Corporate Issuer Solutions,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common stock is listed on the Nasdaq Capital Market under the symbol “PLSE.”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93" w:name="DESCRIPTION_OF_DEBT_SECURITIES"/>
      <w:bookmarkStart w:id="94" w:name="DESCRIPTION_OF_DEBT_SECURITIES"/>
      <w:bookmarkEnd w:id="93"/>
      <w:bookmarkEnd w:id="94"/>
      <w:r>
        <w:rPr>
          <w:rFonts w:ascii="Times New Roman" w:hAnsi="Times New Roman"/>
          <w:b/>
          <w:caps w:val="false"/>
          <w:smallCaps w:val="false"/>
          <w:sz w:val="20"/>
        </w:rPr>
        <w:t>DESCRIPTION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indicate in the supplement to what extent the general terms and provisions described in this prospectus apply to a particular series of debt securities.</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issue debt securities either separately, or together with, or upon the conversion or exercise of or in exchange for, other securities described in this prospectus. Debt securities may be our senior or subordinated obligations and, unless otherwise specified in a supplement to this prospectus, the debt securities will be our direct, unsecured obligations and may be issued in one or more series. We may issue debt securities that are convertible into shares of our common stock.</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debt securities will be issued under an indenture between us and a trustee to be specified in an accompanying prospectus supplement. We have summarized select portions of the indenture below. The summary is not complete. The form of the indenture has been filed as an exhibit to the registration statement of which this prospectus forms a part and you should read the indenture for provisions that may be important to you. Capitalized terms used in the summary and not defined herein have the meanings specified in the indenture.</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 In addition, any changes to the description below also will be set forth in the applicable prospectus supplement.</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pStyle w:val="TextBody"/>
        <w:bidi w:val="0"/>
        <w:spacing w:before="0" w:after="0"/>
        <w:ind w:left="160" w:right="0" w:firstLine="720"/>
        <w:jc w:val="both"/>
        <w:rPr>
          <w:caps w:val="false"/>
          <w:smallCaps w:val="false"/>
        </w:rPr>
      </w:pPr>
      <w:r>
        <w:rPr>
          <w:caps w:val="false"/>
          <w:smallCaps w:val="false"/>
        </w:rPr>
        <w:t> </w:t>
      </w:r>
    </w:p>
    <w:tbl>
      <w:tblPr>
        <w:tblW w:w="8155" w:type="dxa"/>
        <w:jc w:val="left"/>
        <w:tblInd w:w="0" w:type="dxa"/>
        <w:tblLayout w:type="fixed"/>
        <w:tblCellMar>
          <w:top w:w="0" w:type="dxa"/>
          <w:left w:w="0" w:type="dxa"/>
          <w:bottom w:w="0" w:type="dxa"/>
          <w:right w:w="0" w:type="dxa"/>
        </w:tblCellMar>
      </w:tblPr>
      <w:tblGrid>
        <w:gridCol w:w="60"/>
        <w:gridCol w:w="170"/>
        <w:gridCol w:w="792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9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title and ranking of the debt securities (including the terms of any subordination provisions);  </w:t>
            </w:r>
          </w:p>
        </w:tc>
      </w:tr>
    </w:tbl>
    <w:p>
      <w:pPr>
        <w:pStyle w:val="TextBody"/>
        <w:bidi w:val="0"/>
        <w:spacing w:before="0" w:after="0"/>
        <w:ind w:left="0" w:right="0" w:hanging="0"/>
        <w:jc w:val="both"/>
        <w:rPr>
          <w:caps w:val="false"/>
          <w:smallCaps w:val="false"/>
        </w:rPr>
      </w:pPr>
      <w:r>
        <w:rPr>
          <w:caps w:val="false"/>
          <w:smallCaps w:val="false"/>
        </w:rPr>
        <w:t> </w:t>
      </w:r>
    </w:p>
    <w:tbl>
      <w:tblPr>
        <w:tblW w:w="9145" w:type="dxa"/>
        <w:jc w:val="left"/>
        <w:tblInd w:w="0" w:type="dxa"/>
        <w:tblLayout w:type="fixed"/>
        <w:tblCellMar>
          <w:top w:w="0" w:type="dxa"/>
          <w:left w:w="0" w:type="dxa"/>
          <w:bottom w:w="0" w:type="dxa"/>
          <w:right w:w="0" w:type="dxa"/>
        </w:tblCellMar>
      </w:tblPr>
      <w:tblGrid>
        <w:gridCol w:w="60"/>
        <w:gridCol w:w="170"/>
        <w:gridCol w:w="891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9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price or prices (expressed as a percentage of the principal amount) at which we will sell the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5815" w:type="dxa"/>
        <w:jc w:val="left"/>
        <w:tblInd w:w="0" w:type="dxa"/>
        <w:tblLayout w:type="fixed"/>
        <w:tblCellMar>
          <w:top w:w="0" w:type="dxa"/>
          <w:left w:w="0" w:type="dxa"/>
          <w:bottom w:w="0" w:type="dxa"/>
          <w:right w:w="0" w:type="dxa"/>
        </w:tblCellMar>
      </w:tblPr>
      <w:tblGrid>
        <w:gridCol w:w="60"/>
        <w:gridCol w:w="170"/>
        <w:gridCol w:w="558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5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limit upon the aggregate principal amount of the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60"/>
        <w:gridCol w:w="170"/>
        <w:gridCol w:w="647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4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date or dates on which the principal of the securities of the series is payable;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period or periods within which, the price or prices at which and the terms and conditions upon which we may redeem the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obligation we have to redeem or purchase the debt securities pursuant to any sinking fund or analogous provisions or at the option of a holder of debt securities and the period or periods within which, the price or prices at which and the terms and conditions upon which securities of the series shall be redeemed or purchased, in whole or in part, pursuant to such obligation;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dates on which and the price or prices at which we will repurchase debt securities at the option of the holders of debt securities and other detailed terms and provisions of these repurchase obligations;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denominations in which the debt securities will be issued, if other than denominations of $1,000 and any integral multiple thereof;</w:t>
            </w:r>
          </w:p>
        </w:tc>
      </w:tr>
    </w:tbl>
    <w:p>
      <w:pPr>
        <w:pStyle w:val="TextBody"/>
        <w:bidi w:val="0"/>
        <w:spacing w:before="0" w:after="0"/>
        <w:ind w:left="0" w:right="0" w:hanging="0"/>
        <w:jc w:val="both"/>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60"/>
        <w:gridCol w:w="170"/>
        <w:gridCol w:w="870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7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whether the debt securities will be issued in the form of certificated debt securities or global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portion of principal amount of the debt securities payable upon declaration of acceleration of the maturity date, if other than the principal amount;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currency of denomination of the debt securities, which may be United States dollars or any foreign currency, and if such currency of denomination is a composite currency, the agency or organization, if any, responsible for overseeing such composite currency;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designation of the currency, currencies or currency units in which payment of principal of, and premium and interest on the debt securities will be made;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payments of principal of, or premium or interest on the debt securities will be made in one or more currencies or currency units other than those in which the debt securities are denominated, the manner in which the exchange rate with respect to these payments will be determined;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manner in which the amounts of payment of principal of, and premium, if any, or interest on the debt securities will be determined, if these amounts may be determined by reference to an index based on a currency or currencies or by reference to a commodity, commodity index, stock exchange index or financial index;</w:t>
            </w:r>
          </w:p>
        </w:tc>
      </w:tr>
    </w:tbl>
    <w:p>
      <w:pPr>
        <w:pStyle w:val="TextBody"/>
        <w:bidi w:val="0"/>
        <w:spacing w:before="0" w:after="0"/>
        <w:ind w:left="0" w:right="0" w:hanging="0"/>
        <w:jc w:val="both"/>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60"/>
        <w:gridCol w:w="170"/>
        <w:gridCol w:w="576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7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provisions relating to any security provided for the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addition to, deletion of or change in the covenants described in this prospectus or in the indenture with respect to the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depositaries, interest rate calculation agents, exchange rate calculation agents or other agents with respect to the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whether any of our direct or indirect subsidiaries will guarantee the debt securities of that series, including the terms of subordination, if any, of such guarantees.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Transfer and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Each debt security will be represented by either one or more global securities registered in the name of a clearing agency registered under the Exchange Act, which 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Certificated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You may effect the transfer of certificated debt securities and the right to receive the principal of, and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Global Debt Securities and Book-Entry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Each global debt security representing book-entry debt securities will be deposited with, or on behalf of, the depositary, and registered in the name of the depositary or a nominee of the depositary.</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will set forth in the applicable prospectus supplement any restrictive covenants applicable to any issue of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Consolidation, Merger and Sale of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not consolidate with or merge with or into, or convey, transfer or lease all or substantially all of our properties and assets to any person, which we refer to as a successor person, unless:</w:t>
      </w:r>
    </w:p>
    <w:p>
      <w:pPr>
        <w:pStyle w:val="TextBody"/>
        <w:bidi w:val="0"/>
        <w:spacing w:before="0" w:after="0"/>
        <w:ind w:left="16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the surviving corporation or the successor person (if other than us) is a corporation organized and validly existing under the laws of any U.S. domestic jurisdiction and expressly assumes our obligations on the debt securities and under the indenture; and</w:t>
            </w:r>
          </w:p>
        </w:tc>
      </w:tr>
    </w:tbl>
    <w:p>
      <w:pPr>
        <w:pStyle w:val="TextBody"/>
        <w:bidi w:val="0"/>
        <w:spacing w:before="0" w:after="0"/>
        <w:ind w:left="0" w:right="0" w:hanging="0"/>
        <w:jc w:val="both"/>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60"/>
        <w:gridCol w:w="170"/>
        <w:gridCol w:w="975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7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immediately after giving effect to the transaction, no Default or Event of Default, shall have occurred and be continuing.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Notwithstanding the above, any of our subsidiaries may consolidate with, merge into or transfer all or part of its assets or properties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caps w:val="false"/>
          <w:smallCaps w:val="false"/>
        </w:rPr>
      </w:pPr>
      <w:r>
        <w:rPr>
          <w:caps w:val="false"/>
          <w:smallCaps w:val="false"/>
        </w:rPr>
        <w:t>“</w:t>
      </w:r>
      <w:r>
        <w:rPr>
          <w:rFonts w:ascii="Times New Roman" w:hAnsi="Times New Roman"/>
          <w:caps w:val="false"/>
          <w:smallCaps w:val="false"/>
          <w:sz w:val="20"/>
        </w:rPr>
        <w:t>Event of Default” means with respect to any series of debt securities, any of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tc>
      </w:tr>
    </w:tbl>
    <w:p>
      <w:pPr>
        <w:pStyle w:val="TextBody"/>
        <w:bidi w:val="0"/>
        <w:spacing w:before="0" w:after="0"/>
        <w:ind w:left="0" w:right="0" w:hanging="0"/>
        <w:jc w:val="both"/>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60"/>
        <w:gridCol w:w="170"/>
        <w:gridCol w:w="638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3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default in the payment of principal of any security of that series at its maturity;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tc>
      </w:tr>
    </w:tbl>
    <w:p>
      <w:pPr>
        <w:pStyle w:val="TextBody"/>
        <w:bidi w:val="0"/>
        <w:spacing w:before="0" w:after="0"/>
        <w:ind w:left="0" w:right="0" w:hanging="0"/>
        <w:jc w:val="both"/>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60"/>
        <w:gridCol w:w="170"/>
        <w:gridCol w:w="765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6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certain voluntary or involuntary events of bankruptcy, insolvency or reorganization of us;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other Event of Default provided with respect to debt securities of that series that is described in the applicable prospectus supplement.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No holder of any debt security of any series will have any right to institute any proceeding, judicial or otherwise, with respect to the indenture or for the appointment of a receiver or trustee, or for any remedy under the indenture, unless:</w:t>
      </w:r>
    </w:p>
    <w:p>
      <w:pPr>
        <w:pStyle w:val="TextBody"/>
        <w:bidi w:val="0"/>
        <w:spacing w:before="0" w:after="0"/>
        <w:ind w:left="16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that holder has previously given to the trustee written notice of a continuing Event of Default with respect to debt securities of that series;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Notwithstanding any other provision in the indenture, the holder of any debt security will have an absolute and unconditional right to receive payment of the principal of, and premium and any interest on that debt security on or after the due dates expressed in that debt security and to institute suit for the enforcement of payment.</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Modification and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and the trustee may modify, amend or supplement the indenture or the debt securities of any series without the consent of any holder of any debt security:</w:t>
      </w:r>
    </w:p>
    <w:p>
      <w:pPr>
        <w:pStyle w:val="TextBody"/>
        <w:bidi w:val="0"/>
        <w:spacing w:before="0" w:after="0"/>
        <w:ind w:left="0" w:right="0" w:hanging="0"/>
        <w:jc w:val="both"/>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60"/>
        <w:gridCol w:w="170"/>
        <w:gridCol w:w="383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8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cure any ambiguity, defect or inconsistency;</w:t>
            </w:r>
          </w:p>
        </w:tc>
      </w:tr>
    </w:tbl>
    <w:p>
      <w:pPr>
        <w:pStyle w:val="TextBody"/>
        <w:bidi w:val="0"/>
        <w:spacing w:before="0" w:after="0"/>
        <w:ind w:left="0" w:right="0" w:hanging="0"/>
        <w:jc w:val="both"/>
        <w:rPr>
          <w:caps w:val="false"/>
          <w:smallCaps w:val="false"/>
        </w:rPr>
      </w:pPr>
      <w:r>
        <w:rPr>
          <w:caps w:val="false"/>
          <w:smallCaps w:val="false"/>
        </w:rPr>
        <w:t> </w:t>
      </w:r>
    </w:p>
    <w:tbl>
      <w:tblPr>
        <w:tblW w:w="10195" w:type="dxa"/>
        <w:jc w:val="left"/>
        <w:tblInd w:w="0" w:type="dxa"/>
        <w:tblLayout w:type="fixed"/>
        <w:tblCellMar>
          <w:top w:w="0" w:type="dxa"/>
          <w:left w:w="0" w:type="dxa"/>
          <w:bottom w:w="0" w:type="dxa"/>
          <w:right w:w="0" w:type="dxa"/>
        </w:tblCellMar>
      </w:tblPr>
      <w:tblGrid>
        <w:gridCol w:w="60"/>
        <w:gridCol w:w="170"/>
        <w:gridCol w:w="996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comply with covenants in the indenture described above under the heading “Consolidation, Merger and Sale of Assets”;</w:t>
            </w:r>
          </w:p>
        </w:tc>
      </w:tr>
    </w:tbl>
    <w:p>
      <w:pPr>
        <w:pStyle w:val="TextBody"/>
        <w:bidi w:val="0"/>
        <w:spacing w:before="0" w:after="0"/>
        <w:ind w:left="0" w:right="0" w:hanging="0"/>
        <w:jc w:val="both"/>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60"/>
        <w:gridCol w:w="170"/>
        <w:gridCol w:w="720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2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provide for uncertificated securities in addition to or in place of certificated securities;</w:t>
            </w:r>
          </w:p>
        </w:tc>
      </w:tr>
    </w:tbl>
    <w:p>
      <w:pPr>
        <w:pStyle w:val="TextBody"/>
        <w:bidi w:val="0"/>
        <w:spacing w:before="0" w:after="0"/>
        <w:ind w:left="0" w:right="0" w:hanging="0"/>
        <w:jc w:val="both"/>
        <w:rPr>
          <w:caps w:val="false"/>
          <w:smallCaps w:val="false"/>
        </w:rPr>
      </w:pPr>
      <w:r>
        <w:rPr>
          <w:caps w:val="false"/>
          <w:smallCaps w:val="false"/>
        </w:rPr>
        <w:t> </w:t>
      </w:r>
    </w:p>
    <w:tbl>
      <w:tblPr>
        <w:tblW w:w="8260" w:type="dxa"/>
        <w:jc w:val="left"/>
        <w:tblInd w:w="0" w:type="dxa"/>
        <w:tblLayout w:type="fixed"/>
        <w:tblCellMar>
          <w:top w:w="0" w:type="dxa"/>
          <w:left w:w="0" w:type="dxa"/>
          <w:bottom w:w="0" w:type="dxa"/>
          <w:right w:w="0" w:type="dxa"/>
        </w:tblCellMar>
      </w:tblPr>
      <w:tblGrid>
        <w:gridCol w:w="60"/>
        <w:gridCol w:w="170"/>
        <w:gridCol w:w="803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0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add guarantees with respect to debt securities of any series or secure debt securities of any series;</w:t>
            </w:r>
          </w:p>
        </w:tc>
      </w:tr>
    </w:tbl>
    <w:p>
      <w:pPr>
        <w:pStyle w:val="TextBody"/>
        <w:bidi w:val="0"/>
        <w:spacing w:before="0" w:after="0"/>
        <w:ind w:left="0" w:right="0" w:hanging="0"/>
        <w:jc w:val="both"/>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60"/>
        <w:gridCol w:w="170"/>
        <w:gridCol w:w="488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8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surrender any of our rights or powers under the indenture;</w:t>
            </w:r>
          </w:p>
        </w:tc>
      </w:tr>
    </w:tbl>
    <w:p>
      <w:pPr>
        <w:pStyle w:val="TextBody"/>
        <w:bidi w:val="0"/>
        <w:spacing w:before="0" w:after="0"/>
        <w:ind w:left="0" w:right="0" w:hanging="0"/>
        <w:jc w:val="both"/>
        <w:rPr>
          <w:caps w:val="false"/>
          <w:smallCaps w:val="false"/>
        </w:rPr>
      </w:pPr>
      <w:r>
        <w:rPr>
          <w:caps w:val="false"/>
          <w:smallCaps w:val="false"/>
        </w:rPr>
        <w:t> </w:t>
      </w:r>
    </w:p>
    <w:tbl>
      <w:tblPr>
        <w:tblW w:w="8110" w:type="dxa"/>
        <w:jc w:val="left"/>
        <w:tblInd w:w="0" w:type="dxa"/>
        <w:tblLayout w:type="fixed"/>
        <w:tblCellMar>
          <w:top w:w="0" w:type="dxa"/>
          <w:left w:w="0" w:type="dxa"/>
          <w:bottom w:w="0" w:type="dxa"/>
          <w:right w:w="0" w:type="dxa"/>
        </w:tblCellMar>
      </w:tblPr>
      <w:tblGrid>
        <w:gridCol w:w="60"/>
        <w:gridCol w:w="170"/>
        <w:gridCol w:w="788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8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add covenants or events of default for the benefit of the holders of debt securities of any series;</w:t>
            </w:r>
          </w:p>
        </w:tc>
      </w:tr>
    </w:tbl>
    <w:p>
      <w:pPr>
        <w:pStyle w:val="TextBody"/>
        <w:bidi w:val="0"/>
        <w:spacing w:before="0" w:after="0"/>
        <w:ind w:left="0" w:right="0" w:hanging="0"/>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60"/>
        <w:gridCol w:w="170"/>
        <w:gridCol w:w="575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7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comply with the applicable procedures of the applicable depositary;</w:t>
            </w:r>
          </w:p>
        </w:tc>
      </w:tr>
    </w:tbl>
    <w:p>
      <w:pPr>
        <w:pStyle w:val="TextBody"/>
        <w:bidi w:val="0"/>
        <w:spacing w:before="0" w:after="0"/>
        <w:ind w:left="0" w:right="0" w:hanging="0"/>
        <w:jc w:val="both"/>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60"/>
        <w:gridCol w:w="170"/>
        <w:gridCol w:w="74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4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make any change that does not adversely affect the rights of any holder of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provide for the issuance of and establish the form and terms and conditions of debt securities of any series as permitted by the indenture;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effect the appointment of a successor trustee with respect to the debt securities of any series and to add to or change any of the provisions of the indenture to provide for or facilitate administration by more than one trustee;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comply with requirements of the SEC in order to effect or maintain the qualification of the indenture under the Trust Indenture Act;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add to, change or eliminate any provision of the indenture or the debt securities of any series in accordance with the Trust Indenture Act, or to comply with the provisions of DTC, Euroclear or Clearstream or the Trustee with respect to provisions of the indenture or the debt securities of any series relating to transfers or exchanges of the debt securities of such series or beneficial interests in such securities;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conform any provision of the indenture, insofar as it relates to the debt securities of any series, to the description of the debt securities of such series in the prospectus supplement relating to the offering of the debt securities of such series.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pStyle w:val="TextBody"/>
        <w:bidi w:val="0"/>
        <w:spacing w:before="0" w:after="0"/>
        <w:ind w:left="0" w:right="0" w:hanging="0"/>
        <w:jc w:val="both"/>
        <w:rPr>
          <w:caps w:val="false"/>
          <w:smallCaps w:val="false"/>
        </w:rPr>
      </w:pPr>
      <w:r>
        <w:rPr>
          <w:caps w:val="false"/>
          <w:smallCaps w:val="false"/>
        </w:rPr>
        <w:t> </w:t>
      </w:r>
    </w:p>
    <w:tbl>
      <w:tblPr>
        <w:tblW w:w="8815" w:type="dxa"/>
        <w:jc w:val="left"/>
        <w:tblInd w:w="0" w:type="dxa"/>
        <w:tblLayout w:type="fixed"/>
        <w:tblCellMar>
          <w:top w:w="0" w:type="dxa"/>
          <w:left w:w="0" w:type="dxa"/>
          <w:bottom w:w="0" w:type="dxa"/>
          <w:right w:w="0" w:type="dxa"/>
        </w:tblCellMar>
      </w:tblPr>
      <w:tblGrid>
        <w:gridCol w:w="60"/>
        <w:gridCol w:w="170"/>
        <w:gridCol w:w="858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5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reduce the amount of debt securities whose holders must consent to an amendment, supplement or waiver;</w:t>
            </w:r>
          </w:p>
        </w:tc>
      </w:tr>
    </w:tbl>
    <w:p>
      <w:pPr>
        <w:pStyle w:val="TextBody"/>
        <w:bidi w:val="0"/>
        <w:spacing w:before="0" w:after="0"/>
        <w:ind w:left="0" w:right="0" w:hanging="0"/>
        <w:jc w:val="both"/>
        <w:rPr>
          <w:caps w:val="false"/>
          <w:smallCaps w:val="false"/>
        </w:rPr>
      </w:pPr>
      <w:r>
        <w:rPr>
          <w:caps w:val="false"/>
          <w:smallCaps w:val="false"/>
        </w:rPr>
        <w:t> </w:t>
      </w:r>
    </w:p>
    <w:tbl>
      <w:tblPr>
        <w:tblW w:w="9010" w:type="dxa"/>
        <w:jc w:val="left"/>
        <w:tblInd w:w="0" w:type="dxa"/>
        <w:tblLayout w:type="fixed"/>
        <w:tblCellMar>
          <w:top w:w="0" w:type="dxa"/>
          <w:left w:w="0" w:type="dxa"/>
          <w:bottom w:w="0" w:type="dxa"/>
          <w:right w:w="0" w:type="dxa"/>
        </w:tblCellMar>
      </w:tblPr>
      <w:tblGrid>
        <w:gridCol w:w="60"/>
        <w:gridCol w:w="170"/>
        <w:gridCol w:w="878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7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reduce the rate of or extend the time for payment of interest (including default interest) on any debt security;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reduce the principal of or premium on or change the fixed maturity of any debt security or reduce the amount of, or postpone the date fixed for, the payment of any sinking fund or analogous obligation with respect to any series of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60"/>
        <w:gridCol w:w="170"/>
        <w:gridCol w:w="726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2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reduce the principal amount of discount securities payable upon acceleration of maturity;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waive a default in the payment of the principal of, or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make the principal of or premium or interest on any debt security payable in currency other than that stated in the debt security;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make any change to certain provisions of the indenture relating to, among other things, the right of holders of debt securities to receive payment of the principal of, or premium and interest on those debt securities and to institute suit for the enforcement of any such payment; or</w:t>
            </w:r>
          </w:p>
        </w:tc>
      </w:tr>
    </w:tbl>
    <w:p>
      <w:pPr>
        <w:pStyle w:val="TextBody"/>
        <w:bidi w:val="0"/>
        <w:spacing w:before="0" w:after="0"/>
        <w:ind w:left="0" w:right="0" w:hanging="0"/>
        <w:jc w:val="both"/>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60"/>
        <w:gridCol w:w="170"/>
        <w:gridCol w:w="50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0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waive a redemption payment with respect to any debt security.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Defeasance of Debt Securities and Certain Covenants in Certain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Legal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Defeasance of Certain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indenture provides that, unless otherwise provided by the terms of the applicable series of debt securities, upon compliance with certain conditions: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omission to comply with those covenants will not constitute a Default or an Event of Default with respect to the debt securities of that series.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refer to this as covenant defeasance. The conditions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such deposit will not result in a breach or violation of, or constitute a default under the indenture or any other agreement to which we are a party;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Default or Event of Default with respect to the applicable series of debt securities shall have occurred or is continuing on the date of such deposit;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 Personal Liability of Directors, Officers, Employees or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Governing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indenture and the debt securities, including any claim or controversy arising out of or relating to the indenture or the securities, will be governed by the laws of the State of New York.</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95" w:name="DESCRIPTION_OF_DEPOSITARY_SHARES"/>
      <w:bookmarkStart w:id="96" w:name="DESCRIPTION_OF_DEPOSITARY_SHARES"/>
      <w:bookmarkEnd w:id="95"/>
      <w:bookmarkEnd w:id="96"/>
      <w:r>
        <w:rPr>
          <w:rFonts w:ascii="Times New Roman" w:hAnsi="Times New Roman"/>
          <w:b/>
          <w:caps w:val="false"/>
          <w:smallCaps w:val="false"/>
          <w:sz w:val="20"/>
        </w:rPr>
        <w:t>DESCRIPTION OF DEPOSITARY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at our option, elect to offer fractional shares of preferred stock, or depositary shares, rather than full shares of preferred stock. If we do, we will issue to the public receipts, called depositary receipts, for depositary shares, each of which will represent a fraction of a share of a particular series of preferred stock, to be described in the applicable prospectus supplement. Unless otherwise provided in the prospectus supplement, each owner of a depositary share will be entitled to all the rights and preferences of the preferred stock represented by the depositary share, in proportion to the applicable fractional interest in a share of preferred stock represented by the depositary share. Those rights include dividend, voting, redemption, conversion, and liquidation rights.</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depositary shares will be evidenced by depositary receipts issued pursuant to the depositary agreement. Holders of depositary receipts agree to be bound by the deposit agreement, which will require holders to take certain actions such as filing proof of residence and paying certain charges.</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summary of terms of the depositary shares contained in this prospectus is not complete. You should refer to the form of the deposit agreement, our Certificate of Incorporation and the certificate of designation for the applicable series of preferred stock that are, or will be, filed with the SEC.</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Dividends and Other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depositary will distribute all cash dividends or other cash distributions, if any, received in respect of the preferred stock underlying the depositary shares to the record holders of depositary shares in proportion to the number of depositary shares owned by those holders on the relevant record date. The relevant record date for depositary shares will be the same date as the record date for the underlying preferred stock.</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there is a distribution other than in cash, the depositary will distribute property (including securities) received by it to the record holders of depositary shares, unless the depositary determines that it is not feasible to make the distribution. If this occurs, with our approval, the depositary may adopt another method for the distribution, including selling the property and distributing the net proceeds from the sale to the holders.</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Liquidation Preference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a series of preferred stock underlying the depositary shares has a liquidation preference, in the event of the voluntary or involuntary liquidation, dissolution or winding up of the Company, holders of depositary shares will be entitled to receive the fraction of the liquidation preference accorded each share of the applicable series of preferred stock, as set forth in the applicable prospectus supplement.</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Withdrawal of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 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so withdrawn may not thereafter deposit those shares under the deposit agreement or receive depositary receipts evidencing depositary shares therefor.</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Redemption of Depositary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Voting the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that it receives specific instructions from the holders of depositary shares representing that number of shares of preferred stock.</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Charges of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Amendment and Termination of the Deposit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form of depositary receipt evidencing the depositary shares and any provision of the deposit agreement may be amended by agreement between us and the depositary. However, any amendment that materially and adversely alters the rights of the holders of depositary shares, other than fee changes, will not be effective unless the amendment has been approved by the holders of a majority of the outstanding depositary shares. The deposit agreement may be terminated by the depositary or us only if:</w:t>
      </w:r>
    </w:p>
    <w:p>
      <w:pPr>
        <w:pStyle w:val="TextBody"/>
        <w:bidi w:val="0"/>
        <w:spacing w:before="0" w:after="0"/>
        <w:ind w:left="160" w:right="0" w:firstLine="720"/>
        <w:jc w:val="both"/>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60"/>
        <w:gridCol w:w="170"/>
        <w:gridCol w:w="46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6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outstanding depositary shares have been redeemed;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has been a final distribution of the preferred stock in connection with our dissolution and such distribution has been made to all the holders of depositary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Resignation and Removal of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Limitation of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Neither we nor the depositary will be liable if either is prevented or delayed by law or any circumstance beyond its control in performing its obligations. Our obligations and those of the depositary will be limited to performance in good faith of our and its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97" w:name="DESCRIPTION_OF_WARRANTS"/>
      <w:bookmarkStart w:id="98" w:name="DESCRIPTION_OF_WARRANTS"/>
      <w:bookmarkEnd w:id="97"/>
      <w:bookmarkEnd w:id="98"/>
      <w:r>
        <w:rPr>
          <w:rFonts w:ascii="Times New Roman" w:hAnsi="Times New Roman"/>
          <w:b/>
          <w:caps w:val="false"/>
          <w:smallCaps w:val="false"/>
          <w:sz w:val="20"/>
        </w:rPr>
        <w:t>DESCRIPTION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issue warrants to purchase debt securities, preferred stock, depositary shares or common stock. We may offer warrants separately or together with one or more additional warrants, debt securities, preferred stock, depositary shares or common stock,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 The applicable prospectus supplement will describe the following terms of any warrants:</w:t>
      </w:r>
    </w:p>
    <w:p>
      <w:pPr>
        <w:pStyle w:val="TextBody"/>
        <w:bidi w:val="0"/>
        <w:spacing w:before="0" w:after="0"/>
        <w:ind w:left="160" w:right="0" w:firstLine="720"/>
        <w:jc w:val="both"/>
        <w:rPr>
          <w:caps w:val="false"/>
          <w:smallCaps w:val="false"/>
        </w:rPr>
      </w:pPr>
      <w:r>
        <w:rPr>
          <w:caps w:val="false"/>
          <w:smallCaps w:val="false"/>
        </w:rPr>
        <w:t> </w:t>
      </w:r>
    </w:p>
    <w:tbl>
      <w:tblPr>
        <w:tblW w:w="9010" w:type="dxa"/>
        <w:jc w:val="left"/>
        <w:tblInd w:w="0" w:type="dxa"/>
        <w:tblLayout w:type="fixed"/>
        <w:tblCellMar>
          <w:top w:w="0" w:type="dxa"/>
          <w:left w:w="0" w:type="dxa"/>
          <w:bottom w:w="0" w:type="dxa"/>
          <w:right w:w="0" w:type="dxa"/>
        </w:tblCellMar>
      </w:tblPr>
      <w:tblGrid>
        <w:gridCol w:w="60"/>
        <w:gridCol w:w="170"/>
        <w:gridCol w:w="87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specific designation and aggregate number of, and the offering price at which we will issue, the warrants;</w:t>
            </w:r>
          </w:p>
        </w:tc>
      </w:tr>
    </w:tbl>
    <w:p>
      <w:pPr>
        <w:pStyle w:val="TextBody"/>
        <w:bidi w:val="0"/>
        <w:spacing w:before="0" w:after="0"/>
        <w:ind w:left="0" w:right="0" w:hanging="0"/>
        <w:jc w:val="left"/>
        <w:rPr>
          <w:caps w:val="false"/>
          <w:smallCaps w:val="false"/>
        </w:rPr>
      </w:pPr>
      <w:r>
        <w:rPr>
          <w:caps w:val="false"/>
          <w:smallCaps w:val="false"/>
        </w:rPr>
        <w:t> </w:t>
      </w:r>
    </w:p>
    <w:tbl>
      <w:tblPr>
        <w:tblW w:w="8290" w:type="dxa"/>
        <w:jc w:val="left"/>
        <w:tblInd w:w="0" w:type="dxa"/>
        <w:tblLayout w:type="fixed"/>
        <w:tblCellMar>
          <w:top w:w="0" w:type="dxa"/>
          <w:left w:w="0" w:type="dxa"/>
          <w:bottom w:w="0" w:type="dxa"/>
          <w:right w:w="0" w:type="dxa"/>
        </w:tblCellMar>
      </w:tblPr>
      <w:tblGrid>
        <w:gridCol w:w="60"/>
        <w:gridCol w:w="170"/>
        <w:gridCol w:w="80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currency or currency units in which the offering price, if any, and the exercise price are payable;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date on which the right to exercise the warrants will begin and the date on which that right will expire or, if you may not continuously exercise the warrants throughout that period, the specific date or dates on which you may exercise the warrants;</w:t>
            </w:r>
          </w:p>
        </w:tc>
      </w:tr>
    </w:tbl>
    <w:p>
      <w:pPr>
        <w:pStyle w:val="TextBody"/>
        <w:bidi w:val="0"/>
        <w:spacing w:before="0" w:after="0"/>
        <w:ind w:left="0" w:right="0" w:hanging="0"/>
        <w:jc w:val="left"/>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60"/>
        <w:gridCol w:w="170"/>
        <w:gridCol w:w="69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whether the warrants are to be sold separately or with other securities as parts of units;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whether the warrants will be issued in definitive or global form or in any combination of these forms, although, in any case, the form of a warrant included in a unit will correspond to the form of the unit and of any security included in that unit;</w:t>
            </w:r>
          </w:p>
        </w:tc>
      </w:tr>
    </w:tbl>
    <w:p>
      <w:pPr>
        <w:pStyle w:val="TextBody"/>
        <w:bidi w:val="0"/>
        <w:spacing w:before="0" w:after="0"/>
        <w:ind w:left="0" w:right="0" w:hanging="0"/>
        <w:jc w:val="left"/>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60"/>
        <w:gridCol w:w="170"/>
        <w:gridCol w:w="50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applicable material U.S. federal income tax consequences;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identity of the warrant agent for the warrants and of any other depositaries, execution or paying agents, transfer agents, registrars or other agents;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proposed listing, if any, of the warrants or any securities purchasable upon exercise of the warrants on any securities exchange;</w:t>
            </w:r>
          </w:p>
        </w:tc>
      </w:tr>
    </w:tbl>
    <w:p>
      <w:pPr>
        <w:pStyle w:val="TextBody"/>
        <w:bidi w:val="0"/>
        <w:spacing w:before="0" w:after="0"/>
        <w:ind w:left="0" w:right="0" w:hanging="0"/>
        <w:jc w:val="left"/>
        <w:rPr>
          <w:caps w:val="false"/>
          <w:smallCaps w:val="false"/>
        </w:rPr>
      </w:pPr>
      <w:r>
        <w:rPr>
          <w:caps w:val="false"/>
          <w:smallCaps w:val="false"/>
        </w:rPr>
        <w:t> </w:t>
      </w:r>
    </w:p>
    <w:tbl>
      <w:tblPr>
        <w:tblW w:w="7750" w:type="dxa"/>
        <w:jc w:val="left"/>
        <w:tblInd w:w="0" w:type="dxa"/>
        <w:tblLayout w:type="fixed"/>
        <w:tblCellMar>
          <w:top w:w="0" w:type="dxa"/>
          <w:left w:w="0" w:type="dxa"/>
          <w:bottom w:w="0" w:type="dxa"/>
          <w:right w:w="0" w:type="dxa"/>
        </w:tblCellMar>
      </w:tblPr>
      <w:tblGrid>
        <w:gridCol w:w="60"/>
        <w:gridCol w:w="170"/>
        <w:gridCol w:w="75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5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designation and terms of any equity securities purchasable upon exercise of the warrants;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designation, aggregate principal amount, currency and terms of any debt securities that may be purchased upon exercise of the warrants;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applicable, the designation and terms of the debt securities, preferred stock, depositary shares or common stock with which the warrants are issued and the number of warrants issued with each security;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applicable, the date from and after which any warrants issued as part of a unit and the related debt securities, preferred stock, depositary shares or common stock will be separately transferable;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number of shares of preferred stock, the number of depositary shares or the number of shares of common stock purchasable upon exercise of a warrant and the price at which those shares may be purchased;</w:t>
            </w:r>
          </w:p>
        </w:tc>
      </w:tr>
    </w:tbl>
    <w:p>
      <w:pPr>
        <w:pStyle w:val="TextBody"/>
        <w:bidi w:val="0"/>
        <w:spacing w:before="0" w:after="0"/>
        <w:ind w:left="0" w:right="0" w:hanging="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60"/>
        <w:gridCol w:w="170"/>
        <w:gridCol w:w="83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3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applicable, the minimum or maximum amount of the warrants that may be exercised at any one time;</w:t>
            </w:r>
          </w:p>
        </w:tc>
      </w:tr>
    </w:tbl>
    <w:p>
      <w:pPr>
        <w:pStyle w:val="TextBody"/>
        <w:bidi w:val="0"/>
        <w:spacing w:before="0" w:after="0"/>
        <w:ind w:left="0" w:right="0" w:hanging="0"/>
        <w:jc w:val="left"/>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60"/>
        <w:gridCol w:w="170"/>
        <w:gridCol w:w="47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information with respect to book-entry procedures, if any;</w:t>
            </w:r>
          </w:p>
        </w:tc>
      </w:tr>
    </w:tbl>
    <w:p>
      <w:pPr>
        <w:pStyle w:val="TextBody"/>
        <w:bidi w:val="0"/>
        <w:spacing w:before="0" w:after="0"/>
        <w:ind w:left="0" w:right="0" w:hanging="0"/>
        <w:jc w:val="left"/>
        <w:rPr>
          <w:caps w:val="false"/>
          <w:smallCaps w:val="false"/>
        </w:rPr>
      </w:pPr>
      <w:r>
        <w:rPr>
          <w:caps w:val="false"/>
          <w:smallCaps w:val="false"/>
        </w:rPr>
        <w:t> </w:t>
      </w:r>
    </w:p>
    <w:tbl>
      <w:tblPr>
        <w:tblW w:w="10075" w:type="dxa"/>
        <w:jc w:val="left"/>
        <w:tblInd w:w="0" w:type="dxa"/>
        <w:tblLayout w:type="fixed"/>
        <w:tblCellMar>
          <w:top w:w="0" w:type="dxa"/>
          <w:left w:w="0" w:type="dxa"/>
          <w:bottom w:w="0" w:type="dxa"/>
          <w:right w:w="0" w:type="dxa"/>
        </w:tblCellMar>
      </w:tblPr>
      <w:tblGrid>
        <w:gridCol w:w="60"/>
        <w:gridCol w:w="170"/>
        <w:gridCol w:w="98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antidilution provisions, and other provisions for changes to or adjustment in the exercise price, of the warrants, if any;</w:t>
            </w:r>
          </w:p>
        </w:tc>
      </w:tr>
    </w:tbl>
    <w:p>
      <w:pPr>
        <w:pStyle w:val="TextBody"/>
        <w:bidi w:val="0"/>
        <w:spacing w:before="0" w:after="0"/>
        <w:ind w:left="0" w:right="0" w:hanging="0"/>
        <w:jc w:val="left"/>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60"/>
        <w:gridCol w:w="170"/>
        <w:gridCol w:w="31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redemption or call provisions;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additional terms of the warrants, including terms, procedures and limitations relating to the exchange or exercise of the warrants.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99" w:name="DESCRIPTION_OF_SUBSCRIPTION_RIGHTS"/>
      <w:bookmarkStart w:id="100" w:name="DESCRIPTION_OF_SUBSCRIPTION_RIGHTS"/>
      <w:bookmarkEnd w:id="99"/>
      <w:bookmarkEnd w:id="100"/>
      <w:r>
        <w:rPr>
          <w:rFonts w:ascii="Times New Roman" w:hAnsi="Times New Roman"/>
          <w:b/>
          <w:caps w:val="false"/>
          <w:smallCaps w:val="false"/>
          <w:sz w:val="20"/>
        </w:rPr>
        <w:t>DESCRIPTION OF SUBSCRIPTION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issue subscription rights to purchase our common stock, preferred stock, warrants or debt securities, or units consisting of some or all of these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prospectus supplement relating to any subscription rights we offer, if any, will, to the extent applicable, include specific terms relating to the offering, including some or all of the following:</w:t>
      </w:r>
    </w:p>
    <w:p>
      <w:pPr>
        <w:pStyle w:val="TextBody"/>
        <w:bidi w:val="0"/>
        <w:spacing w:before="0" w:after="0"/>
        <w:ind w:left="160" w:right="0" w:firstLine="720"/>
        <w:jc w:val="both"/>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60"/>
        <w:gridCol w:w="170"/>
        <w:gridCol w:w="35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price, if any, for the subscription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exercise price payable for our common stock, preferred stock, warrants or debt securities, or units consisting of some or all of these securities, upon the exercise of the subscription rights;</w:t>
            </w:r>
          </w:p>
        </w:tc>
      </w:tr>
    </w:tbl>
    <w:p>
      <w:pPr>
        <w:pStyle w:val="TextBody"/>
        <w:bidi w:val="0"/>
        <w:spacing w:before="0" w:after="0"/>
        <w:ind w:left="0" w:right="0" w:hanging="0"/>
        <w:jc w:val="left"/>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60"/>
        <w:gridCol w:w="170"/>
        <w:gridCol w:w="54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number of subscription rights to be issued to each stockholder;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number and terms of our common stock, preferred stock, warrants or debt securities, or units consisting of some or all of these securities, which may be purchased per each subscription right;</w:t>
            </w:r>
          </w:p>
        </w:tc>
      </w:tr>
    </w:tbl>
    <w:p>
      <w:pPr>
        <w:pStyle w:val="TextBody"/>
        <w:bidi w:val="0"/>
        <w:spacing w:before="0" w:after="0"/>
        <w:ind w:left="0" w:right="0" w:hanging="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60"/>
        <w:gridCol w:w="170"/>
        <w:gridCol w:w="47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extent to which the subscription rights are transferable;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other terms of the subscription rights, including the terms, procedures and limitations relating to the exchange and exercise of the subscription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date on which the right to exercise the subscription rights shall commence, and the date on which the subscription rights shall expire;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extent to which the subscription rights may include an over-subscription privilege with respect to unsubscribed securities or an over-allotment privilege to the extent the securities are fully subscribed;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applicable, the material terms of any standby underwriting or purchase arrangement which may be entered into by us in connection with the offering of subscription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descriptions of the subscription rights in this prospectus and in any prospectus supplement are summaries of the material provisions of the applicable subscription right agreements. These descriptions do not restate those subscription right agreements in their entirety and may not contain all the information that you may find useful. We urge you to read the applicable subscription right agreements because the agreements, and not the summaries, define your rights as holders of the subscription rights. For more information, please review the forms of the relevant subscription right agreements, which will be filed with the SEC promptly after the offering of subscription rights and will be available as described in the section of this prospectus captioned “</w:t>
      </w:r>
      <w:r>
        <w:rPr>
          <w:rFonts w:ascii="Times New Roman" w:hAnsi="Times New Roman"/>
          <w:i/>
          <w:caps w:val="false"/>
          <w:smallCaps w:val="false"/>
          <w:sz w:val="20"/>
        </w:rPr>
        <w:t>Where You Can Find More Information</w:t>
      </w:r>
      <w:r>
        <w:rPr>
          <w:rFonts w:ascii="Times New Roman" w:hAnsi="Times New Roman"/>
          <w:caps w:val="false"/>
          <w:smallCaps w:val="false"/>
          <w:sz w:val="20"/>
        </w:rPr>
        <w:t>.”</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01" w:name="DESCRIPTION_OF_PURCHASE_CONTRACTS"/>
      <w:bookmarkStart w:id="102" w:name="DESCRIPTION_OF_PURCHASE_CONTRACTS"/>
      <w:bookmarkEnd w:id="101"/>
      <w:bookmarkEnd w:id="102"/>
      <w:r>
        <w:rPr>
          <w:rFonts w:ascii="Times New Roman" w:hAnsi="Times New Roman"/>
          <w:b/>
          <w:caps w:val="false"/>
          <w:smallCaps w:val="false"/>
          <w:sz w:val="20"/>
        </w:rPr>
        <w:t>DESCRIPTION OF PURCHASE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description summarizes the general features of the purchase contracts that we may offer under this prospectus. Although the features we have summarized below will generally apply to any future purchase contracts we may offer under this prospectus, we will describe the particular terms of any purchase contracts that we may offer in more detail in the applicable prospectus supplement. The specific terms of any purchase contracts may differ from the description provided below as a result of negotiations with third parties in connection with the issuance of those purchase contracts, as well as for other reasons. Because the terms of any purchase contracts we offer under a prospectus supplement may differ from the terms we describe below, you should rely solely on information in the applicable prospectus supplement if that summary is different from the summary in this prospectus.</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will incorporate by reference into the registration statement, of which this prospectus is a part, the form of any purchase contract that we may offer under this prospectus before the sale of the related purchase contract. We urge you to read any applicable prospectus supplement related to specific purchase contracts being offered, as well as the complete instruments that contain the terms of the securities that are subject to those purchase contracts. Certain of those instruments, or forms of those instruments, have been filed as exhibits to the registration statement of which this prospectus is a part, and supplements to those instruments or forms may be incorporated by reference into the registration statement, of which this prospectus is a part, from reports we file with the SEC.</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issue purchase contracts, including contracts obligating holders to purchase from us, and for us to sell to holders, a specific or variable number of our securities at a future date or dates. Alternatively, the purchase contracts may obligate us to purchase from holders, and obligate holders to sell to us, a specific or varying number of our securities.</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offer any purchase contracts, certain terms of that series of purchase contracts will be described in the applicable prospectus supplement, including, without limitation, the following:</w:t>
      </w:r>
    </w:p>
    <w:p>
      <w:pPr>
        <w:pStyle w:val="TextBody"/>
        <w:bidi w:val="0"/>
        <w:spacing w:before="0" w:after="0"/>
        <w:ind w:left="16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price of the securities or other property subject to the purchase contracts (which may be determined by reference to a specific formula described in the purchase contracts);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whether the purchase contracts are issued separately, or as a part of units each consisting of a purchase contract and one or more of our other securities, securing the holder’s obligations under the purchase contract;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requirement for us to make periodic payments to holders or vice versa, and whether the payments are unsecured or pre-funded;</w:t>
            </w:r>
          </w:p>
        </w:tc>
      </w:tr>
    </w:tbl>
    <w:p>
      <w:pPr>
        <w:pStyle w:val="TextBody"/>
        <w:bidi w:val="0"/>
        <w:spacing w:before="0" w:after="0"/>
        <w:ind w:left="0" w:right="0" w:hanging="0"/>
        <w:jc w:val="left"/>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60"/>
        <w:gridCol w:w="170"/>
        <w:gridCol w:w="60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provisions relating to any security provided for the purchase contracts;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tc>
      </w:tr>
    </w:tbl>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60"/>
        <w:gridCol w:w="170"/>
        <w:gridCol w:w="44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whether the purchase contracts are to be prepaid or not;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whether the purchase contracts are to be settled by delivery, or by reference or linkage to the value, performance or level of the securities subject to purchase under the purchase contract;</w:t>
            </w:r>
          </w:p>
        </w:tc>
      </w:tr>
    </w:tbl>
    <w:p>
      <w:pPr>
        <w:pStyle w:val="TextBody"/>
        <w:bidi w:val="0"/>
        <w:spacing w:before="0" w:after="0"/>
        <w:ind w:left="0" w:right="0" w:hanging="0"/>
        <w:jc w:val="left"/>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60"/>
        <w:gridCol w:w="170"/>
        <w:gridCol w:w="92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acceleration, cancellation, termination or other provisions relating to the settlement of the purchase contracts;</w:t>
            </w:r>
          </w:p>
        </w:tc>
      </w:tr>
    </w:tbl>
    <w:p>
      <w:pPr>
        <w:pStyle w:val="TextBody"/>
        <w:bidi w:val="0"/>
        <w:spacing w:before="0" w:after="0"/>
        <w:ind w:left="0" w:right="0" w:hanging="0"/>
        <w:jc w:val="left"/>
        <w:rPr>
          <w:caps w:val="false"/>
          <w:smallCaps w:val="false"/>
        </w:rPr>
      </w:pPr>
      <w:r>
        <w:rPr>
          <w:caps w:val="false"/>
          <w:smallCaps w:val="false"/>
        </w:rPr>
        <w:t> </w:t>
      </w:r>
    </w:p>
    <w:tbl>
      <w:tblPr>
        <w:tblW w:w="8215" w:type="dxa"/>
        <w:jc w:val="left"/>
        <w:tblInd w:w="0" w:type="dxa"/>
        <w:tblLayout w:type="fixed"/>
        <w:tblCellMar>
          <w:top w:w="0" w:type="dxa"/>
          <w:left w:w="0" w:type="dxa"/>
          <w:bottom w:w="0" w:type="dxa"/>
          <w:right w:w="0" w:type="dxa"/>
        </w:tblCellMar>
      </w:tblPr>
      <w:tblGrid>
        <w:gridCol w:w="60"/>
        <w:gridCol w:w="170"/>
        <w:gridCol w:w="79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discussion of certain U.S. federal income tax considerations applicable to the purchase contracts;</w:t>
            </w:r>
          </w:p>
        </w:tc>
      </w:tr>
    </w:tbl>
    <w:p>
      <w:pPr>
        <w:pStyle w:val="TextBody"/>
        <w:bidi w:val="0"/>
        <w:spacing w:before="0" w:after="0"/>
        <w:ind w:left="0" w:right="0" w:hanging="0"/>
        <w:jc w:val="left"/>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60"/>
        <w:gridCol w:w="170"/>
        <w:gridCol w:w="67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7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whether the purchase contracts will be issued in fully registered or global form; and</w:t>
            </w:r>
          </w:p>
        </w:tc>
      </w:tr>
    </w:tbl>
    <w:p>
      <w:pPr>
        <w:pStyle w:val="TextBody"/>
        <w:bidi w:val="0"/>
        <w:spacing w:before="0" w:after="0"/>
        <w:ind w:left="0" w:right="0" w:hanging="0"/>
        <w:jc w:val="left"/>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60"/>
        <w:gridCol w:w="170"/>
        <w:gridCol w:w="76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6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other terms of the purchase contracts and any securities subject to such purchase contracts.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03" w:name="DESCRIPTION_OF_UNITS"/>
      <w:bookmarkStart w:id="104" w:name="DESCRIPTION_OF_UNITS"/>
      <w:bookmarkEnd w:id="103"/>
      <w:bookmarkEnd w:id="104"/>
      <w:r>
        <w:rPr>
          <w:rFonts w:ascii="Times New Roman" w:hAnsi="Times New Roman"/>
          <w:b/>
          <w:caps w:val="false"/>
          <w:smallCaps w:val="false"/>
          <w:sz w:val="20"/>
        </w:rPr>
        <w:t>DESCRIPTION OF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issue units comprised of one or more of the other securities that may be offered under this prospectus, in any combination. The following, together with the additional information we may include in any applicable prospectus supplement, summarizes the material terms and provisions of the units that we may offer under this prospectus. While the terms summarized below will apply generally to any units we may offer, we will describe the particular terms of any series of units in more detail in the applicable prospectus supplement. If we indicate in the prospectus supplement, the terms of any units offered under that prospectus supplement may differ from the terms described below. Specific unit agreements will contain additional important terms and provisions and will be incorporated by reference as an exhibit to the registration statement that includes this prospectus.</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will describe in the applicable prospectus supplement the terms of the series of units being offered, including:</w:t>
      </w:r>
    </w:p>
    <w:p>
      <w:pPr>
        <w:pStyle w:val="TextBody"/>
        <w:bidi w:val="0"/>
        <w:spacing w:before="0" w:after="0"/>
        <w:ind w:left="16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material terms of the units and of the securities comprising the units, including whether and under what circumstances those securities may be held or transferred separately;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material provisions relating to the issuance, payment, settlement, transfer or exchange of the units or of the securities comprising the units; and</w:t>
            </w:r>
          </w:p>
        </w:tc>
      </w:tr>
    </w:tbl>
    <w:p>
      <w:pPr>
        <w:pStyle w:val="TextBody"/>
        <w:bidi w:val="0"/>
        <w:spacing w:before="0" w:after="0"/>
        <w:ind w:left="0" w:right="0" w:hanging="0"/>
        <w:jc w:val="left"/>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60"/>
        <w:gridCol w:w="170"/>
        <w:gridCol w:w="77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material provisions of the governing unit agreement that differ from those described above.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issue units in such amounts and in such numbers of distinct series as we determine.</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provisions described in this section, as well as those described under “</w:t>
      </w:r>
      <w:r>
        <w:rPr>
          <w:rFonts w:ascii="Times New Roman" w:hAnsi="Times New Roman"/>
          <w:i/>
          <w:caps w:val="false"/>
          <w:smallCaps w:val="false"/>
          <w:sz w:val="20"/>
        </w:rPr>
        <w:t>Description of Debt Securities</w:t>
      </w:r>
      <w:r>
        <w:rPr>
          <w:rFonts w:ascii="Times New Roman" w:hAnsi="Times New Roman"/>
          <w:caps w:val="false"/>
          <w:smallCaps w:val="false"/>
          <w:sz w:val="20"/>
        </w:rPr>
        <w:t>,” “</w:t>
      </w:r>
      <w:r>
        <w:rPr>
          <w:rFonts w:ascii="Times New Roman" w:hAnsi="Times New Roman"/>
          <w:i/>
          <w:caps w:val="false"/>
          <w:smallCaps w:val="false"/>
          <w:sz w:val="20"/>
        </w:rPr>
        <w:t>Description of Capital Stock</w:t>
      </w:r>
      <w:r>
        <w:rPr>
          <w:rFonts w:ascii="Times New Roman" w:hAnsi="Times New Roman"/>
          <w:caps w:val="false"/>
          <w:smallCaps w:val="false"/>
          <w:sz w:val="20"/>
        </w:rPr>
        <w:t>” and “</w:t>
      </w:r>
      <w:r>
        <w:rPr>
          <w:rFonts w:ascii="Times New Roman" w:hAnsi="Times New Roman"/>
          <w:i/>
          <w:caps w:val="false"/>
          <w:smallCaps w:val="false"/>
          <w:sz w:val="20"/>
        </w:rPr>
        <w:t>Description of Warrants</w:t>
      </w:r>
      <w:r>
        <w:rPr>
          <w:rFonts w:ascii="Times New Roman" w:hAnsi="Times New Roman"/>
          <w:caps w:val="false"/>
          <w:smallCaps w:val="false"/>
          <w:sz w:val="20"/>
        </w:rPr>
        <w:t>” will apply to each unit, as applicable, and to any debt securities, common stock, preferred stock or warrant included in each unit,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Unit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name and address of the unit agent for any units we offer will be set forth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Enforceability of Rights by Holders of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180"/>
        <w:jc w:val="center"/>
        <w:rPr>
          <w:rFonts w:ascii="Times New Roman" w:hAnsi="Times New Roman"/>
          <w:b/>
          <w:caps w:val="false"/>
          <w:smallCaps w:val="false"/>
          <w:sz w:val="20"/>
        </w:rPr>
      </w:pPr>
      <w:bookmarkStart w:id="105" w:name="DIVIDEND_POLICY"/>
      <w:bookmarkStart w:id="106" w:name="DIVIDEND_POLICY"/>
      <w:bookmarkEnd w:id="105"/>
      <w:bookmarkEnd w:id="106"/>
      <w:r>
        <w:rPr>
          <w:rFonts w:ascii="Times New Roman" w:hAnsi="Times New Roman"/>
          <w:b/>
          <w:caps w:val="false"/>
          <w:smallCaps w:val="false"/>
          <w:sz w:val="20"/>
        </w:rPr>
        <w:t>DIVIDEND POLICY</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payment of dividends on our common stock will be at the discretion of our board of directors and will depend on our results of operations, capital requirements, financial condition, prospects, contractual arrangements, any limitations on payment of dividends present in our future debt agreements, and other factors that our board of directors may deem relevant.</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07" w:name="PLAN_OF_DISTRIBUTION"/>
      <w:bookmarkStart w:id="108" w:name="PLANOFDISTRIBUTION"/>
      <w:bookmarkEnd w:id="107"/>
      <w:bookmarkEnd w:id="108"/>
      <w:r>
        <w:rPr>
          <w:rFonts w:ascii="Times New Roman" w:hAnsi="Times New Roman"/>
          <w:b/>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sell the securities in one or more of the following ways (or in any combination) from time to time:</w:t>
      </w:r>
    </w:p>
    <w:p>
      <w:pPr>
        <w:pStyle w:val="TextBody"/>
        <w:bidi w:val="0"/>
        <w:spacing w:before="0" w:after="0"/>
        <w:ind w:left="0" w:right="0" w:hanging="0"/>
        <w:jc w:val="left"/>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60"/>
        <w:gridCol w:w="170"/>
        <w:gridCol w:w="34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underwritten public offerings;</w:t>
            </w:r>
          </w:p>
        </w:tc>
      </w:tr>
    </w:tbl>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60"/>
        <w:gridCol w:w="170"/>
        <w:gridCol w:w="21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1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negotiated transactions;</w:t>
            </w:r>
          </w:p>
        </w:tc>
      </w:tr>
    </w:tbl>
    <w:p>
      <w:pPr>
        <w:pStyle w:val="TextBody"/>
        <w:bidi w:val="0"/>
        <w:spacing w:before="0" w:after="0"/>
        <w:ind w:left="0" w:right="0" w:hanging="0"/>
        <w:jc w:val="left"/>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60"/>
        <w:gridCol w:w="170"/>
        <w:gridCol w:w="12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2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block trades;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“at the market” offerings, within the meaning of Rule 415(a)(4) of the Securities Act, to or through a market maker or into an existing trading market on an exchange or otherwise;</w:t>
            </w:r>
          </w:p>
        </w:tc>
      </w:tr>
    </w:tbl>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60"/>
        <w:gridCol w:w="170"/>
        <w:gridCol w:w="23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subscription rights offerings,</w:t>
            </w:r>
          </w:p>
        </w:tc>
      </w:tr>
    </w:tbl>
    <w:p>
      <w:pPr>
        <w:pStyle w:val="TextBody"/>
        <w:bidi w:val="0"/>
        <w:spacing w:before="0" w:after="0"/>
        <w:ind w:left="0" w:right="0" w:hanging="0"/>
        <w:jc w:val="left"/>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60"/>
        <w:gridCol w:w="170"/>
        <w:gridCol w:w="26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6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through underwriters or dealers;</w:t>
            </w:r>
          </w:p>
        </w:tc>
      </w:tr>
    </w:tbl>
    <w:p>
      <w:pPr>
        <w:pStyle w:val="TextBody"/>
        <w:bidi w:val="0"/>
        <w:spacing w:before="0" w:after="0"/>
        <w:ind w:left="0" w:right="0" w:hanging="0"/>
        <w:jc w:val="left"/>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60"/>
        <w:gridCol w:w="170"/>
        <w:gridCol w:w="18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directly to purchasers;</w:t>
            </w:r>
          </w:p>
        </w:tc>
      </w:tr>
    </w:tbl>
    <w:p>
      <w:pPr>
        <w:pStyle w:val="TextBody"/>
        <w:bidi w:val="0"/>
        <w:spacing w:before="0" w:after="0"/>
        <w:ind w:left="0" w:right="0" w:hanging="0"/>
        <w:jc w:val="left"/>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60"/>
        <w:gridCol w:w="170"/>
        <w:gridCol w:w="15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5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through agents; or</w:t>
            </w:r>
          </w:p>
        </w:tc>
      </w:tr>
    </w:tbl>
    <w:p>
      <w:pPr>
        <w:pStyle w:val="TextBody"/>
        <w:bidi w:val="0"/>
        <w:spacing w:before="0" w:after="0"/>
        <w:ind w:left="0" w:right="0" w:hanging="0"/>
        <w:jc w:val="left"/>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60"/>
        <w:gridCol w:w="170"/>
        <w:gridCol w:w="44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through a combination of any of these methods of sale.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addition, we may issue the securities as a dividend or distribution or in a subscription rights offering to our existing securityholders. This prospectus may be used in connection with any offering of our securities through any of these methods or other methods described in the applicable prospectus supplement.</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distribution of the securities may be effected from time to time in one or more transactions:</w:t>
      </w:r>
    </w:p>
    <w:p>
      <w:pPr>
        <w:pStyle w:val="TextBody"/>
        <w:bidi w:val="0"/>
        <w:spacing w:before="0" w:after="0"/>
        <w:ind w:left="160" w:right="0" w:firstLine="720"/>
        <w:jc w:val="both"/>
        <w:rPr>
          <w:caps w:val="false"/>
          <w:smallCaps w:val="false"/>
        </w:rPr>
      </w:pPr>
      <w:r>
        <w:rPr>
          <w:caps w:val="false"/>
          <w:smallCaps w:val="false"/>
        </w:rPr>
        <w:t> </w:t>
      </w:r>
    </w:p>
    <w:tbl>
      <w:tblPr>
        <w:tblW w:w="5680" w:type="dxa"/>
        <w:jc w:val="left"/>
        <w:tblInd w:w="0" w:type="dxa"/>
        <w:tblLayout w:type="fixed"/>
        <w:tblCellMar>
          <w:top w:w="0" w:type="dxa"/>
          <w:left w:w="0" w:type="dxa"/>
          <w:bottom w:w="0" w:type="dxa"/>
          <w:right w:w="0" w:type="dxa"/>
        </w:tblCellMar>
      </w:tblPr>
      <w:tblGrid>
        <w:gridCol w:w="60"/>
        <w:gridCol w:w="170"/>
        <w:gridCol w:w="54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a fixed price, or prices, which may be changed from time to time;</w:t>
            </w:r>
          </w:p>
        </w:tc>
      </w:tr>
    </w:tbl>
    <w:p>
      <w:pPr>
        <w:pStyle w:val="TextBody"/>
        <w:bidi w:val="0"/>
        <w:spacing w:before="0" w:after="0"/>
        <w:ind w:left="0" w:right="0" w:hanging="0"/>
        <w:jc w:val="left"/>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60"/>
        <w:gridCol w:w="170"/>
        <w:gridCol w:w="3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market prices prevailing at the time of sale;</w:t>
            </w:r>
          </w:p>
        </w:tc>
      </w:tr>
    </w:tbl>
    <w:p>
      <w:pPr>
        <w:pStyle w:val="TextBody"/>
        <w:bidi w:val="0"/>
        <w:spacing w:before="0" w:after="0"/>
        <w:ind w:left="0" w:right="0" w:hanging="0"/>
        <w:jc w:val="left"/>
        <w:rPr>
          <w:caps w:val="false"/>
          <w:smallCaps w:val="false"/>
        </w:rPr>
      </w:pPr>
      <w:r>
        <w:rPr>
          <w:caps w:val="false"/>
          <w:smallCaps w:val="false"/>
        </w:rPr>
        <w:t> </w:t>
      </w:r>
    </w:p>
    <w:tbl>
      <w:tblPr>
        <w:tblW w:w="4435" w:type="dxa"/>
        <w:jc w:val="left"/>
        <w:tblInd w:w="0" w:type="dxa"/>
        <w:tblLayout w:type="fixed"/>
        <w:tblCellMar>
          <w:top w:w="0" w:type="dxa"/>
          <w:left w:w="0" w:type="dxa"/>
          <w:bottom w:w="0" w:type="dxa"/>
          <w:right w:w="0" w:type="dxa"/>
        </w:tblCellMar>
      </w:tblPr>
      <w:tblGrid>
        <w:gridCol w:w="60"/>
        <w:gridCol w:w="170"/>
        <w:gridCol w:w="42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prices related to such prevailing market prices; or</w:t>
            </w:r>
          </w:p>
        </w:tc>
      </w:tr>
    </w:tbl>
    <w:p>
      <w:pPr>
        <w:pStyle w:val="TextBody"/>
        <w:bidi w:val="0"/>
        <w:spacing w:before="0" w:after="0"/>
        <w:ind w:left="0" w:right="0" w:hanging="0"/>
        <w:jc w:val="left"/>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60"/>
        <w:gridCol w:w="170"/>
        <w:gridCol w:w="16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6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negotiated prices.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use underwriters in the sale, the securities will be acquired by the underwriters for their own account and may be resold from time to time in one or more transactions, including:</w:t>
      </w:r>
    </w:p>
    <w:p>
      <w:pPr>
        <w:pStyle w:val="TextBody"/>
        <w:bidi w:val="0"/>
        <w:spacing w:before="0" w:after="0"/>
        <w:ind w:left="0" w:right="0" w:hanging="0"/>
        <w:jc w:val="left"/>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60"/>
        <w:gridCol w:w="170"/>
        <w:gridCol w:w="19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negotiated transactions;</w:t>
            </w:r>
          </w:p>
        </w:tc>
      </w:tr>
    </w:tbl>
    <w:p>
      <w:pPr>
        <w:pStyle w:val="TextBody"/>
        <w:bidi w:val="0"/>
        <w:spacing w:before="0" w:after="0"/>
        <w:ind w:left="0" w:right="0" w:hanging="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60"/>
        <w:gridCol w:w="170"/>
        <w:gridCol w:w="52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a fixed public offering price or prices, which may be changed;</w:t>
            </w:r>
          </w:p>
        </w:tc>
      </w:tr>
    </w:tbl>
    <w:p>
      <w:pPr>
        <w:pStyle w:val="TextBody"/>
        <w:bidi w:val="0"/>
        <w:spacing w:before="0" w:after="0"/>
        <w:ind w:left="0" w:right="0" w:hanging="0"/>
        <w:jc w:val="left"/>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60"/>
        <w:gridCol w:w="170"/>
        <w:gridCol w:w="3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market prices prevailing at the time of sale;</w:t>
            </w:r>
          </w:p>
        </w:tc>
      </w:tr>
    </w:tbl>
    <w:p>
      <w:pPr>
        <w:pStyle w:val="TextBody"/>
        <w:bidi w:val="0"/>
        <w:spacing w:before="0" w:after="0"/>
        <w:ind w:left="0" w:right="0" w:hanging="0"/>
        <w:jc w:val="left"/>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60"/>
        <w:gridCol w:w="170"/>
        <w:gridCol w:w="37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7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prices related to prevailing market prices; or</w:t>
            </w:r>
          </w:p>
        </w:tc>
      </w:tr>
    </w:tbl>
    <w:p>
      <w:pPr>
        <w:pStyle w:val="TextBody"/>
        <w:bidi w:val="0"/>
        <w:spacing w:before="0" w:after="0"/>
        <w:ind w:left="0" w:right="0" w:hanging="0"/>
        <w:jc w:val="left"/>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60"/>
        <w:gridCol w:w="170"/>
        <w:gridCol w:w="16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6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negotiated prices.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Each prospectus supplement will describe the method of distribution of the securities and any applicable restrictions.</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prospectus supplement with respect to the securities of a particular series will describe the terms of the offering of the securities, including the following:</w:t>
      </w:r>
    </w:p>
    <w:p>
      <w:pPr>
        <w:pStyle w:val="TextBody"/>
        <w:bidi w:val="0"/>
        <w:spacing w:before="0" w:after="0"/>
        <w:ind w:left="0" w:right="0" w:hanging="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60"/>
        <w:gridCol w:w="170"/>
        <w:gridCol w:w="34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4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name of the agent or any underwriters;</w:t>
            </w:r>
          </w:p>
        </w:tc>
      </w:tr>
    </w:tbl>
    <w:p>
      <w:pPr>
        <w:pStyle w:val="TextBody"/>
        <w:bidi w:val="0"/>
        <w:spacing w:before="0" w:after="0"/>
        <w:ind w:left="0" w:right="0" w:hanging="0"/>
        <w:jc w:val="left"/>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60"/>
        <w:gridCol w:w="170"/>
        <w:gridCol w:w="80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public offering or purchase price and the proceeds we will receive from the sale of the securities;</w:t>
            </w:r>
          </w:p>
        </w:tc>
      </w:tr>
    </w:tbl>
    <w:p>
      <w:pPr>
        <w:pStyle w:val="TextBody"/>
        <w:bidi w:val="0"/>
        <w:spacing w:before="0" w:after="0"/>
        <w:ind w:left="0" w:right="0" w:hanging="0"/>
        <w:jc w:val="left"/>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60"/>
        <w:gridCol w:w="170"/>
        <w:gridCol w:w="77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discounts and commissions to be allowed or re-allowed or paid to the agent or underwriters;</w:t>
            </w:r>
          </w:p>
        </w:tc>
      </w:tr>
    </w:tbl>
    <w:p>
      <w:pPr>
        <w:pStyle w:val="TextBody"/>
        <w:bidi w:val="0"/>
        <w:spacing w:before="0" w:after="0"/>
        <w:ind w:left="0" w:right="0" w:hanging="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60"/>
        <w:gridCol w:w="170"/>
        <w:gridCol w:w="45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5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other items constituting underwriting compensation;</w:t>
            </w:r>
          </w:p>
        </w:tc>
      </w:tr>
    </w:tbl>
    <w:p>
      <w:pPr>
        <w:pStyle w:val="TextBody"/>
        <w:bidi w:val="0"/>
        <w:spacing w:before="0" w:after="0"/>
        <w:ind w:left="0" w:right="0" w:hanging="0"/>
        <w:jc w:val="left"/>
        <w:rPr>
          <w:caps w:val="false"/>
          <w:smallCaps w:val="false"/>
        </w:rPr>
      </w:pPr>
      <w:r>
        <w:rPr>
          <w:caps w:val="false"/>
          <w:smallCaps w:val="false"/>
        </w:rPr>
        <w:t> </w:t>
      </w:r>
    </w:p>
    <w:tbl>
      <w:tblPr>
        <w:tblW w:w="6910" w:type="dxa"/>
        <w:jc w:val="left"/>
        <w:tblInd w:w="0" w:type="dxa"/>
        <w:tblLayout w:type="fixed"/>
        <w:tblCellMar>
          <w:top w:w="0" w:type="dxa"/>
          <w:left w:w="0" w:type="dxa"/>
          <w:bottom w:w="0" w:type="dxa"/>
          <w:right w:w="0" w:type="dxa"/>
        </w:tblCellMar>
      </w:tblPr>
      <w:tblGrid>
        <w:gridCol w:w="60"/>
        <w:gridCol w:w="170"/>
        <w:gridCol w:w="66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discounts and commissions to be allowed or re-allowed or paid to dealers; and</w:t>
            </w:r>
          </w:p>
        </w:tc>
      </w:tr>
    </w:tbl>
    <w:p>
      <w:pPr>
        <w:pStyle w:val="TextBody"/>
        <w:bidi w:val="0"/>
        <w:spacing w:before="0" w:after="0"/>
        <w:ind w:left="0" w:right="0" w:hanging="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60"/>
        <w:gridCol w:w="170"/>
        <w:gridCol w:w="42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exchanges on which the securities will be listed.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sell the securities through agents from time to time.</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sell the securities to other stockholders of the Company through a rights offering. This prospectus may be used in connection with any offering of our securities through any of these methods or other methods described in the applicable prospectus supplement.</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a dealer is utilized in the sale of the securities in respect of which this prospectus is delivered, we will sell such securities to the dealer, as principal. The dealer may then resell such securities to the public at varying prices to be determined by such dealer at the time of resale.</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offer securities in a subscription rights offering to our existing securityholders,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pStyle w:val="TextBody"/>
        <w:bidi w:val="0"/>
        <w:spacing w:before="0" w:after="0"/>
        <w:ind w:left="16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purchase by an institution of the securities covered under that contract shall not at the time of delivery be prohibited under the laws of the jurisdiction to which that institution is subject;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Under Rule 15c6-1 of the Exchange Act, trades in the secondary market generally are required to settle in two business days, unless the parties to any such trade expressly agree otherwise or the securities are sold by us to an underwriter in a firm commitment underwritten offering.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compliance with the guidelines of the Financial Industry Regulatory Authority, or FINRA, the aggregate maximum discount, commission or agency fees or other items constituting underwriting compensation to be received by any FINRA member or independent broker-dealer will not exceed 8% of the proceeds from any offering pursuant to this prospectus and any applicable prospectus supplement.</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09" w:name="LEGAL_MATTERS"/>
      <w:bookmarkStart w:id="110" w:name="LEGALMATTERS"/>
      <w:bookmarkEnd w:id="109"/>
      <w:bookmarkEnd w:id="110"/>
      <w:r>
        <w:rPr>
          <w:rFonts w:ascii="Times New Roman" w:hAnsi="Times New Roman"/>
          <w:b/>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Unless the applicable prospectus supplement indicates otherwise, the validity of the securities being offered by this prospectus will be passed upon by Baker &amp; Hostetler, LLP. Additional legal matters may be passed upon for us or any underwriters, dealers or agents by counsel that we will name in the applicable prospectus supplement.</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11" w:name="EXPERTS"/>
      <w:bookmarkEnd w:id="111"/>
      <w:r>
        <w:rPr>
          <w:rFonts w:ascii="Times New Roman" w:hAnsi="Times New Roman"/>
          <w:b/>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financial statements of Pulse Biosciences, Inc. as of December 31, 2025 and 2024, and for each of the two years in the period ended December 31, 2025, incorporated by reference in this prospectus by reference to Pulse Biosciences Inc.’s annual report on Form 10-K for the year ended December 31, 2025,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12" w:name="INCORPORATION_BY_REFERENCE"/>
      <w:bookmarkStart w:id="113" w:name="INCORPORATIONBYREFERENCE"/>
      <w:bookmarkEnd w:id="112"/>
      <w:bookmarkEnd w:id="113"/>
      <w:r>
        <w:rPr>
          <w:rFonts w:ascii="Times New Roman" w:hAnsi="Times New Roman"/>
          <w:b/>
          <w:caps w:val="false"/>
          <w:smallCaps w:val="false"/>
          <w:sz w:val="20"/>
        </w:rPr>
        <w:t>INCORPORATION OF CERTAIN INFORMATION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SEC allows us to “incorporate by reference” information into this prospectus. This means that we can disclose important information about us and our financial condition to you by referring you to other documents filed separately with the SEC. The information incorporated by reference is considered to be a part of this prospectus, except any information that is superseded by information that is included in a document subsequently filed with the SEC.</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This prospectus incorporates by reference the documents listed below that we have previously filed with the SEC and any future filings we make with the SEC under Sections 13(a), 13(c), 14 or 15(d) of the Securities Exchange Act of 1934, as amended (the “Exchange Act”), from the date of this prospectus until the termination of an offering of securities, except that we are not incorporating by reference any information furnished (and not filed) with the SEC, including any information furnished pursuant to Items 2.02 or 7.01 of Form 8-K or related exhibits furnished pursuant to Item 9.01 of Form 8-K:</w:t>
      </w:r>
    </w:p>
    <w:p>
      <w:pPr>
        <w:pStyle w:val="TextBody"/>
        <w:bidi w:val="0"/>
        <w:spacing w:before="0" w:after="0"/>
        <w:ind w:left="160" w:right="0" w:firstLine="720"/>
        <w:jc w:val="both"/>
        <w:rPr>
          <w:caps w:val="false"/>
          <w:smallCaps w:val="false"/>
        </w:rPr>
      </w:pPr>
      <w:r>
        <w:rPr>
          <w:caps w:val="false"/>
          <w:smallCaps w:val="false"/>
        </w:rPr>
        <w:t> </w:t>
      </w:r>
    </w:p>
    <w:tbl>
      <w:tblPr>
        <w:tblW w:w="9085" w:type="dxa"/>
        <w:jc w:val="left"/>
        <w:tblInd w:w="0" w:type="dxa"/>
        <w:tblLayout w:type="fixed"/>
        <w:tblCellMar>
          <w:top w:w="0" w:type="dxa"/>
          <w:left w:w="0" w:type="dxa"/>
          <w:bottom w:w="0" w:type="dxa"/>
          <w:right w:w="0" w:type="dxa"/>
        </w:tblCellMar>
      </w:tblPr>
      <w:tblGrid>
        <w:gridCol w:w="60"/>
        <w:gridCol w:w="170"/>
        <w:gridCol w:w="88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85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Our Annual Report on Form 10-K for the fiscal year ended </w:t>
            </w:r>
            <w:hyperlink r:id="rId23">
              <w:r>
                <w:rPr>
                  <w:rStyle w:val="InternetLink"/>
                  <w:rFonts w:ascii="Times New Roman" w:hAnsi="Times New Roman"/>
                  <w:caps w:val="false"/>
                  <w:smallCaps w:val="false"/>
                  <w:sz w:val="20"/>
                </w:rPr>
                <w:t>December 31, 2025</w:t>
              </w:r>
            </w:hyperlink>
            <w:r>
              <w:rPr>
                <w:rFonts w:ascii="Times New Roman" w:hAnsi="Times New Roman"/>
                <w:caps w:val="false"/>
                <w:smallCaps w:val="false"/>
                <w:sz w:val="20"/>
              </w:rPr>
              <w:t>, as filed on February 19, 2026;</w:t>
            </w:r>
          </w:p>
        </w:tc>
      </w:tr>
    </w:tbl>
    <w:p>
      <w:pPr>
        <w:pStyle w:val="TextBody"/>
        <w:bidi w:val="0"/>
        <w:spacing w:before="0" w:after="0"/>
        <w:ind w:left="0" w:right="0" w:hanging="0"/>
        <w:jc w:val="left"/>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60"/>
        <w:gridCol w:w="170"/>
        <w:gridCol w:w="65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60"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Our Current Reports on Form 8-K filed on </w:t>
            </w:r>
            <w:hyperlink r:id="rId24">
              <w:r>
                <w:rPr>
                  <w:rStyle w:val="InternetLink"/>
                  <w:rFonts w:ascii="Times New Roman" w:hAnsi="Times New Roman"/>
                  <w:caps w:val="false"/>
                  <w:smallCaps w:val="false"/>
                  <w:sz w:val="20"/>
                </w:rPr>
                <w:t>January 9, 2026</w:t>
              </w:r>
            </w:hyperlink>
            <w:r>
              <w:rPr>
                <w:rFonts w:ascii="Times New Roman" w:hAnsi="Times New Roman"/>
                <w:caps w:val="false"/>
                <w:smallCaps w:val="false"/>
                <w:sz w:val="20"/>
              </w:rPr>
              <w:t xml:space="preserve"> and </w:t>
            </w:r>
            <w:hyperlink r:id="rId25">
              <w:r>
                <w:rPr>
                  <w:rStyle w:val="InternetLink"/>
                  <w:rFonts w:ascii="Times New Roman" w:hAnsi="Times New Roman"/>
                  <w:caps w:val="false"/>
                  <w:smallCaps w:val="false"/>
                  <w:sz w:val="20"/>
                </w:rPr>
                <w:t>February 6, 2026</w:t>
              </w:r>
            </w:hyperlink>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The description of our common stock contained in the </w:t>
            </w:r>
            <w:hyperlink r:id="rId26">
              <w:r>
                <w:rPr>
                  <w:rStyle w:val="InternetLink"/>
                  <w:rFonts w:ascii="Times New Roman" w:hAnsi="Times New Roman"/>
                  <w:caps w:val="false"/>
                  <w:smallCaps w:val="false"/>
                  <w:sz w:val="20"/>
                </w:rPr>
                <w:t>Registration Statement on Form 8-A relating thereto, filed on April 15, 2016</w:t>
              </w:r>
            </w:hyperlink>
            <w:r>
              <w:rPr>
                <w:rFonts w:ascii="Times New Roman" w:hAnsi="Times New Roman"/>
                <w:caps w:val="false"/>
                <w:smallCaps w:val="false"/>
                <w:sz w:val="20"/>
              </w:rPr>
              <w:t>, including any amendment or report filed for the purpose of updating such description.</w:t>
            </w:r>
          </w:p>
        </w:tc>
      </w:tr>
    </w:tbl>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Any statement contained in a document all or a portion of which is incorporated or deemed to be incorporated by reference herein will be deemed to be modified or superseded to the extent that a statement contained herein or in any other subsequently filed document which also is or is deemed to be incorporated by reference herein modifies or supersedes such statement. Any statement so modified will not be deemed to constitute a part hereof, except as so modified, and any statement so superseded will not be deemed to constitute a part hereof.</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 copy of any document incorporated by reference in this prospectus may be obtained at no cost by writing or telephoning us at the following address and telephone number:</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Pulse Biosciences, Inc.</w:t>
      </w:r>
    </w:p>
    <w:p>
      <w:pPr>
        <w:pStyle w:val="TextBody"/>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601 Brickell Key Drive, Suite 1080</w:t>
      </w:r>
    </w:p>
    <w:p>
      <w:pPr>
        <w:pStyle w:val="TextBody"/>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Miami, FL 33131</w:t>
        <w:br/>
        <w:t>Attn: Investor Relations</w:t>
        <w:br/>
        <w:t>510-906-4600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maintain a website at www.pulsebiosciences.com. Information about us, including our reports filed with the SEC, is available through that site. Such reports are accessible at no charge through our website and are made available as soon as reasonably practicable after such material is filed with or furnished to the SEC. Our website and the information contained on that website, or connected to that website, are not incorporated by reference in this prospectus.</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You may read and copy any materials we file with the SEC at the SEC’s website mentioned under the heading “</w:t>
      </w:r>
      <w:r>
        <w:rPr>
          <w:rFonts w:ascii="Times New Roman" w:hAnsi="Times New Roman"/>
          <w:i/>
          <w:caps w:val="false"/>
          <w:smallCaps w:val="false"/>
          <w:sz w:val="20"/>
        </w:rPr>
        <w:t>Where You Can Find More Information</w:t>
      </w:r>
      <w:r>
        <w:rPr>
          <w:rFonts w:ascii="Times New Roman" w:hAnsi="Times New Roman"/>
          <w:caps w:val="false"/>
          <w:smallCaps w:val="false"/>
          <w:sz w:val="20"/>
        </w:rPr>
        <w:t>.” The information on the SEC’s website is not incorporated by reference in this prospectus.</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14" w:name="WHERE_YOU_CAN_FIND_MORE_INFORMATION"/>
      <w:bookmarkStart w:id="115" w:name="WHERE_YOU_CAN_FIND_MORE_INFORMATION"/>
      <w:bookmarkEnd w:id="114"/>
      <w:bookmarkEnd w:id="115"/>
      <w:r>
        <w:rPr>
          <w:rFonts w:ascii="Times New Roman" w:hAnsi="Times New Roman"/>
          <w:b/>
          <w:caps w:val="false"/>
          <w:smallCaps w:val="false"/>
          <w:sz w:val="20"/>
        </w:rPr>
        <w:t>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 pulsebiosciences.com. The information contained in, or accessible through, our website, however, should not be considered a part of this prospectus.</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This prospectus is part of a registration statement we filed with the SEC. This prospectus does not contain all of the information included in the registration statement and the amendments, exhibits and schedules thereto, in accordance with SEC rules and regulations. You should review the information and exhibits in the registration statement for further information on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 at the address listed above or from the SEC’s website.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p>
    <w:p>
      <w:pPr>
        <w:pStyle w:val="TextBody"/>
        <w:bidi w:val="0"/>
        <w:spacing w:before="0" w:after="283"/>
        <w:jc w:val="left"/>
        <w:rPr/>
      </w:pPr>
      <w:r>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4"/>
        </w:rPr>
      </w:pPr>
      <w:r>
        <w:rPr>
          <w:rFonts w:ascii="Times New Roman" w:hAnsi="Times New Roman"/>
          <w:b/>
          <w:caps w:val="false"/>
          <w:smallCaps w:val="false"/>
          <w:sz w:val="24"/>
        </w:rPr>
        <w:t>$85,000,000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1562100" cy="1495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7"/>
                    <a:stretch>
                      <a:fillRect/>
                    </a:stretch>
                  </pic:blipFill>
                  <pic:spPr bwMode="auto">
                    <a:xfrm>
                      <a:off x="0" y="0"/>
                      <a:ext cx="1562100" cy="14954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48"/>
        </w:rPr>
      </w:pPr>
      <w:r>
        <w:rPr>
          <w:rFonts w:ascii="Times New Roman" w:hAnsi="Times New Roman"/>
          <w:b/>
          <w:caps w:val="false"/>
          <w:smallCaps w:val="false"/>
          <w:sz w:val="48"/>
        </w:rPr>
        <w:t>Pulse Biosciences,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4"/>
        </w:rPr>
      </w:pPr>
      <w:r>
        <w:rPr>
          <w:rFonts w:ascii="Times New Roman" w:hAnsi="Times New Roman"/>
          <w:b/>
          <w:caps w:val="false"/>
          <w:smallCaps w:val="false"/>
          <w:sz w:val="24"/>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675" w:type="dxa"/>
        <w:jc w:val="left"/>
        <w:tblInd w:w="0" w:type="dxa"/>
        <w:tblLayout w:type="fixed"/>
        <w:tblCellMar>
          <w:top w:w="28" w:type="dxa"/>
          <w:left w:w="0" w:type="dxa"/>
          <w:bottom w:w="28" w:type="dxa"/>
          <w:right w:w="0" w:type="dxa"/>
        </w:tblCellMar>
      </w:tblPr>
      <w:tblGrid>
        <w:gridCol w:w="2675"/>
      </w:tblGrid>
      <w:tr>
        <w:trPr/>
        <w:tc>
          <w:tcPr>
            <w:tcW w:w="2675" w:type="dxa"/>
            <w:tcBorders>
              <w:top w:val="single" w:sz="2" w:space="0" w:color="000000"/>
              <w:bottom w:val="single" w:sz="2"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PROSPECTUS SUPPLEMENT</w:t>
            </w:r>
          </w:p>
          <w:p>
            <w:pPr>
              <w:pStyle w:val="TableContents"/>
              <w:bidi w:val="0"/>
              <w:spacing w:before="0" w:after="0"/>
              <w:ind w:left="0" w:right="0" w:hanging="0"/>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36"/>
        </w:rPr>
      </w:pPr>
      <w:r>
        <w:rPr>
          <w:rFonts w:ascii="Times New Roman" w:hAnsi="Times New Roman"/>
          <w:b/>
          <w:caps w:val="false"/>
          <w:smallCaps w:val="false"/>
          <w:sz w:val="36"/>
        </w:rPr>
        <w:t>Mizuho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ix?doc=/Archives/edgar/data/0001625101/000143774926004724/plse20251231_10k.htm" TargetMode="External"/><Relationship Id="rId4" Type="http://schemas.openxmlformats.org/officeDocument/2006/relationships/hyperlink" Target="http://www.sec.gov/ix?doc=/Archives/edgar/data/0001625101/000143774926014203/plse20260427_10ka.htm" TargetMode="External"/><Relationship Id="rId5" Type="http://schemas.openxmlformats.org/officeDocument/2006/relationships/hyperlink" Target="http://www.sec.gov/ix?doc=/Archives/edgar/data/0001625101/000143774926016897/plse20260331_10q.htm" TargetMode="External"/><Relationship Id="rId6" Type="http://schemas.openxmlformats.org/officeDocument/2006/relationships/hyperlink" Target="http://www.sec.gov/ix?doc=/Archives/edgar/data/0001625101/000143774926026288/plse20260630_10q.htm" TargetMode="External"/><Relationship Id="rId7" Type="http://schemas.openxmlformats.org/officeDocument/2006/relationships/hyperlink" Target="http://www.sec.gov/ix?doc=/Archives/edgar/data/0001625101/000143774926003256/plse20260204_8k.htm" TargetMode="External"/><Relationship Id="rId8" Type="http://schemas.openxmlformats.org/officeDocument/2006/relationships/hyperlink" Target="http://www.sec.gov/ix?doc=/Archives/edgar/data/0001625101/000143774926004739/plse20251122_8k.htm" TargetMode="External"/><Relationship Id="rId9" Type="http://schemas.openxmlformats.org/officeDocument/2006/relationships/hyperlink" Target="http://www.sec.gov/ix?doc=/Archives/edgar/data/0001625101/000143774926006141/plse20260226_8k.htm" TargetMode="External"/><Relationship Id="rId10" Type="http://schemas.openxmlformats.org/officeDocument/2006/relationships/hyperlink" Target="http://www.sec.gov/ix?doc=/Archives/edgar/data/0001625101/000143774926006269/plse20260228d_8ka.htm" TargetMode="External"/><Relationship Id="rId11" Type="http://schemas.openxmlformats.org/officeDocument/2006/relationships/hyperlink" Target="http://www.sec.gov/ix?doc=/Archives/edgar/data/0001625101/000143774926007283/plse20260306_8k.htm" TargetMode="External"/><Relationship Id="rId12" Type="http://schemas.openxmlformats.org/officeDocument/2006/relationships/hyperlink" Target="http://www.sec.gov/ix?doc=/Archives/edgar/data/0001625101/000143774926007839/plse20260309_8k.htm" TargetMode="External"/><Relationship Id="rId13" Type="http://schemas.openxmlformats.org/officeDocument/2006/relationships/hyperlink" Target="http://www.sec.gov/ix?doc=/Archives/edgar/data/0001625101/000143774926008511/plse20260316c_8k.htm" TargetMode="External"/><Relationship Id="rId14" Type="http://schemas.openxmlformats.org/officeDocument/2006/relationships/hyperlink" Target="http://www.sec.gov/ix?doc=/Archives/edgar/data/0001625101/000143774926011546/plse20260406_8k.htm" TargetMode="External"/><Relationship Id="rId15" Type="http://schemas.openxmlformats.org/officeDocument/2006/relationships/hyperlink" Target="http://www.sec.gov/ix?doc=/Archives/edgar/data/0001625101/000143774926011831/plse20260316_8k.htm" TargetMode="External"/><Relationship Id="rId16" Type="http://schemas.openxmlformats.org/officeDocument/2006/relationships/hyperlink" Target="http://www.sec.gov/ix?doc=/Archives/edgar/data/0001625101/000143774926014547/plse20260312_8k.htm" TargetMode="External"/><Relationship Id="rId17" Type="http://schemas.openxmlformats.org/officeDocument/2006/relationships/hyperlink" Target="http://www.sec.gov/ix?doc=/Archives/edgar/data/0001625101/000143774926015039/plse20260505_8k.htm" TargetMode="External"/><Relationship Id="rId18" Type="http://schemas.openxmlformats.org/officeDocument/2006/relationships/hyperlink" Target="http://www.sec.gov/ix?doc=/Archives/edgar/data/0001625101/000143774926020085/plse20260607_8k.htm" TargetMode="External"/><Relationship Id="rId19" Type="http://schemas.openxmlformats.org/officeDocument/2006/relationships/hyperlink" Target="http://www.sec.gov/ix?doc=/Archives/edgar/data/0001625101/000143774926020464/plse20260607c_8k.htm" TargetMode="External"/><Relationship Id="rId20" Type="http://schemas.openxmlformats.org/officeDocument/2006/relationships/hyperlink" Target="http://www.sec.gov/ix?doc=/Archives/edgar/data/0001625101/000143774926024758/plse20260728_8k.htm" TargetMode="External"/><Relationship Id="rId21" Type="http://schemas.openxmlformats.org/officeDocument/2006/relationships/hyperlink" Target="http://www.sec.gov/ix?doc=/Archives/edgar/data/0001625101/000143774926026351/plse20260806_8k.htm" TargetMode="External"/><Relationship Id="rId22" Type="http://schemas.openxmlformats.org/officeDocument/2006/relationships/hyperlink" Target="http://www.sec.gov/Archives/edgar/data/1625101/000119312516542755/d190495d8a12b.htm" TargetMode="External"/><Relationship Id="rId23" Type="http://schemas.openxmlformats.org/officeDocument/2006/relationships/hyperlink" Target="http://www.sec.gov/ix?doc=/Archives/edgar/data/1625101/000143774926004724/plse20251231_10k.htm" TargetMode="External"/><Relationship Id="rId24" Type="http://schemas.openxmlformats.org/officeDocument/2006/relationships/hyperlink" Target="http://www.sec.gov/ix?doc=/Archives/edgar/data/1625101/000143774926000938/plse20260106_8k.htm" TargetMode="External"/><Relationship Id="rId25" Type="http://schemas.openxmlformats.org/officeDocument/2006/relationships/hyperlink" Target="http://www.sec.gov/ix?doc=/Archives/edgar/data/1625101/000143774926003256/plse20260204_8k.htm" TargetMode="External"/><Relationship Id="rId26" Type="http://schemas.openxmlformats.org/officeDocument/2006/relationships/hyperlink" Target="http://www.sec.gov/Archives/edgar/data/1625101/000119312516542755/d190495d8a12b.htm" TargetMode="External"/><Relationship Id="rId27" Type="http://schemas.openxmlformats.org/officeDocument/2006/relationships/image" Target="media/image1.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50</Pages>
  <Words>24749</Words>
  <Characters>129776</Characters>
  <CharactersWithSpaces>154449</CharactersWithSpaces>
  <Paragraphs>1713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