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774700</wp:posOffset>
            </wp:positionH>
            <wp:positionV relativeFrom="page">
              <wp:posOffset>328930</wp:posOffset>
            </wp:positionV>
            <wp:extent cx="60115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26035"/>
                    </a:xfrm>
                    <a:prstGeom prst="rect">
                      <a:avLst/>
                    </a:prstGeom>
                    <a:noFill/>
                  </pic:spPr>
                </pic:pic>
              </a:graphicData>
            </a:graphic>
          </wp:anchor>
        </w:drawing>
        <w:t>UNITED STATES</w:t>
      </w:r>
    </w:p>
    <w:p>
      <w:pPr>
        <w:jc w:val="center"/>
        <w:ind w:right="-19"/>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00" w:lineRule="auto"/>
        <w:rPr>
          <w:sz w:val="20"/>
          <w:szCs w:val="20"/>
          <w:color w:val="auto"/>
        </w:rPr>
      </w:pPr>
      <w:r>
        <w:rPr>
          <w:rFonts w:ascii="Arial" w:cs="Arial" w:eastAsia="Arial" w:hAnsi="Arial"/>
          <w:sz w:val="20"/>
          <w:szCs w:val="20"/>
          <w:b w:val="1"/>
          <w:bCs w:val="1"/>
          <w:color w:val="auto"/>
        </w:rPr>
        <w:t>Washington, D.C. 20549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rPr>
          <w:sz w:val="20"/>
          <w:szCs w:val="20"/>
          <w:color w:val="auto"/>
        </w:rPr>
      </w:pPr>
      <w:r>
        <w:rPr>
          <w:rFonts w:ascii="Arial" w:cs="Arial" w:eastAsia="Arial" w:hAnsi="Arial"/>
          <w:sz w:val="29"/>
          <w:szCs w:val="29"/>
          <w:b w:val="1"/>
          <w:bCs w:val="1"/>
          <w:color w:val="auto"/>
        </w:rPr>
        <w:t>Form 10-Q</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ind w:left="440" w:right="200" w:hanging="440"/>
        <w:spacing w:after="0" w:line="224" w:lineRule="auto"/>
        <w:tabs>
          <w:tab w:leader="none" w:pos="44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right="180" w:hanging="440"/>
        <w:spacing w:after="0" w:line="224" w:lineRule="auto"/>
        <w:tabs>
          <w:tab w:leader="none" w:pos="44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74" w:lineRule="exact"/>
        <w:rPr>
          <w:sz w:val="24"/>
          <w:szCs w:val="24"/>
          <w:color w:val="auto"/>
        </w:rPr>
      </w:pPr>
    </w:p>
    <w:p>
      <w:pPr>
        <w:ind w:left="3200"/>
        <w:spacing w:after="0"/>
        <w:tabs>
          <w:tab w:leader="none" w:pos="6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001-34899</w:t>
      </w:r>
    </w:p>
    <w:p>
      <w:pPr>
        <w:ind w:left="3160"/>
        <w:spacing w:after="0"/>
        <w:rPr>
          <w:sz w:val="20"/>
          <w:szCs w:val="20"/>
          <w:color w:val="auto"/>
        </w:rPr>
      </w:pPr>
      <w:r>
        <w:rPr>
          <w:rFonts w:ascii="Arial" w:cs="Arial" w:eastAsia="Arial" w:hAnsi="Arial"/>
          <w:sz w:val="18"/>
          <w:szCs w:val="18"/>
          <w:b w:val="1"/>
          <w:bCs w:val="1"/>
          <w:color w:val="auto"/>
        </w:rPr>
        <w:t>___________________________________</w:t>
      </w:r>
    </w:p>
    <w:p>
      <w:pPr>
        <w:jc w:val="center"/>
        <w:ind w:right="-19"/>
        <w:spacing w:after="0" w:line="225" w:lineRule="auto"/>
        <w:rPr>
          <w:sz w:val="20"/>
          <w:szCs w:val="20"/>
          <w:color w:val="auto"/>
        </w:rPr>
      </w:pPr>
      <w:r>
        <w:rPr>
          <w:rFonts w:ascii="Arial" w:cs="Arial" w:eastAsia="Arial" w:hAnsi="Arial"/>
          <w:sz w:val="40"/>
          <w:szCs w:val="40"/>
          <w:b w:val="1"/>
          <w:bCs w:val="1"/>
          <w:color w:val="auto"/>
        </w:rPr>
        <w:t>Pulse Biosciences,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34" w:lineRule="exact"/>
        <w:rPr>
          <w:sz w:val="24"/>
          <w:szCs w:val="24"/>
          <w:color w:val="auto"/>
        </w:rPr>
      </w:pPr>
    </w:p>
    <w:tbl>
      <w:tblPr>
        <w:tblLayout w:type="fixed"/>
        <w:tblInd w:w="920" w:type="dxa"/>
        <w:tblCellMar>
          <w:top w:w="0" w:type="dxa"/>
          <w:left w:w="0" w:type="dxa"/>
          <w:bottom w:w="0" w:type="dxa"/>
          <w:right w:w="0" w:type="dxa"/>
        </w:tblCellMar>
      </w:tblPr>
      <w:tr>
        <w:trPr>
          <w:trHeight w:val="184"/>
        </w:trPr>
        <w:tc>
          <w:tcPr>
            <w:tcW w:w="5240" w:type="dxa"/>
            <w:vAlign w:val="bottom"/>
          </w:tcPr>
          <w:p>
            <w:pPr>
              <w:jc w:val="center"/>
              <w:ind w:right="2459"/>
              <w:spacing w:after="0"/>
              <w:rPr>
                <w:sz w:val="20"/>
                <w:szCs w:val="20"/>
                <w:color w:val="auto"/>
              </w:rPr>
            </w:pPr>
            <w:r>
              <w:rPr>
                <w:rFonts w:ascii="Arial" w:cs="Arial" w:eastAsia="Arial" w:hAnsi="Arial"/>
                <w:sz w:val="16"/>
                <w:szCs w:val="16"/>
                <w:b w:val="1"/>
                <w:bCs w:val="1"/>
                <w:color w:val="auto"/>
                <w:w w:val="93"/>
              </w:rPr>
              <w:t>Delaware</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46-5696597</w:t>
            </w:r>
          </w:p>
        </w:tc>
        <w:tc>
          <w:tcPr>
            <w:tcW w:w="0" w:type="dxa"/>
            <w:vAlign w:val="bottom"/>
          </w:tcPr>
          <w:p>
            <w:pPr>
              <w:spacing w:after="0"/>
              <w:rPr>
                <w:sz w:val="1"/>
                <w:szCs w:val="1"/>
                <w:color w:val="auto"/>
              </w:rPr>
            </w:pPr>
          </w:p>
        </w:tc>
      </w:tr>
      <w:tr>
        <w:trPr>
          <w:trHeight w:val="162"/>
        </w:trPr>
        <w:tc>
          <w:tcPr>
            <w:tcW w:w="5240" w:type="dxa"/>
            <w:vAlign w:val="bottom"/>
          </w:tcPr>
          <w:p>
            <w:pPr>
              <w:jc w:val="center"/>
              <w:ind w:right="2459"/>
              <w:spacing w:after="0" w:line="162" w:lineRule="exact"/>
              <w:rPr>
                <w:sz w:val="20"/>
                <w:szCs w:val="20"/>
                <w:color w:val="auto"/>
              </w:rPr>
            </w:pPr>
            <w:r>
              <w:rPr>
                <w:rFonts w:ascii="Arial" w:cs="Arial" w:eastAsia="Arial" w:hAnsi="Arial"/>
                <w:sz w:val="16"/>
                <w:szCs w:val="16"/>
                <w:b w:val="1"/>
                <w:bCs w:val="1"/>
                <w:color w:val="auto"/>
                <w:w w:val="91"/>
              </w:rPr>
              <w:t>(State or other jurisdiction of</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6"/>
              </w:rPr>
              <w:t>(I.R.S. Employer</w:t>
            </w:r>
          </w:p>
        </w:tc>
        <w:tc>
          <w:tcPr>
            <w:tcW w:w="0" w:type="dxa"/>
            <w:vAlign w:val="bottom"/>
          </w:tcPr>
          <w:p>
            <w:pPr>
              <w:spacing w:after="0"/>
              <w:rPr>
                <w:sz w:val="1"/>
                <w:szCs w:val="1"/>
                <w:color w:val="auto"/>
              </w:rPr>
            </w:pPr>
          </w:p>
        </w:tc>
      </w:tr>
      <w:tr>
        <w:trPr>
          <w:trHeight w:val="210"/>
        </w:trPr>
        <w:tc>
          <w:tcPr>
            <w:tcW w:w="5240" w:type="dxa"/>
            <w:vAlign w:val="bottom"/>
          </w:tcPr>
          <w:p>
            <w:pPr>
              <w:jc w:val="center"/>
              <w:ind w:right="2459"/>
              <w:spacing w:after="0"/>
              <w:rPr>
                <w:sz w:val="20"/>
                <w:szCs w:val="20"/>
                <w:color w:val="auto"/>
              </w:rPr>
            </w:pPr>
            <w:r>
              <w:rPr>
                <w:rFonts w:ascii="Arial" w:cs="Arial" w:eastAsia="Arial" w:hAnsi="Arial"/>
                <w:sz w:val="16"/>
                <w:szCs w:val="16"/>
                <w:b w:val="1"/>
                <w:bCs w:val="1"/>
                <w:color w:val="auto"/>
                <w:w w:val="91"/>
              </w:rPr>
              <w:t>incorporation or organization)</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3"/>
              </w:rPr>
              <w:t>Identification No.)</w:t>
            </w:r>
          </w:p>
        </w:tc>
        <w:tc>
          <w:tcPr>
            <w:tcW w:w="0" w:type="dxa"/>
            <w:vAlign w:val="bottom"/>
          </w:tcPr>
          <w:p>
            <w:pPr>
              <w:spacing w:after="0"/>
              <w:rPr>
                <w:sz w:val="1"/>
                <w:szCs w:val="1"/>
                <w:color w:val="auto"/>
              </w:rPr>
            </w:pPr>
          </w:p>
        </w:tc>
      </w:tr>
      <w:tr>
        <w:trPr>
          <w:trHeight w:val="289"/>
        </w:trPr>
        <w:tc>
          <w:tcPr>
            <w:tcW w:w="5240" w:type="dxa"/>
            <w:vAlign w:val="bottom"/>
          </w:tcPr>
          <w:p>
            <w:pPr>
              <w:jc w:val="center"/>
              <w:ind w:right="2459"/>
              <w:spacing w:after="0"/>
              <w:rPr>
                <w:sz w:val="20"/>
                <w:szCs w:val="20"/>
                <w:color w:val="auto"/>
              </w:rPr>
            </w:pPr>
            <w:r>
              <w:rPr>
                <w:rFonts w:ascii="Arial" w:cs="Arial" w:eastAsia="Arial" w:hAnsi="Arial"/>
                <w:sz w:val="16"/>
                <w:szCs w:val="16"/>
                <w:b w:val="1"/>
                <w:bCs w:val="1"/>
                <w:color w:val="auto"/>
                <w:w w:val="93"/>
              </w:rPr>
              <w:t>3957 Point Eden Way</w:t>
            </w:r>
          </w:p>
        </w:tc>
        <w:tc>
          <w:tcPr>
            <w:tcW w:w="12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94545</w:t>
            </w:r>
          </w:p>
        </w:tc>
        <w:tc>
          <w:tcPr>
            <w:tcW w:w="0" w:type="dxa"/>
            <w:vAlign w:val="bottom"/>
          </w:tcPr>
          <w:p>
            <w:pPr>
              <w:spacing w:after="0"/>
              <w:rPr>
                <w:sz w:val="1"/>
                <w:szCs w:val="1"/>
                <w:color w:val="auto"/>
              </w:rPr>
            </w:pPr>
          </w:p>
        </w:tc>
      </w:tr>
      <w:tr>
        <w:trPr>
          <w:trHeight w:val="162"/>
        </w:trPr>
        <w:tc>
          <w:tcPr>
            <w:tcW w:w="5240" w:type="dxa"/>
            <w:vAlign w:val="bottom"/>
          </w:tcPr>
          <w:p>
            <w:pPr>
              <w:jc w:val="center"/>
              <w:ind w:right="2459"/>
              <w:spacing w:after="0" w:line="162" w:lineRule="exact"/>
              <w:rPr>
                <w:sz w:val="20"/>
                <w:szCs w:val="20"/>
                <w:color w:val="auto"/>
              </w:rPr>
            </w:pPr>
            <w:r>
              <w:rPr>
                <w:rFonts w:ascii="Arial" w:cs="Arial" w:eastAsia="Arial" w:hAnsi="Arial"/>
                <w:sz w:val="16"/>
                <w:szCs w:val="16"/>
                <w:b w:val="1"/>
                <w:bCs w:val="1"/>
                <w:color w:val="auto"/>
                <w:w w:val="99"/>
              </w:rPr>
              <w:t>Hayward, CA</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40" w:type="dxa"/>
            <w:vAlign w:val="bottom"/>
          </w:tcPr>
          <w:p>
            <w:pPr>
              <w:jc w:val="center"/>
              <w:ind w:right="2479"/>
              <w:spacing w:after="0" w:line="162" w:lineRule="exact"/>
              <w:rPr>
                <w:sz w:val="20"/>
                <w:szCs w:val="20"/>
                <w:color w:val="auto"/>
              </w:rPr>
            </w:pPr>
            <w:r>
              <w:rPr>
                <w:rFonts w:ascii="Arial" w:cs="Arial" w:eastAsia="Arial" w:hAnsi="Arial"/>
                <w:sz w:val="16"/>
                <w:szCs w:val="16"/>
                <w:b w:val="1"/>
                <w:bCs w:val="1"/>
                <w:color w:val="auto"/>
                <w:w w:val="89"/>
              </w:rPr>
              <w:t>(Address of principal executive offices)</w:t>
            </w:r>
          </w:p>
        </w:tc>
        <w:tc>
          <w:tcPr>
            <w:tcW w:w="12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(Zip Code)</w:t>
            </w:r>
          </w:p>
        </w:tc>
        <w:tc>
          <w:tcPr>
            <w:tcW w:w="0" w:type="dxa"/>
            <w:vAlign w:val="bottom"/>
          </w:tcPr>
          <w:p>
            <w:pPr>
              <w:spacing w:after="0"/>
              <w:rPr>
                <w:sz w:val="1"/>
                <w:szCs w:val="1"/>
                <w:color w:val="auto"/>
              </w:rPr>
            </w:pPr>
          </w:p>
        </w:tc>
      </w:tr>
      <w:tr>
        <w:trPr>
          <w:trHeight w:val="162"/>
        </w:trPr>
        <w:tc>
          <w:tcPr>
            <w:tcW w:w="5240" w:type="dxa"/>
            <w:vAlign w:val="bottom"/>
          </w:tcPr>
          <w:p>
            <w:pPr>
              <w:jc w:val="right"/>
              <w:ind w:right="839"/>
              <w:spacing w:after="0" w:line="162" w:lineRule="exact"/>
              <w:rPr>
                <w:sz w:val="20"/>
                <w:szCs w:val="20"/>
                <w:color w:val="auto"/>
              </w:rPr>
            </w:pPr>
            <w:r>
              <w:rPr>
                <w:rFonts w:ascii="Arial" w:cs="Arial" w:eastAsia="Arial" w:hAnsi="Arial"/>
                <w:sz w:val="16"/>
                <w:szCs w:val="16"/>
                <w:b w:val="1"/>
                <w:bCs w:val="1"/>
                <w:color w:val="auto"/>
              </w:rPr>
              <w:t>(510) 906-4600</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gridSpan w:val="2"/>
          </w:tcPr>
          <w:p>
            <w:pPr>
              <w:ind w:left="1980"/>
              <w:spacing w:after="0" w:line="162" w:lineRule="exact"/>
              <w:rPr>
                <w:sz w:val="20"/>
                <w:szCs w:val="20"/>
                <w:color w:val="auto"/>
              </w:rPr>
            </w:pPr>
            <w:r>
              <w:rPr>
                <w:rFonts w:ascii="Arial" w:cs="Arial" w:eastAsia="Arial" w:hAnsi="Arial"/>
                <w:sz w:val="16"/>
                <w:szCs w:val="16"/>
                <w:b w:val="1"/>
                <w:bCs w:val="1"/>
                <w:color w:val="auto"/>
              </w:rPr>
              <w:t>(Registrant’s telephone number, including area code)</w:t>
            </w:r>
          </w:p>
        </w:tc>
        <w:tc>
          <w:tcPr>
            <w:tcW w:w="0" w:type="dxa"/>
            <w:vAlign w:val="bottom"/>
          </w:tcPr>
          <w:p>
            <w:pPr>
              <w:spacing w:after="0"/>
              <w:rPr>
                <w:sz w:val="1"/>
                <w:szCs w:val="1"/>
                <w:color w:val="auto"/>
              </w:rPr>
            </w:pPr>
          </w:p>
        </w:tc>
      </w:tr>
      <w:tr>
        <w:trPr>
          <w:trHeight w:val="210"/>
        </w:trPr>
        <w:tc>
          <w:tcPr>
            <w:tcW w:w="5240" w:type="dxa"/>
            <w:vAlign w:val="bottom"/>
          </w:tcPr>
          <w:p>
            <w:pPr>
              <w:jc w:val="right"/>
              <w:spacing w:after="0"/>
              <w:rPr>
                <w:sz w:val="20"/>
                <w:szCs w:val="20"/>
                <w:color w:val="auto"/>
              </w:rPr>
            </w:pPr>
            <w:r>
              <w:rPr>
                <w:rFonts w:ascii="Arial" w:cs="Arial" w:eastAsia="Arial" w:hAnsi="Arial"/>
                <w:sz w:val="16"/>
                <w:szCs w:val="16"/>
                <w:b w:val="1"/>
                <w:bCs w:val="1"/>
                <w:color w:val="auto"/>
              </w:rPr>
              <w:t>___________________________________</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jc w:val="both"/>
        <w:ind w:right="40" w:firstLine="441"/>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120" w:firstLine="441"/>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460"/>
          </w:cols>
          <w:pgMar w:left="1220" w:top="643" w:right="1219" w:bottom="1440" w:gutter="0" w:footer="0" w:header="0"/>
        </w:sectPr>
      </w:pPr>
    </w:p>
    <w:p>
      <w:pPr>
        <w:spacing w:after="0" w:line="191" w:lineRule="auto"/>
        <w:rPr>
          <w:sz w:val="20"/>
          <w:szCs w:val="20"/>
          <w:color w:val="auto"/>
        </w:rPr>
      </w:pPr>
      <w:r>
        <w:rPr>
          <w:rFonts w:ascii="Arial" w:cs="Arial" w:eastAsia="Arial" w:hAnsi="Arial"/>
          <w:sz w:val="16"/>
          <w:szCs w:val="16"/>
          <w:color w:val="auto"/>
        </w:rPr>
        <w:t>Large accelerated filer</w:t>
      </w:r>
    </w:p>
    <w:p>
      <w:pPr>
        <w:spacing w:after="0" w:line="229" w:lineRule="auto"/>
        <w:rPr>
          <w:sz w:val="20"/>
          <w:szCs w:val="20"/>
          <w:color w:val="auto"/>
        </w:rPr>
      </w:pPr>
      <w:r>
        <w:rPr>
          <w:rFonts w:ascii="Arial" w:cs="Arial" w:eastAsia="Arial" w:hAnsi="Arial"/>
          <w:sz w:val="16"/>
          <w:szCs w:val="16"/>
          <w:color w:val="auto"/>
        </w:rPr>
        <w:t>Non-accelerated filer</w:t>
      </w: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1" w:lineRule="auto"/>
        <w:rPr>
          <w:sz w:val="20"/>
          <w:szCs w:val="20"/>
          <w:color w:val="auto"/>
        </w:rPr>
      </w:pPr>
      <w:r>
        <w:rPr>
          <w:rFonts w:ascii="Arial" w:cs="Arial" w:eastAsia="Arial" w:hAnsi="Arial"/>
          <w:sz w:val="16"/>
          <w:szCs w:val="16"/>
          <w:color w:val="auto"/>
        </w:rPr>
        <w:t>Accelerated filer</w:t>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6"/>
          <w:szCs w:val="16"/>
          <w:color w:val="auto"/>
        </w:rPr>
        <w:t>☒</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31" w:lineRule="exact"/>
        <w:rPr>
          <w:sz w:val="24"/>
          <w:szCs w:val="24"/>
          <w:color w:val="auto"/>
        </w:rPr>
      </w:pPr>
    </w:p>
    <w:p>
      <w:pPr>
        <w:sectPr>
          <w:pgSz w:w="11900" w:h="16838" w:orient="portrait"/>
          <w:cols w:equalWidth="0" w:num="4">
            <w:col w:w="1780" w:space="680"/>
            <w:col w:w="3420" w:space="720"/>
            <w:col w:w="1940" w:space="720"/>
            <w:col w:w="200"/>
          </w:cols>
          <w:pgMar w:left="1220" w:top="643" w:right="1219" w:bottom="1440" w:gutter="0" w:footer="0" w:header="0"/>
          <w:type w:val="continuous"/>
        </w:sectPr>
      </w:pPr>
    </w:p>
    <w:p>
      <w:pPr>
        <w:ind w:left="440"/>
        <w:spacing w:after="0"/>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w:t>
      </w:r>
    </w:p>
    <w:p>
      <w:pPr>
        <w:spacing w:after="0" w:line="166" w:lineRule="exact"/>
        <w:rPr>
          <w:sz w:val="20"/>
          <w:szCs w:val="20"/>
          <w:color w:val="auto"/>
        </w:rPr>
      </w:pPr>
      <w:r>
        <w:rPr>
          <w:rFonts w:ascii="Arial" w:cs="Arial" w:eastAsia="Arial" w:hAnsi="Arial"/>
          <w:sz w:val="16"/>
          <w:szCs w:val="16"/>
          <w:color w:val="auto"/>
        </w:rPr>
        <w:t xml:space="preserve">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440"/>
        <w:spacing w:after="0" w:line="184" w:lineRule="exact"/>
        <w:tabs>
          <w:tab w:leader="none" w:pos="79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9460"/>
          </w:cols>
          <w:pgMar w:left="1220" w:top="643" w:right="1219" w:bottom="1440" w:gutter="0" w:footer="0" w:header="0"/>
          <w:type w:val="continuous"/>
        </w:sectPr>
      </w:pPr>
    </w:p>
    <w:p>
      <w:pPr>
        <w:spacing w:after="0" w:line="154"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105" w:lineRule="exact"/>
        <w:rPr>
          <w:sz w:val="24"/>
          <w:szCs w:val="24"/>
          <w:color w:val="auto"/>
        </w:rPr>
      </w:pPr>
    </w:p>
    <w:p>
      <w:pPr>
        <w:sectPr>
          <w:pgSz w:w="11900" w:h="16838" w:orient="portrait"/>
          <w:cols w:equalWidth="0" w:num="3">
            <w:col w:w="3280" w:space="720"/>
            <w:col w:w="1480" w:space="720"/>
            <w:col w:w="3260"/>
          </w:cols>
          <w:pgMar w:left="1220" w:top="643" w:right="1219" w:bottom="1440" w:gutter="0" w:footer="0" w:header="0"/>
          <w:type w:val="continuous"/>
        </w:sectPr>
      </w:pPr>
    </w:p>
    <w:p>
      <w:pPr>
        <w:ind w:left="220"/>
        <w:spacing w:after="0"/>
        <w:rPr>
          <w:sz w:val="20"/>
          <w:szCs w:val="20"/>
          <w:color w:val="auto"/>
        </w:rPr>
      </w:pPr>
      <w:r>
        <w:rPr>
          <w:rFonts w:ascii="Arial" w:cs="Arial" w:eastAsia="Arial" w:hAnsi="Arial"/>
          <w:sz w:val="14"/>
          <w:szCs w:val="14"/>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PLSE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The Nasdaq Stock Market</w:t>
      </w:r>
    </w:p>
    <w:p>
      <w:pPr>
        <w:spacing w:after="0" w:line="166" w:lineRule="exact"/>
        <w:rPr>
          <w:sz w:val="24"/>
          <w:szCs w:val="24"/>
          <w:color w:val="auto"/>
        </w:rPr>
      </w:pPr>
    </w:p>
    <w:p>
      <w:pPr>
        <w:sectPr>
          <w:pgSz w:w="11900" w:h="16838" w:orient="portrait"/>
          <w:cols w:equalWidth="0" w:num="3">
            <w:col w:w="3680" w:space="720"/>
            <w:col w:w="1600" w:space="720"/>
            <w:col w:w="2740"/>
          </w:cols>
          <w:pgMar w:left="1220" w:top="643" w:right="1219" w:bottom="1440" w:gutter="0" w:footer="0" w:header="0"/>
          <w:type w:val="continuous"/>
        </w:sectPr>
      </w:pPr>
    </w:p>
    <w:p>
      <w:pPr>
        <w:ind w:left="440"/>
        <w:spacing w:after="0"/>
        <w:rPr>
          <w:sz w:val="20"/>
          <w:szCs w:val="20"/>
          <w:color w:val="auto"/>
        </w:rPr>
      </w:pPr>
      <w:r>
        <w:rPr>
          <w:rFonts w:ascii="Arial" w:cs="Arial" w:eastAsia="Arial" w:hAnsi="Arial"/>
          <w:sz w:val="14"/>
          <w:szCs w:val="14"/>
          <w:color w:val="auto"/>
        </w:rPr>
        <w:t>Number of shares outstanding of the issuer’s common stock as of April 29, 2019: 20,710,406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320040</wp:posOffset>
            </wp:positionV>
            <wp:extent cx="60540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643" w:right="12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540" w:firstLine="2768"/>
        <w:spacing w:after="0" w:line="245" w:lineRule="auto"/>
        <w:rPr>
          <w:rFonts w:ascii="Arial" w:cs="Arial" w:eastAsia="Arial" w:hAnsi="Arial"/>
          <w:sz w:val="18"/>
          <w:szCs w:val="18"/>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r>
        <w:rPr>
          <w:rFonts w:ascii="Arial" w:cs="Arial" w:eastAsia="Arial" w:hAnsi="Arial"/>
          <w:sz w:val="18"/>
          <w:szCs w:val="18"/>
          <w:b w:val="1"/>
          <w:bCs w:val="1"/>
          <w:u w:val="single" w:color="auto"/>
          <w:color w:val="0000EE"/>
        </w:rPr>
        <w:t xml:space="preserve"> </w:t>
      </w:r>
      <w:hyperlink w:anchor="page3">
        <w:r>
          <w:rPr>
            <w:rFonts w:ascii="Arial" w:cs="Arial" w:eastAsia="Arial" w:hAnsi="Arial"/>
            <w:sz w:val="18"/>
            <w:szCs w:val="18"/>
            <w:u w:val="single" w:color="auto"/>
            <w:color w:val="0000EE"/>
          </w:rPr>
          <w:t>Item 1. Financial Statements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-247650</wp:posOffset>
            </wp:positionV>
            <wp:extent cx="6011545" cy="111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ind w:left="180"/>
        <w:spacing w:after="0" w:line="237"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2019 and December 31,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01154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right="2680"/>
        <w:spacing w:after="0" w:line="203"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and Comprehensive Loss</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for the Three-Month Periods Ended March 31, 2019 and 2018</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Condensed Consolidated Statements of Cash Flows</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0</wp:posOffset>
            </wp:positionH>
            <wp:positionV relativeFrom="paragraph">
              <wp:posOffset>-102235</wp:posOffset>
            </wp:positionV>
            <wp:extent cx="601154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1545" cy="222885"/>
                    </a:xfrm>
                    <a:prstGeom prst="rect">
                      <a:avLst/>
                    </a:prstGeom>
                    <a:noFill/>
                  </pic:spPr>
                </pic:pic>
              </a:graphicData>
            </a:graphic>
          </wp:anchor>
        </w:drawing>
      </w:r>
    </w:p>
    <w:p>
      <w:pPr>
        <w:ind w:left="180"/>
        <w:spacing w:after="0" w:line="205"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for the Three-Month Periods Ended March 31, 2019 and 2018</w:t>
        </w:r>
      </w:hyperlink>
    </w:p>
    <w:p>
      <w:pPr>
        <w:ind w:left="180"/>
        <w:spacing w:after="0" w:line="211"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Equity for the Three-Month Periods Ended March 31, 2019</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and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01154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p>
      <w:pPr>
        <w:spacing w:after="0" w:line="7"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2. Management’s Discussion and Analysis of Financial Condition and Results of Operations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 Quantitative and Qualitative Disclosures About Market Risk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01154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4. Controls and Procedures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0"/>
        <w:spacing w:after="0"/>
        <w:rPr>
          <w:sz w:val="20"/>
          <w:szCs w:val="20"/>
          <w:color w:val="auto"/>
        </w:rPr>
      </w:pPr>
      <w:r>
        <w:rPr>
          <w:rFonts w:ascii="Arial" w:cs="Arial" w:eastAsia="Arial" w:hAnsi="Arial"/>
          <w:sz w:val="16"/>
          <w:szCs w:val="16"/>
          <w:b w:val="1"/>
          <w:bCs w:val="1"/>
          <w:color w:val="auto"/>
        </w:rPr>
        <w:t>PAGE</w:t>
      </w:r>
    </w:p>
    <w:p>
      <w:pPr>
        <w:spacing w:after="0" w:line="12"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No.</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16</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22</w:t>
      </w:r>
    </w:p>
    <w:p>
      <w:pPr>
        <w:spacing w:after="0" w:line="29" w:lineRule="exact"/>
        <w:rPr>
          <w:sz w:val="20"/>
          <w:szCs w:val="20"/>
          <w:color w:val="auto"/>
        </w:rPr>
      </w:pPr>
    </w:p>
    <w:p>
      <w:pPr>
        <w:sectPr>
          <w:pgSz w:w="11900" w:h="16838" w:orient="portrait"/>
          <w:cols w:equalWidth="0" w:num="2">
            <w:col w:w="8380" w:space="600"/>
            <w:col w:w="520"/>
          </w:cols>
          <w:pgMar w:left="1220" w:top="108" w:right="1179" w:bottom="1440" w:gutter="0" w:footer="0" w:header="0"/>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9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540" w:type="dxa"/>
            <w:vAlign w:val="bottom"/>
            <w:gridSpan w:val="3"/>
          </w:tcPr>
          <w:p>
            <w:pPr>
              <w:spacing w:after="0" w:line="16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OTHER INFORMATION</w:t>
              </w:r>
            </w:hyperlink>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gridSpan w:val="8"/>
            <w:shd w:val="clear" w:color="auto" w:fill="CCEEFF"/>
          </w:tcPr>
          <w:p>
            <w:pPr>
              <w:spacing w:after="0" w:line="170" w:lineRule="exact"/>
              <w:rPr>
                <w:rFonts w:ascii="Arial" w:cs="Arial" w:eastAsia="Arial" w:hAnsi="Arial"/>
                <w:sz w:val="18"/>
                <w:szCs w:val="18"/>
                <w:color w:val="0000EE"/>
              </w:rPr>
            </w:pPr>
            <w:hyperlink w:anchor="page22">
              <w:r>
                <w:rPr>
                  <w:rFonts w:ascii="Arial" w:cs="Arial" w:eastAsia="Arial" w:hAnsi="Arial"/>
                  <w:sz w:val="18"/>
                  <w:szCs w:val="18"/>
                  <w:color w:val="0000EE"/>
                </w:rPr>
                <w:t>Item 1. Legal Proceedings</w:t>
              </w:r>
            </w:hyperlink>
          </w:p>
        </w:tc>
        <w:tc>
          <w:tcPr>
            <w:tcW w:w="2760" w:type="dxa"/>
            <w:vAlign w:val="bottom"/>
            <w:tcBorders>
              <w:top w:val="single" w:sz="8" w:color="0000EE"/>
            </w:tcBorders>
            <w:gridSpan w:val="2"/>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6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1A. Risk Factors</w:t>
              </w:r>
            </w:hyperlink>
          </w:p>
        </w:tc>
        <w:tc>
          <w:tcPr>
            <w:tcW w:w="5580" w:type="dxa"/>
            <w:vAlign w:val="bottom"/>
            <w:tcBorders>
              <w:top w:val="single" w:sz="8" w:color="CCEEFF"/>
            </w:tcBorders>
            <w:gridSpan w:val="6"/>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23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40" w:type="dxa"/>
            <w:vAlign w:val="bottom"/>
            <w:gridSpan w:val="11"/>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2. Unregistered Sales of Equity Securities and Use of Proceeds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880" w:type="dxa"/>
            <w:vAlign w:val="bottom"/>
            <w:tcBorders>
              <w:top w:val="single" w:sz="8" w:color="0000EE"/>
            </w:tcBorders>
            <w:gridSpan w:val="9"/>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3 .Default Upon Senior Securities</w:t>
              </w:r>
            </w:hyperlink>
          </w:p>
        </w:tc>
        <w:tc>
          <w:tcPr>
            <w:tcW w:w="2560" w:type="dxa"/>
            <w:vAlign w:val="bottom"/>
            <w:tcBorders>
              <w:top w:val="single" w:sz="8" w:color="CCEEFF"/>
            </w:tcBorders>
            <w:gridSpan w:val="2"/>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40" w:type="dxa"/>
            <w:vAlign w:val="bottom"/>
            <w:gridSpan w:val="11"/>
            <w:shd w:val="clear" w:color="auto" w:fill="CCEEFF"/>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4. Mine Safety Disclosures</w:t>
              </w:r>
            </w:hyperlink>
          </w:p>
        </w:tc>
        <w:tc>
          <w:tcPr>
            <w:tcW w:w="2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Item 5 .Other Information</w:t>
              </w:r>
            </w:hyperlink>
          </w:p>
        </w:tc>
        <w:tc>
          <w:tcPr>
            <w:tcW w:w="5140" w:type="dxa"/>
            <w:vAlign w:val="bottom"/>
            <w:tcBorders>
              <w:top w:val="single" w:sz="8" w:color="CCEEFF"/>
            </w:tcBorders>
            <w:gridSpan w:val="5"/>
          </w:tcPr>
          <w:p>
            <w:pPr>
              <w:spacing w:after="0"/>
              <w:rPr>
                <w:sz w:val="15"/>
                <w:szCs w:val="15"/>
                <w:color w:val="auto"/>
              </w:rPr>
            </w:pPr>
          </w:p>
        </w:tc>
        <w:tc>
          <w:tcPr>
            <w:tcW w:w="20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0"/>
              </w:rPr>
            </w:pPr>
            <w:hyperlink w:anchor="page51">
              <w:r>
                <w:rPr>
                  <w:rFonts w:ascii="Arial" w:cs="Arial" w:eastAsia="Arial" w:hAnsi="Arial"/>
                  <w:sz w:val="18"/>
                  <w:szCs w:val="18"/>
                  <w:color w:val="0000EE"/>
                  <w:w w:val="90"/>
                </w:rPr>
                <w:t>Item 6. Exhibits</w:t>
              </w:r>
            </w:hyperlink>
          </w:p>
        </w:tc>
        <w:tc>
          <w:tcPr>
            <w:tcW w:w="6300" w:type="dxa"/>
            <w:vAlign w:val="bottom"/>
            <w:tcBorders>
              <w:bottom w:val="single" w:sz="8" w:color="CCEEFF"/>
            </w:tcBorders>
            <w:gridSpan w:val="9"/>
            <w:shd w:val="clear" w:color="auto" w:fill="CCEEFF"/>
          </w:tcPr>
          <w:p>
            <w:pPr>
              <w:spacing w:after="0"/>
              <w:rPr>
                <w:sz w:val="17"/>
                <w:szCs w:val="17"/>
                <w:color w:val="auto"/>
              </w:rPr>
            </w:pPr>
          </w:p>
        </w:tc>
        <w:tc>
          <w:tcPr>
            <w:tcW w:w="20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40" w:type="dxa"/>
            <w:vAlign w:val="bottom"/>
            <w:gridSpan w:val="11"/>
          </w:tcPr>
          <w:p>
            <w:pPr>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2000" w:type="dxa"/>
            <w:vAlign w:val="bottom"/>
          </w:tcPr>
          <w:p>
            <w:pPr>
              <w:jc w:val="right"/>
              <w:spacing w:after="0" w:line="176" w:lineRule="exact"/>
              <w:rPr>
                <w:sz w:val="20"/>
                <w:szCs w:val="20"/>
                <w:color w:val="auto"/>
              </w:rPr>
            </w:pPr>
            <w:r>
              <w:rPr>
                <w:rFonts w:ascii="Arial" w:cs="Arial" w:eastAsia="Arial" w:hAnsi="Arial"/>
                <w:sz w:val="18"/>
                <w:szCs w:val="18"/>
                <w:color w:val="auto"/>
              </w:rPr>
              <w:t>53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140" w:type="dxa"/>
            <w:vAlign w:val="bottom"/>
            <w:gridSpan w:val="8"/>
          </w:tcPr>
          <w:p>
            <w:pPr>
              <w:jc w:val="right"/>
              <w:ind w:right="30"/>
              <w:spacing w:after="0"/>
              <w:rPr>
                <w:sz w:val="20"/>
                <w:szCs w:val="20"/>
                <w:color w:val="auto"/>
              </w:rPr>
            </w:pPr>
            <w:r>
              <w:rPr>
                <w:rFonts w:ascii="Arial" w:cs="Arial" w:eastAsia="Arial" w:hAnsi="Arial"/>
                <w:sz w:val="18"/>
                <w:szCs w:val="18"/>
                <w:color w:val="auto"/>
              </w:rPr>
              <w:t>2</w:t>
            </w:r>
          </w:p>
        </w:tc>
        <w:tc>
          <w:tcPr>
            <w:tcW w:w="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780" w:type="dxa"/>
            <w:vAlign w:val="bottom"/>
            <w:tcBorders>
              <w:bottom w:val="single" w:sz="8" w:color="EEEEEE"/>
            </w:tcBorders>
          </w:tcPr>
          <w:p>
            <w:pPr>
              <w:spacing w:after="0" w:line="20" w:lineRule="exact"/>
              <w:rPr>
                <w:sz w:val="1"/>
                <w:szCs w:val="1"/>
                <w:color w:val="auto"/>
              </w:rPr>
            </w:pPr>
          </w:p>
        </w:tc>
        <w:tc>
          <w:tcPr>
            <w:tcW w:w="20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5"/>
                <w:szCs w:val="15"/>
                <w:color w:val="auto"/>
              </w:rPr>
            </w:pPr>
          </w:p>
        </w:tc>
        <w:tc>
          <w:tcPr>
            <w:tcW w:w="1080" w:type="dxa"/>
            <w:vAlign w:val="bottom"/>
          </w:tcPr>
          <w:p>
            <w:pPr>
              <w:jc w:val="right"/>
              <w:ind w:right="11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68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 thousands except par value amounts)</w:t>
            </w:r>
          </w:p>
        </w:tc>
        <w:tc>
          <w:tcPr>
            <w:tcW w:w="200" w:type="dxa"/>
            <w:vAlign w:val="bottom"/>
          </w:tcPr>
          <w:p>
            <w:pPr>
              <w:spacing w:after="0"/>
              <w:rPr>
                <w:sz w:val="15"/>
                <w:szCs w:val="15"/>
                <w:color w:val="auto"/>
              </w:rPr>
            </w:pPr>
          </w:p>
        </w:tc>
        <w:tc>
          <w:tcPr>
            <w:tcW w:w="1040" w:type="dxa"/>
            <w:vAlign w:val="bottom"/>
          </w:tcPr>
          <w:p>
            <w:pPr>
              <w:jc w:val="right"/>
              <w:ind w:right="391"/>
              <w:spacing w:after="0" w:line="158"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371"/>
              <w:spacing w:after="0" w:line="158"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tcBorders>
              <w:top w:val="single" w:sz="8" w:color="auto"/>
            </w:tcBorders>
            <w:shd w:val="clear" w:color="auto" w:fill="CCEEFF"/>
          </w:tcPr>
          <w:p>
            <w:pPr>
              <w:spacing w:after="0" w:line="163" w:lineRule="exact"/>
              <w:rPr>
                <w:sz w:val="20"/>
                <w:szCs w:val="20"/>
                <w:color w:val="auto"/>
              </w:rPr>
            </w:pPr>
            <w:r>
              <w:rPr>
                <w:rFonts w:ascii="Arial" w:cs="Arial" w:eastAsia="Arial" w:hAnsi="Arial"/>
                <w:sz w:val="18"/>
                <w:szCs w:val="18"/>
                <w:b w:val="1"/>
                <w:bCs w:val="1"/>
                <w:color w:val="auto"/>
              </w:rPr>
              <w:t>ASSETS</w:t>
            </w:r>
          </w:p>
        </w:tc>
        <w:tc>
          <w:tcPr>
            <w:tcW w:w="43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53,351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60,362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70,640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Deferred rent, current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Lease liability, current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gridSpan w:val="2"/>
          </w:tcPr>
          <w:p>
            <w:pPr>
              <w:ind w:left="42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40" w:type="dxa"/>
            <w:vAlign w:val="bottom"/>
            <w:gridSpan w:val="3"/>
          </w:tcPr>
          <w:p>
            <w:pPr>
              <w:spacing w:after="0"/>
              <w:rPr>
                <w:sz w:val="20"/>
                <w:szCs w:val="20"/>
                <w:color w:val="auto"/>
              </w:rPr>
            </w:pPr>
            <w:r>
              <w:rPr>
                <w:rFonts w:ascii="Arial" w:cs="Arial" w:eastAsia="Arial" w:hAnsi="Arial"/>
                <w:sz w:val="18"/>
                <w:szCs w:val="18"/>
                <w:color w:val="auto"/>
              </w:rPr>
              <w:t>Deferred rent, less current</w:t>
            </w:r>
          </w:p>
        </w:tc>
        <w:tc>
          <w:tcPr>
            <w:tcW w:w="2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less current</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4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Commitments and contingencies (Note 10)</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4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gridSpan w:val="2"/>
          </w:tcPr>
          <w:p>
            <w:pPr>
              <w:spacing w:after="0" w:line="176" w:lineRule="exact"/>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7"/>
                <w:szCs w:val="17"/>
                <w:color w:val="auto"/>
              </w:rPr>
              <w:t>Preferred stock, $0.001 par value;</w:t>
            </w:r>
          </w:p>
        </w:tc>
        <w:tc>
          <w:tcPr>
            <w:tcW w:w="2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authorized – 50,000 shares; no shares issued and outstanding</w:t>
            </w:r>
          </w:p>
        </w:tc>
        <w:tc>
          <w:tcPr>
            <w:tcW w:w="20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gridSpan w:val="2"/>
          </w:tcPr>
          <w:p>
            <w:pPr>
              <w:ind w:left="200"/>
              <w:spacing w:after="0" w:line="149" w:lineRule="exact"/>
              <w:rPr>
                <w:sz w:val="20"/>
                <w:szCs w:val="20"/>
                <w:color w:val="auto"/>
              </w:rPr>
            </w:pPr>
            <w:r>
              <w:rPr>
                <w:rFonts w:ascii="Arial" w:cs="Arial" w:eastAsia="Arial" w:hAnsi="Arial"/>
                <w:sz w:val="17"/>
                <w:szCs w:val="17"/>
                <w:color w:val="auto"/>
              </w:rPr>
              <w:t>Common stock, $0.001 par value:</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gridSpan w:val="2"/>
          </w:tcPr>
          <w:p>
            <w:pPr>
              <w:ind w:left="200"/>
              <w:spacing w:after="0" w:line="176" w:lineRule="exact"/>
              <w:rPr>
                <w:sz w:val="20"/>
                <w:szCs w:val="20"/>
                <w:color w:val="auto"/>
              </w:rPr>
            </w:pPr>
            <w:r>
              <w:rPr>
                <w:rFonts w:ascii="Arial" w:cs="Arial" w:eastAsia="Arial" w:hAnsi="Arial"/>
                <w:sz w:val="18"/>
                <w:szCs w:val="18"/>
                <w:color w:val="auto"/>
                <w:w w:val="90"/>
              </w:rPr>
              <w:t>authorized – 500,000 shares; issued and outstanding – 20,710 shares and 20,593 shares at</w:t>
            </w:r>
          </w:p>
        </w:tc>
        <w:tc>
          <w:tcPr>
            <w:tcW w:w="2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March 31, 2019 and December 31, 2018, respectively</w:t>
            </w:r>
          </w:p>
        </w:tc>
        <w:tc>
          <w:tcPr>
            <w:tcW w:w="20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(85,796)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59,114</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66,334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63,452</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5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ind w:left="46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Three-Month Periods Ended</w:t>
            </w:r>
          </w:p>
        </w:tc>
      </w:tr>
      <w:tr>
        <w:trPr>
          <w:trHeight w:val="171"/>
        </w:trPr>
        <w:tc>
          <w:tcPr>
            <w:tcW w:w="25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4"/>
                <w:szCs w:val="14"/>
                <w:color w:val="auto"/>
              </w:rPr>
            </w:pPr>
          </w:p>
        </w:tc>
      </w:tr>
      <w:tr>
        <w:trPr>
          <w:trHeight w:val="176"/>
        </w:trPr>
        <w:tc>
          <w:tcPr>
            <w:tcW w:w="25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 except per share amounts)</w:t>
            </w:r>
          </w:p>
        </w:tc>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ind w:right="371"/>
              <w:spacing w:after="0" w:line="155" w:lineRule="exact"/>
              <w:rPr>
                <w:sz w:val="20"/>
                <w:szCs w:val="20"/>
                <w:color w:val="auto"/>
              </w:rPr>
            </w:pPr>
            <w:r>
              <w:rPr>
                <w:rFonts w:ascii="Arial" w:cs="Arial" w:eastAsia="Arial" w:hAnsi="Arial"/>
                <w:sz w:val="14"/>
                <w:szCs w:val="14"/>
                <w:b w:val="1"/>
                <w:bCs w:val="1"/>
                <w:color w:val="auto"/>
              </w:rPr>
              <w:t>2018</w:t>
            </w:r>
          </w:p>
        </w:tc>
      </w:tr>
      <w:tr>
        <w:trPr>
          <w:trHeight w:val="163"/>
        </w:trPr>
        <w:tc>
          <w:tcPr>
            <w:tcW w:w="68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auto"/>
            </w:tcBorders>
            <w:shd w:val="clear" w:color="auto" w:fill="CCEEFF"/>
          </w:tcPr>
          <w:p>
            <w:pPr>
              <w:jc w:val="right"/>
              <w:ind w:right="70"/>
              <w:spacing w:after="0" w:line="16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jc w:val="right"/>
              <w:ind w:right="170"/>
              <w:spacing w:after="0" w:line="16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r>
      <w:tr>
        <w:trPr>
          <w:trHeight w:val="169"/>
        </w:trPr>
        <w:tc>
          <w:tcPr>
            <w:tcW w:w="684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r>
      <w:tr>
        <w:trPr>
          <w:trHeight w:val="216"/>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3,175</w:t>
            </w:r>
          </w:p>
        </w:tc>
      </w:tr>
      <w:tr>
        <w:trPr>
          <w:trHeight w:val="216"/>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10"/>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8,724</w:t>
            </w:r>
          </w:p>
        </w:tc>
      </w:tr>
      <w:tr>
        <w:trPr>
          <w:trHeight w:val="169"/>
        </w:trPr>
        <w:tc>
          <w:tcPr>
            <w:tcW w:w="684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16"/>
        </w:trPr>
        <w:tc>
          <w:tcPr>
            <w:tcW w:w="68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7"/>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(8,668)</w:t>
            </w:r>
          </w:p>
        </w:tc>
      </w:tr>
      <w:tr>
        <w:trPr>
          <w:trHeight w:val="176"/>
        </w:trPr>
        <w:tc>
          <w:tcPr>
            <w:tcW w:w="68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Other comprehensive loss: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6"/>
        </w:trPr>
        <w:tc>
          <w:tcPr>
            <w:tcW w:w="68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Unrealized gain on available-for-sale securities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r>
      <w:tr>
        <w:trPr>
          <w:trHeight w:val="163"/>
        </w:trPr>
        <w:tc>
          <w:tcPr>
            <w:tcW w:w="6840" w:type="dxa"/>
            <w:vAlign w:val="bottom"/>
            <w:gridSpan w:val="2"/>
          </w:tcPr>
          <w:p>
            <w:pPr>
              <w:spacing w:after="0" w:line="163" w:lineRule="exact"/>
              <w:rPr>
                <w:sz w:val="20"/>
                <w:szCs w:val="20"/>
                <w:color w:val="auto"/>
              </w:rPr>
            </w:pPr>
            <w:r>
              <w:rPr>
                <w:rFonts w:ascii="Arial" w:cs="Arial" w:eastAsia="Arial" w:hAnsi="Arial"/>
                <w:sz w:val="18"/>
                <w:szCs w:val="18"/>
                <w:color w:val="auto"/>
              </w:rPr>
              <w:t>Net loss per share:</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3"/>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r>
      <w:tr>
        <w:trPr>
          <w:trHeight w:val="223"/>
        </w:trPr>
        <w:tc>
          <w:tcPr>
            <w:tcW w:w="68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3"/>
              </w:rPr>
              <w:t>Weighted average shares used to compute net loss per common share — basic and diluted</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20,679</w:t>
            </w:r>
          </w:p>
        </w:tc>
        <w:tc>
          <w:tcPr>
            <w:tcW w:w="140" w:type="dxa"/>
            <w:vAlign w:val="bottom"/>
            <w:tcBorders>
              <w:top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16,842</w:t>
            </w:r>
          </w:p>
        </w:tc>
      </w:tr>
    </w:tbl>
    <w:p>
      <w:pPr>
        <w:spacing w:after="0" w:line="148"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rPr>
              <w:t>Three-Month Periods Ended</w:t>
            </w:r>
          </w:p>
        </w:tc>
      </w:tr>
      <w:tr>
        <w:trPr>
          <w:trHeight w:val="188"/>
        </w:trPr>
        <w:tc>
          <w:tcPr>
            <w:tcW w:w="8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89"/>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371"/>
              <w:spacing w:after="0"/>
              <w:rPr>
                <w:sz w:val="20"/>
                <w:szCs w:val="20"/>
                <w:color w:val="auto"/>
              </w:rPr>
            </w:pPr>
            <w:r>
              <w:rPr>
                <w:rFonts w:ascii="Arial" w:cs="Arial" w:eastAsia="Arial" w:hAnsi="Arial"/>
                <w:sz w:val="14"/>
                <w:szCs w:val="14"/>
                <w:b w:val="1"/>
                <w:bCs w:val="1"/>
                <w:color w:val="auto"/>
              </w:rPr>
              <w:t>2018</w:t>
            </w:r>
          </w:p>
        </w:tc>
      </w:tr>
      <w:tr>
        <w:trPr>
          <w:trHeight w:val="203"/>
        </w:trPr>
        <w:tc>
          <w:tcPr>
            <w:tcW w:w="6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(10,078)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(8,668)</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3,420</w:t>
            </w:r>
          </w:p>
        </w:tc>
      </w:tr>
      <w:tr>
        <w:trPr>
          <w:trHeight w:val="230"/>
        </w:trPr>
        <w:tc>
          <w:tcPr>
            <w:tcW w:w="6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premium amortization and discount on available-for-sale securities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840" w:type="dxa"/>
            <w:vAlign w:val="bottom"/>
            <w:gridSpan w:val="2"/>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6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and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0"/>
        </w:trPr>
        <w:tc>
          <w:tcPr>
            <w:tcW w:w="6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(5,018)</w:t>
            </w: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investments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(44,186)</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(19,157)</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Maturities of investments</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8,500</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6,315</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of investments</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24,875</w:t>
            </w:r>
          </w:p>
        </w:tc>
      </w:tr>
      <w:tr>
        <w:trPr>
          <w:trHeight w:val="210"/>
        </w:trPr>
        <w:tc>
          <w:tcPr>
            <w:tcW w:w="6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(35,731)</w:t>
            </w:r>
          </w:p>
        </w:tc>
        <w:tc>
          <w:tcPr>
            <w:tcW w:w="1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11,999</w:t>
            </w:r>
          </w:p>
        </w:tc>
      </w:tr>
      <w:tr>
        <w:trPr>
          <w:trHeight w:val="21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exercises of stock options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10"/>
        </w:trPr>
        <w:tc>
          <w:tcPr>
            <w:tcW w:w="6840" w:type="dxa"/>
            <w:vAlign w:val="bottom"/>
            <w:tcBorders>
              <w:bottom w:val="single" w:sz="8" w:color="CCEEFF"/>
            </w:tcBorders>
            <w:gridSpan w:val="2"/>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10"/>
        </w:trPr>
        <w:tc>
          <w:tcPr>
            <w:tcW w:w="6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Net increase (decrease) in cash</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7,281</w:t>
            </w:r>
          </w:p>
        </w:tc>
      </w:tr>
      <w:tr>
        <w:trPr>
          <w:trHeight w:val="210"/>
        </w:trPr>
        <w:tc>
          <w:tcPr>
            <w:tcW w:w="6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51,103</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3,386</w:t>
            </w:r>
          </w:p>
        </w:tc>
      </w:tr>
      <w:tr>
        <w:trPr>
          <w:trHeight w:val="217"/>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r>
      <w:tr>
        <w:trPr>
          <w:trHeight w:val="216"/>
        </w:trPr>
        <w:tc>
          <w:tcPr>
            <w:tcW w:w="8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6840" w:type="dxa"/>
            <w:vAlign w:val="bottom"/>
            <w:gridSpan w:val="2"/>
          </w:tcPr>
          <w:p>
            <w:pPr>
              <w:ind w:left="440"/>
              <w:spacing w:after="0"/>
              <w:rPr>
                <w:sz w:val="20"/>
                <w:szCs w:val="20"/>
                <w:color w:val="auto"/>
              </w:rPr>
            </w:pPr>
            <w:r>
              <w:rPr>
                <w:rFonts w:ascii="Arial" w:cs="Arial" w:eastAsia="Arial" w:hAnsi="Arial"/>
                <w:sz w:val="18"/>
                <w:szCs w:val="18"/>
                <w:color w:val="auto"/>
              </w:rPr>
              <w:t>Change in unrealized gains on available-for-sale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3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1"/>
              </w:rPr>
              <w:t>Common Stock</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56"/>
        </w:trPr>
        <w:tc>
          <w:tcPr>
            <w:tcW w:w="3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 share amount)</w:t>
            </w:r>
          </w:p>
        </w:tc>
        <w:tc>
          <w:tcPr>
            <w:tcW w:w="900" w:type="dxa"/>
            <w:vAlign w:val="bottom"/>
            <w:gridSpan w:val="2"/>
          </w:tcPr>
          <w:p>
            <w:pPr>
              <w:ind w:left="160"/>
              <w:spacing w:after="0" w:line="155" w:lineRule="exact"/>
              <w:rPr>
                <w:sz w:val="20"/>
                <w:szCs w:val="20"/>
                <w:color w:val="auto"/>
              </w:rPr>
            </w:pPr>
            <w:r>
              <w:rPr>
                <w:rFonts w:ascii="Arial" w:cs="Arial" w:eastAsia="Arial" w:hAnsi="Arial"/>
                <w:sz w:val="16"/>
                <w:szCs w:val="16"/>
                <w:b w:val="1"/>
                <w:bCs w:val="1"/>
                <w:color w:val="auto"/>
              </w:rPr>
              <w:t>Shares</w:t>
            </w:r>
          </w:p>
        </w:tc>
        <w:tc>
          <w:tcPr>
            <w:tcW w:w="68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3"/>
                <w:szCs w:val="13"/>
                <w:color w:val="auto"/>
              </w:rPr>
            </w:pPr>
          </w:p>
        </w:tc>
        <w:tc>
          <w:tcPr>
            <w:tcW w:w="8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7"/>
        </w:trPr>
        <w:tc>
          <w:tcPr>
            <w:tcW w:w="246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20,593</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142,032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(75,718)</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66,334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gridSpan w:val="2"/>
            <w:vMerge w:val="restart"/>
          </w:tcPr>
          <w:p>
            <w:pPr>
              <w:spacing w:after="0" w:line="132" w:lineRule="exact"/>
              <w:rPr>
                <w:sz w:val="20"/>
                <w:szCs w:val="20"/>
                <w:color w:val="auto"/>
              </w:rPr>
            </w:pPr>
            <w:r>
              <w:rPr>
                <w:rFonts w:ascii="Arial" w:cs="Arial" w:eastAsia="Arial" w:hAnsi="Arial"/>
                <w:sz w:val="15"/>
                <w:szCs w:val="15"/>
                <w:color w:val="auto"/>
              </w:rPr>
              <w:t>Issuance of shares upon exercise of stock</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120" w:type="dxa"/>
            <w:vAlign w:val="bottom"/>
            <w:gridSpan w:val="2"/>
            <w:vMerge w:val="continue"/>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Issuance of shares under employee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plan</w:t>
            </w:r>
          </w:p>
        </w:tc>
        <w:tc>
          <w:tcPr>
            <w:tcW w:w="760" w:type="dxa"/>
            <w:vAlign w:val="bottom"/>
            <w:vMerge w:val="continue"/>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Unrealized gain on available-for-sale</w:t>
            </w:r>
          </w:p>
        </w:tc>
        <w:tc>
          <w:tcPr>
            <w:tcW w:w="900" w:type="dxa"/>
            <w:vAlign w:val="bottom"/>
            <w:tcBorders>
              <w:right w:val="single" w:sz="8" w:color="CCEEFF"/>
            </w:tcBorders>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securities</w:t>
            </w: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(10,078)</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(10,078)</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March 31, 2019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20,710</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144,887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(85,796)</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59,114</w:t>
            </w:r>
          </w:p>
        </w:tc>
        <w:tc>
          <w:tcPr>
            <w:tcW w:w="0" w:type="dxa"/>
            <w:vAlign w:val="bottom"/>
          </w:tcPr>
          <w:p>
            <w:pPr>
              <w:spacing w:after="0"/>
              <w:rPr>
                <w:sz w:val="1"/>
                <w:szCs w:val="1"/>
                <w:color w:val="auto"/>
              </w:rPr>
            </w:pPr>
          </w:p>
        </w:tc>
      </w:tr>
      <w:tr>
        <w:trPr>
          <w:trHeight w:val="689"/>
        </w:trPr>
        <w:tc>
          <w:tcPr>
            <w:tcW w:w="246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vMerge w:val="restart"/>
          </w:tcPr>
          <w:p>
            <w:pPr>
              <w:jc w:val="center"/>
              <w:ind w:right="19"/>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w w:val="91"/>
              </w:rPr>
              <w:t>Common Stock</w:t>
            </w:r>
          </w:p>
        </w:tc>
        <w:tc>
          <w:tcPr>
            <w:tcW w:w="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Paid-in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1"/>
              </w:rPr>
              <w:t>Accumulated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Stockholders’</w:t>
            </w:r>
          </w:p>
        </w:tc>
        <w:tc>
          <w:tcPr>
            <w:tcW w:w="0" w:type="dxa"/>
            <w:vAlign w:val="bottom"/>
          </w:tcPr>
          <w:p>
            <w:pPr>
              <w:spacing w:after="0"/>
              <w:rPr>
                <w:sz w:val="1"/>
                <w:szCs w:val="1"/>
                <w:color w:val="auto"/>
              </w:rPr>
            </w:pPr>
          </w:p>
        </w:tc>
      </w:tr>
      <w:tr>
        <w:trPr>
          <w:trHeight w:val="156"/>
        </w:trPr>
        <w:tc>
          <w:tcPr>
            <w:tcW w:w="31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 except per share amount)</w:t>
            </w:r>
          </w:p>
        </w:tc>
        <w:tc>
          <w:tcPr>
            <w:tcW w:w="900" w:type="dxa"/>
            <w:vAlign w:val="bottom"/>
            <w:gridSpan w:val="2"/>
          </w:tcPr>
          <w:p>
            <w:pPr>
              <w:ind w:left="160"/>
              <w:spacing w:after="0" w:line="155" w:lineRule="exact"/>
              <w:rPr>
                <w:sz w:val="20"/>
                <w:szCs w:val="20"/>
                <w:color w:val="auto"/>
              </w:rPr>
            </w:pPr>
            <w:r>
              <w:rPr>
                <w:rFonts w:ascii="Arial" w:cs="Arial" w:eastAsia="Arial" w:hAnsi="Arial"/>
                <w:sz w:val="16"/>
                <w:szCs w:val="16"/>
                <w:b w:val="1"/>
                <w:bCs w:val="1"/>
                <w:color w:val="auto"/>
              </w:rPr>
              <w:t>Shares</w:t>
            </w:r>
          </w:p>
        </w:tc>
        <w:tc>
          <w:tcPr>
            <w:tcW w:w="680" w:type="dxa"/>
            <w:vAlign w:val="bottom"/>
            <w:gridSpan w:val="2"/>
          </w:tcPr>
          <w:p>
            <w:pPr>
              <w:ind w:left="60"/>
              <w:spacing w:after="0" w:line="155" w:lineRule="exact"/>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5" w:lineRule="exact"/>
              <w:rPr>
                <w:sz w:val="20"/>
                <w:szCs w:val="20"/>
                <w:color w:val="auto"/>
              </w:rPr>
            </w:pPr>
            <w:r>
              <w:rPr>
                <w:rFonts w:ascii="Arial" w:cs="Arial" w:eastAsia="Arial" w:hAnsi="Arial"/>
                <w:sz w:val="16"/>
                <w:szCs w:val="16"/>
                <w:b w:val="1"/>
                <w:bCs w:val="1"/>
                <w:color w:val="auto"/>
                <w:w w:val="93"/>
              </w:rPr>
              <w:t>Deficit</w:t>
            </w:r>
          </w:p>
        </w:tc>
        <w:tc>
          <w:tcPr>
            <w:tcW w:w="180" w:type="dxa"/>
            <w:vAlign w:val="bottom"/>
          </w:tcPr>
          <w:p>
            <w:pPr>
              <w:spacing w:after="0"/>
              <w:rPr>
                <w:sz w:val="13"/>
                <w:szCs w:val="13"/>
                <w:color w:val="auto"/>
              </w:rPr>
            </w:pPr>
          </w:p>
        </w:tc>
        <w:tc>
          <w:tcPr>
            <w:tcW w:w="8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7"/>
        </w:trPr>
        <w:tc>
          <w:tcPr>
            <w:tcW w:w="246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2017</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16,819</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(38,173)</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45,995</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gridSpan w:val="2"/>
            <w:vMerge w:val="restart"/>
          </w:tcPr>
          <w:p>
            <w:pPr>
              <w:spacing w:after="0" w:line="132" w:lineRule="exact"/>
              <w:rPr>
                <w:sz w:val="20"/>
                <w:szCs w:val="20"/>
                <w:color w:val="auto"/>
              </w:rPr>
            </w:pPr>
            <w:r>
              <w:rPr>
                <w:rFonts w:ascii="Arial" w:cs="Arial" w:eastAsia="Arial" w:hAnsi="Arial"/>
                <w:sz w:val="15"/>
                <w:szCs w:val="15"/>
                <w:color w:val="auto"/>
              </w:rPr>
              <w:t>Issuance of shares upon exercise of stock</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3120" w:type="dxa"/>
            <w:vAlign w:val="bottom"/>
            <w:gridSpan w:val="2"/>
            <w:vMerge w:val="continue"/>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gridSpan w:val="2"/>
            <w:vMerge w:val="restart"/>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85"/>
        </w:trPr>
        <w:tc>
          <w:tcPr>
            <w:tcW w:w="3120" w:type="dxa"/>
            <w:vAlign w:val="bottom"/>
            <w:gridSpan w:val="2"/>
          </w:tcPr>
          <w:p>
            <w:pPr>
              <w:spacing w:after="0"/>
              <w:rPr>
                <w:sz w:val="20"/>
                <w:szCs w:val="20"/>
                <w:color w:val="auto"/>
              </w:rPr>
            </w:pPr>
            <w:r>
              <w:rPr>
                <w:rFonts w:ascii="Arial" w:cs="Arial" w:eastAsia="Arial" w:hAnsi="Arial"/>
                <w:sz w:val="16"/>
                <w:szCs w:val="16"/>
                <w:color w:val="auto"/>
              </w:rPr>
              <w:t>options</w:t>
            </w: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Issuance of shares under employee stock</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purchase plan</w:t>
            </w:r>
          </w:p>
        </w:tc>
        <w:tc>
          <w:tcPr>
            <w:tcW w:w="760" w:type="dxa"/>
            <w:vAlign w:val="bottom"/>
            <w:vMerge w:val="continue"/>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Stock-based compensation expense</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139"/>
        </w:trPr>
        <w:tc>
          <w:tcPr>
            <w:tcW w:w="3120" w:type="dxa"/>
            <w:vAlign w:val="bottom"/>
            <w:gridSpan w:val="2"/>
            <w:shd w:val="clear" w:color="auto" w:fill="CCEEFF"/>
          </w:tcPr>
          <w:p>
            <w:pPr>
              <w:spacing w:after="0" w:line="138" w:lineRule="exact"/>
              <w:rPr>
                <w:sz w:val="20"/>
                <w:szCs w:val="20"/>
                <w:color w:val="auto"/>
              </w:rPr>
            </w:pPr>
            <w:r>
              <w:rPr>
                <w:rFonts w:ascii="Arial" w:cs="Arial" w:eastAsia="Arial" w:hAnsi="Arial"/>
                <w:sz w:val="16"/>
                <w:szCs w:val="16"/>
                <w:color w:val="auto"/>
              </w:rPr>
              <w:t>Unrealized gain on available-for-sale</w:t>
            </w:r>
          </w:p>
        </w:tc>
        <w:tc>
          <w:tcPr>
            <w:tcW w:w="900" w:type="dxa"/>
            <w:vAlign w:val="bottom"/>
            <w:tcBorders>
              <w:right w:val="single" w:sz="8" w:color="CCEEFF"/>
            </w:tcBorders>
            <w:gridSpan w:val="2"/>
            <w:vMerge w:val="restart"/>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5"/>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securities</w:t>
            </w:r>
          </w:p>
        </w:tc>
        <w:tc>
          <w:tcPr>
            <w:tcW w:w="900" w:type="dxa"/>
            <w:vAlign w:val="bottom"/>
            <w:tcBorders>
              <w:right w:val="single" w:sz="8" w:color="CCEEFF"/>
            </w:tcBorders>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90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3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(8,668)</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(8,668)</w:t>
            </w:r>
          </w:p>
        </w:tc>
        <w:tc>
          <w:tcPr>
            <w:tcW w:w="0" w:type="dxa"/>
            <w:vAlign w:val="bottom"/>
          </w:tcPr>
          <w:p>
            <w:pPr>
              <w:spacing w:after="0"/>
              <w:rPr>
                <w:sz w:val="1"/>
                <w:szCs w:val="1"/>
                <w:color w:val="auto"/>
              </w:rPr>
            </w:pPr>
          </w:p>
        </w:tc>
      </w:tr>
      <w:tr>
        <w:trPr>
          <w:trHeight w:val="20"/>
        </w:trPr>
        <w:tc>
          <w:tcPr>
            <w:tcW w:w="24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March 31, 2018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16,869</w:t>
            </w:r>
          </w:p>
        </w:tc>
        <w:tc>
          <w:tcPr>
            <w:tcW w:w="1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jc w:val="right"/>
              <w:ind w:right="302"/>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300" w:type="dxa"/>
            <w:vAlign w:val="bottom"/>
            <w:tcBorders>
              <w:left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(46,841)</w:t>
            </w:r>
          </w:p>
        </w:tc>
        <w:tc>
          <w:tcPr>
            <w:tcW w:w="1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41,095</w:t>
            </w:r>
          </w:p>
        </w:tc>
        <w:tc>
          <w:tcPr>
            <w:tcW w:w="0" w:type="dxa"/>
            <w:vAlign w:val="bottom"/>
          </w:tcPr>
          <w:p>
            <w:pPr>
              <w:spacing w:after="0"/>
              <w:rPr>
                <w:sz w:val="1"/>
                <w:szCs w:val="1"/>
                <w:color w:val="auto"/>
              </w:rPr>
            </w:pPr>
          </w:p>
        </w:tc>
      </w:tr>
      <w:tr>
        <w:trPr>
          <w:trHeight w:val="27"/>
        </w:trPr>
        <w:tc>
          <w:tcPr>
            <w:tcW w:w="24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PULSE BIOSCIENCES, INC.</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p>
      <w:pPr>
        <w:jc w:val="both"/>
        <w:ind w:right="200" w:firstLine="405"/>
        <w:spacing w:after="0" w:line="224" w:lineRule="auto"/>
        <w:rPr>
          <w:sz w:val="20"/>
          <w:szCs w:val="20"/>
          <w:color w:val="auto"/>
        </w:rPr>
      </w:pPr>
      <w:r>
        <w:rPr>
          <w:rFonts w:ascii="Arial" w:cs="Arial" w:eastAsia="Arial" w:hAnsi="Arial"/>
          <w:sz w:val="18"/>
          <w:szCs w:val="18"/>
          <w:color w:val="auto"/>
        </w:rPr>
        <w:t>In this Quarterly Report on Form 10-Q (“Quarterly Report”), references to “Pulse,” “Pulse Biosciences,” “we,” “us,” “our” and the “Company” refer to Pulse Biosciences, Inc. and its wholly-owned subsidiaries, unless expressly indicated or the context otherwise requires.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48" w:lineRule="exact"/>
        <w:rPr>
          <w:sz w:val="20"/>
          <w:szCs w:val="20"/>
          <w:color w:val="auto"/>
        </w:rPr>
      </w:pPr>
    </w:p>
    <w:p>
      <w:pPr>
        <w:ind w:right="220" w:firstLine="441"/>
        <w:spacing w:after="0" w:line="226" w:lineRule="auto"/>
        <w:rPr>
          <w:sz w:val="20"/>
          <w:szCs w:val="20"/>
          <w:color w:val="auto"/>
        </w:rPr>
      </w:pPr>
      <w:r>
        <w:rPr>
          <w:rFonts w:ascii="Arial" w:cs="Arial" w:eastAsia="Arial" w:hAnsi="Arial"/>
          <w:sz w:val="17"/>
          <w:szCs w:val="17"/>
          <w:color w:val="auto"/>
        </w:rPr>
        <w:t>Pulse Biosciences, Inc., is a bioelectric medicine company pursuing commercial introduction of its proprietary CellFX™ System utilizing the Company’s proprietary Nano-Pulse Stimulation™ (NPS™) platform technology. The Company’s NPS technology provides a novel, precise, non-thermal cellular treatment technology delivering nanosecond pulses of high amplitude electrical energy that clear targeted cells while sparing adjacent non-cellular tissue. The novel characteristics of the Company’s NPS mechanism of action has the potential to significantly benefit patients across multiple medical applications, including dermatology, the Company’s first planned commercial application.</w:t>
      </w:r>
    </w:p>
    <w:p>
      <w:pPr>
        <w:spacing w:after="0" w:line="125" w:lineRule="exact"/>
        <w:rPr>
          <w:sz w:val="20"/>
          <w:szCs w:val="20"/>
          <w:color w:val="auto"/>
        </w:rPr>
      </w:pPr>
    </w:p>
    <w:p>
      <w:pPr>
        <w:ind w:right="80" w:firstLine="441"/>
        <w:spacing w:after="0" w:line="289" w:lineRule="auto"/>
        <w:rPr>
          <w:sz w:val="20"/>
          <w:szCs w:val="20"/>
          <w:color w:val="auto"/>
        </w:rPr>
      </w:pPr>
      <w:r>
        <w:rPr>
          <w:rFonts w:ascii="Arial" w:cs="Arial" w:eastAsia="Arial" w:hAnsi="Arial"/>
          <w:sz w:val="16"/>
          <w:szCs w:val="16"/>
          <w:color w:val="auto"/>
        </w:rPr>
        <w:t>The Company was incorporated in Nevada on May 19, 2014. On June 18, 2018, the Company reincorporated from the State of Nevada to the State of Delaware. The Company’s headquarters and research facility are located in Hayward, California.</w:t>
      </w:r>
    </w:p>
    <w:p>
      <w:pPr>
        <w:spacing w:after="0" w:line="84"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The Company’s activities are subject to significant risks and uncertainties, including the need for additional capital. The Company has not yet commenced revenue-generating operations, does not have cash flows from operations, and will need to raise additional capital to finance its operations. There can be no assurances that the Company will be able to obtain additional financing on acceptable terms and in the amounts necessary to fully fund its operating requirements.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The accompanying unaudited condensed consolidated financial statements (“Financial Statements”) have been prepared on a basis consistent with the Company’s December 31, 2018 audited Consolidated Financial Statements and include all adjustments, consisting of only normal recurring adjustments, necessary to fairly state the information set forth herein. The Financial Statements have been prepared in accordance with the applicable rules and regulations of the Securities and Exchange Commission and, as permitted by such rules and regulations, omit certain information and footnote disclosures necessary to present the financial statements in accordance with accounting principles generally accepted in the United States of America (“U.S. GAAP”). The condensed consolidated balance sheet as of December 31, 2018 was derived from the audited consolidated financial statements as of that date, but does not include all of the information and footnotes required by U.S. GAAP for complete financial statements. These Financial Statements should be read in conjunction with the audited consolidated financial statements and notes thereto included in the Company’s Annual Report on Form 10-K for the year ended December 31, 2018. The results of operations for the three-month period ended March 31, 2019 are not necessarily indicative of the results to be expected for the entire year or any future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20" w:firstLine="441"/>
        <w:spacing w:after="0" w:line="226" w:lineRule="auto"/>
        <w:rPr>
          <w:sz w:val="20"/>
          <w:szCs w:val="20"/>
          <w:color w:val="auto"/>
        </w:rPr>
      </w:pPr>
      <w:r>
        <w:rPr>
          <w:rFonts w:ascii="Arial" w:cs="Arial" w:eastAsia="Arial" w:hAnsi="Arial"/>
          <w:sz w:val="17"/>
          <w:szCs w:val="17"/>
          <w:color w:val="auto"/>
        </w:rPr>
        <w:t>The preparation of financial statements in conformity with U.S. GAAP requires the Company to make estimates and assumptions that affect the amounts reported in the Financial Statements and accompanying notes to the Financial Statements. Estimates include, but are not limited to, the valuation of cash equivalents and investments, the valuation and recognition of share-based compensation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w:t>
      </w:r>
    </w:p>
    <w:p>
      <w:pPr>
        <w:spacing w:after="0" w:line="14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February 2016, the Financial Accounting Standards Board (“FASB”) issued Accounting Standards Update (“ASU”) No.</w:t>
      </w:r>
    </w:p>
    <w:p>
      <w:pPr>
        <w:spacing w:after="0" w:line="8"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 xml:space="preserve">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(“Topic 842”), which amended prior accounting standards for leases. The Company adopted Topic 842 on January 1, 2019, using the transition method per ASU No. 2018-11 issued on July 2018 wherein entities were allowed to initially apply the new lease standard at the adoption date and recognize a cumulative-effect adjustment to the opening balance of retained earnings in the period of adoption. Accordingly, all periods prior to January 1, 2019 were presented in accordance with the previous ASC 840, Leases, and no retrospective adjustments were made to the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comparative periods presented. The adoption of ASC 842 resulted in an increase to total assets and liabilities due to the recording of operating lease right-of-use assets (“ROU”) presented within other assets and operating lease liabilities of approximately $0.1 million as of January 1, 2019. The adoption did not materially impact the Company’s Consolidated Statement of Stockholders’ Equity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There have been no material changes to the Company’s significant accounting policies during the three-month period</w:t>
      </w:r>
    </w:p>
    <w:p>
      <w:pPr>
        <w:spacing w:after="0" w:line="229" w:lineRule="auto"/>
        <w:rPr>
          <w:sz w:val="20"/>
          <w:szCs w:val="20"/>
          <w:color w:val="auto"/>
        </w:rPr>
      </w:pPr>
      <w:r>
        <w:rPr>
          <w:rFonts w:ascii="Arial" w:cs="Arial" w:eastAsia="Arial" w:hAnsi="Arial"/>
          <w:sz w:val="16"/>
          <w:szCs w:val="16"/>
          <w:color w:val="auto"/>
        </w:rPr>
        <w:t>ended March 31, 2019, as compared to the significant accounting policies described in the Company’s Annual Report on Form 10-</w:t>
      </w:r>
    </w:p>
    <w:p>
      <w:pPr>
        <w:spacing w:after="0"/>
        <w:rPr>
          <w:sz w:val="20"/>
          <w:szCs w:val="20"/>
          <w:color w:val="auto"/>
        </w:rPr>
      </w:pPr>
      <w:r>
        <w:rPr>
          <w:rFonts w:ascii="Arial" w:cs="Arial" w:eastAsia="Arial" w:hAnsi="Arial"/>
          <w:sz w:val="18"/>
          <w:szCs w:val="18"/>
          <w:color w:val="auto"/>
        </w:rPr>
        <w:t xml:space="preserve">K for the year ended December 31, 2018, except for the adoption of ASU No. 2016-02, </w:t>
      </w:r>
      <w:r>
        <w:rPr>
          <w:rFonts w:ascii="Arial" w:cs="Arial" w:eastAsia="Arial" w:hAnsi="Arial"/>
          <w:sz w:val="18"/>
          <w:szCs w:val="18"/>
          <w:i w:val="1"/>
          <w:iCs w:val="1"/>
          <w:color w:val="auto"/>
        </w:rPr>
        <w:t>Leases</w:t>
      </w:r>
      <w:r>
        <w:rPr>
          <w:rFonts w:ascii="Arial" w:cs="Arial" w:eastAsia="Arial" w:hAnsi="Arial"/>
          <w:sz w:val="18"/>
          <w:szCs w:val="18"/>
          <w:color w:val="auto"/>
        </w:rPr>
        <w:t>, as of January 1, 2019.</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240" w:firstLine="441"/>
        <w:spacing w:after="0" w:line="258" w:lineRule="auto"/>
        <w:rPr>
          <w:sz w:val="20"/>
          <w:szCs w:val="20"/>
          <w:color w:val="auto"/>
        </w:rPr>
      </w:pPr>
      <w:r>
        <w:rPr>
          <w:rFonts w:ascii="Arial" w:cs="Arial" w:eastAsia="Arial" w:hAnsi="Arial"/>
          <w:sz w:val="17"/>
          <w:szCs w:val="17"/>
          <w:color w:val="auto"/>
        </w:rPr>
        <w:t>The accompanying consolidated financial statements include the financial statements of Pulse Biosciences and its wholly-owned subsidiaries. Intercompany balances and transactions, if any, have been eliminated in consolidation.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ind w:right="100" w:firstLine="441"/>
        <w:spacing w:after="0" w:line="244" w:lineRule="auto"/>
        <w:rPr>
          <w:sz w:val="20"/>
          <w:szCs w:val="20"/>
          <w:color w:val="auto"/>
        </w:rPr>
      </w:pPr>
      <w:r>
        <w:rPr>
          <w:rFonts w:ascii="Arial" w:cs="Arial" w:eastAsia="Arial" w:hAnsi="Arial"/>
          <w:sz w:val="16"/>
          <w:szCs w:val="16"/>
          <w:color w:val="auto"/>
        </w:rPr>
        <w:t>The Company calculates basic net loss per share by dividing net loss by the weighted 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spacing w:after="0" w:line="132"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color w:val="auto"/>
        </w:rPr>
        <w:t>Basic and diluted net loss per common share is the same for all periods presented because all warrants, stock options and restricted stock units outstanding are anti-dilutive.</w:t>
      </w:r>
    </w:p>
    <w:p>
      <w:pPr>
        <w:spacing w:after="0" w:line="121" w:lineRule="exact"/>
        <w:rPr>
          <w:sz w:val="20"/>
          <w:szCs w:val="20"/>
          <w:color w:val="auto"/>
        </w:rPr>
      </w:pPr>
    </w:p>
    <w:p>
      <w:pPr>
        <w:ind w:right="120" w:firstLine="441"/>
        <w:spacing w:after="0" w:line="258" w:lineRule="auto"/>
        <w:rPr>
          <w:sz w:val="20"/>
          <w:szCs w:val="20"/>
          <w:color w:val="auto"/>
        </w:rPr>
      </w:pPr>
      <w:r>
        <w:rPr>
          <w:rFonts w:ascii="Arial" w:cs="Arial" w:eastAsia="Arial" w:hAnsi="Arial"/>
          <w:sz w:val="17"/>
          <w:szCs w:val="17"/>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680" w:type="dxa"/>
            <w:vAlign w:val="bottom"/>
            <w:gridSpan w:val="4"/>
          </w:tcPr>
          <w:p>
            <w:pPr>
              <w:jc w:val="right"/>
              <w:ind w:right="374"/>
              <w:spacing w:after="0"/>
              <w:rPr>
                <w:sz w:val="20"/>
                <w:szCs w:val="20"/>
                <w:color w:val="auto"/>
              </w:rPr>
            </w:pPr>
            <w:r>
              <w:rPr>
                <w:rFonts w:ascii="Arial" w:cs="Arial" w:eastAsia="Arial" w:hAnsi="Arial"/>
                <w:sz w:val="14"/>
                <w:szCs w:val="14"/>
                <w:b w:val="1"/>
                <w:bCs w:val="1"/>
                <w:color w:val="auto"/>
              </w:rPr>
              <w:t>Three-Month Periods Ended</w:t>
            </w:r>
          </w:p>
        </w:tc>
      </w:tr>
      <w:tr>
        <w:trPr>
          <w:trHeight w:val="188"/>
        </w:trPr>
        <w:tc>
          <w:tcPr>
            <w:tcW w:w="6780" w:type="dxa"/>
            <w:vAlign w:val="bottom"/>
          </w:tcPr>
          <w:p>
            <w:pPr>
              <w:spacing w:after="0"/>
              <w:rPr>
                <w:sz w:val="16"/>
                <w:szCs w:val="16"/>
                <w:color w:val="auto"/>
              </w:rPr>
            </w:pPr>
          </w:p>
        </w:tc>
        <w:tc>
          <w:tcPr>
            <w:tcW w:w="180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r>
      <w:tr>
        <w:trPr>
          <w:trHeight w:val="183"/>
        </w:trPr>
        <w:tc>
          <w:tcPr>
            <w:tcW w:w="67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213,485</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249,709</w:t>
            </w: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Common stock options</w:t>
            </w:r>
          </w:p>
        </w:tc>
        <w:tc>
          <w:tcPr>
            <w:tcW w:w="1320" w:type="dxa"/>
            <w:vAlign w:val="bottom"/>
          </w:tcPr>
          <w:p>
            <w:pPr>
              <w:jc w:val="right"/>
              <w:spacing w:after="0"/>
              <w:rPr>
                <w:sz w:val="20"/>
                <w:szCs w:val="20"/>
                <w:color w:val="auto"/>
              </w:rPr>
            </w:pPr>
            <w:r>
              <w:rPr>
                <w:rFonts w:ascii="Arial" w:cs="Arial" w:eastAsia="Arial" w:hAnsi="Arial"/>
                <w:sz w:val="18"/>
                <w:szCs w:val="18"/>
                <w:color w:val="auto"/>
              </w:rPr>
              <w:t>2,871,770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2,598,754</w:t>
            </w:r>
          </w:p>
        </w:tc>
      </w:tr>
      <w:tr>
        <w:trPr>
          <w:trHeight w:val="23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222,606</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229,774</w:t>
            </w:r>
          </w:p>
        </w:tc>
      </w:tr>
      <w:tr>
        <w:trPr>
          <w:trHeight w:val="217"/>
        </w:trPr>
        <w:tc>
          <w:tcPr>
            <w:tcW w:w="678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3,307,861</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3,078,237</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44" w:lineRule="exact"/>
        <w:rPr>
          <w:sz w:val="20"/>
          <w:szCs w:val="20"/>
          <w:color w:val="auto"/>
        </w:rPr>
      </w:pPr>
    </w:p>
    <w:p>
      <w:pPr>
        <w:ind w:right="140" w:firstLine="441"/>
        <w:spacing w:after="0" w:line="289" w:lineRule="auto"/>
        <w:rPr>
          <w:sz w:val="20"/>
          <w:szCs w:val="20"/>
          <w:color w:val="auto"/>
        </w:rPr>
      </w:pPr>
      <w:r>
        <w:rPr>
          <w:rFonts w:ascii="Arial" w:cs="Arial" w:eastAsia="Arial" w:hAnsi="Arial"/>
          <w:sz w:val="16"/>
          <w:szCs w:val="16"/>
          <w:color w:val="auto"/>
        </w:rPr>
        <w:t>Certain items in prior period financial statements have been reclassified to conform to the presentation in the current period financial statements. Such reclassifications did not impact the Company's previously reported net loss or financial position.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62" w:lineRule="exact"/>
        <w:rPr>
          <w:sz w:val="20"/>
          <w:szCs w:val="20"/>
          <w:color w:val="auto"/>
        </w:rPr>
      </w:pPr>
    </w:p>
    <w:p>
      <w:pPr>
        <w:jc w:val="both"/>
        <w:ind w:right="20" w:firstLine="441"/>
        <w:spacing w:after="0" w:line="224" w:lineRule="auto"/>
        <w:rPr>
          <w:sz w:val="20"/>
          <w:szCs w:val="20"/>
          <w:color w:val="auto"/>
        </w:rPr>
      </w:pPr>
      <w:r>
        <w:rPr>
          <w:rFonts w:ascii="Arial" w:cs="Arial" w:eastAsia="Arial" w:hAnsi="Arial"/>
          <w:sz w:val="18"/>
          <w:szCs w:val="18"/>
          <w:color w:val="auto"/>
        </w:rPr>
        <w:t>The authoritative guidance with respect to fair value established a fair value hierarchy that prioritizes the inputs to valuation techniques used to measure fair value of financial instruments into three levels, and requires that assets and liabilities carried at fair value be classified and disclosed in one of three categories, as presented below.</w:t>
      </w:r>
    </w:p>
    <w:p>
      <w:pPr>
        <w:spacing w:after="0" w:line="123"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23" w:lineRule="exact"/>
        <w:rPr>
          <w:sz w:val="20"/>
          <w:szCs w:val="20"/>
          <w:color w:val="auto"/>
        </w:rPr>
      </w:pPr>
    </w:p>
    <w:p>
      <w:pPr>
        <w:ind w:right="160" w:firstLine="441"/>
        <w:spacing w:after="0" w:line="224" w:lineRule="auto"/>
        <w:rPr>
          <w:sz w:val="20"/>
          <w:szCs w:val="20"/>
          <w:color w:val="auto"/>
        </w:rPr>
      </w:pPr>
      <w:r>
        <w:rPr>
          <w:rFonts w:ascii="Arial" w:cs="Arial" w:eastAsia="Arial" w:hAnsi="Arial"/>
          <w:sz w:val="18"/>
          <w:szCs w:val="18"/>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00" w:firstLine="441"/>
        <w:spacing w:after="0" w:line="224" w:lineRule="auto"/>
        <w:rPr>
          <w:sz w:val="20"/>
          <w:szCs w:val="20"/>
          <w:color w:val="auto"/>
        </w:rPr>
      </w:pPr>
      <w:r>
        <w:rPr>
          <w:rFonts w:ascii="Arial" w:cs="Arial" w:eastAsia="Arial" w:hAnsi="Arial"/>
          <w:sz w:val="18"/>
          <w:szCs w:val="18"/>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136" w:lineRule="exact"/>
        <w:rPr>
          <w:sz w:val="20"/>
          <w:szCs w:val="20"/>
          <w:color w:val="auto"/>
        </w:rPr>
      </w:pPr>
    </w:p>
    <w:p>
      <w:pPr>
        <w:ind w:right="100" w:firstLine="441"/>
        <w:spacing w:after="0" w:line="235" w:lineRule="auto"/>
        <w:rPr>
          <w:sz w:val="20"/>
          <w:szCs w:val="20"/>
          <w:color w:val="auto"/>
        </w:rPr>
      </w:pPr>
      <w:r>
        <w:rPr>
          <w:rFonts w:ascii="Arial" w:cs="Arial" w:eastAsia="Arial" w:hAnsi="Arial"/>
          <w:sz w:val="18"/>
          <w:szCs w:val="18"/>
          <w:color w:val="auto"/>
        </w:rPr>
        <w:t>The following table sets forth the fair value of the Company’s financial assets measured on a recurring basis as of March 31, 2019 and December 31, 2018, respectively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March 31, 2019</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December 31, 2018</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Assets</w:t>
            </w:r>
          </w:p>
        </w:tc>
        <w:tc>
          <w:tcPr>
            <w:tcW w:w="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Classification</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Level 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Level 2</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Level 3</w:t>
            </w:r>
          </w:p>
        </w:tc>
        <w:tc>
          <w:tcPr>
            <w:tcW w:w="6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Total</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Level 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color w:val="auto"/>
              </w:rPr>
              <w:t>Level 2</w:t>
            </w: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Level 3</w:t>
            </w: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02"/>
        </w:trPr>
        <w:tc>
          <w:tcPr>
            <w:tcW w:w="17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1040" w:type="dxa"/>
            <w:vAlign w:val="bottom"/>
            <w:tcBorders>
              <w:right w:val="single" w:sz="8" w:color="CCEEFF"/>
            </w:tcBorders>
            <w:shd w:val="clear" w:color="auto" w:fill="CCEEFF"/>
          </w:tcPr>
          <w:p>
            <w:pPr>
              <w:jc w:val="center"/>
              <w:spacing w:after="0" w:line="102" w:lineRule="exact"/>
              <w:rPr>
                <w:sz w:val="20"/>
                <w:szCs w:val="20"/>
                <w:color w:val="auto"/>
              </w:rPr>
            </w:pPr>
            <w:r>
              <w:rPr>
                <w:rFonts w:ascii="Arial" w:cs="Arial" w:eastAsia="Arial" w:hAnsi="Arial"/>
                <w:sz w:val="11"/>
                <w:szCs w:val="11"/>
                <w:color w:val="auto"/>
              </w:rPr>
              <w:t>Cash and cash</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7,773</w:t>
            </w:r>
          </w:p>
        </w:tc>
        <w:tc>
          <w:tcPr>
            <w:tcW w:w="140" w:type="dxa"/>
            <w:vAlign w:val="bottom"/>
            <w:shd w:val="clear" w:color="auto" w:fill="CCEEFF"/>
          </w:tcPr>
          <w:p>
            <w:pPr>
              <w:spacing w:after="0"/>
              <w:rPr>
                <w:sz w:val="8"/>
                <w:szCs w:val="8"/>
                <w:color w:val="auto"/>
              </w:rPr>
            </w:pPr>
          </w:p>
        </w:tc>
        <w:tc>
          <w:tcPr>
            <w:tcW w:w="6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8"/>
                <w:szCs w:val="8"/>
                <w:color w:val="auto"/>
              </w:rPr>
            </w:pP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7,773</w:t>
            </w:r>
          </w:p>
        </w:tc>
        <w:tc>
          <w:tcPr>
            <w:tcW w:w="80" w:type="dxa"/>
            <w:vAlign w:val="bottom"/>
            <w:shd w:val="clear" w:color="auto" w:fill="CCEEFF"/>
          </w:tcPr>
          <w:p>
            <w:pPr>
              <w:spacing w:after="0"/>
              <w:rPr>
                <w:sz w:val="8"/>
                <w:szCs w:val="8"/>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50,703</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 $</w:t>
            </w:r>
          </w:p>
        </w:tc>
        <w:tc>
          <w:tcPr>
            <w:tcW w:w="8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50,703</w:t>
            </w:r>
          </w:p>
        </w:tc>
        <w:tc>
          <w:tcPr>
            <w:tcW w:w="0" w:type="dxa"/>
            <w:vAlign w:val="bottom"/>
          </w:tcPr>
          <w:p>
            <w:pPr>
              <w:spacing w:after="0"/>
              <w:rPr>
                <w:sz w:val="1"/>
                <w:szCs w:val="1"/>
                <w:color w:val="auto"/>
              </w:rPr>
            </w:pPr>
          </w:p>
        </w:tc>
      </w:tr>
      <w:tr>
        <w:trPr>
          <w:trHeight w:val="162"/>
        </w:trPr>
        <w:tc>
          <w:tcPr>
            <w:tcW w:w="1760" w:type="dxa"/>
            <w:vAlign w:val="bottom"/>
            <w:gridSpan w:val="2"/>
            <w:vMerge w:val="continue"/>
            <w:shd w:val="clear" w:color="auto" w:fill="CCEEFF"/>
          </w:tcPr>
          <w:p>
            <w:pPr>
              <w:spacing w:after="0"/>
              <w:rPr>
                <w:sz w:val="14"/>
                <w:szCs w:val="14"/>
                <w:color w:val="auto"/>
              </w:rPr>
            </w:pPr>
          </w:p>
        </w:tc>
        <w:tc>
          <w:tcPr>
            <w:tcW w:w="10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equivalents</w:t>
            </w:r>
          </w:p>
        </w:tc>
        <w:tc>
          <w:tcPr>
            <w:tcW w:w="18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tcBorders>
              <w:right w:val="single" w:sz="8" w:color="CCEEFF"/>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740" w:type="dxa"/>
            <w:vAlign w:val="bottom"/>
            <w:tcBorders>
              <w:right w:val="single" w:sz="8" w:color="CCEEFF"/>
            </w:tcBorders>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U.S. Treasury Securities</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2"/>
              </w:rPr>
              <w:t>Investments</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44,265</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44,265</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8,480</w:t>
            </w: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8,480</w:t>
            </w:r>
          </w:p>
        </w:tc>
        <w:tc>
          <w:tcPr>
            <w:tcW w:w="0" w:type="dxa"/>
            <w:vAlign w:val="bottom"/>
          </w:tcPr>
          <w:p>
            <w:pPr>
              <w:spacing w:after="0"/>
              <w:rPr>
                <w:sz w:val="1"/>
                <w:szCs w:val="1"/>
                <w:color w:val="auto"/>
              </w:rPr>
            </w:pPr>
          </w:p>
        </w:tc>
      </w:tr>
      <w:tr>
        <w:trPr>
          <w:trHeight w:val="88"/>
        </w:trPr>
        <w:tc>
          <w:tcPr>
            <w:tcW w:w="1760" w:type="dxa"/>
            <w:vAlign w:val="bottom"/>
            <w:gridSpan w:val="2"/>
            <w:shd w:val="clear" w:color="auto" w:fill="CCEEFF"/>
          </w:tcPr>
          <w:p>
            <w:pPr>
              <w:spacing w:after="0" w:line="88" w:lineRule="exact"/>
              <w:rPr>
                <w:sz w:val="20"/>
                <w:szCs w:val="20"/>
                <w:color w:val="auto"/>
              </w:rPr>
            </w:pPr>
            <w:r>
              <w:rPr>
                <w:rFonts w:ascii="Arial" w:cs="Arial" w:eastAsia="Arial" w:hAnsi="Arial"/>
                <w:sz w:val="10"/>
                <w:szCs w:val="10"/>
                <w:color w:val="auto"/>
              </w:rPr>
              <w:t>Total assets measured at fair</w:t>
            </w:r>
          </w:p>
        </w:tc>
        <w:tc>
          <w:tcPr>
            <w:tcW w:w="1040" w:type="dxa"/>
            <w:vAlign w:val="bottom"/>
            <w:tcBorders>
              <w:right w:val="single" w:sz="8" w:color="CCEEFF"/>
            </w:tcBorders>
            <w:shd w:val="clear" w:color="auto" w:fill="CCEEFF"/>
          </w:tcPr>
          <w:p>
            <w:pPr>
              <w:spacing w:after="0"/>
              <w:rPr>
                <w:sz w:val="7"/>
                <w:szCs w:val="7"/>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0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7,773</w:t>
            </w:r>
          </w:p>
        </w:tc>
        <w:tc>
          <w:tcPr>
            <w:tcW w:w="140" w:type="dxa"/>
            <w:vAlign w:val="bottom"/>
            <w:vMerge w:val="restart"/>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68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44,265</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vMerge w:val="restart"/>
            <w:shd w:val="clear" w:color="auto" w:fill="CCEEFF"/>
          </w:tcPr>
          <w:p>
            <w:pPr>
              <w:ind w:left="340"/>
              <w:spacing w:after="0"/>
              <w:rPr>
                <w:sz w:val="20"/>
                <w:szCs w:val="20"/>
                <w:color w:val="auto"/>
              </w:rPr>
            </w:pPr>
            <w:r>
              <w:rPr>
                <w:rFonts w:ascii="Arial" w:cs="Arial" w:eastAsia="Arial" w:hAnsi="Arial"/>
                <w:sz w:val="14"/>
                <w:szCs w:val="14"/>
                <w:color w:val="auto"/>
              </w:rPr>
              <w:t>— $</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52,038</w:t>
            </w:r>
          </w:p>
        </w:tc>
        <w:tc>
          <w:tcPr>
            <w:tcW w:w="80" w:type="dxa"/>
            <w:vAlign w:val="bottom"/>
            <w:shd w:val="clear" w:color="auto" w:fill="CCEEFF"/>
          </w:tcPr>
          <w:p>
            <w:pPr>
              <w:spacing w:after="0"/>
              <w:rPr>
                <w:sz w:val="7"/>
                <w:szCs w:val="7"/>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40" w:type="dxa"/>
            <w:vAlign w:val="bottom"/>
            <w:tcBorders>
              <w:right w:val="single" w:sz="8" w:color="CCEEFF"/>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50,703</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8,480 $</w:t>
            </w:r>
          </w:p>
        </w:tc>
        <w:tc>
          <w:tcPr>
            <w:tcW w:w="880" w:type="dxa"/>
            <w:vAlign w:val="bottom"/>
            <w:gridSpan w:val="2"/>
            <w:vMerge w:val="restart"/>
            <w:shd w:val="clear" w:color="auto" w:fill="CCEEFF"/>
          </w:tcPr>
          <w:p>
            <w:pPr>
              <w:ind w:left="480"/>
              <w:spacing w:after="0"/>
              <w:rPr>
                <w:sz w:val="20"/>
                <w:szCs w:val="20"/>
                <w:color w:val="auto"/>
              </w:rPr>
            </w:pPr>
            <w:r>
              <w:rPr>
                <w:rFonts w:ascii="Arial" w:cs="Arial" w:eastAsia="Arial" w:hAnsi="Arial"/>
                <w:sz w:val="14"/>
                <w:szCs w:val="14"/>
                <w:color w:val="auto"/>
              </w:rPr>
              <w:t>— $</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59,183</w:t>
            </w:r>
          </w:p>
        </w:tc>
        <w:tc>
          <w:tcPr>
            <w:tcW w:w="0" w:type="dxa"/>
            <w:vAlign w:val="bottom"/>
          </w:tcPr>
          <w:p>
            <w:pPr>
              <w:spacing w:after="0"/>
              <w:rPr>
                <w:sz w:val="1"/>
                <w:szCs w:val="1"/>
                <w:color w:val="auto"/>
              </w:rPr>
            </w:pPr>
          </w:p>
        </w:tc>
      </w:tr>
      <w:tr>
        <w:trPr>
          <w:trHeight w:val="149"/>
        </w:trPr>
        <w:tc>
          <w:tcPr>
            <w:tcW w:w="1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value</w:t>
            </w:r>
          </w:p>
        </w:tc>
        <w:tc>
          <w:tcPr>
            <w:tcW w:w="1040" w:type="dxa"/>
            <w:vAlign w:val="bottom"/>
            <w:tcBorders>
              <w:right w:val="single" w:sz="8" w:color="CCEEFF"/>
            </w:tcBorders>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700" w:type="dxa"/>
            <w:vAlign w:val="bottom"/>
            <w:tcBorders>
              <w:right w:val="single" w:sz="8" w:color="CCEEFF"/>
            </w:tcBorders>
            <w:vMerge w:val="continue"/>
            <w:shd w:val="clear" w:color="auto" w:fill="CCEEFF"/>
          </w:tcPr>
          <w:p>
            <w:pPr>
              <w:spacing w:after="0"/>
              <w:rPr>
                <w:sz w:val="12"/>
                <w:szCs w:val="12"/>
                <w:color w:val="auto"/>
              </w:rPr>
            </w:pPr>
          </w:p>
        </w:tc>
        <w:tc>
          <w:tcPr>
            <w:tcW w:w="140" w:type="dxa"/>
            <w:vAlign w:val="bottom"/>
            <w:vMerge w:val="continue"/>
            <w:shd w:val="clear" w:color="auto" w:fill="CCEEFF"/>
          </w:tcPr>
          <w:p>
            <w:pPr>
              <w:spacing w:after="0"/>
              <w:rPr>
                <w:sz w:val="12"/>
                <w:szCs w:val="12"/>
                <w:color w:val="auto"/>
              </w:rPr>
            </w:pPr>
          </w:p>
        </w:tc>
        <w:tc>
          <w:tcPr>
            <w:tcW w:w="680" w:type="dxa"/>
            <w:vAlign w:val="bottom"/>
            <w:tcBorders>
              <w:right w:val="single" w:sz="8" w:color="CCEEFF"/>
            </w:tcBorders>
            <w:vMerge w:val="continue"/>
            <w:shd w:val="clear" w:color="auto" w:fill="CCEEFF"/>
          </w:tcPr>
          <w:p>
            <w:pPr>
              <w:spacing w:after="0"/>
              <w:rPr>
                <w:sz w:val="12"/>
                <w:szCs w:val="12"/>
                <w:color w:val="auto"/>
              </w:rPr>
            </w:pPr>
          </w:p>
        </w:tc>
        <w:tc>
          <w:tcPr>
            <w:tcW w:w="100" w:type="dxa"/>
            <w:vAlign w:val="bottom"/>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740" w:type="dxa"/>
            <w:vAlign w:val="bottom"/>
            <w:tcBorders>
              <w:right w:val="single" w:sz="8" w:color="CCEEFF"/>
            </w:tcBorders>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7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4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did not have any financial liabilities measured on a recurring basis as of March 31, 2019 or December 31,</w:t>
      </w:r>
    </w:p>
    <w:p>
      <w:pPr>
        <w:spacing w:after="0"/>
        <w:rPr>
          <w:sz w:val="20"/>
          <w:szCs w:val="20"/>
          <w:color w:val="auto"/>
        </w:rPr>
      </w:pPr>
      <w:r>
        <w:rPr>
          <w:rFonts w:ascii="Arial" w:cs="Arial" w:eastAsia="Arial" w:hAnsi="Arial"/>
          <w:sz w:val="18"/>
          <w:szCs w:val="18"/>
          <w:color w:val="auto"/>
        </w:rPr>
        <w:t>2018.</w:t>
      </w:r>
    </w:p>
    <w:p>
      <w:pPr>
        <w:spacing w:after="0" w:line="128" w:lineRule="exact"/>
        <w:rPr>
          <w:sz w:val="20"/>
          <w:szCs w:val="20"/>
          <w:color w:val="auto"/>
        </w:rPr>
      </w:pPr>
    </w:p>
    <w:p>
      <w:pPr>
        <w:jc w:val="both"/>
        <w:ind w:right="140" w:firstLine="441"/>
        <w:spacing w:after="0" w:line="224" w:lineRule="auto"/>
        <w:rPr>
          <w:sz w:val="20"/>
          <w:szCs w:val="20"/>
          <w:color w:val="auto"/>
        </w:rPr>
      </w:pPr>
      <w:r>
        <w:rPr>
          <w:rFonts w:ascii="Arial" w:cs="Arial" w:eastAsia="Arial" w:hAnsi="Arial"/>
          <w:sz w:val="18"/>
          <w:szCs w:val="18"/>
          <w:color w:val="auto"/>
        </w:rPr>
        <w:t>During the three-month period ended March 31, 2019, there were no transfers between Level 1, Level 2 or Level 3 assets or liabilities reported at fair value on a recurring basis and the valuation techniques used did not change compared to the Company’s established practice.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0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6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Laboratory equipment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Software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0"/>
        </w:trPr>
        <w:tc>
          <w:tcPr>
            <w:tcW w:w="68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3,165</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r>
      <w:tr>
        <w:trPr>
          <w:trHeight w:val="217"/>
        </w:trPr>
        <w:tc>
          <w:tcPr>
            <w:tcW w:w="68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2,173</w:t>
            </w:r>
          </w:p>
        </w:tc>
      </w:tr>
    </w:tbl>
    <w:p>
      <w:pPr>
        <w:spacing w:after="0" w:line="323" w:lineRule="exact"/>
        <w:rPr>
          <w:sz w:val="20"/>
          <w:szCs w:val="20"/>
          <w:color w:val="auto"/>
        </w:rPr>
      </w:pPr>
    </w:p>
    <w:p>
      <w:pPr>
        <w:ind w:right="580" w:firstLine="441"/>
        <w:spacing w:after="0" w:line="235" w:lineRule="auto"/>
        <w:rPr>
          <w:sz w:val="20"/>
          <w:szCs w:val="20"/>
          <w:color w:val="auto"/>
        </w:rPr>
      </w:pPr>
      <w:r>
        <w:rPr>
          <w:rFonts w:ascii="Arial" w:cs="Arial" w:eastAsia="Arial" w:hAnsi="Arial"/>
          <w:sz w:val="18"/>
          <w:szCs w:val="18"/>
          <w:color w:val="auto"/>
        </w:rPr>
        <w:t>Depreciation expense was $0.2 million and $0.2 million for the three-month periods ended March 31, 2019 and 2018,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48" w:lineRule="exact"/>
        <w:rPr>
          <w:sz w:val="20"/>
          <w:szCs w:val="20"/>
          <w:color w:val="auto"/>
        </w:rPr>
      </w:pPr>
    </w:p>
    <w:p>
      <w:pPr>
        <w:ind w:right="180" w:firstLine="441"/>
        <w:spacing w:after="0" w:line="214" w:lineRule="auto"/>
        <w:rPr>
          <w:sz w:val="20"/>
          <w:szCs w:val="20"/>
          <w:color w:val="auto"/>
        </w:rPr>
      </w:pPr>
      <w:r>
        <w:rPr>
          <w:rFonts w:ascii="Arial" w:cs="Arial" w:eastAsia="Arial" w:hAnsi="Arial"/>
          <w:sz w:val="18"/>
          <w:szCs w:val="18"/>
          <w:color w:val="auto"/>
        </w:rPr>
        <w:t>Intangible assets primarily consist of acquired licenses to utilize certain patents, know-how and technology relating to the Company’s NPS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March 31,</w:t>
            </w:r>
          </w:p>
        </w:tc>
        <w:tc>
          <w:tcPr>
            <w:tcW w:w="16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3520" w:type="dxa"/>
            <w:vAlign w:val="bottom"/>
            <w:tcBorders>
              <w:bottom w:val="single" w:sz="8" w:color="CCEEFF"/>
            </w:tcBorders>
          </w:tcPr>
          <w:p>
            <w:pPr>
              <w:spacing w:after="0"/>
              <w:rPr>
                <w:sz w:val="16"/>
                <w:szCs w:val="16"/>
                <w:color w:val="auto"/>
              </w:rPr>
            </w:pPr>
          </w:p>
        </w:tc>
        <w:tc>
          <w:tcPr>
            <w:tcW w:w="3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6"/>
                <w:szCs w:val="16"/>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Acquired patents and licenses</w:t>
            </w:r>
          </w:p>
        </w:tc>
        <w:tc>
          <w:tcPr>
            <w:tcW w:w="3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457"/>
              <w:spacing w:after="0"/>
              <w:rPr>
                <w:sz w:val="20"/>
                <w:szCs w:val="20"/>
                <w:color w:val="auto"/>
              </w:rPr>
            </w:pPr>
            <w:r>
              <w:rPr>
                <w:rFonts w:ascii="Arial" w:cs="Arial" w:eastAsia="Arial" w:hAnsi="Arial"/>
                <w:sz w:val="18"/>
                <w:szCs w:val="18"/>
                <w:color w:val="auto"/>
                <w:w w:val="93"/>
              </w:rPr>
              <w:t>7,985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7,985</w:t>
            </w:r>
          </w:p>
        </w:tc>
        <w:tc>
          <w:tcPr>
            <w:tcW w:w="40" w:type="dxa"/>
            <w:vAlign w:val="bottom"/>
          </w:tcPr>
          <w:p>
            <w:pPr>
              <w:spacing w:after="0"/>
              <w:rPr>
                <w:sz w:val="18"/>
                <w:szCs w:val="18"/>
                <w:color w:val="auto"/>
              </w:rPr>
            </w:pPr>
          </w:p>
        </w:tc>
      </w:tr>
      <w:tr>
        <w:trPr>
          <w:trHeight w:val="230"/>
        </w:trPr>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3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437"/>
              <w:spacing w:after="0"/>
              <w:rPr>
                <w:sz w:val="20"/>
                <w:szCs w:val="20"/>
                <w:color w:val="auto"/>
              </w:rPr>
            </w:pPr>
            <w:r>
              <w:rPr>
                <w:rFonts w:ascii="Arial" w:cs="Arial" w:eastAsia="Arial" w:hAnsi="Arial"/>
                <w:sz w:val="18"/>
                <w:szCs w:val="18"/>
                <w:color w:val="auto"/>
                <w:w w:val="91"/>
              </w:rPr>
              <w:t>(2,939)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477"/>
              <w:spacing w:after="0"/>
              <w:rPr>
                <w:sz w:val="20"/>
                <w:szCs w:val="20"/>
                <w:color w:val="auto"/>
              </w:rPr>
            </w:pPr>
            <w:r>
              <w:rPr>
                <w:rFonts w:ascii="Arial" w:cs="Arial" w:eastAsia="Arial" w:hAnsi="Arial"/>
                <w:sz w:val="18"/>
                <w:szCs w:val="18"/>
                <w:color w:val="auto"/>
                <w:w w:val="91"/>
              </w:rPr>
              <w:t>(2,772)</w:t>
            </w:r>
          </w:p>
        </w:tc>
        <w:tc>
          <w:tcPr>
            <w:tcW w:w="40" w:type="dxa"/>
            <w:vAlign w:val="bottom"/>
          </w:tcPr>
          <w:p>
            <w:pPr>
              <w:spacing w:after="0"/>
              <w:rPr>
                <w:sz w:val="19"/>
                <w:szCs w:val="19"/>
                <w:color w:val="auto"/>
              </w:rPr>
            </w:pPr>
          </w:p>
        </w:tc>
      </w:tr>
      <w:tr>
        <w:trPr>
          <w:trHeight w:val="230"/>
        </w:trPr>
        <w:tc>
          <w:tcPr>
            <w:tcW w:w="3520" w:type="dxa"/>
            <w:vAlign w:val="bottom"/>
            <w:shd w:val="clear" w:color="auto" w:fill="CCEEFF"/>
          </w:tcPr>
          <w:p>
            <w:pPr>
              <w:spacing w:after="0"/>
              <w:rPr>
                <w:sz w:val="19"/>
                <w:szCs w:val="19"/>
                <w:color w:val="auto"/>
              </w:rPr>
            </w:pPr>
          </w:p>
        </w:tc>
        <w:tc>
          <w:tcPr>
            <w:tcW w:w="3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457"/>
              <w:spacing w:after="0"/>
              <w:rPr>
                <w:sz w:val="20"/>
                <w:szCs w:val="20"/>
                <w:color w:val="auto"/>
              </w:rPr>
            </w:pPr>
            <w:r>
              <w:rPr>
                <w:rFonts w:ascii="Arial" w:cs="Arial" w:eastAsia="Arial" w:hAnsi="Arial"/>
                <w:sz w:val="18"/>
                <w:szCs w:val="18"/>
                <w:color w:val="auto"/>
                <w:w w:val="93"/>
              </w:rPr>
              <w:t>5,046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17"/>
              <w:spacing w:after="0"/>
              <w:rPr>
                <w:sz w:val="20"/>
                <w:szCs w:val="20"/>
                <w:color w:val="auto"/>
              </w:rPr>
            </w:pPr>
            <w:r>
              <w:rPr>
                <w:rFonts w:ascii="Arial" w:cs="Arial" w:eastAsia="Arial" w:hAnsi="Arial"/>
                <w:sz w:val="18"/>
                <w:szCs w:val="18"/>
                <w:color w:val="auto"/>
                <w:w w:val="88"/>
              </w:rPr>
              <w:t>5,213</w:t>
            </w:r>
          </w:p>
        </w:tc>
        <w:tc>
          <w:tcPr>
            <w:tcW w:w="40" w:type="dxa"/>
            <w:vAlign w:val="bottom"/>
          </w:tcPr>
          <w:p>
            <w:pPr>
              <w:spacing w:after="0"/>
              <w:rPr>
                <w:sz w:val="19"/>
                <w:szCs w:val="19"/>
                <w:color w:val="auto"/>
              </w:rPr>
            </w:pPr>
          </w:p>
        </w:tc>
      </w:tr>
      <w:tr>
        <w:trPr>
          <w:trHeight w:val="581"/>
        </w:trPr>
        <w:tc>
          <w:tcPr>
            <w:tcW w:w="352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jc w:val="right"/>
              <w:ind w:right="197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352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3520" w:type="dxa"/>
            <w:vAlign w:val="bottom"/>
            <w:tcBorders>
              <w:bottom w:val="single" w:sz="8" w:color="EEEEEE"/>
            </w:tcBorders>
          </w:tcPr>
          <w:p>
            <w:pPr>
              <w:spacing w:after="0" w:line="20" w:lineRule="exact"/>
              <w:rPr>
                <w:sz w:val="1"/>
                <w:szCs w:val="1"/>
                <w:color w:val="auto"/>
              </w:rPr>
            </w:pPr>
          </w:p>
        </w:tc>
        <w:tc>
          <w:tcPr>
            <w:tcW w:w="33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620" w:firstLine="405"/>
        <w:spacing w:after="0" w:line="235" w:lineRule="auto"/>
        <w:rPr>
          <w:sz w:val="20"/>
          <w:szCs w:val="20"/>
          <w:color w:val="auto"/>
        </w:rPr>
      </w:pPr>
      <w:r>
        <w:rPr>
          <w:rFonts w:ascii="Arial" w:cs="Arial" w:eastAsia="Arial" w:hAnsi="Arial"/>
          <w:sz w:val="18"/>
          <w:szCs w:val="18"/>
          <w:color w:val="auto"/>
        </w:rPr>
        <w:t>A schedule of the amortization of intangible assets for the remainder of 2019 and the succeeding five fiscal years and thereafter is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2019 (remaining 9 months)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2024</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r>
      <w:tr>
        <w:trPr>
          <w:trHeight w:val="217"/>
        </w:trPr>
        <w:tc>
          <w:tcPr>
            <w:tcW w:w="794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5,046</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75" w:lineRule="exact"/>
        <w:rPr>
          <w:sz w:val="20"/>
          <w:szCs w:val="20"/>
          <w:color w:val="auto"/>
        </w:rPr>
      </w:pPr>
    </w:p>
    <w:p>
      <w:pPr>
        <w:jc w:val="both"/>
        <w:ind w:firstLine="363"/>
        <w:spacing w:after="0" w:line="259" w:lineRule="auto"/>
        <w:rPr>
          <w:sz w:val="20"/>
          <w:szCs w:val="20"/>
          <w:color w:val="auto"/>
        </w:rPr>
      </w:pPr>
      <w:r>
        <w:rPr>
          <w:rFonts w:ascii="Arial" w:cs="Arial" w:eastAsia="Arial" w:hAnsi="Arial"/>
          <w:sz w:val="16"/>
          <w:szCs w:val="16"/>
          <w:color w:val="auto"/>
        </w:rPr>
        <w:t xml:space="preserve">During 2014, the Company acquired three companies (the “acquisitions”) for aggregate consideration of $5.5 million.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recorded goodwill of $2.8 million in connection with the acquisitions as the consideration paid exceeded the fair value of the net tangible assets and the intangible assets acquired.</w:t>
      </w:r>
    </w:p>
    <w:p>
      <w:pPr>
        <w:spacing w:after="0" w:line="120" w:lineRule="exact"/>
        <w:rPr>
          <w:sz w:val="20"/>
          <w:szCs w:val="20"/>
          <w:color w:val="auto"/>
        </w:rPr>
      </w:pPr>
    </w:p>
    <w:p>
      <w:pPr>
        <w:jc w:val="both"/>
        <w:ind w:firstLine="363"/>
        <w:spacing w:after="0" w:line="219" w:lineRule="auto"/>
        <w:rPr>
          <w:sz w:val="20"/>
          <w:szCs w:val="20"/>
          <w:color w:val="auto"/>
        </w:rPr>
      </w:pPr>
      <w:r>
        <w:rPr>
          <w:rFonts w:ascii="Arial" w:cs="Arial" w:eastAsia="Arial" w:hAnsi="Arial"/>
          <w:sz w:val="18"/>
          <w:szCs w:val="18"/>
          <w:color w:val="auto"/>
        </w:rPr>
        <w:t>The Company reviews goodwill for impairment at least annually or whenever changes in circumstances indicate that the carrying amount of goodwill may not be recoverable. Based on the Company’s annual impairment test as of December 31, 2018 the Company determined that no impairment of goodwill existed and was not aware of any indicators of impairment at such date. In addition, there were no indicators of impairment at March 31, 2019.</w:t>
      </w:r>
    </w:p>
    <w:p>
      <w:pPr>
        <w:sectPr>
          <w:pgSz w:w="11900" w:h="16838" w:orient="portrait"/>
          <w:cols w:equalWidth="0" w:num="1">
            <w:col w:w="9460"/>
          </w:cols>
          <w:pgMar w:left="1220" w:top="108" w:right="121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Accrued expenses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415290</wp:posOffset>
            </wp:positionV>
            <wp:extent cx="601154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Accrued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1154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Professional fees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1154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11545"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396" w:lineRule="exact"/>
        <w:rPr>
          <w:sz w:val="20"/>
          <w:szCs w:val="20"/>
          <w:color w:val="auto"/>
        </w:rPr>
      </w:pPr>
    </w:p>
    <w:p>
      <w:pPr>
        <w:ind w:right="1780"/>
        <w:spacing w:after="0" w:line="409" w:lineRule="auto"/>
        <w:rPr>
          <w:sz w:val="20"/>
          <w:szCs w:val="20"/>
          <w:color w:val="auto"/>
        </w:rPr>
      </w:pPr>
      <w:r>
        <w:rPr>
          <w:rFonts w:ascii="Arial" w:cs="Arial" w:eastAsia="Arial" w:hAnsi="Arial"/>
          <w:sz w:val="18"/>
          <w:szCs w:val="18"/>
          <w:b w:val="1"/>
          <w:bCs w:val="1"/>
          <w:color w:val="auto"/>
        </w:rPr>
        <w:t xml:space="preserve">8. Stockholders’ Equity and Stock-Based Compensation </w:t>
      </w:r>
      <w:r>
        <w:rPr>
          <w:rFonts w:ascii="Arial" w:cs="Arial" w:eastAsia="Arial" w:hAnsi="Arial"/>
          <w:sz w:val="18"/>
          <w:szCs w:val="18"/>
          <w:b w:val="1"/>
          <w:bCs w:val="1"/>
          <w:i w:val="1"/>
          <w:iCs w:val="1"/>
          <w:color w:val="auto"/>
        </w:rPr>
        <w:t>Rights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6"/>
                <w:szCs w:val="16"/>
                <w:color w:val="auto"/>
              </w:rPr>
            </w:pPr>
          </w:p>
        </w:tc>
        <w:tc>
          <w:tcPr>
            <w:tcW w:w="108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09"/>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672</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r>
      <w:tr>
        <w:trPr>
          <w:trHeight w:val="230"/>
        </w:trPr>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w:t>
            </w:r>
          </w:p>
        </w:tc>
      </w:tr>
    </w:tbl>
    <w:p>
      <w:pPr>
        <w:spacing w:after="0" w:line="850" w:lineRule="exact"/>
        <w:rPr>
          <w:sz w:val="20"/>
          <w:szCs w:val="20"/>
          <w:color w:val="auto"/>
        </w:rPr>
      </w:pPr>
    </w:p>
    <w:p>
      <w:pPr>
        <w:sectPr>
          <w:pgSz w:w="11900" w:h="16838" w:orient="portrait"/>
          <w:cols w:equalWidth="0" w:num="2">
            <w:col w:w="6120" w:space="720"/>
            <w:col w:w="2620"/>
          </w:cols>
          <w:pgMar w:left="1220" w:top="108" w:right="1219" w:bottom="1440" w:gutter="0" w:footer="0" w:header="0"/>
          <w:type w:val="continuous"/>
        </w:sectPr>
      </w:pPr>
    </w:p>
    <w:p>
      <w:pPr>
        <w:ind w:firstLine="441"/>
        <w:spacing w:after="0" w:line="259" w:lineRule="auto"/>
        <w:rPr>
          <w:sz w:val="20"/>
          <w:szCs w:val="20"/>
          <w:color w:val="auto"/>
        </w:rPr>
      </w:pPr>
      <w:r>
        <w:rPr>
          <w:rFonts w:ascii="Arial" w:cs="Arial" w:eastAsia="Arial" w:hAnsi="Arial"/>
          <w:sz w:val="16"/>
          <w:szCs w:val="16"/>
          <w:color w:val="auto"/>
        </w:rPr>
        <w:t>On October 25, 2018, the Company commenced a rights offering pursuant to which stockholders of record as of November 19, 2018, were issued, at no charge, one subscription right for each share of common stock then outstanding. Each right entitled the holder to purchase 0.19860755 share of the Company’s common stock for $12.57 per share (the “Rights Offering”).</w:t>
      </w:r>
    </w:p>
    <w:p>
      <w:pPr>
        <w:spacing w:after="0" w:line="120" w:lineRule="exact"/>
        <w:rPr>
          <w:sz w:val="20"/>
          <w:szCs w:val="20"/>
          <w:color w:val="auto"/>
        </w:rPr>
      </w:pPr>
    </w:p>
    <w:p>
      <w:pPr>
        <w:ind w:firstLine="441"/>
        <w:spacing w:after="0" w:line="224" w:lineRule="auto"/>
        <w:rPr>
          <w:sz w:val="20"/>
          <w:szCs w:val="20"/>
          <w:color w:val="auto"/>
        </w:rPr>
      </w:pPr>
      <w:r>
        <w:rPr>
          <w:rFonts w:ascii="Arial" w:cs="Arial" w:eastAsia="Arial" w:hAnsi="Arial"/>
          <w:sz w:val="18"/>
          <w:szCs w:val="18"/>
          <w:color w:val="auto"/>
        </w:rPr>
        <w:t>Stockholders who exercised their rights in full were also permitted an over-subscription right to purchase additional shares of common stock that remained unsubscribed at the expiration of the Rights Offering, subject to the availability of shares and a pro rata allocation of shares among persons exercising the oversubscription right.</w:t>
      </w:r>
    </w:p>
    <w:p>
      <w:pPr>
        <w:spacing w:after="0" w:line="123" w:lineRule="exact"/>
        <w:rPr>
          <w:sz w:val="20"/>
          <w:szCs w:val="20"/>
          <w:color w:val="auto"/>
        </w:rPr>
      </w:pPr>
    </w:p>
    <w:p>
      <w:pPr>
        <w:ind w:right="40" w:firstLine="441"/>
        <w:spacing w:after="0" w:line="229" w:lineRule="auto"/>
        <w:rPr>
          <w:sz w:val="20"/>
          <w:szCs w:val="20"/>
          <w:color w:val="auto"/>
        </w:rPr>
      </w:pPr>
      <w:r>
        <w:rPr>
          <w:rFonts w:ascii="Arial" w:cs="Arial" w:eastAsia="Arial" w:hAnsi="Arial"/>
          <w:sz w:val="17"/>
          <w:szCs w:val="17"/>
          <w:color w:val="auto"/>
        </w:rPr>
        <w:t>Upon the closing of the Rights Offering on December 6, 2018, the Rights Offering was oversubscribed. A total of 3,581,148 shares of the Company’s common stock were issued and sold in the Rights Offering for net proceeds of approximately $44.8 million. Robert W. Duggan, the Company’s Chairman of the Board of Directors and the beneficial owner of approximately 35% of the Company’s outstanding common stock prior to the Rights Offering, participated in the Rights Offering and purchased an aggregate of 3,146,226 shares for an additional investment of approximately $39.5 million.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6"/>
          <w:szCs w:val="16"/>
          <w:color w:val="auto"/>
        </w:rPr>
        <w:t>In connection with a private placement offering of the Company’s common stock, par value $0.001 per share in 2014, the Company issued warrants as compensation to the placement agent to purchase a total of 299,625 shares of its common stock at a price of $2.67 per share (the “Private Placement Warrants”). The Private Placement Warrants are exercisable for a period of seven years. As of March 31, 2019, there were a total of 91,876 Private Placement Warrants outstanding. In connection with the closing of the Company’s initial public offering in 2016, the Company issued warrants as compensation to its underwriters to purchase a total of 574,985 shares of its common stock at a price of $5.00 per share (“the IPO Warrants”). The IPO Warrants are exercisable for a period of five years. As of March 31, 2019, there were a total of 121,609 of the IPO Warrants outstanding.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 and 2017 Inducement Equity Incentive Plan</w:t>
      </w:r>
    </w:p>
    <w:p>
      <w:pPr>
        <w:spacing w:after="0" w:line="171" w:lineRule="exact"/>
        <w:rPr>
          <w:sz w:val="20"/>
          <w:szCs w:val="20"/>
          <w:color w:val="auto"/>
        </w:rPr>
      </w:pPr>
    </w:p>
    <w:p>
      <w:pPr>
        <w:ind w:right="320" w:firstLine="356"/>
        <w:spacing w:after="0" w:line="235" w:lineRule="auto"/>
        <w:rPr>
          <w:sz w:val="20"/>
          <w:szCs w:val="20"/>
          <w:color w:val="auto"/>
        </w:rPr>
      </w:pPr>
      <w:r>
        <w:rPr>
          <w:rFonts w:ascii="Arial" w:cs="Arial" w:eastAsia="Arial" w:hAnsi="Arial"/>
          <w:sz w:val="18"/>
          <w:szCs w:val="18"/>
          <w:color w:val="auto"/>
        </w:rPr>
        <w:t>The Board of Directors of the Company (the “Board”) previously adopted, and the Company’s stockholders approved, the Company’s 2017 Equity Incentive Plan (the “2017 Plan”).</w:t>
      </w:r>
    </w:p>
    <w:p>
      <w:pPr>
        <w:spacing w:after="0" w:line="148" w:lineRule="exact"/>
        <w:rPr>
          <w:sz w:val="20"/>
          <w:szCs w:val="20"/>
          <w:color w:val="auto"/>
        </w:rPr>
      </w:pPr>
    </w:p>
    <w:p>
      <w:pPr>
        <w:ind w:right="40" w:firstLine="356"/>
        <w:spacing w:after="0" w:line="234" w:lineRule="auto"/>
        <w:rPr>
          <w:sz w:val="20"/>
          <w:szCs w:val="20"/>
          <w:color w:val="auto"/>
        </w:rPr>
      </w:pPr>
      <w:r>
        <w:rPr>
          <w:rFonts w:ascii="Arial" w:cs="Arial" w:eastAsia="Arial" w:hAnsi="Arial"/>
          <w:sz w:val="16"/>
          <w:szCs w:val="16"/>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2019, the Company’s Board authorized an increase in the number of shares of common stock available under the 2017 Plan by 823,716 shares pursuant to the evergreen provision of the 2017 Plan. Pursuant to the 2017 Plan, the 2019 share increase is determined based on the least of (i) 1,200,000 shares, (ii) 4% of the Company’s common stock outstanding at December 31 of the immediately preceding year, or (iii) such number of shares as determined by the Board. As of March 31, 2019, 1,375,516 shares of common stock were available for issuance under the 2017 Plan.</w:t>
      </w:r>
    </w:p>
    <w:p>
      <w:pPr>
        <w:spacing w:after="0" w:line="139" w:lineRule="exact"/>
        <w:rPr>
          <w:sz w:val="20"/>
          <w:szCs w:val="20"/>
          <w:color w:val="auto"/>
        </w:rPr>
      </w:pPr>
    </w:p>
    <w:p>
      <w:pPr>
        <w:jc w:val="both"/>
        <w:ind w:right="40" w:firstLine="356"/>
        <w:spacing w:after="0" w:line="224" w:lineRule="auto"/>
        <w:rPr>
          <w:sz w:val="20"/>
          <w:szCs w:val="20"/>
          <w:color w:val="auto"/>
        </w:rPr>
      </w:pPr>
      <w:r>
        <w:rPr>
          <w:rFonts w:ascii="Arial" w:cs="Arial" w:eastAsia="Arial" w:hAnsi="Arial"/>
          <w:sz w:val="18"/>
          <w:szCs w:val="18"/>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50" w:lineRule="exact"/>
        <w:rPr>
          <w:sz w:val="20"/>
          <w:szCs w:val="20"/>
          <w:color w:val="auto"/>
        </w:rPr>
      </w:pPr>
    </w:p>
    <w:p>
      <w:pPr>
        <w:ind w:right="140" w:firstLine="356"/>
        <w:spacing w:after="0" w:line="237" w:lineRule="auto"/>
        <w:rPr>
          <w:sz w:val="20"/>
          <w:szCs w:val="20"/>
          <w:color w:val="auto"/>
        </w:rPr>
      </w:pPr>
      <w:r>
        <w:rPr>
          <w:rFonts w:ascii="Arial" w:cs="Arial" w:eastAsia="Arial" w:hAnsi="Arial"/>
          <w:sz w:val="16"/>
          <w:szCs w:val="16"/>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upon the first anniversary of the grant and 1/48th monthly thereafter, over the subsequent 36 months. Equity-based awards issued under the Inducement Plan are only issuable to individuals not previously engaged as employees or non-employee directors of the Company prior to the Inducement Plan’s adoption date. As of March 31, 2019, 515,250 shares of common stock were available for issuance under the Inducement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58" w:lineRule="exact"/>
        <w:rPr>
          <w:sz w:val="20"/>
          <w:szCs w:val="20"/>
          <w:color w:val="auto"/>
        </w:rPr>
      </w:pPr>
    </w:p>
    <w:p>
      <w:pPr>
        <w:ind w:firstLine="356"/>
        <w:spacing w:after="0" w:line="235" w:lineRule="auto"/>
        <w:rPr>
          <w:sz w:val="20"/>
          <w:szCs w:val="20"/>
          <w:color w:val="auto"/>
        </w:rPr>
      </w:pPr>
      <w:r>
        <w:rPr>
          <w:rFonts w:ascii="Arial" w:cs="Arial" w:eastAsia="Arial" w:hAnsi="Arial"/>
          <w:sz w:val="18"/>
          <w:szCs w:val="18"/>
          <w:color w:val="auto"/>
        </w:rPr>
        <w:t>The Board previously adopted and the stockholders approved the Company’s 2017 Employee Stock Purchase Plan (the “2017 ESPP”).</w:t>
      </w:r>
    </w:p>
    <w:p>
      <w:pPr>
        <w:spacing w:after="0" w:line="148" w:lineRule="exact"/>
        <w:rPr>
          <w:sz w:val="20"/>
          <w:szCs w:val="20"/>
          <w:color w:val="auto"/>
        </w:rPr>
      </w:pPr>
    </w:p>
    <w:p>
      <w:pPr>
        <w:ind w:right="60" w:firstLine="356"/>
        <w:spacing w:after="0" w:line="233" w:lineRule="auto"/>
        <w:rPr>
          <w:sz w:val="20"/>
          <w:szCs w:val="20"/>
          <w:color w:val="auto"/>
        </w:rPr>
      </w:pPr>
      <w:r>
        <w:rPr>
          <w:rFonts w:ascii="Arial" w:cs="Arial" w:eastAsia="Arial" w:hAnsi="Arial"/>
          <w:sz w:val="16"/>
          <w:szCs w:val="16"/>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w:t>
      </w:r>
    </w:p>
    <w:p>
      <w:pPr>
        <w:spacing w:after="0" w:line="1"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1.5% of the Company’s common stock outstanding at December 31 of the immediately preceding year, or (iii) such number of shares as determined by the Board. In January 2019, the Board determined not to increase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51" w:lineRule="exact"/>
        <w:rPr>
          <w:sz w:val="20"/>
          <w:szCs w:val="20"/>
          <w:color w:val="auto"/>
        </w:rPr>
      </w:pPr>
    </w:p>
    <w:p>
      <w:pPr>
        <w:jc w:val="both"/>
        <w:ind w:right="200"/>
        <w:spacing w:after="0" w:line="238" w:lineRule="auto"/>
        <w:rPr>
          <w:sz w:val="20"/>
          <w:szCs w:val="20"/>
          <w:color w:val="auto"/>
        </w:rPr>
      </w:pPr>
      <w:r>
        <w:rPr>
          <w:rFonts w:ascii="Arial" w:cs="Arial" w:eastAsia="Arial" w:hAnsi="Arial"/>
          <w:sz w:val="17"/>
          <w:szCs w:val="17"/>
          <w:color w:val="auto"/>
        </w:rPr>
        <w:t>number of shares of common stock available under the 2017 ESPP pursuant to the evergreen provision of the 2017 ESPP. During the three-month period ended March 31, 2019, the Company issued 18,574 shares of common stock under the 2017 ESPP. As of March 31, 2019, 459,900 shares of common stock were available for issuance under the 2017 ESPP.</w:t>
      </w:r>
    </w:p>
    <w:p>
      <w:pPr>
        <w:spacing w:after="0" w:line="134" w:lineRule="exact"/>
        <w:rPr>
          <w:sz w:val="20"/>
          <w:szCs w:val="20"/>
          <w:color w:val="auto"/>
        </w:rPr>
      </w:pPr>
    </w:p>
    <w:p>
      <w:pPr>
        <w:ind w:right="680" w:firstLine="363"/>
        <w:spacing w:after="0" w:line="235" w:lineRule="auto"/>
        <w:tabs>
          <w:tab w:leader="none" w:pos="583"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stock option activity under the 2015 Plan, 2017 Plan and Inducement Plan for the three-months ended March 31, 2019 is presented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9"/>
              </w:rPr>
              <w:t>Stock Options Outstanding</w:t>
            </w:r>
          </w:p>
        </w:tc>
        <w:tc>
          <w:tcPr>
            <w:tcW w:w="1540" w:type="dxa"/>
            <w:vAlign w:val="bottom"/>
            <w:tcBorders>
              <w:bottom w:val="single" w:sz="8" w:color="auto"/>
            </w:tcBorders>
          </w:tcPr>
          <w:p>
            <w:pPr>
              <w:spacing w:after="0"/>
              <w:rPr>
                <w:sz w:val="14"/>
                <w:szCs w:val="14"/>
                <w:color w:val="auto"/>
              </w:rPr>
            </w:pPr>
          </w:p>
        </w:tc>
      </w:tr>
      <w:tr>
        <w:trPr>
          <w:trHeight w:val="184"/>
        </w:trPr>
        <w:tc>
          <w:tcPr>
            <w:tcW w:w="45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tcPr>
          <w:p>
            <w:pPr>
              <w:jc w:val="center"/>
              <w:ind w:right="499"/>
              <w:spacing w:after="0"/>
              <w:rPr>
                <w:sz w:val="20"/>
                <w:szCs w:val="20"/>
                <w:color w:val="auto"/>
              </w:rPr>
            </w:pPr>
            <w:r>
              <w:rPr>
                <w:rFonts w:ascii="Arial" w:cs="Arial" w:eastAsia="Arial" w:hAnsi="Arial"/>
                <w:sz w:val="14"/>
                <w:szCs w:val="14"/>
                <w:b w:val="1"/>
                <w:bCs w:val="1"/>
                <w:color w:val="auto"/>
                <w:w w:val="95"/>
              </w:rPr>
              <w:t>Weighted</w:t>
            </w:r>
          </w:p>
        </w:tc>
      </w:tr>
      <w:tr>
        <w:trPr>
          <w:trHeight w:val="189"/>
        </w:trPr>
        <w:tc>
          <w:tcPr>
            <w:tcW w:w="4580" w:type="dxa"/>
            <w:vAlign w:val="bottom"/>
          </w:tcPr>
          <w:p>
            <w:pPr>
              <w:spacing w:after="0"/>
              <w:rPr>
                <w:sz w:val="16"/>
                <w:szCs w:val="16"/>
                <w:color w:val="auto"/>
              </w:rPr>
            </w:pPr>
          </w:p>
        </w:tc>
        <w:tc>
          <w:tcPr>
            <w:tcW w:w="1460" w:type="dxa"/>
            <w:vAlign w:val="bottom"/>
          </w:tcPr>
          <w:p>
            <w:pPr>
              <w:ind w:left="880"/>
              <w:spacing w:after="0"/>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40" w:type="dxa"/>
            <w:vAlign w:val="bottom"/>
          </w:tcPr>
          <w:p>
            <w:pPr>
              <w:jc w:val="center"/>
              <w:ind w:right="499"/>
              <w:spacing w:after="0"/>
              <w:rPr>
                <w:sz w:val="20"/>
                <w:szCs w:val="20"/>
                <w:color w:val="auto"/>
              </w:rPr>
            </w:pPr>
            <w:r>
              <w:rPr>
                <w:rFonts w:ascii="Arial" w:cs="Arial" w:eastAsia="Arial" w:hAnsi="Arial"/>
                <w:sz w:val="14"/>
                <w:szCs w:val="14"/>
                <w:b w:val="1"/>
                <w:bCs w:val="1"/>
                <w:color w:val="auto"/>
                <w:w w:val="90"/>
              </w:rPr>
              <w:t>average</w:t>
            </w:r>
          </w:p>
        </w:tc>
      </w:tr>
      <w:tr>
        <w:trPr>
          <w:trHeight w:val="174"/>
        </w:trPr>
        <w:tc>
          <w:tcPr>
            <w:tcW w:w="45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w w:val="93"/>
              </w:rPr>
              <w:t>of shares</w:t>
            </w: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499"/>
              <w:spacing w:after="0"/>
              <w:rPr>
                <w:sz w:val="20"/>
                <w:szCs w:val="20"/>
                <w:color w:val="auto"/>
              </w:rPr>
            </w:pPr>
            <w:r>
              <w:rPr>
                <w:rFonts w:ascii="Arial" w:cs="Arial" w:eastAsia="Arial" w:hAnsi="Arial"/>
                <w:sz w:val="14"/>
                <w:szCs w:val="14"/>
                <w:b w:val="1"/>
                <w:bCs w:val="1"/>
                <w:color w:val="auto"/>
                <w:w w:val="89"/>
              </w:rPr>
              <w:t>exercise price</w:t>
            </w:r>
          </w:p>
        </w:tc>
      </w:tr>
      <w:tr>
        <w:trPr>
          <w:trHeight w:val="21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Balances — December 31, 2018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2,956,687</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174,303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(98,928)</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Options canceled</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(9,667)</w:t>
            </w: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Options expired</w:t>
            </w:r>
          </w:p>
        </w:tc>
        <w:tc>
          <w:tcPr>
            <w:tcW w:w="1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(150,625)</w:t>
            </w:r>
          </w:p>
        </w:tc>
        <w:tc>
          <w:tcPr>
            <w:tcW w:w="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7"/>
        </w:trPr>
        <w:tc>
          <w:tcPr>
            <w:tcW w:w="4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Balances — March 31, 2019</w:t>
            </w:r>
          </w:p>
        </w:tc>
        <w:tc>
          <w:tcPr>
            <w:tcW w:w="14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2,871,770</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ind w:right="8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17.22</w:t>
            </w:r>
          </w:p>
        </w:tc>
      </w:tr>
      <w:tr>
        <w:trPr>
          <w:trHeight w:val="223"/>
        </w:trPr>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Exercisable — March 31, 2019</w:t>
            </w:r>
          </w:p>
        </w:tc>
        <w:tc>
          <w:tcPr>
            <w:tcW w:w="1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1,446,422</w:t>
            </w:r>
          </w:p>
        </w:tc>
        <w:tc>
          <w:tcPr>
            <w:tcW w:w="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bl>
    <w:p>
      <w:pPr>
        <w:spacing w:after="0" w:line="148"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The table above excludes 42,500 performance stock options granted during the year ended December 31, 2018 for which the performance criteria had not been established as of March 31,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stock-based compensation expense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3080" w:type="dxa"/>
            <w:vAlign w:val="bottom"/>
            <w:gridSpan w:val="4"/>
          </w:tcPr>
          <w:p>
            <w:pPr>
              <w:jc w:val="right"/>
              <w:ind w:right="286"/>
              <w:spacing w:after="0"/>
              <w:rPr>
                <w:sz w:val="20"/>
                <w:szCs w:val="20"/>
                <w:color w:val="auto"/>
              </w:rPr>
            </w:pPr>
            <w:r>
              <w:rPr>
                <w:rFonts w:ascii="Arial" w:cs="Arial" w:eastAsia="Arial" w:hAnsi="Arial"/>
                <w:sz w:val="14"/>
                <w:szCs w:val="14"/>
                <w:b w:val="1"/>
                <w:bCs w:val="1"/>
                <w:color w:val="auto"/>
              </w:rPr>
              <w:t>Three-Month Periods Ended</w:t>
            </w:r>
          </w:p>
        </w:tc>
        <w:tc>
          <w:tcPr>
            <w:tcW w:w="580" w:type="dxa"/>
            <w:vAlign w:val="bottom"/>
          </w:tcPr>
          <w:p>
            <w:pPr>
              <w:spacing w:after="0"/>
              <w:rPr>
                <w:sz w:val="16"/>
                <w:szCs w:val="16"/>
                <w:color w:val="auto"/>
              </w:rPr>
            </w:pPr>
          </w:p>
        </w:tc>
      </w:tr>
      <w:tr>
        <w:trPr>
          <w:trHeight w:val="215"/>
        </w:trPr>
        <w:tc>
          <w:tcPr>
            <w:tcW w:w="580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866"/>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8"/>
                <w:szCs w:val="18"/>
                <w:color w:val="auto"/>
              </w:rPr>
            </w:pPr>
          </w:p>
        </w:tc>
      </w:tr>
      <w:tr>
        <w:trPr>
          <w:trHeight w:val="183"/>
        </w:trPr>
        <w:tc>
          <w:tcPr>
            <w:tcW w:w="58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5"/>
                <w:szCs w:val="15"/>
                <w:color w:val="auto"/>
              </w:rPr>
            </w:pP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w:t>
            </w:r>
          </w:p>
        </w:tc>
      </w:tr>
      <w:tr>
        <w:trPr>
          <w:trHeight w:val="230"/>
        </w:trPr>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w:t>
            </w: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r>
      <w:tr>
        <w:trPr>
          <w:trHeight w:val="217"/>
        </w:trPr>
        <w:tc>
          <w:tcPr>
            <w:tcW w:w="5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Borders>
              <w:bottom w:val="single" w:sz="8" w:color="auto"/>
            </w:tcBorders>
            <w:shd w:val="clear" w:color="auto" w:fill="CCEEFF"/>
          </w:tcPr>
          <w:p>
            <w:pPr>
              <w:jc w:val="right"/>
              <w:ind w:right="98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98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w:t>
            </w:r>
          </w:p>
        </w:tc>
      </w:tr>
    </w:tbl>
    <w:p>
      <w:pPr>
        <w:spacing w:after="0" w:line="148" w:lineRule="exact"/>
        <w:rPr>
          <w:sz w:val="20"/>
          <w:szCs w:val="20"/>
          <w:color w:val="auto"/>
        </w:rPr>
      </w:pPr>
    </w:p>
    <w:p>
      <w:pPr>
        <w:ind w:right="120" w:firstLine="441"/>
        <w:spacing w:after="0" w:line="244" w:lineRule="auto"/>
        <w:rPr>
          <w:sz w:val="20"/>
          <w:szCs w:val="20"/>
          <w:color w:val="auto"/>
        </w:rPr>
      </w:pPr>
      <w:r>
        <w:rPr>
          <w:rFonts w:ascii="Arial" w:cs="Arial" w:eastAsia="Arial" w:hAnsi="Arial"/>
          <w:sz w:val="16"/>
          <w:szCs w:val="16"/>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8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Three-Month Periods Ended March 31,</w:t>
            </w:r>
          </w:p>
        </w:tc>
        <w:tc>
          <w:tcPr>
            <w:tcW w:w="40" w:type="dxa"/>
            <w:vAlign w:val="bottom"/>
          </w:tcPr>
          <w:p>
            <w:pPr>
              <w:spacing w:after="0"/>
              <w:rPr>
                <w:sz w:val="14"/>
                <w:szCs w:val="14"/>
                <w:color w:val="auto"/>
              </w:rPr>
            </w:pPr>
          </w:p>
        </w:tc>
      </w:tr>
      <w:tr>
        <w:trPr>
          <w:trHeight w:val="169"/>
        </w:trPr>
        <w:tc>
          <w:tcPr>
            <w:tcW w:w="4580" w:type="dxa"/>
            <w:vAlign w:val="bottom"/>
            <w:tcBorders>
              <w:bottom w:val="single" w:sz="8" w:color="CCEEFF"/>
            </w:tcBorders>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Borders>
              <w:bottom w:val="single" w:sz="8" w:color="CCEEFF"/>
            </w:tcBorders>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0.4 - 6.1</w:t>
            </w:r>
          </w:p>
        </w:tc>
        <w:tc>
          <w:tcPr>
            <w:tcW w:w="4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6.1</w:t>
            </w:r>
          </w:p>
        </w:tc>
        <w:tc>
          <w:tcPr>
            <w:tcW w:w="40" w:type="dxa"/>
            <w:vAlign w:val="bottom"/>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48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40" w:type="dxa"/>
            <w:vAlign w:val="bottom"/>
          </w:tcPr>
          <w:p>
            <w:pPr>
              <w:spacing w:after="0"/>
              <w:rPr>
                <w:sz w:val="19"/>
                <w:szCs w:val="19"/>
                <w:color w:val="auto"/>
              </w:rPr>
            </w:pP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2.4 - 2.7%</w:t>
            </w:r>
          </w:p>
        </w:tc>
        <w:tc>
          <w:tcPr>
            <w:tcW w:w="48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40" w:type="dxa"/>
            <w:vAlign w:val="bottom"/>
          </w:tcPr>
          <w:p>
            <w:pPr>
              <w:spacing w:after="0"/>
              <w:rPr>
                <w:sz w:val="19"/>
                <w:szCs w:val="19"/>
                <w:color w:val="auto"/>
              </w:rPr>
            </w:pP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2"/>
                <w:szCs w:val="22"/>
                <w:color w:val="auto"/>
              </w:rPr>
            </w:pPr>
          </w:p>
        </w:tc>
      </w:tr>
      <w:tr>
        <w:trPr>
          <w:trHeight w:val="567"/>
        </w:trPr>
        <w:tc>
          <w:tcPr>
            <w:tcW w:w="4580" w:type="dxa"/>
            <w:vAlign w:val="bottom"/>
          </w:tcPr>
          <w:p>
            <w:pPr>
              <w:spacing w:after="0"/>
              <w:rPr>
                <w:sz w:val="24"/>
                <w:szCs w:val="24"/>
                <w:color w:val="auto"/>
              </w:rPr>
            </w:pPr>
          </w:p>
        </w:tc>
        <w:tc>
          <w:tcPr>
            <w:tcW w:w="2280" w:type="dxa"/>
            <w:vAlign w:val="bottom"/>
          </w:tcPr>
          <w:p>
            <w:pPr>
              <w:jc w:val="right"/>
              <w:ind w:right="1955"/>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4580" w:type="dxa"/>
            <w:vAlign w:val="bottom"/>
            <w:tcBorders>
              <w:bottom w:val="single" w:sz="8" w:color="9A9A9A"/>
            </w:tcBorders>
          </w:tcPr>
          <w:p>
            <w:pPr>
              <w:spacing w:after="0"/>
              <w:rPr>
                <w:sz w:val="7"/>
                <w:szCs w:val="7"/>
                <w:color w:val="auto"/>
              </w:rPr>
            </w:pPr>
          </w:p>
        </w:tc>
        <w:tc>
          <w:tcPr>
            <w:tcW w:w="22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4580" w:type="dxa"/>
            <w:vAlign w:val="bottom"/>
            <w:tcBorders>
              <w:bottom w:val="single" w:sz="8" w:color="EEEEEE"/>
            </w:tcBorders>
          </w:tcPr>
          <w:p>
            <w:pPr>
              <w:spacing w:after="0" w:line="20" w:lineRule="exact"/>
              <w:rPr>
                <w:sz w:val="1"/>
                <w:szCs w:val="1"/>
                <w:color w:val="auto"/>
              </w:rPr>
            </w:pPr>
          </w:p>
        </w:tc>
        <w:tc>
          <w:tcPr>
            <w:tcW w:w="22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100" w:firstLine="441"/>
        <w:spacing w:after="0" w:line="216" w:lineRule="auto"/>
        <w:rPr>
          <w:sz w:val="20"/>
          <w:szCs w:val="20"/>
          <w:color w:val="auto"/>
        </w:rPr>
      </w:pPr>
      <w:r>
        <w:rPr>
          <w:rFonts w:ascii="Arial" w:cs="Arial" w:eastAsia="Arial" w:hAnsi="Arial"/>
          <w:sz w:val="18"/>
          <w:szCs w:val="18"/>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own volatility in the Black-Scholes option pricing model to determine the fair value of ESPP. The fair value of ESPP was estimated using the following weighted-average assumptions: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48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Three-Month Periods Ended March 31,</w:t>
            </w:r>
          </w:p>
        </w:tc>
      </w:tr>
      <w:tr>
        <w:trPr>
          <w:trHeight w:val="169"/>
        </w:trPr>
        <w:tc>
          <w:tcPr>
            <w:tcW w:w="4580" w:type="dxa"/>
            <w:vAlign w:val="bottom"/>
            <w:tcBorders>
              <w:bottom w:val="single" w:sz="8" w:color="CCEEFF"/>
            </w:tcBorders>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Borders>
              <w:bottom w:val="single" w:sz="8" w:color="CCEEFF"/>
            </w:tcBorders>
          </w:tcPr>
          <w:p>
            <w:pPr>
              <w:spacing w:after="0"/>
              <w:rPr>
                <w:sz w:val="14"/>
                <w:szCs w:val="14"/>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0.5 - 1.0</w:t>
            </w:r>
          </w:p>
        </w:tc>
        <w:tc>
          <w:tcPr>
            <w:tcW w:w="480" w:type="dxa"/>
            <w:vAlign w:val="bottom"/>
            <w:shd w:val="clear" w:color="auto" w:fill="CCEEFF"/>
          </w:tcPr>
          <w:p>
            <w:pPr>
              <w:spacing w:after="0"/>
              <w:rPr>
                <w:sz w:val="18"/>
                <w:szCs w:val="18"/>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0.5 - 1.0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70%</w:t>
            </w:r>
          </w:p>
        </w:tc>
        <w:tc>
          <w:tcPr>
            <w:tcW w:w="48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8"/>
              </w:rPr>
              <w:t>70%</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 - 2.6%</w:t>
            </w:r>
          </w:p>
        </w:tc>
        <w:tc>
          <w:tcPr>
            <w:tcW w:w="480" w:type="dxa"/>
            <w:vAlign w:val="bottom"/>
            <w:shd w:val="clear" w:color="auto" w:fill="CCEEFF"/>
          </w:tcPr>
          <w:p>
            <w:pPr>
              <w:spacing w:after="0"/>
              <w:rPr>
                <w:sz w:val="19"/>
                <w:szCs w:val="19"/>
                <w:color w:val="auto"/>
              </w:rPr>
            </w:pP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 - 2.1%</w:t>
            </w:r>
          </w:p>
        </w:tc>
      </w:tr>
      <w:tr>
        <w:trPr>
          <w:trHeight w:val="257"/>
        </w:trPr>
        <w:tc>
          <w:tcPr>
            <w:tcW w:w="4580" w:type="dxa"/>
            <w:vAlign w:val="bottom"/>
          </w:tcPr>
          <w:p>
            <w:pPr>
              <w:spacing w:after="0"/>
              <w:rPr>
                <w:sz w:val="20"/>
                <w:szCs w:val="20"/>
                <w:color w:val="auto"/>
              </w:rPr>
            </w:pPr>
            <w:r>
              <w:rPr>
                <w:rFonts w:ascii="Arial" w:cs="Arial" w:eastAsia="Arial" w:hAnsi="Arial"/>
                <w:sz w:val="18"/>
                <w:szCs w:val="18"/>
                <w:color w:val="auto"/>
              </w:rPr>
              <w:t>Dividend yield</w:t>
            </w:r>
          </w:p>
        </w:tc>
        <w:tc>
          <w:tcPr>
            <w:tcW w:w="2760" w:type="dxa"/>
            <w:vAlign w:val="bottom"/>
            <w:gridSpan w:val="2"/>
          </w:tcPr>
          <w:p>
            <w:pPr>
              <w:jc w:val="center"/>
              <w:ind w:right="500"/>
              <w:spacing w:after="0"/>
              <w:rPr>
                <w:sz w:val="20"/>
                <w:szCs w:val="20"/>
                <w:color w:val="auto"/>
              </w:rPr>
            </w:pPr>
            <w:r>
              <w:rPr>
                <w:rFonts w:ascii="Arial" w:cs="Arial" w:eastAsia="Arial" w:hAnsi="Arial"/>
                <w:sz w:val="18"/>
                <w:szCs w:val="18"/>
                <w:color w:val="auto"/>
                <w:w w:val="99"/>
              </w:rPr>
              <w:t>—</w:t>
            </w:r>
          </w:p>
        </w:tc>
        <w:tc>
          <w:tcPr>
            <w:tcW w:w="21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8" w:lineRule="exact"/>
        <w:rPr>
          <w:sz w:val="20"/>
          <w:szCs w:val="20"/>
          <w:color w:val="auto"/>
        </w:rPr>
      </w:pPr>
    </w:p>
    <w:p>
      <w:pPr>
        <w:ind w:right="60" w:firstLine="441"/>
        <w:spacing w:after="0" w:line="226" w:lineRule="auto"/>
        <w:rPr>
          <w:sz w:val="20"/>
          <w:szCs w:val="20"/>
          <w:color w:val="auto"/>
        </w:rPr>
      </w:pPr>
      <w:r>
        <w:rPr>
          <w:rFonts w:ascii="Arial" w:cs="Arial" w:eastAsia="Arial" w:hAnsi="Arial"/>
          <w:sz w:val="17"/>
          <w:szCs w:val="17"/>
          <w:color w:val="auto"/>
        </w:rPr>
        <w:t>The fair value of restricted stock unit (“RSUs”) awards is determined based on the number of units granted and the closing price of the Company’s common stock as of the grant date. The estimated fair value of RSUs is recognized on a straight-line basis over the requisite service period. In the three-month period ended June 30, 2017, the Company granted 160,974 RSUs all of which vested pursuant to which no shares were issued, during June 2018. Additional paid in capital was reduced by $0.1 million during 2018 for tax payments related to shares withheld in connection with the vesting of the RSUs. As of March 31, 2019, there was no unrecognized compensation expense related to these RSUs.</w:t>
      </w:r>
    </w:p>
    <w:p>
      <w:pPr>
        <w:spacing w:after="0" w:line="125" w:lineRule="exact"/>
        <w:rPr>
          <w:sz w:val="20"/>
          <w:szCs w:val="20"/>
          <w:color w:val="auto"/>
        </w:rPr>
      </w:pPr>
    </w:p>
    <w:p>
      <w:pPr>
        <w:ind w:right="180" w:firstLine="441"/>
        <w:spacing w:after="0" w:line="232" w:lineRule="auto"/>
        <w:rPr>
          <w:sz w:val="20"/>
          <w:szCs w:val="20"/>
          <w:color w:val="auto"/>
        </w:rPr>
      </w:pPr>
      <w:r>
        <w:rPr>
          <w:rFonts w:ascii="Arial" w:cs="Arial" w:eastAsia="Arial" w:hAnsi="Arial"/>
          <w:sz w:val="17"/>
          <w:szCs w:val="17"/>
          <w:color w:val="auto"/>
        </w:rPr>
        <w:t>During the three-month period ended September 30, 2017, the Company granted 68,800 RSUs to certain employees which vest 50% on June 1, 2019 with the remaining 50% vesting on June 1, 2021. In the event of a change in control, these RSUs vest 100%. The stock-based compensation expense related to these RSUs was approximately $0.1 million and $0.1 million for the three-month periods ended March 31, 2019 and March 31, 2018,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Research Grants and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58" w:lineRule="exact"/>
        <w:rPr>
          <w:sz w:val="20"/>
          <w:szCs w:val="20"/>
          <w:color w:val="auto"/>
        </w:rPr>
      </w:pPr>
    </w:p>
    <w:p>
      <w:pPr>
        <w:ind w:right="60" w:firstLine="441"/>
        <w:spacing w:after="0" w:line="212" w:lineRule="auto"/>
        <w:rPr>
          <w:sz w:val="20"/>
          <w:szCs w:val="20"/>
          <w:color w:val="auto"/>
        </w:rPr>
      </w:pPr>
      <w:r>
        <w:rPr>
          <w:rFonts w:ascii="Arial" w:cs="Arial" w:eastAsia="Arial" w:hAnsi="Arial"/>
          <w:sz w:val="18"/>
          <w:szCs w:val="18"/>
          <w:color w:val="auto"/>
        </w:rPr>
        <w:t>The Company may annually sponsor research activities performed by ODURF’s Frank Reidy Research Center for Bioelectrics. During the year ended December 31, 2018, the Company agreed to sponsor $0.8 million in research during the subsequent 12-month period to be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As of March 31, 2019, approximately $0.4 million remained payable under this sponsorship.</w:t>
      </w:r>
    </w:p>
    <w:p>
      <w:pPr>
        <w:spacing w:after="0" w:line="125" w:lineRule="exact"/>
        <w:rPr>
          <w:sz w:val="20"/>
          <w:szCs w:val="20"/>
          <w:color w:val="auto"/>
        </w:rPr>
      </w:pPr>
    </w:p>
    <w:p>
      <w:pPr>
        <w:ind w:right="120" w:firstLine="441"/>
        <w:spacing w:after="0" w:line="249" w:lineRule="auto"/>
        <w:rPr>
          <w:sz w:val="20"/>
          <w:szCs w:val="20"/>
          <w:color w:val="auto"/>
        </w:rPr>
      </w:pPr>
      <w:r>
        <w:rPr>
          <w:rFonts w:ascii="Arial" w:cs="Arial" w:eastAsia="Arial" w:hAnsi="Arial"/>
          <w:sz w:val="16"/>
          <w:szCs w:val="16"/>
          <w:color w:val="auto"/>
        </w:rPr>
        <w:t>In addition, during 2017, the Company agreed to provide $0.3 million in research funding to researchers affiliated with ODURF and Eastern Virginia Medical School matching funds made available to those researchers by the Virginia Biosciences Health Research Corporation. The Company’s sponsorship affords access to certain intellectual property, if any, developed during the project. As of March 31, 2019, approximately $0.1 million remained payable under this sponsorship.</w:t>
      </w:r>
    </w:p>
    <w:p>
      <w:pPr>
        <w:spacing w:after="0" w:line="114" w:lineRule="exact"/>
        <w:rPr>
          <w:sz w:val="20"/>
          <w:szCs w:val="20"/>
          <w:color w:val="auto"/>
        </w:rPr>
      </w:pPr>
    </w:p>
    <w:p>
      <w:pPr>
        <w:ind w:right="560" w:firstLine="441"/>
        <w:spacing w:after="0" w:line="235" w:lineRule="auto"/>
        <w:rPr>
          <w:sz w:val="20"/>
          <w:szCs w:val="20"/>
          <w:color w:val="auto"/>
        </w:rPr>
      </w:pPr>
      <w:r>
        <w:rPr>
          <w:rFonts w:ascii="Arial" w:cs="Arial" w:eastAsia="Arial" w:hAnsi="Arial"/>
          <w:sz w:val="18"/>
          <w:szCs w:val="18"/>
          <w:color w:val="auto"/>
        </w:rPr>
        <w:t>During the three-month periods ended March 31, 2019 and 2018, the Company paid and incurred costs relating to the sponsored research agreements equal to $0.2 million and $0.3 million, respectively.</w:t>
      </w:r>
    </w:p>
    <w:p>
      <w:pPr>
        <w:spacing w:after="0" w:line="117" w:lineRule="exact"/>
        <w:rPr>
          <w:sz w:val="20"/>
          <w:szCs w:val="20"/>
          <w:color w:val="auto"/>
        </w:rPr>
      </w:pPr>
    </w:p>
    <w:p>
      <w:pPr>
        <w:ind w:left="440" w:right="6600" w:hanging="440"/>
        <w:spacing w:after="0" w:line="504" w:lineRule="auto"/>
        <w:tabs>
          <w:tab w:leader="none" w:pos="314"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Operating Leases</w:t>
      </w:r>
    </w:p>
    <w:p>
      <w:pPr>
        <w:spacing w:after="0" w:line="1"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During January 2017, the Company entered into a new lease agreement for premises consisting of approximately 15,700 rentable square feet located in Hayward, California. The lease commenced on July 1, 2017 and expires in August 2022, with an option to extend the lease term for an additional five years.</w:t>
      </w:r>
    </w:p>
    <w:p>
      <w:pPr>
        <w:spacing w:after="0" w:line="181"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The Company adopted Topic 842 on January 1, 2019, using the transition method per ASU No. 2018-11 issued on July 2018 wherein entities were allowed to initially apply the new lease standard at the adoption date and recognize a cumulative-effect adjustment to the opening balance of retained earnings in the period of adoption. Accordingly, all periods prior to January 1, 2019 were presented in accordance with the previous ASC 840, Leases, and no retrospective adjustments were made to the comparative periods presented. The adoption of ASC 842 resulted in an increase to total assets and liabilities due to the recording of operating lease right-of-use assets (“ROU”) presented within other assets and operating lease liabilities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approximately $0.1 million as of January 1, 2019. Because the rate implicit in each lease is not readily determinable, the Company uses its incremental borrowing rate to determine the present value of the lease payments.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related to the Company's right-of-use assets and related lease liabilities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operating lease liabilities</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Right-of-use assets recognized in exchange for new lease obligations</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7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w:t>
            </w: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w:t>
            </w:r>
          </w:p>
        </w:tc>
      </w:tr>
      <w:tr>
        <w:trPr>
          <w:trHeight w:val="217"/>
        </w:trPr>
        <w:tc>
          <w:tcPr>
            <w:tcW w:w="78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lease liabilities</w:t>
            </w: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r>
      <w:tr>
        <w:trPr>
          <w:trHeight w:val="216"/>
        </w:trPr>
        <w:tc>
          <w:tcPr>
            <w:tcW w:w="7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3.42 years</w:t>
            </w: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7880" w:type="dxa"/>
            <w:vAlign w:val="bottom"/>
          </w:tcPr>
          <w:p>
            <w:pPr>
              <w:ind w:left="400"/>
              <w:spacing w:after="0"/>
              <w:rPr>
                <w:sz w:val="20"/>
                <w:szCs w:val="20"/>
                <w:color w:val="auto"/>
              </w:rPr>
            </w:pPr>
            <w:r>
              <w:rPr>
                <w:rFonts w:ascii="Arial" w:cs="Arial" w:eastAsia="Arial" w:hAnsi="Arial"/>
                <w:sz w:val="18"/>
                <w:szCs w:val="18"/>
                <w:color w:val="auto"/>
              </w:rPr>
              <w:t>Maturities of lease liabilities as of March 31, 2019 were as follows (in thousands):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3"/>
        </w:trPr>
        <w:tc>
          <w:tcPr>
            <w:tcW w:w="788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2019 (remaining 9 months)</w:t>
            </w: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10"/>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w:t>
            </w:r>
          </w:p>
        </w:tc>
      </w:tr>
      <w:tr>
        <w:trPr>
          <w:trHeight w:val="230"/>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17"/>
        </w:trPr>
        <w:tc>
          <w:tcPr>
            <w:tcW w:w="7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46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r>
    </w:tbl>
    <w:p>
      <w:pPr>
        <w:spacing w:after="0" w:line="148"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During the three-month periods ended March 31, 2019 and 2018, rent expense, including common area maintenance charges, was approximately $59,000 and $57,000, respectively.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14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the Company in the form of letters and other communications. The Company currently believes that these ordinary course matters will not have a material adverse effect on our business; however, the results of litigation and claims are inherently unpredictable. Regardless of the outcome, litigation can have an adverse impact on the Company because of defense and settlement costs, diversion of management resources and other factors.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48" w:lineRule="exact"/>
        <w:rPr>
          <w:sz w:val="20"/>
          <w:szCs w:val="20"/>
          <w:color w:val="auto"/>
        </w:rPr>
      </w:pPr>
    </w:p>
    <w:p>
      <w:pPr>
        <w:ind w:right="200" w:firstLine="441"/>
        <w:spacing w:after="0" w:line="216" w:lineRule="auto"/>
        <w:rPr>
          <w:sz w:val="20"/>
          <w:szCs w:val="20"/>
          <w:color w:val="auto"/>
        </w:rPr>
      </w:pPr>
      <w:r>
        <w:rPr>
          <w:rFonts w:ascii="Arial" w:cs="Arial" w:eastAsia="Arial" w:hAnsi="Arial"/>
          <w:sz w:val="18"/>
          <w:szCs w:val="18"/>
          <w:color w:val="auto"/>
        </w:rPr>
        <w:t>Kenneth A. Clark, a director of the Company since November 2017, is a member of the law firm of Wilson Sonsini Goodrich and Rosati (“WSGR”), which also serves as the outside corporate counsel to the Company. During the three-month periods ended March 31, 2019 and 2018, the Company incurred expenses reported in general and administrative expenses in the consolidated statement of operations for legal services rendered by WSGR totaling approximately $0.2 million and $0.3 million,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ind w:right="160"/>
        <w:spacing w:after="0" w:line="220"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in this Quarterly Report and those in our Annual Report on Form 10-K. Some of the information contained in this discussion and analysis or set forth elsewhere in this Quarterly Report, including information with respect to our products, plans and strategy for our business and related financing, contains forward-looking statements that involve risks and uncertainties, including statements regarding our expected financial results in future periods. The words “anticipates,” “believes,” “could,” “estimates,” “expects,” “intends,” “may,” “might,”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20" w:firstLine="441"/>
        <w:spacing w:after="0" w:line="239" w:lineRule="auto"/>
        <w:rPr>
          <w:sz w:val="20"/>
          <w:szCs w:val="20"/>
          <w:color w:val="auto"/>
        </w:rPr>
      </w:pPr>
      <w:r>
        <w:rPr>
          <w:rFonts w:ascii="Arial" w:cs="Arial" w:eastAsia="Arial" w:hAnsi="Arial"/>
          <w:sz w:val="16"/>
          <w:szCs w:val="16"/>
          <w:color w:val="auto"/>
        </w:rPr>
        <w:t>We are a bioelectric medicine company pursuing commercial introduction of our proprietary CellFX™ System utilizing our patented Nano-Pulse Stimulation™ (NPS™) platform technology. With our proprietary NPS technology, we can deliver nano-second pulses of high amplitude electrical energy to non-thermally clear targeted cells while sparing adjacent non-cellular tissue. The cell-specific effect of our NPS technology has been demonstrated through a series of clinical trials. In addition, early pre-clinical evidence suggests that the NPS technology may have future applications in immuno-oncology by demonstrating an ability to induce immunogenic cell death. We are currently conducting research and development activities in pursuit of commercial applications for our NPS technology, but we have not yet commercialized or recognized revenue from our technology.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48" w:lineRule="exact"/>
        <w:rPr>
          <w:sz w:val="20"/>
          <w:szCs w:val="20"/>
          <w:color w:val="auto"/>
        </w:rPr>
      </w:pPr>
    </w:p>
    <w:p>
      <w:pPr>
        <w:ind w:right="180" w:firstLine="441"/>
        <w:spacing w:after="0" w:line="235" w:lineRule="auto"/>
        <w:rPr>
          <w:sz w:val="20"/>
          <w:szCs w:val="20"/>
          <w:color w:val="auto"/>
        </w:rPr>
      </w:pPr>
      <w:r>
        <w:rPr>
          <w:rFonts w:ascii="Arial" w:cs="Arial" w:eastAsia="Arial" w:hAnsi="Arial"/>
          <w:sz w:val="18"/>
          <w:szCs w:val="18"/>
          <w:color w:val="auto"/>
        </w:rPr>
        <w:t>We intend to commercialize novel, proprietary, and differentiated products that have the potential to significantly improve patient outcomes in the markets we intend to serve. To achieve this plan, we intend to:</w:t>
      </w:r>
    </w:p>
    <w:p>
      <w:pPr>
        <w:spacing w:after="0" w:line="117" w:lineRule="exact"/>
        <w:rPr>
          <w:sz w:val="20"/>
          <w:szCs w:val="20"/>
          <w:color w:val="auto"/>
        </w:rPr>
      </w:pPr>
    </w:p>
    <w:p>
      <w:pPr>
        <w:ind w:left="640" w:hanging="315"/>
        <w:spacing w:after="0" w:line="237"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Demonstrate the unique benefits of our proprietary CellFX System and its unique mechanism of action across a number of compelling indications. </w:t>
      </w:r>
      <w:r>
        <w:rPr>
          <w:rFonts w:ascii="Arial" w:cs="Arial" w:eastAsia="Arial" w:hAnsi="Arial"/>
          <w:sz w:val="16"/>
          <w:szCs w:val="16"/>
          <w:color w:val="auto"/>
        </w:rPr>
        <w:t>The CellFX System is the only tunable nanosecond pulsed energy system designed</w:t>
      </w:r>
      <w:r>
        <w:rPr>
          <w:rFonts w:ascii="Arial" w:cs="Arial" w:eastAsia="Arial" w:hAnsi="Arial"/>
          <w:sz w:val="16"/>
          <w:szCs w:val="16"/>
          <w:b w:val="1"/>
          <w:bCs w:val="1"/>
          <w:color w:val="auto"/>
        </w:rPr>
        <w:t xml:space="preserve"> </w:t>
      </w:r>
      <w:r>
        <w:rPr>
          <w:rFonts w:ascii="Arial" w:cs="Arial" w:eastAsia="Arial" w:hAnsi="Arial"/>
          <w:sz w:val="16"/>
          <w:szCs w:val="16"/>
          <w:color w:val="auto"/>
        </w:rPr>
        <w:t>for use in human medicine of which we are aware. Our proprietary CellFX System allows for the adjustment of four key pulsing parameters: pulse duration, pulse amplitude, pulse frequency, and the number of pulses, depending on the tissue and desired treatment outcome. We have conducted or are conducting several clinical studies, including studies in Seborrheic Keratosis (SK), the most common benign raised pigmented lesion, Sebaceous Hyperplasia (SH), a common but difficult to treat facial lesion, Basal Cell Carcinoma (BCC), the most common form of skin cancer, cutaneous non-genital warts, and acne. We expect to conduct clinical studies on an ongoing basis to continue to demonstrate the value of our CellFX System across a growing list of valuable applications;</w:t>
      </w:r>
    </w:p>
    <w:p>
      <w:pPr>
        <w:spacing w:after="0" w:line="120" w:lineRule="exact"/>
        <w:rPr>
          <w:rFonts w:ascii="Arial" w:cs="Arial" w:eastAsia="Arial" w:hAnsi="Arial"/>
          <w:sz w:val="16"/>
          <w:szCs w:val="16"/>
          <w:color w:val="auto"/>
        </w:rPr>
      </w:pPr>
    </w:p>
    <w:p>
      <w:pPr>
        <w:ind w:left="640" w:right="60" w:hanging="315"/>
        <w:spacing w:after="0" w:line="237" w:lineRule="auto"/>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Commercialize our proprietary CellFX System and applications for its use across a broad array of clinical indications. </w:t>
      </w:r>
      <w:r>
        <w:rPr>
          <w:rFonts w:ascii="Arial" w:cs="Arial" w:eastAsia="Arial" w:hAnsi="Arial"/>
          <w:sz w:val="16"/>
          <w:szCs w:val="16"/>
          <w:color w:val="auto"/>
        </w:rPr>
        <w:t>During February 2019, we submitted a Pre-Market Notification 510(k) to the U.S. Food and Drug</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(FDA) seeking clearance to commercialize our CellFX System. Our FDA filing requests clearance of the CellFX System for commercial use in common dermatologic procedures to remove general benign lesions including SH and SK. On April 30, 2019, we received an additional information (AI) letter request from the FDA that, among other things, questioned the appropriateness of our selected predicate device provided in the 510(k). responding to this request is likely to add time and is likely to require additional testing, including clinical trials. In consideration of the above, we are reviewing options and alternatives to pursue clearance for our CellFX System, including the option of making a De Novo Request to the FDA. Pending regulatory clearance, we plan to launch our CellFX System in the United States.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right="220" w:firstLine="441"/>
        <w:spacing w:after="0" w:line="259"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unaudited financial statements, which have been prepared in accordance with the rules and regulations of the Securities and Exchange Commission (“SEC”). The preparation of these financial statements requires us to make estimates and judgments that affect</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00"/>
          </w:cols>
          <w:pgMar w:left="1220" w:top="108" w:right="1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5"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There have been no material changes to the critical accounting policies and estimates discussed in our Annual Report on Form 10-K as of and for the year ended December 31, 2018, except for the adoption of the lease accounting standard as of January 1, 2019 as disclosed in Note 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color w:val="auto"/>
        </w:rPr>
        <w:t>Refer to “Recent Accounting Pronouncements” in Note 2 of Notes to Condensed Consolidated Financial Statements of this Quarterly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Geographical Information</w:t>
      </w:r>
    </w:p>
    <w:p>
      <w:pPr>
        <w:spacing w:after="0" w:line="162" w:lineRule="exact"/>
        <w:rPr>
          <w:sz w:val="20"/>
          <w:szCs w:val="20"/>
          <w:color w:val="auto"/>
        </w:rPr>
      </w:pPr>
    </w:p>
    <w:p>
      <w:pPr>
        <w:jc w:val="both"/>
        <w:ind w:right="40" w:firstLine="441"/>
        <w:spacing w:after="0" w:line="238" w:lineRule="auto"/>
        <w:rPr>
          <w:sz w:val="20"/>
          <w:szCs w:val="20"/>
          <w:color w:val="auto"/>
        </w:rPr>
      </w:pPr>
      <w:r>
        <w:rPr>
          <w:rFonts w:ascii="Arial" w:cs="Arial" w:eastAsia="Arial" w:hAnsi="Arial"/>
          <w:sz w:val="17"/>
          <w:szCs w:val="17"/>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primarily based in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three-month periods ended March 31, 2019 and 2018</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operations as discussed herein are presented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Three-Month Periods Ended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8"/>
        </w:trPr>
        <w:tc>
          <w:tcPr>
            <w:tcW w:w="8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76"/>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45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 Change</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30"/>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546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5,842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3,175</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2,667</w:t>
            </w:r>
          </w:p>
        </w:tc>
      </w:tr>
      <w:tr>
        <w:trPr>
          <w:trHeight w:val="230"/>
        </w:trPr>
        <w:tc>
          <w:tcPr>
            <w:tcW w:w="54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46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w:t>
            </w: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4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210"/>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0"/>
        </w:trPr>
        <w:tc>
          <w:tcPr>
            <w:tcW w:w="54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(10,078)</w:t>
            </w:r>
          </w:p>
        </w:tc>
        <w:tc>
          <w:tcPr>
            <w:tcW w:w="8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(8,668)</w:t>
            </w:r>
          </w:p>
        </w:tc>
        <w:tc>
          <w:tcPr>
            <w:tcW w:w="16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1,410</w:t>
            </w:r>
          </w:p>
        </w:tc>
      </w:tr>
      <w:tr>
        <w:trPr>
          <w:trHeight w:val="27"/>
        </w:trPr>
        <w:tc>
          <w:tcPr>
            <w:tcW w:w="8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44" w:lineRule="exact"/>
        <w:rPr>
          <w:sz w:val="20"/>
          <w:szCs w:val="20"/>
          <w:color w:val="auto"/>
        </w:rPr>
      </w:pPr>
    </w:p>
    <w:p>
      <w:pPr>
        <w:ind w:right="160" w:firstLine="405"/>
        <w:spacing w:after="0" w:line="289" w:lineRule="auto"/>
        <w:rPr>
          <w:sz w:val="20"/>
          <w:szCs w:val="20"/>
          <w:color w:val="auto"/>
        </w:rPr>
      </w:pPr>
      <w:r>
        <w:rPr>
          <w:rFonts w:ascii="Arial" w:cs="Arial" w:eastAsia="Arial" w:hAnsi="Arial"/>
          <w:sz w:val="16"/>
          <w:szCs w:val="16"/>
          <w:color w:val="auto"/>
        </w:rPr>
        <w:t>Certain items in prior period financial statements have been reclassified to conform to the presentation in the current period financial statements. Such reclassifications did not impact the Company's previously reported net loss or financial position.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48" w:lineRule="exact"/>
        <w:rPr>
          <w:sz w:val="20"/>
          <w:szCs w:val="20"/>
          <w:color w:val="auto"/>
        </w:rPr>
      </w:pPr>
    </w:p>
    <w:p>
      <w:pPr>
        <w:ind w:right="80" w:firstLine="441"/>
        <w:spacing w:after="0" w:line="237" w:lineRule="auto"/>
        <w:rPr>
          <w:sz w:val="20"/>
          <w:szCs w:val="20"/>
          <w:color w:val="auto"/>
        </w:rPr>
      </w:pPr>
      <w:r>
        <w:rPr>
          <w:rFonts w:ascii="Arial" w:cs="Arial" w:eastAsia="Arial" w:hAnsi="Arial"/>
          <w:sz w:val="16"/>
          <w:szCs w:val="16"/>
          <w:color w:val="auto"/>
        </w:rPr>
        <w:t>General and administrative expenses consist of compensation and related expenses for executives, finance, legal, human resources, information technology and administrative personnel, professional fees, patent fees and costs, insurance costs and other general corporate expenses. General and administrative expenses decreased by $1.0 million to $4.4 million for the three-month period ended March 31, 2019, from $5.4 million during the same period in 2018 primarily due to $1.2 million of decreased stock-based compensation expenses and $0.2 million of decreased professional and consulting expenses, partially offset by $0.2 million of increased compensation costs and $0.1 million of increased corporate insurance costs. Stock-based compensation decreased principally due to timing of vesting of certain awards and options granted. Professional and consulting costs decreased primarily due to decreased legal costs related to corporate matters. Compensation costs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340"/>
        <w:spacing w:after="0" w:line="219" w:lineRule="auto"/>
        <w:rPr>
          <w:sz w:val="20"/>
          <w:szCs w:val="20"/>
          <w:color w:val="auto"/>
        </w:rPr>
      </w:pPr>
      <w:r>
        <w:rPr>
          <w:rFonts w:ascii="Arial" w:cs="Arial" w:eastAsia="Arial" w:hAnsi="Arial"/>
          <w:sz w:val="18"/>
          <w:szCs w:val="18"/>
          <w:color w:val="auto"/>
        </w:rPr>
        <w:t>increased primarily due to increased headcount. Corporate insurance costs increased primarily due to higher insurance rates. General and administrative expenses are expected to substantially increase during 2019 in connection with the buildout of additional operational commercial and infrastructure to support the anticipated commercialization of our CellFX System in the aesthetic dermatology market.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20" w:firstLine="441"/>
        <w:spacing w:after="0" w:line="230" w:lineRule="auto"/>
        <w:rPr>
          <w:sz w:val="20"/>
          <w:szCs w:val="20"/>
          <w:color w:val="auto"/>
        </w:rPr>
      </w:pPr>
      <w:r>
        <w:rPr>
          <w:rFonts w:ascii="Arial" w:cs="Arial" w:eastAsia="Arial" w:hAnsi="Arial"/>
          <w:sz w:val="16"/>
          <w:szCs w:val="16"/>
          <w:color w:val="auto"/>
        </w:rPr>
        <w:t>Research and development expenses consist of compensation and related expenses for research and development personnel, clinical trials and consulting costs related to the design, development and enhancement of our potential future products, prototype material and devices. Research and development expenses increased by $2.7 million to $5.8 million for the three-month period ended March 31, 2019, from $3.2 million during the same period in 2018 primarily due to $0.9 million of increased compensation costs, $0.4 million of increased prototype expenses, $0.3 million of increased clinical trial costs, $0.3 million of increased consulting and outside service costs, $0.2 million of increased stock-based compensation costs, $0.2 million of increased laboratory supply and equipment costs, and $0.1 million of increased travel expenses. Compensation costs increased primarily due to increased headcount during 2018 and 2019. Prototype costs increased primarily due to our production of our CellFX System for clinical use and in preparation for commercialization. Clinical trial costs increased due to our ongoing and recently started clinical trials including, among others, basal cell carcinoma, warts, and acne. Consulting and outside service costs increased due to product development activities. Stock-based compensation expense, laboratory supplies, and equipment expenses and travel</w:t>
      </w:r>
    </w:p>
    <w:p>
      <w:pPr>
        <w:spacing w:after="0" w:line="8" w:lineRule="exact"/>
        <w:rPr>
          <w:sz w:val="20"/>
          <w:szCs w:val="20"/>
          <w:color w:val="auto"/>
        </w:rPr>
      </w:pPr>
    </w:p>
    <w:p>
      <w:pPr>
        <w:ind w:right="400"/>
        <w:spacing w:after="0" w:line="248" w:lineRule="auto"/>
        <w:rPr>
          <w:sz w:val="20"/>
          <w:szCs w:val="20"/>
          <w:color w:val="auto"/>
        </w:rPr>
      </w:pPr>
      <w:r>
        <w:rPr>
          <w:rFonts w:ascii="Arial" w:cs="Arial" w:eastAsia="Arial" w:hAnsi="Arial"/>
          <w:sz w:val="16"/>
          <w:szCs w:val="16"/>
          <w:color w:val="auto"/>
        </w:rPr>
        <w:t>expenses increased principally due to headcount increases during 2018 and 2019, respectively. Research and development expenses are expected to continue to increase substantially during 2019 as we expand our clinical study activities by initiating additional studies, continue development and enhancement of our CellFX System in preparation for additional clinical trials.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w:t>
      </w:r>
    </w:p>
    <w:p>
      <w:pPr>
        <w:spacing w:after="0" w:line="162" w:lineRule="exact"/>
        <w:rPr>
          <w:sz w:val="20"/>
          <w:szCs w:val="20"/>
          <w:color w:val="auto"/>
        </w:rPr>
      </w:pPr>
    </w:p>
    <w:p>
      <w:pPr>
        <w:ind w:right="140" w:firstLine="441"/>
        <w:spacing w:after="0" w:line="258" w:lineRule="auto"/>
        <w:rPr>
          <w:sz w:val="20"/>
          <w:szCs w:val="20"/>
          <w:color w:val="auto"/>
        </w:rPr>
      </w:pPr>
      <w:r>
        <w:rPr>
          <w:rFonts w:ascii="Arial" w:cs="Arial" w:eastAsia="Arial" w:hAnsi="Arial"/>
          <w:sz w:val="17"/>
          <w:szCs w:val="17"/>
          <w:color w:val="auto"/>
        </w:rPr>
        <w:t>Interest income increased by approximately $0.3 million to $0.3 million for the three-month period ended March 31, 2019, from $56,000 during the same period in 2018 due primarily to higher cash equivalent and investment balances.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jc w:val="both"/>
        <w:ind w:right="320" w:firstLine="441"/>
        <w:spacing w:after="0" w:line="238" w:lineRule="auto"/>
        <w:rPr>
          <w:sz w:val="20"/>
          <w:szCs w:val="20"/>
          <w:color w:val="auto"/>
        </w:rPr>
      </w:pPr>
      <w:r>
        <w:rPr>
          <w:rFonts w:ascii="Arial" w:cs="Arial" w:eastAsia="Arial" w:hAnsi="Arial"/>
          <w:sz w:val="17"/>
          <w:szCs w:val="17"/>
          <w:color w:val="auto"/>
        </w:rPr>
        <w:t>To date, we have not generated any revenues from product sales. Since inception, we have funded our business primarily through the issuance of equity securities. Over the next few years, we intend to invest in research and development to develop commercially viable products and to assess the feasibility of potential future products.</w:t>
      </w:r>
    </w:p>
    <w:p>
      <w:pPr>
        <w:spacing w:after="0" w:line="121" w:lineRule="exact"/>
        <w:rPr>
          <w:sz w:val="20"/>
          <w:szCs w:val="20"/>
          <w:color w:val="auto"/>
        </w:rPr>
      </w:pPr>
    </w:p>
    <w:p>
      <w:pPr>
        <w:jc w:val="both"/>
        <w:ind w:right="540" w:firstLine="441"/>
        <w:spacing w:after="0" w:line="224" w:lineRule="auto"/>
        <w:rPr>
          <w:sz w:val="20"/>
          <w:szCs w:val="20"/>
          <w:color w:val="auto"/>
        </w:rPr>
      </w:pPr>
      <w:r>
        <w:rPr>
          <w:rFonts w:ascii="Arial" w:cs="Arial" w:eastAsia="Arial" w:hAnsi="Arial"/>
          <w:sz w:val="18"/>
          <w:szCs w:val="18"/>
          <w:color w:val="auto"/>
        </w:rPr>
        <w:t>In December 2018, we completed a rights offering pursuant to which we sold an aggregate of 3,581,148 shares of our common stock, par value $0.001 per share, at a price per share of $12.57 per share, for net proceeds of approximately $44.8 million.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condensed consolidated statements of cash flows as discussed herein are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4"/>
          </w:tcPr>
          <w:p>
            <w:pPr>
              <w:jc w:val="center"/>
              <w:ind w:right="154"/>
              <w:spacing w:after="0"/>
              <w:rPr>
                <w:sz w:val="20"/>
                <w:szCs w:val="20"/>
                <w:color w:val="auto"/>
              </w:rPr>
            </w:pPr>
            <w:r>
              <w:rPr>
                <w:rFonts w:ascii="Arial" w:cs="Arial" w:eastAsia="Arial" w:hAnsi="Arial"/>
                <w:sz w:val="14"/>
                <w:szCs w:val="14"/>
                <w:b w:val="1"/>
                <w:bCs w:val="1"/>
                <w:color w:val="auto"/>
                <w:w w:val="94"/>
              </w:rPr>
              <w:t>Three-Month Periods Ended</w:t>
            </w:r>
          </w:p>
        </w:tc>
      </w:tr>
      <w:tr>
        <w:trPr>
          <w:trHeight w:val="215"/>
        </w:trPr>
        <w:tc>
          <w:tcPr>
            <w:tcW w:w="88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9"/>
              </w:rPr>
              <w:t>March 31,</w:t>
            </w:r>
          </w:p>
        </w:tc>
        <w:tc>
          <w:tcPr>
            <w:tcW w:w="880" w:type="dxa"/>
            <w:vAlign w:val="bottom"/>
            <w:tcBorders>
              <w:bottom w:val="single" w:sz="8" w:color="auto"/>
            </w:tcBorders>
          </w:tcPr>
          <w:p>
            <w:pPr>
              <w:spacing w:after="0"/>
              <w:rPr>
                <w:sz w:val="18"/>
                <w:szCs w:val="18"/>
                <w:color w:val="auto"/>
              </w:rPr>
            </w:pPr>
          </w:p>
        </w:tc>
      </w:tr>
      <w:tr>
        <w:trPr>
          <w:trHeight w:val="176"/>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(in thousands)</w:t>
            </w:r>
          </w:p>
        </w:tc>
        <w:tc>
          <w:tcPr>
            <w:tcW w:w="59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2018</w:t>
            </w:r>
          </w:p>
        </w:tc>
      </w:tr>
      <w:tr>
        <w:trPr>
          <w:trHeight w:val="216"/>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w:t>
            </w:r>
          </w:p>
        </w:tc>
      </w:t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(35,732)</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11,999</w:t>
            </w:r>
          </w:p>
        </w:tc>
      </w:tr>
      <w:tr>
        <w:trPr>
          <w:trHeight w:val="230"/>
        </w:trPr>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57"/>
        </w:trPr>
        <w:tc>
          <w:tcPr>
            <w:tcW w:w="684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(42,567)</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7,281</w:t>
            </w:r>
          </w:p>
        </w:tc>
      </w:tr>
    </w:tbl>
    <w:p>
      <w:pPr>
        <w:spacing w:after="0" w:line="134"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At March 31, 2019, we had cash, cash equivalents and investments of $52.8 million. We believe that our existing cash, cash equivalents and investments will be sufficient to fund our projected operating requirements for at least the next twelve months from the filing date of this Quarterly Report; however, we plan to raise additional capital in the future. 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or corporate collaboration and licensing arrangements. Such additional funds may not be available on terms acceptable to us or at all. If we raise funds by issuing equity or equity-linked securities, the ownership of our stockholders will be diluted and the holders of new equity securities may have priority rights over our existing stockholders. If adequate funds are not available, we may be required to curtail operations significantly or to obtain funds by entering into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agreements on unattractive terms. Our inability to raise capital could have a material adverse effect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primary uses of cash in operating activities are for ongoing product development.</w:t>
      </w:r>
    </w:p>
    <w:p>
      <w:pPr>
        <w:spacing w:after="0" w:line="144" w:lineRule="exact"/>
        <w:rPr>
          <w:sz w:val="20"/>
          <w:szCs w:val="20"/>
          <w:color w:val="auto"/>
        </w:rPr>
      </w:pPr>
    </w:p>
    <w:p>
      <w:pPr>
        <w:ind w:right="240" w:firstLine="441"/>
        <w:spacing w:after="0" w:line="224" w:lineRule="auto"/>
        <w:rPr>
          <w:sz w:val="20"/>
          <w:szCs w:val="20"/>
          <w:color w:val="auto"/>
        </w:rPr>
      </w:pPr>
      <w:r>
        <w:rPr>
          <w:rFonts w:ascii="Arial" w:cs="Arial" w:eastAsia="Arial" w:hAnsi="Arial"/>
          <w:sz w:val="18"/>
          <w:szCs w:val="18"/>
          <w:color w:val="auto"/>
        </w:rPr>
        <w:t>During the three-month period ended March 31, 2019, we used cash of $7.3 million in operating activities. The difference between cash used in operating activities and net loss consisted primarily of depreciation and amortization and stock-based compensation, and an increase in prepaid expenses.</w:t>
      </w:r>
    </w:p>
    <w:p>
      <w:pPr>
        <w:spacing w:after="0" w:line="123" w:lineRule="exact"/>
        <w:rPr>
          <w:sz w:val="20"/>
          <w:szCs w:val="20"/>
          <w:color w:val="auto"/>
        </w:rPr>
      </w:pPr>
    </w:p>
    <w:p>
      <w:pPr>
        <w:ind w:right="40" w:firstLine="441"/>
        <w:spacing w:after="0" w:line="219" w:lineRule="auto"/>
        <w:rPr>
          <w:sz w:val="20"/>
          <w:szCs w:val="20"/>
          <w:color w:val="auto"/>
        </w:rPr>
      </w:pPr>
      <w:r>
        <w:rPr>
          <w:rFonts w:ascii="Arial" w:cs="Arial" w:eastAsia="Arial" w:hAnsi="Arial"/>
          <w:sz w:val="18"/>
          <w:szCs w:val="18"/>
          <w:color w:val="auto"/>
        </w:rPr>
        <w:t>During the three-month period ended March 31, 2018, we used cash of $5.0 million in operating activities. The difference between cash used in operating activities and net loss consisted primarily of stock-based compensation and depreciation and amortization, an increase in accounts payable, partially offset by increased prepaid expenses and other current assets and decreases in accrued liabilities and deferred rent.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investing activities consist primarily of investment purchases, sales and maturities and capital expenditures.</w:t>
      </w:r>
    </w:p>
    <w:p>
      <w:pPr>
        <w:spacing w:after="0" w:line="144" w:lineRule="exact"/>
        <w:rPr>
          <w:sz w:val="20"/>
          <w:szCs w:val="20"/>
          <w:color w:val="auto"/>
        </w:rPr>
      </w:pPr>
    </w:p>
    <w:p>
      <w:pPr>
        <w:ind w:right="240" w:firstLine="441"/>
        <w:spacing w:after="0" w:line="224" w:lineRule="auto"/>
        <w:rPr>
          <w:sz w:val="20"/>
          <w:szCs w:val="20"/>
          <w:color w:val="auto"/>
        </w:rPr>
      </w:pPr>
      <w:r>
        <w:rPr>
          <w:rFonts w:ascii="Arial" w:cs="Arial" w:eastAsia="Arial" w:hAnsi="Arial"/>
          <w:sz w:val="18"/>
          <w:szCs w:val="18"/>
          <w:color w:val="auto"/>
        </w:rPr>
        <w:t>During the three-month period ended March 31, 2019, $35.7 million of cash was used in investing activities, consisting of $44.2 million of cash used to purchase available-for-sale securities partially offset by $8.5 million of cash proceeds from the maturities of investments.</w:t>
      </w:r>
    </w:p>
    <w:p>
      <w:pPr>
        <w:spacing w:after="0" w:line="136" w:lineRule="exact"/>
        <w:rPr>
          <w:sz w:val="20"/>
          <w:szCs w:val="20"/>
          <w:color w:val="auto"/>
        </w:rPr>
      </w:pPr>
    </w:p>
    <w:p>
      <w:pPr>
        <w:ind w:right="120" w:firstLine="441"/>
        <w:spacing w:after="0" w:line="224" w:lineRule="auto"/>
        <w:rPr>
          <w:sz w:val="20"/>
          <w:szCs w:val="20"/>
          <w:color w:val="auto"/>
        </w:rPr>
      </w:pPr>
      <w:r>
        <w:rPr>
          <w:rFonts w:ascii="Arial" w:cs="Arial" w:eastAsia="Arial" w:hAnsi="Arial"/>
          <w:sz w:val="18"/>
          <w:szCs w:val="18"/>
          <w:color w:val="auto"/>
        </w:rPr>
        <w:t>During the three-month period ended March 31, 2018, $12.0 million of cash was provided from the sale of investments of $25.0 million and $6.3 million of cash proceeds from the maturities of investments, partially offset by $19.2 million cash used for the purchase of available-for-sale securities.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280" w:firstLine="441"/>
        <w:spacing w:after="0" w:line="258" w:lineRule="auto"/>
        <w:rPr>
          <w:sz w:val="20"/>
          <w:szCs w:val="20"/>
          <w:color w:val="auto"/>
        </w:rPr>
      </w:pPr>
      <w:r>
        <w:rPr>
          <w:rFonts w:ascii="Arial" w:cs="Arial" w:eastAsia="Arial" w:hAnsi="Arial"/>
          <w:sz w:val="17"/>
          <w:szCs w:val="17"/>
          <w:color w:val="auto"/>
        </w:rPr>
        <w:t>During the three-month period ended March 31, 2019, cash provided from financing activities was $0.5 million primarily due to cash received from stock option exercises and the sale of stock under our employee stock purchase plan.</w:t>
      </w:r>
    </w:p>
    <w:p>
      <w:pPr>
        <w:spacing w:after="0" w:line="120" w:lineRule="exact"/>
        <w:rPr>
          <w:sz w:val="20"/>
          <w:szCs w:val="20"/>
          <w:color w:val="auto"/>
        </w:rPr>
      </w:pPr>
    </w:p>
    <w:p>
      <w:pPr>
        <w:ind w:right="280" w:firstLine="441"/>
        <w:spacing w:after="0" w:line="258" w:lineRule="auto"/>
        <w:rPr>
          <w:sz w:val="20"/>
          <w:szCs w:val="20"/>
          <w:color w:val="auto"/>
        </w:rPr>
      </w:pPr>
      <w:r>
        <w:rPr>
          <w:rFonts w:ascii="Arial" w:cs="Arial" w:eastAsia="Arial" w:hAnsi="Arial"/>
          <w:sz w:val="17"/>
          <w:szCs w:val="17"/>
          <w:color w:val="auto"/>
        </w:rPr>
        <w:t>During the three-month period ended March 31, 2018, cash provided from financing activities was $0.3 million primarily due to cash received from stock option exercises and the sale of stock under our employee stock purchase plan.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12" w:lineRule="exact"/>
        <w:rPr>
          <w:sz w:val="20"/>
          <w:szCs w:val="20"/>
          <w:color w:val="auto"/>
        </w:rPr>
      </w:pPr>
    </w:p>
    <w:p>
      <w:pPr>
        <w:ind w:right="200" w:firstLine="416"/>
        <w:spacing w:after="0" w:line="235" w:lineRule="auto"/>
        <w:rPr>
          <w:sz w:val="20"/>
          <w:szCs w:val="20"/>
          <w:color w:val="auto"/>
        </w:rPr>
      </w:pPr>
      <w:r>
        <w:rPr>
          <w:rFonts w:ascii="Arial" w:cs="Arial" w:eastAsia="Arial" w:hAnsi="Arial"/>
          <w:sz w:val="18"/>
          <w:szCs w:val="18"/>
          <w:color w:val="auto"/>
        </w:rPr>
        <w:t>There have been no material changes outside the ordinary course of our business to the contractual obligations disclosed in our Annual Report on Form 10-K for the year ended December 31,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right="820" w:firstLine="441"/>
        <w:spacing w:after="0" w:line="235" w:lineRule="auto"/>
        <w:rPr>
          <w:sz w:val="20"/>
          <w:szCs w:val="20"/>
          <w:color w:val="auto"/>
        </w:rPr>
      </w:pPr>
      <w:r>
        <w:rPr>
          <w:rFonts w:ascii="Arial" w:cs="Arial" w:eastAsia="Arial" w:hAnsi="Arial"/>
          <w:sz w:val="18"/>
          <w:szCs w:val="18"/>
          <w:color w:val="auto"/>
        </w:rPr>
        <w:t>At March 31, 2019, we did not have any transactions, obligations or relationships that constitute off-balance sheet arrangements.</w:t>
      </w:r>
    </w:p>
    <w:p>
      <w:pPr>
        <w:spacing w:after="0" w:line="13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22" w:lineRule="exact"/>
        <w:rPr>
          <w:sz w:val="20"/>
          <w:szCs w:val="20"/>
          <w:color w:val="auto"/>
        </w:rPr>
      </w:pPr>
    </w:p>
    <w:p>
      <w:pPr>
        <w:ind w:right="240" w:firstLine="441"/>
        <w:spacing w:after="0" w:line="225" w:lineRule="auto"/>
        <w:rPr>
          <w:sz w:val="20"/>
          <w:szCs w:val="20"/>
          <w:color w:val="auto"/>
        </w:rPr>
      </w:pPr>
      <w:r>
        <w:rPr>
          <w:rFonts w:ascii="Arial" w:cs="Arial" w:eastAsia="Arial" w:hAnsi="Arial"/>
          <w:sz w:val="17"/>
          <w:szCs w:val="17"/>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March 31, 2019.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48"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Events and Uncertainties</w:t>
      </w:r>
    </w:p>
    <w:p>
      <w:pPr>
        <w:spacing w:after="0" w:line="162" w:lineRule="exact"/>
        <w:rPr>
          <w:sz w:val="20"/>
          <w:szCs w:val="20"/>
          <w:color w:val="auto"/>
        </w:rPr>
      </w:pPr>
    </w:p>
    <w:p>
      <w:pPr>
        <w:ind w:right="260" w:firstLine="441"/>
        <w:spacing w:after="0" w:line="226" w:lineRule="auto"/>
        <w:rPr>
          <w:sz w:val="20"/>
          <w:szCs w:val="20"/>
          <w:color w:val="auto"/>
        </w:rPr>
      </w:pPr>
      <w:r>
        <w:rPr>
          <w:rFonts w:ascii="Arial" w:cs="Arial" w:eastAsia="Arial" w:hAnsi="Arial"/>
          <w:sz w:val="17"/>
          <w:szCs w:val="17"/>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our CellFX System, including, but not limited to, additional financing through follow-on stock offerings, debt financings, or co-development agreements and/or other alternatives.</w:t>
      </w:r>
    </w:p>
    <w:p>
      <w:pPr>
        <w:spacing w:after="0" w:line="125" w:lineRule="exact"/>
        <w:rPr>
          <w:sz w:val="20"/>
          <w:szCs w:val="20"/>
          <w:color w:val="auto"/>
        </w:rPr>
      </w:pPr>
    </w:p>
    <w:p>
      <w:pPr>
        <w:ind w:firstLine="441"/>
        <w:spacing w:after="0" w:line="239" w:lineRule="auto"/>
        <w:rPr>
          <w:sz w:val="20"/>
          <w:szCs w:val="20"/>
          <w:color w:val="auto"/>
        </w:rPr>
      </w:pPr>
      <w:r>
        <w:rPr>
          <w:rFonts w:ascii="Arial" w:cs="Arial" w:eastAsia="Arial" w:hAnsi="Arial"/>
          <w:sz w:val="16"/>
          <w:szCs w:val="16"/>
          <w:color w:val="auto"/>
        </w:rPr>
        <w:t>We cannot assure investors that our technology will receive regulatory clearance,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22" w:lineRule="exact"/>
        <w:rPr>
          <w:sz w:val="20"/>
          <w:szCs w:val="20"/>
          <w:color w:val="auto"/>
        </w:rPr>
      </w:pPr>
    </w:p>
    <w:p>
      <w:pPr>
        <w:jc w:val="both"/>
        <w:ind w:right="280" w:firstLine="441"/>
        <w:spacing w:after="0" w:line="238" w:lineRule="auto"/>
        <w:rPr>
          <w:sz w:val="20"/>
          <w:szCs w:val="20"/>
          <w:color w:val="auto"/>
        </w:rPr>
      </w:pPr>
      <w:r>
        <w:rPr>
          <w:rFonts w:ascii="Arial" w:cs="Arial" w:eastAsia="Arial" w:hAnsi="Arial"/>
          <w:sz w:val="17"/>
          <w:szCs w:val="17"/>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jc w:val="both"/>
        <w:ind w:right="80" w:firstLine="441"/>
        <w:spacing w:after="0" w:line="238" w:lineRule="auto"/>
        <w:rPr>
          <w:sz w:val="20"/>
          <w:szCs w:val="20"/>
          <w:color w:val="auto"/>
        </w:rPr>
      </w:pPr>
      <w:r>
        <w:rPr>
          <w:rFonts w:ascii="Arial" w:cs="Arial" w:eastAsia="Arial" w:hAnsi="Arial"/>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Market Risk</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March 31, 2019 and December 31, 2018, we had cash, cash equivalents and investments totaling $52.8 million and</w:t>
      </w:r>
    </w:p>
    <w:p>
      <w:pPr>
        <w:spacing w:after="0"/>
        <w:rPr>
          <w:sz w:val="20"/>
          <w:szCs w:val="20"/>
          <w:color w:val="auto"/>
        </w:rPr>
      </w:pPr>
      <w:r>
        <w:rPr>
          <w:rFonts w:ascii="Arial" w:cs="Arial" w:eastAsia="Arial" w:hAnsi="Arial"/>
          <w:sz w:val="16"/>
          <w:szCs w:val="16"/>
          <w:color w:val="auto"/>
        </w:rPr>
        <w:t>$59.6 million, respectively, all of which have maturities of less than one year. The goal of our investment policy is preservation of</w:t>
      </w:r>
    </w:p>
    <w:p>
      <w:pPr>
        <w:spacing w:after="0" w:line="215" w:lineRule="auto"/>
        <w:rPr>
          <w:sz w:val="20"/>
          <w:szCs w:val="20"/>
          <w:color w:val="auto"/>
        </w:rPr>
      </w:pPr>
      <w:r>
        <w:rPr>
          <w:rFonts w:ascii="Arial" w:cs="Arial" w:eastAsia="Arial" w:hAnsi="Arial"/>
          <w:sz w:val="17"/>
          <w:szCs w:val="17"/>
          <w:color w:val="auto"/>
        </w:rPr>
        <w:t>capital, fulfillment of liquidity needs and fiduciary control of our cash and investments. To achieve our goal, we maintain a</w:t>
      </w:r>
    </w:p>
    <w:p>
      <w:pPr>
        <w:spacing w:after="0" w:line="216" w:lineRule="auto"/>
        <w:rPr>
          <w:sz w:val="20"/>
          <w:szCs w:val="20"/>
          <w:color w:val="auto"/>
        </w:rPr>
      </w:pPr>
      <w:r>
        <w:rPr>
          <w:rFonts w:ascii="Arial" w:cs="Arial" w:eastAsia="Arial" w:hAnsi="Arial"/>
          <w:sz w:val="17"/>
          <w:szCs w:val="17"/>
          <w:color w:val="auto"/>
        </w:rPr>
        <w:t>portfolio of cash equivalents and investments in a variety of securities of high credit quality. The securities in our investment</w:t>
      </w:r>
    </w:p>
    <w:p>
      <w:pPr>
        <w:spacing w:after="0" w:line="229" w:lineRule="auto"/>
        <w:rPr>
          <w:sz w:val="20"/>
          <w:szCs w:val="20"/>
          <w:color w:val="auto"/>
        </w:rPr>
      </w:pPr>
      <w:r>
        <w:rPr>
          <w:rFonts w:ascii="Arial" w:cs="Arial" w:eastAsia="Arial" w:hAnsi="Arial"/>
          <w:sz w:val="16"/>
          <w:szCs w:val="16"/>
          <w:color w:val="auto"/>
        </w:rPr>
        <w:t>portfolio are not leveraged, are classified as available-for-sale, and are, due to their relatively short-term nature, subject to minimal</w:t>
      </w:r>
    </w:p>
    <w:p>
      <w:pPr>
        <w:spacing w:after="0" w:line="229" w:lineRule="auto"/>
        <w:rPr>
          <w:sz w:val="20"/>
          <w:szCs w:val="20"/>
          <w:color w:val="auto"/>
        </w:rPr>
      </w:pPr>
      <w:r>
        <w:rPr>
          <w:rFonts w:ascii="Arial" w:cs="Arial" w:eastAsia="Arial" w:hAnsi="Arial"/>
          <w:sz w:val="16"/>
          <w:szCs w:val="16"/>
          <w:color w:val="auto"/>
        </w:rPr>
        <w:t>interest rate risks. We currently do not hedge interest rate exposure. A decline in interest rates would reduce our interest income;</w:t>
      </w:r>
    </w:p>
    <w:p>
      <w:pPr>
        <w:spacing w:after="0" w:line="229" w:lineRule="auto"/>
        <w:rPr>
          <w:sz w:val="20"/>
          <w:szCs w:val="20"/>
          <w:color w:val="auto"/>
        </w:rPr>
      </w:pPr>
      <w:r>
        <w:rPr>
          <w:rFonts w:ascii="Arial" w:cs="Arial" w:eastAsia="Arial" w:hAnsi="Arial"/>
          <w:sz w:val="16"/>
          <w:szCs w:val="16"/>
          <w:color w:val="auto"/>
        </w:rPr>
        <w:t>however, because of the short-term maturities of our investments, we do not believe that a hypothetical 10% change in market</w:t>
      </w:r>
    </w:p>
    <w:p>
      <w:pPr>
        <w:spacing w:after="0"/>
        <w:rPr>
          <w:sz w:val="20"/>
          <w:szCs w:val="20"/>
          <w:color w:val="auto"/>
        </w:rPr>
      </w:pPr>
      <w:r>
        <w:rPr>
          <w:rFonts w:ascii="Arial" w:cs="Arial" w:eastAsia="Arial" w:hAnsi="Arial"/>
          <w:sz w:val="18"/>
          <w:szCs w:val="18"/>
          <w:color w:val="auto"/>
        </w:rPr>
        <w:t>interest rates would have a material negative impact on the value of our investment portfolio.</w:t>
      </w:r>
    </w:p>
    <w:p>
      <w:pPr>
        <w:spacing w:after="0" w:line="61" w:lineRule="exact"/>
        <w:rPr>
          <w:sz w:val="20"/>
          <w:szCs w:val="20"/>
          <w:color w:val="auto"/>
        </w:rPr>
      </w:pPr>
    </w:p>
    <w:p>
      <w:pPr>
        <w:jc w:val="both"/>
        <w:ind w:firstLine="441"/>
        <w:spacing w:after="0" w:line="249" w:lineRule="auto"/>
        <w:rPr>
          <w:sz w:val="20"/>
          <w:szCs w:val="20"/>
          <w:color w:val="auto"/>
        </w:rPr>
      </w:pPr>
      <w:r>
        <w:rPr>
          <w:rFonts w:ascii="Arial" w:cs="Arial" w:eastAsia="Arial" w:hAnsi="Arial"/>
          <w:sz w:val="16"/>
          <w:szCs w:val="16"/>
          <w:color w:val="auto"/>
        </w:rPr>
        <w:t>On the other hand, when interest rates rise, our marketable securities purchased at a lower yield would incur a mark-to-market unrealized loss. Under certain circumstances, if we are forced to sell our marketable securities prior to maturity, we may incur realized losses in such investments. However, because of the conservative and short-term nature of the investments in our portfolio, a change in interest rates is not expected to have a material impact on our condensed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48"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color w:val="auto"/>
        </w:rPr>
        <w:t>The majority of our expense and capital purchasing activities are transacted in U.S. dollars. We do not currently have any international operations. We may incur foreign exchange gains or losses in the future.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on Form 10-Q. Based on this evaluation, our Chief Executive Officer and our Chief Financial Officer have concluded that, as of March 31, 2019,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jc w:val="both"/>
        <w:ind w:right="320" w:firstLine="441"/>
        <w:spacing w:after="0" w:line="235"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required by Rule 13a-15(d) and 15d-15(d) of the Exchange Act, as amended, that occurred during the quarter ended March 31, 2019 that have materially affected, or are reasonably likely to materially affect, our internal control over financial reporting.</w:t>
      </w:r>
    </w:p>
    <w:p>
      <w:pPr>
        <w:spacing w:after="0" w:line="2"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Internal control over financial reporting means a process designed to provide reasonable assurance regarding the reliability of financial reporting and the preparation of financial statements for external purposes in accordance with GAAP.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right="20" w:firstLine="441"/>
        <w:spacing w:after="0" w:line="234" w:lineRule="auto"/>
        <w:rPr>
          <w:sz w:val="20"/>
          <w:szCs w:val="20"/>
          <w:color w:val="auto"/>
        </w:rPr>
      </w:pPr>
      <w:r>
        <w:rPr>
          <w:rFonts w:ascii="Arial" w:cs="Arial" w:eastAsia="Arial" w:hAnsi="Arial"/>
          <w:sz w:val="16"/>
          <w:szCs w:val="16"/>
          <w:color w:val="auto"/>
        </w:rPr>
        <w:t>Our disclosure controls and procedures and our internal control over financial reporting are not expected to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 in the form of letters and other communications.</w:t>
      </w:r>
    </w:p>
    <w:p>
      <w:pPr>
        <w:spacing w:after="0" w:line="146" w:lineRule="exact"/>
        <w:rPr>
          <w:sz w:val="20"/>
          <w:szCs w:val="20"/>
          <w:color w:val="auto"/>
        </w:rPr>
      </w:pPr>
    </w:p>
    <w:p>
      <w:pPr>
        <w:ind w:right="240" w:firstLine="441"/>
        <w:spacing w:after="0" w:line="300" w:lineRule="auto"/>
        <w:rPr>
          <w:sz w:val="20"/>
          <w:szCs w:val="20"/>
          <w:color w:val="auto"/>
        </w:rPr>
      </w:pPr>
      <w:r>
        <w:rPr>
          <w:rFonts w:ascii="Arial" w:cs="Arial" w:eastAsia="Arial" w:hAnsi="Arial"/>
          <w:sz w:val="17"/>
          <w:szCs w:val="17"/>
          <w:color w:val="auto"/>
        </w:rPr>
        <w:t>The results of legal proceedings and claims are inherently unpredictable. We do not believe any currently pending matters will have a material adverse effect on our business based on our current understanding of such matters</w:t>
      </w:r>
      <w:r>
        <w:rPr>
          <w:rFonts w:ascii="Arial" w:cs="Arial" w:eastAsia="Arial" w:hAnsi="Arial"/>
          <w:sz w:val="20"/>
          <w:szCs w:val="20"/>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Industry and Financial Condition</w:t>
      </w:r>
    </w:p>
    <w:p>
      <w:pPr>
        <w:spacing w:after="0" w:line="175"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8"/>
          <w:szCs w:val="18"/>
          <w:color w:val="auto"/>
        </w:rPr>
        <w:t>.</w:t>
      </w:r>
    </w:p>
    <w:p>
      <w:pPr>
        <w:spacing w:after="0" w:line="135"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We are a bioelectric medicine technology company and have not yet commenced revenue-producing operations. To date, our operations on a consolidated basis have consisted of the continued development of our technologies and implementation of the early parts of our business plan. We have incurred significant operating losses in each year since our inception and we expect to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currently have no commercial products or product revenue and may never become profitable.</w:t>
      </w:r>
    </w:p>
    <w:p>
      <w:pPr>
        <w:spacing w:after="0" w:line="144" w:lineRule="exact"/>
        <w:rPr>
          <w:sz w:val="20"/>
          <w:szCs w:val="20"/>
          <w:color w:val="auto"/>
        </w:rPr>
      </w:pPr>
    </w:p>
    <w:p>
      <w:pPr>
        <w:ind w:right="80" w:firstLine="441"/>
        <w:spacing w:after="0" w:line="234" w:lineRule="auto"/>
        <w:rPr>
          <w:sz w:val="20"/>
          <w:szCs w:val="20"/>
          <w:color w:val="auto"/>
        </w:rPr>
      </w:pPr>
      <w:r>
        <w:rPr>
          <w:rFonts w:ascii="Arial" w:cs="Arial" w:eastAsia="Arial" w:hAnsi="Arial"/>
          <w:sz w:val="16"/>
          <w:szCs w:val="16"/>
          <w:color w:val="auto"/>
        </w:rPr>
        <w:t>To date, we have not generated revenue and have relied on financing from the sale of equity securities to fund our operations. We expect that our future financial results will depend primarily on our success in obtaining approval for, launching, selling and supporting our therapies and treatments utilizing our CellFX System or other products based on NPS technology; however, our technology is still in development and has not been approved to treat any disease or condition.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revenue or be profitable in the future. Our future products may never be approved or become commercially viable or accepted for use. Even if we find commercially viable applications for our technology, which may include licensing, we may never recover our research and development expenses.</w:t>
      </w:r>
    </w:p>
    <w:p>
      <w:pPr>
        <w:spacing w:after="0" w:line="139" w:lineRule="exact"/>
        <w:rPr>
          <w:sz w:val="20"/>
          <w:szCs w:val="20"/>
          <w:color w:val="auto"/>
        </w:rPr>
      </w:pPr>
    </w:p>
    <w:p>
      <w:pPr>
        <w:ind w:right="80" w:firstLine="441"/>
        <w:spacing w:after="0" w:line="225" w:lineRule="auto"/>
        <w:rPr>
          <w:sz w:val="20"/>
          <w:szCs w:val="20"/>
          <w:color w:val="auto"/>
        </w:rPr>
      </w:pPr>
      <w:r>
        <w:rPr>
          <w:rFonts w:ascii="Arial" w:cs="Arial" w:eastAsia="Arial" w:hAnsi="Arial"/>
          <w:sz w:val="17"/>
          <w:szCs w:val="17"/>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30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35" w:lineRule="exact"/>
        <w:rPr>
          <w:sz w:val="20"/>
          <w:szCs w:val="20"/>
          <w:color w:val="auto"/>
        </w:rPr>
      </w:pPr>
    </w:p>
    <w:p>
      <w:pPr>
        <w:ind w:firstLine="441"/>
        <w:spacing w:after="0" w:line="211" w:lineRule="auto"/>
        <w:rPr>
          <w:sz w:val="20"/>
          <w:szCs w:val="20"/>
          <w:color w:val="auto"/>
        </w:rPr>
      </w:pPr>
      <w:r>
        <w:rPr>
          <w:rFonts w:ascii="Arial" w:cs="Arial" w:eastAsia="Arial" w:hAnsi="Arial"/>
          <w:sz w:val="18"/>
          <w:szCs w:val="18"/>
          <w:color w:val="auto"/>
        </w:rPr>
        <w:t>We have experienced operating losses, and we expect to continue to incur operating losses for the next several years as we implement our business plan. Currently, we have no revenue and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 While we believe we have the resources necessary to fund operations for twelve months from the date of issuance of this Quarterly Report, our inability to raise capital in the future could have a material adverse effect on our business, financial condition and results of operations. We plan to raise additional funds in the near future and intend to finance our operations through equity financings.</w:t>
      </w:r>
    </w:p>
    <w:p>
      <w:pPr>
        <w:spacing w:after="0" w:line="124" w:lineRule="exact"/>
        <w:rPr>
          <w:sz w:val="20"/>
          <w:szCs w:val="20"/>
          <w:color w:val="auto"/>
        </w:rPr>
      </w:pPr>
    </w:p>
    <w:p>
      <w:pPr>
        <w:ind w:right="60" w:firstLine="441"/>
        <w:spacing w:after="0" w:line="223" w:lineRule="auto"/>
        <w:rPr>
          <w:sz w:val="20"/>
          <w:szCs w:val="20"/>
          <w:color w:val="auto"/>
        </w:rPr>
      </w:pPr>
      <w:r>
        <w:rPr>
          <w:rFonts w:ascii="Arial" w:cs="Arial" w:eastAsia="Arial" w:hAnsi="Arial"/>
          <w:sz w:val="17"/>
          <w:szCs w:val="17"/>
          <w:color w:val="auto"/>
        </w:rPr>
        <w:t>We cannot give any assurance that we will be able to obtain all the necessary funding that we may need. In addition, we believe that we will require additional capital in the future to fully develop our technologies and planned products to the stage of a commercial launch. We have pursued and may pursue additional funding through various financing sources, including the private sale of our equity and debt securities, licensing fees for our technology, joint ventures with capital partners and project type financing. If we raise funds by issuing equity or equity-linked securities, dilution to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 based financing, such as development and research grants. There can be no assurance that funds will be available on commercially reasonable terms, if at all.</w:t>
      </w:r>
    </w:p>
    <w:p>
      <w:pPr>
        <w:spacing w:after="0" w:line="121" w:lineRule="exact"/>
        <w:rPr>
          <w:sz w:val="20"/>
          <w:szCs w:val="20"/>
          <w:color w:val="auto"/>
        </w:rPr>
      </w:pPr>
    </w:p>
    <w:p>
      <w:pPr>
        <w:ind w:right="60" w:firstLine="441"/>
        <w:spacing w:after="0" w:line="236" w:lineRule="auto"/>
        <w:rPr>
          <w:sz w:val="20"/>
          <w:szCs w:val="20"/>
          <w:color w:val="auto"/>
        </w:rPr>
      </w:pPr>
      <w:r>
        <w:rPr>
          <w:rFonts w:ascii="Arial" w:cs="Arial" w:eastAsia="Arial" w:hAnsi="Arial"/>
          <w:sz w:val="16"/>
          <w:szCs w:val="16"/>
          <w:color w:val="auto"/>
        </w:rPr>
        <w:t>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36" w:lineRule="exact"/>
        <w:rPr>
          <w:sz w:val="20"/>
          <w:szCs w:val="20"/>
          <w:color w:val="auto"/>
        </w:rPr>
      </w:pPr>
    </w:p>
    <w:p>
      <w:pPr>
        <w:ind w:right="60" w:firstLine="441"/>
        <w:spacing w:after="0" w:line="229"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80" w:firstLine="441"/>
        <w:spacing w:after="0" w:line="23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w:t>
      </w:r>
    </w:p>
    <w:p>
      <w:pPr>
        <w:spacing w:after="0" w:line="54" w:lineRule="exact"/>
        <w:rPr>
          <w:sz w:val="20"/>
          <w:szCs w:val="20"/>
          <w:color w:val="auto"/>
        </w:rPr>
      </w:pPr>
    </w:p>
    <w:p>
      <w:pPr>
        <w:jc w:val="both"/>
        <w:ind w:right="240" w:firstLine="441"/>
        <w:spacing w:after="0" w:line="224"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123" w:lineRule="exact"/>
        <w:rPr>
          <w:sz w:val="20"/>
          <w:szCs w:val="20"/>
          <w:color w:val="auto"/>
        </w:rPr>
      </w:pPr>
    </w:p>
    <w:p>
      <w:pPr>
        <w:ind w:left="860" w:right="180" w:hanging="427"/>
        <w:spacing w:after="0" w:line="23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relating to our product candidates, which may change from time to time;</w:t>
      </w:r>
    </w:p>
    <w:p>
      <w:pPr>
        <w:spacing w:after="0" w:line="121" w:lineRule="exact"/>
        <w:rPr>
          <w:rFonts w:ascii="Arial" w:cs="Arial" w:eastAsia="Arial" w:hAnsi="Arial"/>
          <w:sz w:val="18"/>
          <w:szCs w:val="18"/>
          <w:color w:val="auto"/>
        </w:rPr>
      </w:pPr>
    </w:p>
    <w:p>
      <w:pPr>
        <w:ind w:left="860" w:right="280" w:hanging="427"/>
        <w:spacing w:after="0" w:line="23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receipt of approvals or clearances for our product candidates from regulatory authorities in the United States;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44" w:lineRule="exact"/>
        <w:rPr>
          <w:rFonts w:ascii="Arial" w:cs="Arial" w:eastAsia="Arial" w:hAnsi="Arial"/>
          <w:sz w:val="18"/>
          <w:szCs w:val="18"/>
          <w:color w:val="auto"/>
        </w:rPr>
      </w:pPr>
    </w:p>
    <w:p>
      <w:pPr>
        <w:ind w:left="860" w:right="420" w:hanging="427"/>
        <w:spacing w:after="0" w:line="23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or cleared, and potential future drugs or devices that compete with our product candidates;</w:t>
      </w:r>
    </w:p>
    <w:p>
      <w:pPr>
        <w:spacing w:after="0" w:line="121" w:lineRule="exact"/>
        <w:rPr>
          <w:rFonts w:ascii="Arial" w:cs="Arial" w:eastAsia="Arial" w:hAnsi="Arial"/>
          <w:sz w:val="18"/>
          <w:szCs w:val="18"/>
          <w:color w:val="auto"/>
        </w:rPr>
      </w:pPr>
    </w:p>
    <w:p>
      <w:pPr>
        <w:ind w:left="860" w:right="60" w:hanging="427"/>
        <w:spacing w:after="0" w:line="23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as well as building out our supply chain, which may vary depending on the quantity of production and the terms of our agreements with manufacturers;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expenditures that we may incur to acquire, develop or commercialize additional product candidates and technologies;</w:t>
      </w:r>
    </w:p>
    <w:p>
      <w:pPr>
        <w:spacing w:after="0" w:line="167" w:lineRule="exact"/>
        <w:rPr>
          <w:rFonts w:ascii="Arial" w:cs="Arial" w:eastAsia="Arial" w:hAnsi="Arial"/>
          <w:sz w:val="16"/>
          <w:szCs w:val="16"/>
          <w:color w:val="auto"/>
        </w:rPr>
      </w:pPr>
    </w:p>
    <w:p>
      <w:pPr>
        <w:ind w:left="860" w:hanging="42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level of demand for our products, if approved or cleared, which may vary significantly over time;</w:t>
      </w:r>
    </w:p>
    <w:p>
      <w:pPr>
        <w:spacing w:after="0" w:line="144" w:lineRule="exact"/>
        <w:rPr>
          <w:rFonts w:ascii="Arial" w:cs="Arial" w:eastAsia="Arial" w:hAnsi="Arial"/>
          <w:sz w:val="18"/>
          <w:szCs w:val="18"/>
          <w:color w:val="auto"/>
        </w:rPr>
      </w:pPr>
    </w:p>
    <w:p>
      <w:pPr>
        <w:ind w:left="860" w:right="120" w:hanging="427"/>
        <w:spacing w:after="0" w:line="235"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litigation, including patent, employment, securities class action, stockholder derivative, general commercial and other lawsuits;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44" w:lineRule="exact"/>
        <w:rPr>
          <w:rFonts w:ascii="Arial" w:cs="Arial" w:eastAsia="Arial" w:hAnsi="Arial"/>
          <w:sz w:val="18"/>
          <w:szCs w:val="18"/>
          <w:color w:val="auto"/>
        </w:rPr>
      </w:pPr>
    </w:p>
    <w:p>
      <w:pPr>
        <w:ind w:left="860" w:right="200" w:hanging="427"/>
        <w:spacing w:after="0" w:line="224"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123"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63" w:lineRule="exact"/>
        <w:rPr>
          <w:sz w:val="20"/>
          <w:szCs w:val="20"/>
          <w:color w:val="auto"/>
        </w:rPr>
      </w:pPr>
    </w:p>
    <w:p>
      <w:pPr>
        <w:ind w:right="80" w:firstLine="441"/>
        <w:spacing w:after="0" w:line="229"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21" w:lineRule="exact"/>
        <w:rPr>
          <w:sz w:val="20"/>
          <w:szCs w:val="20"/>
          <w:color w:val="auto"/>
        </w:rPr>
      </w:pPr>
    </w:p>
    <w:p>
      <w:pPr>
        <w:ind w:right="120" w:firstLine="441"/>
        <w:spacing w:after="0" w:line="289" w:lineRule="auto"/>
        <w:rPr>
          <w:sz w:val="20"/>
          <w:szCs w:val="20"/>
          <w:color w:val="auto"/>
        </w:rPr>
      </w:pPr>
      <w:r>
        <w:rPr>
          <w:rFonts w:ascii="Arial" w:cs="Arial" w:eastAsia="Arial" w:hAnsi="Arial"/>
          <w:sz w:val="16"/>
          <w:szCs w:val="16"/>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7"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We are highly dependent upon the principal members of our management team, including our Chief Executive Officer, Darrin Uecker, and the members of our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36" w:lineRule="exact"/>
        <w:rPr>
          <w:sz w:val="20"/>
          <w:szCs w:val="20"/>
          <w:color w:val="auto"/>
        </w:rPr>
      </w:pPr>
    </w:p>
    <w:p>
      <w:pPr>
        <w:ind w:right="660" w:firstLine="441"/>
        <w:spacing w:after="0" w:line="324" w:lineRule="auto"/>
        <w:rPr>
          <w:sz w:val="20"/>
          <w:szCs w:val="20"/>
          <w:color w:val="auto"/>
        </w:rPr>
      </w:pPr>
      <w:r>
        <w:rPr>
          <w:rFonts w:ascii="Arial" w:cs="Arial" w:eastAsia="Arial" w:hAnsi="Arial"/>
          <w:sz w:val="15"/>
          <w:szCs w:val="15"/>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61"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Rapidly changing technology in life sciences could make the products we are developing obsolete.</w:t>
      </w:r>
    </w:p>
    <w:p>
      <w:pPr>
        <w:spacing w:after="0" w:line="158"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22" w:lineRule="exact"/>
        <w:rPr>
          <w:sz w:val="20"/>
          <w:szCs w:val="20"/>
          <w:color w:val="auto"/>
        </w:rPr>
      </w:pPr>
    </w:p>
    <w:p>
      <w:pPr>
        <w:jc w:val="both"/>
        <w:ind w:right="560" w:firstLine="441"/>
        <w:spacing w:after="0" w:line="324" w:lineRule="auto"/>
        <w:rPr>
          <w:sz w:val="20"/>
          <w:szCs w:val="20"/>
          <w:color w:val="auto"/>
        </w:rPr>
      </w:pPr>
      <w:r>
        <w:rPr>
          <w:rFonts w:ascii="Arial" w:cs="Arial" w:eastAsia="Arial" w:hAnsi="Arial"/>
          <w:sz w:val="15"/>
          <w:szCs w:val="15"/>
          <w:b w:val="1"/>
          <w:bCs w:val="1"/>
          <w:i w:val="1"/>
          <w:iCs w:val="1"/>
          <w:color w:val="auto"/>
        </w:rPr>
        <w:t>We expect to operate in a highly competitive market, we may face competition from large, well-established medical technology, device and product manufacturers with significant resources, and we may not be able to compete effectively.</w:t>
      </w:r>
    </w:p>
    <w:p>
      <w:pPr>
        <w:spacing w:after="0" w:line="61" w:lineRule="exact"/>
        <w:rPr>
          <w:sz w:val="20"/>
          <w:szCs w:val="20"/>
          <w:color w:val="auto"/>
        </w:rPr>
      </w:pPr>
    </w:p>
    <w:p>
      <w:pPr>
        <w:ind w:right="100" w:firstLine="441"/>
        <w:spacing w:after="0" w:line="249" w:lineRule="auto"/>
        <w:rPr>
          <w:sz w:val="20"/>
          <w:szCs w:val="20"/>
          <w:color w:val="auto"/>
        </w:rPr>
      </w:pPr>
      <w:r>
        <w:rPr>
          <w:rFonts w:ascii="Arial" w:cs="Arial" w:eastAsia="Arial" w:hAnsi="Arial"/>
          <w:sz w:val="16"/>
          <w:szCs w:val="16"/>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128" w:lineRule="exact"/>
        <w:rPr>
          <w:sz w:val="20"/>
          <w:szCs w:val="20"/>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established relations with healthcare professionals, customers and third-party payers;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efficacy or better safety profiles;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established distribution networks;</w:t>
      </w:r>
    </w:p>
    <w:p>
      <w:pPr>
        <w:spacing w:after="0" w:line="144" w:lineRule="exact"/>
        <w:rPr>
          <w:rFonts w:ascii="Arial" w:cs="Arial" w:eastAsia="Arial" w:hAnsi="Arial"/>
          <w:sz w:val="18"/>
          <w:szCs w:val="18"/>
          <w:color w:val="auto"/>
        </w:rPr>
      </w:pPr>
    </w:p>
    <w:p>
      <w:pPr>
        <w:ind w:left="860" w:right="580" w:hanging="427"/>
        <w:spacing w:after="0" w:line="235"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higher discounts or incentives to gain a competitive advantage;</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7"/>
          <w:szCs w:val="17"/>
          <w:color w:val="auto"/>
        </w:rPr>
      </w:pPr>
      <w:r>
        <w:rPr>
          <w:rFonts w:ascii="Arial" w:cs="Arial" w:eastAsia="Arial" w:hAnsi="Arial"/>
          <w:sz w:val="17"/>
          <w:szCs w:val="17"/>
          <w:color w:val="auto"/>
        </w:rPr>
        <w:t>greater experience in obtaining patents and regulatory approvals for product candidates and other resources;</w:t>
      </w:r>
    </w:p>
    <w:p>
      <w:pPr>
        <w:spacing w:after="0" w:line="155" w:lineRule="exact"/>
        <w:rPr>
          <w:rFonts w:ascii="Arial" w:cs="Arial" w:eastAsia="Arial" w:hAnsi="Arial"/>
          <w:sz w:val="17"/>
          <w:szCs w:val="17"/>
          <w:color w:val="auto"/>
        </w:rPr>
      </w:pPr>
    </w:p>
    <w:p>
      <w:pPr>
        <w:ind w:left="860" w:right="620" w:hanging="427"/>
        <w:spacing w:after="0" w:line="235"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obtaining regulatory approval for products, and marketing approved products; and</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144" w:lineRule="exact"/>
        <w:rPr>
          <w:sz w:val="20"/>
          <w:szCs w:val="20"/>
          <w:color w:val="auto"/>
        </w:rPr>
      </w:pPr>
    </w:p>
    <w:p>
      <w:pPr>
        <w:ind w:right="60" w:firstLine="441"/>
        <w:spacing w:after="0" w:line="237" w:lineRule="auto"/>
        <w:rPr>
          <w:sz w:val="20"/>
          <w:szCs w:val="20"/>
          <w:color w:val="auto"/>
        </w:rPr>
      </w:pPr>
      <w:r>
        <w:rPr>
          <w:rFonts w:ascii="Arial" w:cs="Arial" w:eastAsia="Arial" w:hAnsi="Arial"/>
          <w:sz w:val="16"/>
          <w:szCs w:val="16"/>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if approved, may compete with other dermatological products, including over-the-counter, or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cost or convenience. As a result, we may not be able to compete effectively against current and potential future competitors or their devices and products.</w:t>
      </w:r>
    </w:p>
    <w:p>
      <w:pPr>
        <w:spacing w:after="0" w:line="135" w:lineRule="exact"/>
        <w:rPr>
          <w:sz w:val="20"/>
          <w:szCs w:val="20"/>
          <w:color w:val="auto"/>
        </w:rPr>
      </w:pPr>
    </w:p>
    <w:p>
      <w:pPr>
        <w:ind w:right="60" w:firstLine="441"/>
        <w:spacing w:after="0" w:line="235" w:lineRule="auto"/>
        <w:rPr>
          <w:sz w:val="20"/>
          <w:szCs w:val="20"/>
          <w:color w:val="auto"/>
        </w:rPr>
      </w:pPr>
      <w:r>
        <w:rPr>
          <w:rFonts w:ascii="Arial" w:cs="Arial" w:eastAsia="Arial" w:hAnsi="Arial"/>
          <w:sz w:val="18"/>
          <w:szCs w:val="18"/>
          <w:b w:val="1"/>
          <w:bCs w:val="1"/>
          <w:i w:val="1"/>
          <w:iCs w:val="1"/>
          <w:color w:val="auto"/>
        </w:rPr>
        <w:t>We may rely on third parties for our sales, marketing, manufacturing and/or distribution, and these third parties may not perform satisfactorily.</w:t>
      </w:r>
    </w:p>
    <w:p>
      <w:pPr>
        <w:spacing w:after="0" w:line="121" w:lineRule="exact"/>
        <w:rPr>
          <w:sz w:val="20"/>
          <w:szCs w:val="20"/>
          <w:color w:val="auto"/>
        </w:rPr>
      </w:pPr>
    </w:p>
    <w:p>
      <w:pPr>
        <w:ind w:right="40" w:firstLine="441"/>
        <w:spacing w:after="0" w:line="210" w:lineRule="auto"/>
        <w:rPr>
          <w:sz w:val="20"/>
          <w:szCs w:val="20"/>
          <w:color w:val="auto"/>
        </w:rPr>
      </w:pPr>
      <w:r>
        <w:rPr>
          <w:rFonts w:ascii="Arial" w:cs="Arial" w:eastAsia="Arial" w:hAnsi="Arial"/>
          <w:sz w:val="18"/>
          <w:szCs w:val="18"/>
          <w:color w:val="auto"/>
        </w:rPr>
        <w:t>We do not currently conduct any aspects of sales, marketing, large-scale manufacturing or distribution. To be able to commercialize our planned products, we may elect to internally develop all of the foregoing or utilize third parties with respect to one or more of these items. Our reliance on these third parties may reduce our control over these activities;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126" w:lineRule="exact"/>
        <w:rPr>
          <w:sz w:val="20"/>
          <w:szCs w:val="20"/>
          <w:color w:val="auto"/>
        </w:rPr>
      </w:pPr>
    </w:p>
    <w:p>
      <w:pPr>
        <w:ind w:right="60" w:firstLine="441"/>
        <w:spacing w:after="0" w:line="211" w:lineRule="auto"/>
        <w:rPr>
          <w:sz w:val="20"/>
          <w:szCs w:val="20"/>
          <w:color w:val="auto"/>
        </w:rPr>
      </w:pPr>
      <w:r>
        <w:rPr>
          <w:rFonts w:ascii="Arial" w:cs="Arial" w:eastAsia="Arial" w:hAnsi="Arial"/>
          <w:sz w:val="18"/>
          <w:szCs w:val="18"/>
          <w:color w:val="auto"/>
        </w:rPr>
        <w:t>We do not have any corporate experience in establishing these capabilities, and therefore, we may be unsuccessful in achieving commercialization and earning revenues. We believe that setting up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138" w:lineRule="exact"/>
        <w:rPr>
          <w:sz w:val="20"/>
          <w:szCs w:val="20"/>
          <w:color w:val="auto"/>
        </w:rPr>
      </w:pPr>
    </w:p>
    <w:p>
      <w:pPr>
        <w:ind w:right="42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harmed.</w:t>
      </w:r>
    </w:p>
    <w:p>
      <w:pPr>
        <w:spacing w:after="0" w:line="121" w:lineRule="exact"/>
        <w:rPr>
          <w:sz w:val="20"/>
          <w:szCs w:val="20"/>
          <w:color w:val="auto"/>
        </w:rPr>
      </w:pPr>
    </w:p>
    <w:p>
      <w:pPr>
        <w:ind w:right="40" w:firstLine="441"/>
        <w:spacing w:after="0" w:line="223" w:lineRule="auto"/>
        <w:rPr>
          <w:sz w:val="20"/>
          <w:szCs w:val="20"/>
          <w:color w:val="auto"/>
        </w:rPr>
      </w:pPr>
      <w:r>
        <w:rPr>
          <w:rFonts w:ascii="Arial" w:cs="Arial" w:eastAsia="Arial" w:hAnsi="Arial"/>
          <w:sz w:val="17"/>
          <w:szCs w:val="17"/>
          <w:color w:val="auto"/>
        </w:rPr>
        <w:t>We have experienced and continue to experience rapid growth in our business. Recent and future growth imposes significant added responsibilities on management, including the need to identify, recruit, train and integrate additional employees. Rapid expansion in personnel could mean that less experienced people carry out our research and development activities, manufacture, market and sell CellFX System,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121" w:lineRule="exact"/>
        <w:rPr>
          <w:sz w:val="20"/>
          <w:szCs w:val="20"/>
          <w:color w:val="auto"/>
        </w:rPr>
      </w:pPr>
    </w:p>
    <w:p>
      <w:pPr>
        <w:ind w:right="100" w:firstLine="441"/>
        <w:spacing w:after="0" w:line="235"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35" w:lineRule="exact"/>
        <w:rPr>
          <w:sz w:val="20"/>
          <w:szCs w:val="20"/>
          <w:color w:val="auto"/>
        </w:rPr>
      </w:pPr>
    </w:p>
    <w:p>
      <w:pPr>
        <w:ind w:right="40" w:firstLine="441"/>
        <w:spacing w:after="0" w:line="235" w:lineRule="auto"/>
        <w:rPr>
          <w:sz w:val="20"/>
          <w:szCs w:val="20"/>
          <w:color w:val="auto"/>
        </w:rPr>
      </w:pPr>
      <w:r>
        <w:rPr>
          <w:rFonts w:ascii="Arial" w:cs="Arial" w:eastAsia="Arial" w:hAnsi="Arial"/>
          <w:sz w:val="16"/>
          <w:szCs w:val="16"/>
          <w:color w:val="auto"/>
        </w:rPr>
        <w:t>Our results of operations could be adversely affected by general conditions in the global economy and in the global financial markets. Furthermore, the market for aesthetic medical procedures may be particularly vulnerable to unfavorable economic conditions. In particular, insurance coverage and reimbursement for aesthetic dermatology procedures using CellFX System may not be available, and, as a result, demand for this product will be tied to discretionary spending levels of our targeted patient population.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lead product candidates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25"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23" w:lineRule="exact"/>
        <w:rPr>
          <w:sz w:val="20"/>
          <w:szCs w:val="20"/>
          <w:color w:val="auto"/>
        </w:rPr>
      </w:pPr>
    </w:p>
    <w:p>
      <w:pPr>
        <w:ind w:right="560" w:firstLine="441"/>
        <w:spacing w:after="0" w:line="289" w:lineRule="auto"/>
        <w:rPr>
          <w:sz w:val="20"/>
          <w:szCs w:val="20"/>
          <w:color w:val="auto"/>
        </w:rPr>
      </w:pPr>
      <w:r>
        <w:rPr>
          <w:rFonts w:ascii="Arial" w:cs="Arial" w:eastAsia="Arial" w:hAnsi="Arial"/>
          <w:sz w:val="16"/>
          <w:szCs w:val="16"/>
          <w:color w:val="auto"/>
        </w:rPr>
        <w:t>In the ordinary course of our business, we, and our third-party service providers may collect and store sensitive data, including legally protected health information, personally identifiable information about our patients, information related to</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w:t>
      </w:r>
    </w:p>
    <w:p>
      <w:pPr>
        <w:spacing w:after="0" w:line="136" w:lineRule="exact"/>
        <w:rPr>
          <w:sz w:val="20"/>
          <w:szCs w:val="20"/>
          <w:color w:val="auto"/>
        </w:rPr>
      </w:pPr>
    </w:p>
    <w:p>
      <w:pPr>
        <w:ind w:right="40" w:firstLine="441"/>
        <w:spacing w:after="0" w:line="220" w:lineRule="auto"/>
        <w:rPr>
          <w:sz w:val="20"/>
          <w:szCs w:val="20"/>
          <w:color w:val="auto"/>
        </w:rPr>
      </w:pPr>
      <w:r>
        <w:rPr>
          <w:rFonts w:ascii="Arial" w:cs="Arial" w:eastAsia="Arial" w:hAnsi="Arial"/>
          <w:sz w:val="17"/>
          <w:szCs w:val="17"/>
          <w:color w:val="auto"/>
        </w:rPr>
        <w:t>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federal Health Insurance Portability and Accountability Act of 1996, or HIPAA, as amended by the Health Information Technology for Economic and Clinical Health Act of 2009, or HITECH, and regulatory penalties or the California Consumer Privacy Act of 2018 (the “CCPA”), which was enacted in June 2018 and will become effective in January 2020. 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w:t>
      </w:r>
    </w:p>
    <w:p>
      <w:pPr>
        <w:spacing w:after="0" w:line="129" w:lineRule="exact"/>
        <w:rPr>
          <w:sz w:val="20"/>
          <w:szCs w:val="20"/>
          <w:color w:val="auto"/>
        </w:rPr>
      </w:pPr>
    </w:p>
    <w:p>
      <w:pPr>
        <w:ind w:right="260" w:firstLine="441"/>
        <w:spacing w:after="0" w:line="214"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122" w:lineRule="exact"/>
        <w:rPr>
          <w:sz w:val="20"/>
          <w:szCs w:val="20"/>
          <w:color w:val="auto"/>
        </w:rPr>
      </w:pPr>
    </w:p>
    <w:p>
      <w:pPr>
        <w:ind w:right="200" w:firstLine="441"/>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35"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We face an inherent risk of product liability exposure related to the future sale of planned products and the use of planned products in human clinical studies.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planned products caused injuries, we may incur substantial liabilities. Regardless of merit or eventual outcome, liability claims may result in:</w:t>
      </w:r>
    </w:p>
    <w:p>
      <w:pPr>
        <w:spacing w:after="0" w:line="127" w:lineRule="exact"/>
        <w:rPr>
          <w:sz w:val="20"/>
          <w:szCs w:val="20"/>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44" w:lineRule="exact"/>
        <w:rPr>
          <w:sz w:val="20"/>
          <w:szCs w:val="20"/>
          <w:color w:val="auto"/>
        </w:rPr>
      </w:pPr>
    </w:p>
    <w:p>
      <w:pPr>
        <w:ind w:right="40" w:firstLine="441"/>
        <w:spacing w:after="0" w:line="237" w:lineRule="auto"/>
        <w:rPr>
          <w:sz w:val="20"/>
          <w:szCs w:val="20"/>
          <w:color w:val="auto"/>
        </w:rPr>
      </w:pPr>
      <w:r>
        <w:rPr>
          <w:rFonts w:ascii="Arial" w:cs="Arial" w:eastAsia="Arial" w:hAnsi="Arial"/>
          <w:sz w:val="16"/>
          <w:szCs w:val="16"/>
          <w:color w:val="auto"/>
        </w:rPr>
        <w:t>For example, for our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34" w:lineRule="exact"/>
        <w:rPr>
          <w:sz w:val="20"/>
          <w:szCs w:val="20"/>
          <w:color w:val="auto"/>
        </w:rPr>
      </w:pPr>
    </w:p>
    <w:p>
      <w:pPr>
        <w:ind w:right="100" w:firstLine="441"/>
        <w:spacing w:after="0" w:line="224" w:lineRule="auto"/>
        <w:rPr>
          <w:sz w:val="20"/>
          <w:szCs w:val="20"/>
          <w:color w:val="auto"/>
        </w:rPr>
      </w:pPr>
      <w:r>
        <w:rPr>
          <w:rFonts w:ascii="Arial" w:cs="Arial" w:eastAsia="Arial" w:hAnsi="Arial"/>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144" w:lineRule="exact"/>
        <w:rPr>
          <w:sz w:val="20"/>
          <w:szCs w:val="20"/>
          <w:color w:val="auto"/>
        </w:rPr>
      </w:pPr>
    </w:p>
    <w:p>
      <w:pPr>
        <w:ind w:firstLine="441"/>
        <w:spacing w:after="0" w:line="222"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44"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We have incurred net losses since our inception and anticipate that we will continue to incur significant losses for the foreseeable future. If not utilized, the federal and state NOL carryforwards will begin to expire in various years beginning after 2034. Under the Internal Revenue Code of 1986, as amended, or the Code, and certain similar state tax provisions, a corporation is generally allowed a deduction for net operating losses, or NOLs, carried over from a prior taxable year. Under those provisions, we can carry forward our NOLs to offset our future taxable income, if any, until such NOLs are used or expire. The same is true of other unused tax attributes, such as tax credits.</w:t>
      </w:r>
    </w:p>
    <w:p>
      <w:pPr>
        <w:spacing w:after="0" w:line="122" w:lineRule="exact"/>
        <w:rPr>
          <w:sz w:val="20"/>
          <w:szCs w:val="20"/>
          <w:color w:val="auto"/>
        </w:rPr>
      </w:pPr>
    </w:p>
    <w:p>
      <w:pPr>
        <w:jc w:val="both"/>
        <w:ind w:right="40" w:firstLine="441"/>
        <w:spacing w:after="0" w:line="216" w:lineRule="auto"/>
        <w:rPr>
          <w:sz w:val="20"/>
          <w:szCs w:val="20"/>
          <w:color w:val="auto"/>
        </w:rPr>
      </w:pPr>
      <w:r>
        <w:rPr>
          <w:rFonts w:ascii="Arial" w:cs="Arial" w:eastAsia="Arial" w:hAnsi="Arial"/>
          <w:sz w:val="18"/>
          <w:szCs w:val="18"/>
          <w:color w:val="auto"/>
        </w:rPr>
        <w:t>In addition, 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35" w:lineRule="exact"/>
        <w:rPr>
          <w:sz w:val="20"/>
          <w:szCs w:val="20"/>
          <w:color w:val="auto"/>
        </w:rPr>
      </w:pPr>
    </w:p>
    <w:p>
      <w:pPr>
        <w:ind w:firstLine="441"/>
        <w:spacing w:after="0" w:line="241" w:lineRule="auto"/>
        <w:rPr>
          <w:sz w:val="20"/>
          <w:szCs w:val="20"/>
          <w:color w:val="auto"/>
        </w:rPr>
      </w:pPr>
      <w:r>
        <w:rPr>
          <w:rFonts w:ascii="Arial" w:cs="Arial" w:eastAsia="Arial" w:hAnsi="Arial"/>
          <w:sz w:val="16"/>
          <w:szCs w:val="16"/>
          <w:color w:val="auto"/>
        </w:rPr>
        <w:t>Further, in December 2017, the Tax Cuts and Jobs Act (the “TCJA”) was enacted into law. The change in the tax law was partially effective in 2017 and fully effective in 2018. The primary impacts to us include a decrease of the corporate income tax rate structure and NOL limitations. These changes may have a material impact to the value of deferred tax assets and liabilities and our future taxable income and effective tax rate. We are assessing the TCJA with professional advisers, and believe that the impact of the TCJA on our business may not be fully known for some time, and until such analysis is complete, the full impact of the new tax law on us in future periods is uncertain, and no assurances can be made by us on any potential impacts.</w:t>
      </w:r>
    </w:p>
    <w:p>
      <w:pPr>
        <w:spacing w:after="0" w:line="120" w:lineRule="exact"/>
        <w:rPr>
          <w:sz w:val="20"/>
          <w:szCs w:val="20"/>
          <w:color w:val="auto"/>
        </w:rPr>
      </w:pPr>
    </w:p>
    <w:p>
      <w:pPr>
        <w:ind w:right="20" w:firstLine="441"/>
        <w:spacing w:after="0" w:line="258" w:lineRule="auto"/>
        <w:rPr>
          <w:sz w:val="20"/>
          <w:szCs w:val="20"/>
          <w:color w:val="auto"/>
        </w:rPr>
      </w:pPr>
      <w:r>
        <w:rPr>
          <w:rFonts w:ascii="Arial" w:cs="Arial" w:eastAsia="Arial" w:hAnsi="Arial"/>
          <w:sz w:val="17"/>
          <w:szCs w:val="17"/>
          <w:b w:val="1"/>
          <w:bCs w:val="1"/>
          <w:i w:val="1"/>
          <w:iCs w:val="1"/>
          <w:color w:val="auto"/>
        </w:rPr>
        <w:t>We have a substantial amount of goodwill and intangible assets which over time may have to be written down as we make the required periodic assessments as to their value as reflected on our financial statements.</w:t>
      </w:r>
    </w:p>
    <w:p>
      <w:pPr>
        <w:spacing w:after="0" w:line="106"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right="280" w:firstLine="441"/>
        <w:spacing w:after="0" w:line="284" w:lineRule="auto"/>
        <w:rPr>
          <w:sz w:val="20"/>
          <w:szCs w:val="20"/>
          <w:color w:val="auto"/>
        </w:rPr>
      </w:pPr>
      <w:r>
        <w:rPr>
          <w:rFonts w:ascii="Arial" w:cs="Arial" w:eastAsia="Arial" w:hAnsi="Arial"/>
          <w:sz w:val="15"/>
          <w:szCs w:val="15"/>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103" w:lineRule="exact"/>
        <w:rPr>
          <w:sz w:val="20"/>
          <w:szCs w:val="20"/>
          <w:color w:val="auto"/>
        </w:rPr>
      </w:pPr>
    </w:p>
    <w:p>
      <w:pPr>
        <w:ind w:right="40" w:firstLine="441"/>
        <w:spacing w:after="0" w:line="235" w:lineRule="auto"/>
        <w:rPr>
          <w:sz w:val="20"/>
          <w:szCs w:val="20"/>
          <w:color w:val="auto"/>
        </w:rPr>
      </w:pPr>
      <w:r>
        <w:rPr>
          <w:rFonts w:ascii="Arial" w:cs="Arial" w:eastAsia="Arial" w:hAnsi="Arial"/>
          <w:sz w:val="16"/>
          <w:szCs w:val="16"/>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w:t>
      </w:r>
    </w:p>
    <w:p>
      <w:pPr>
        <w:spacing w:after="0" w:line="12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In connection with the audit of our financial statements as of and for the year ended December 31, 2016, we identified a material weakness in our internal control over financial reporting. The material weakness related to a lack of effective controls to adequately restrict access and segregate duties. We implemented measures and remediated the material weakness in 2017; however, we cannot assure you that the measures we have taken to date, and are continuing to implement, will be sufficient to avoid potential future material weaknesses. The existence of one or more material weaknesses could preclude a conclusion that we maintain effective internal control over financial reporting. Accordingly, there could be a possibility that a material misstatement of our financial statements would not be prevented or detected on a timely basis.</w:t>
      </w:r>
    </w:p>
    <w:p>
      <w:pPr>
        <w:spacing w:after="0" w:line="122"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or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36" w:lineRule="exact"/>
        <w:rPr>
          <w:sz w:val="20"/>
          <w:szCs w:val="20"/>
          <w:color w:val="auto"/>
        </w:rPr>
      </w:pPr>
    </w:p>
    <w:p>
      <w:pPr>
        <w:ind w:right="40" w:firstLine="441"/>
        <w:spacing w:after="0" w:line="324" w:lineRule="auto"/>
        <w:rPr>
          <w:sz w:val="20"/>
          <w:szCs w:val="20"/>
          <w:color w:val="auto"/>
        </w:rPr>
      </w:pPr>
      <w:r>
        <w:rPr>
          <w:rFonts w:ascii="Arial" w:cs="Arial" w:eastAsia="Arial" w:hAnsi="Arial"/>
          <w:sz w:val="15"/>
          <w:szCs w:val="15"/>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61" w:lineRule="exact"/>
        <w:rPr>
          <w:sz w:val="20"/>
          <w:szCs w:val="20"/>
          <w:color w:val="auto"/>
        </w:rPr>
      </w:pPr>
    </w:p>
    <w:p>
      <w:pPr>
        <w:ind w:right="20" w:firstLine="441"/>
        <w:spacing w:after="0" w:line="225" w:lineRule="auto"/>
        <w:rPr>
          <w:sz w:val="20"/>
          <w:szCs w:val="20"/>
          <w:color w:val="auto"/>
        </w:rPr>
      </w:pPr>
      <w:r>
        <w:rPr>
          <w:rFonts w:ascii="Arial" w:cs="Arial" w:eastAsia="Arial" w:hAnsi="Arial"/>
          <w:sz w:val="17"/>
          <w:szCs w:val="17"/>
          <w:color w:val="auto"/>
        </w:rPr>
        <w:t>Our facilities in the San Francisco Bay Area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62"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We currently do not have any products approved or cleared by the FDA or other similar foreign regulatory authorities for commercial sale or any commercialized products.</w:t>
      </w:r>
    </w:p>
    <w:p>
      <w:pPr>
        <w:spacing w:after="0" w:line="121" w:lineRule="exact"/>
        <w:rPr>
          <w:sz w:val="20"/>
          <w:szCs w:val="20"/>
          <w:color w:val="auto"/>
        </w:rPr>
      </w:pPr>
    </w:p>
    <w:p>
      <w:pPr>
        <w:ind w:firstLine="441"/>
        <w:spacing w:after="0" w:line="226" w:lineRule="auto"/>
        <w:rPr>
          <w:sz w:val="20"/>
          <w:szCs w:val="20"/>
          <w:color w:val="auto"/>
        </w:rPr>
      </w:pPr>
      <w:r>
        <w:rPr>
          <w:rFonts w:ascii="Arial" w:cs="Arial" w:eastAsia="Arial" w:hAnsi="Arial"/>
          <w:sz w:val="17"/>
          <w:szCs w:val="17"/>
          <w:color w:val="auto"/>
        </w:rPr>
        <w:t>To date, we have invested a substantial amount of time and capital to research and develop the foundations of our technology and potential applications. For us to develop any products that might ultimately be commercialized, we will have to invest further time and capital in research and product development, obtaining regulatory approval or clearance, implementing regulatory compliance standards, and market development. Therefore, we may never develop any products that can be commercialized. All of our development efforts will require substantial additional investment, which may never result in any revenue. Our efforts may not lead to approved or commercially successful products for a number of reasons, including:</w:t>
      </w:r>
    </w:p>
    <w:p>
      <w:pPr>
        <w:spacing w:after="0" w:line="125" w:lineRule="exact"/>
        <w:rPr>
          <w:sz w:val="20"/>
          <w:szCs w:val="20"/>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complete the development of any planned products;</w:t>
      </w:r>
    </w:p>
    <w:p>
      <w:pPr>
        <w:spacing w:after="0" w:line="144" w:lineRule="exact"/>
        <w:rPr>
          <w:rFonts w:ascii="Arial" w:cs="Arial" w:eastAsia="Arial" w:hAnsi="Arial"/>
          <w:sz w:val="18"/>
          <w:szCs w:val="18"/>
          <w:color w:val="auto"/>
        </w:rPr>
      </w:pPr>
    </w:p>
    <w:p>
      <w:pPr>
        <w:ind w:left="860" w:right="220" w:hanging="427"/>
        <w:spacing w:after="0" w:line="23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obtain regulatory approvals or clearances for our planned products, or the approved or cleared indications may be narrower than we seek;</w:t>
      </w:r>
    </w:p>
    <w:p>
      <w:pPr>
        <w:spacing w:after="0" w:line="121" w:lineRule="exact"/>
        <w:rPr>
          <w:rFonts w:ascii="Arial" w:cs="Arial" w:eastAsia="Arial" w:hAnsi="Arial"/>
          <w:sz w:val="18"/>
          <w:szCs w:val="18"/>
          <w:color w:val="auto"/>
        </w:rPr>
      </w:pPr>
    </w:p>
    <w:p>
      <w:pPr>
        <w:ind w:left="860" w:right="600" w:hanging="427"/>
        <w:spacing w:after="0" w:line="23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delays in our development program, clinical trials and the regulatory approval or clearance process;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NPS technology may not prove to be safe or effective in clinical trials;</w:t>
      </w:r>
    </w:p>
    <w:p>
      <w:pPr>
        <w:spacing w:after="0" w:line="144" w:lineRule="exact"/>
        <w:rPr>
          <w:rFonts w:ascii="Arial" w:cs="Arial" w:eastAsia="Arial" w:hAnsi="Arial"/>
          <w:sz w:val="18"/>
          <w:szCs w:val="18"/>
          <w:color w:val="auto"/>
        </w:rPr>
      </w:pPr>
    </w:p>
    <w:p>
      <w:pPr>
        <w:ind w:left="860" w:right="720" w:hanging="427"/>
        <w:spacing w:after="0" w:line="23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physicians may not receive any reimbursement from third-party payers, or the level of reimbursement may be insufficient to support widespread adoption of any of our products;</w:t>
      </w:r>
    </w:p>
    <w:p>
      <w:pPr>
        <w:spacing w:after="0" w:line="121" w:lineRule="exact"/>
        <w:rPr>
          <w:rFonts w:ascii="Arial" w:cs="Arial" w:eastAsia="Arial" w:hAnsi="Arial"/>
          <w:sz w:val="18"/>
          <w:szCs w:val="18"/>
          <w:color w:val="auto"/>
        </w:rPr>
      </w:pPr>
    </w:p>
    <w:p>
      <w:pPr>
        <w:ind w:left="860" w:right="700" w:hanging="427"/>
        <w:spacing w:after="0" w:line="23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products that are approved or cleared by regulatory authorities may not be accepted in the marketplace by physicians or patients;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manufacture our products in commercial quantities or at an acceptable cost; and</w:t>
      </w:r>
    </w:p>
    <w:p>
      <w:pPr>
        <w:spacing w:after="0" w:line="144" w:lineRule="exact"/>
        <w:rPr>
          <w:rFonts w:ascii="Arial" w:cs="Arial" w:eastAsia="Arial" w:hAnsi="Arial"/>
          <w:sz w:val="18"/>
          <w:szCs w:val="18"/>
          <w:color w:val="auto"/>
        </w:rPr>
      </w:pPr>
    </w:p>
    <w:p>
      <w:pPr>
        <w:ind w:left="860" w:right="60" w:hanging="427"/>
        <w:spacing w:after="0" w:line="235"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 technological change or the appearance of a new competitive technology may make our technology and products obsolete.</w:t>
      </w:r>
    </w:p>
    <w:p>
      <w:pPr>
        <w:spacing w:after="0" w:line="270"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w:t>
      </w:r>
    </w:p>
    <w:p>
      <w:pPr>
        <w:spacing w:after="0" w:line="54" w:lineRule="exact"/>
        <w:rPr>
          <w:sz w:val="20"/>
          <w:szCs w:val="20"/>
          <w:color w:val="auto"/>
        </w:rPr>
      </w:pPr>
    </w:p>
    <w:p>
      <w:pPr>
        <w:ind w:right="160" w:firstLine="441"/>
        <w:spacing w:after="0" w:line="241"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or delay can occur at any time during the clinical trial process. Success in nonclinical studies and early feasibility clinical studies does not ensure that expanded clinical trials that will be used to support regulatory submissions will be successful. These setbacks have been caused by, among other things, nonclinical findings made while clinical trials were underway, and safety or efficacy observations made in clinical trials, including previously unreported adverse events. Even if our clinical trials are completed, the results may not be sufficient to obtain regulatory approval or clearance for our product candidates.</w:t>
      </w:r>
    </w:p>
    <w:p>
      <w:pPr>
        <w:spacing w:after="0" w:line="269" w:lineRule="exact"/>
        <w:rPr>
          <w:sz w:val="20"/>
          <w:szCs w:val="20"/>
          <w:color w:val="auto"/>
        </w:rPr>
      </w:pPr>
    </w:p>
    <w:p>
      <w:pPr>
        <w:ind w:right="60" w:firstLine="441"/>
        <w:spacing w:after="0" w:line="224" w:lineRule="auto"/>
        <w:rPr>
          <w:sz w:val="20"/>
          <w:szCs w:val="20"/>
          <w:color w:val="auto"/>
        </w:rPr>
      </w:pPr>
      <w:r>
        <w:rPr>
          <w:rFonts w:ascii="Arial" w:cs="Arial" w:eastAsia="Arial" w:hAnsi="Arial"/>
          <w:sz w:val="18"/>
          <w:szCs w:val="18"/>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55" w:lineRule="exact"/>
        <w:rPr>
          <w:sz w:val="20"/>
          <w:szCs w:val="20"/>
          <w:color w:val="auto"/>
        </w:rPr>
      </w:pPr>
    </w:p>
    <w:p>
      <w:pPr>
        <w:ind w:right="40" w:firstLine="501"/>
        <w:spacing w:after="0" w:line="225" w:lineRule="auto"/>
        <w:rPr>
          <w:sz w:val="20"/>
          <w:szCs w:val="20"/>
          <w:color w:val="auto"/>
        </w:rPr>
      </w:pPr>
      <w:r>
        <w:rPr>
          <w:rFonts w:ascii="Arial" w:cs="Arial" w:eastAsia="Arial" w:hAnsi="Arial"/>
          <w:sz w:val="17"/>
          <w:szCs w:val="17"/>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80" w:firstLine="441"/>
        <w:spacing w:after="0" w:line="259" w:lineRule="auto"/>
        <w:rPr>
          <w:sz w:val="20"/>
          <w:szCs w:val="20"/>
          <w:color w:val="auto"/>
        </w:rPr>
      </w:pPr>
      <w:r>
        <w:rPr>
          <w:rFonts w:ascii="Arial" w:cs="Arial" w:eastAsia="Arial" w:hAnsi="Arial"/>
          <w:sz w:val="16"/>
          <w:szCs w:val="16"/>
          <w:b w:val="1"/>
          <w:bCs w:val="1"/>
          <w:i w:val="1"/>
          <w:iCs w:val="1"/>
          <w:color w:val="auto"/>
        </w:rPr>
        <w:t>If we fail to obtain and maintain necessary regulatory clearances or approvals for our planned products, or if clearances or approvals for future devices and indications are delayed or not issued, our commercial operations would be harmed. Additionally, changes in methods of product candidate manufacturing may result in additional costs or delay.</w:t>
      </w:r>
    </w:p>
    <w:p>
      <w:pPr>
        <w:spacing w:after="0" w:line="107"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color w:val="auto"/>
        </w:rPr>
        <w:t>Our product candidates under development are medical devices that are subject to extensive regulation by FDA in the United States and by regulatory agencies in other countries where we plan to do business. Government regulations specific to medical devices are wide-ranging and govern, among other things:</w:t>
      </w:r>
    </w:p>
    <w:p>
      <w:pPr>
        <w:spacing w:after="0" w:line="136" w:lineRule="exact"/>
        <w:rPr>
          <w:sz w:val="20"/>
          <w:szCs w:val="20"/>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device design, development and manufacture;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premarketing clearance and approval;</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device marketing, promotion and advertising, sales and distribution;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post-marketing surveillance, including reporting of deaths and serious injuries and recalls and correction and removals.</w:t>
      </w:r>
    </w:p>
    <w:p>
      <w:pPr>
        <w:spacing w:after="0" w:line="167" w:lineRule="exact"/>
        <w:rPr>
          <w:sz w:val="20"/>
          <w:szCs w:val="20"/>
          <w:color w:val="auto"/>
        </w:rPr>
      </w:pPr>
    </w:p>
    <w:p>
      <w:pPr>
        <w:ind w:right="40" w:firstLine="441"/>
        <w:spacing w:after="0" w:line="233" w:lineRule="auto"/>
        <w:rPr>
          <w:sz w:val="20"/>
          <w:szCs w:val="20"/>
          <w:color w:val="auto"/>
        </w:rPr>
      </w:pPr>
      <w:r>
        <w:rPr>
          <w:rFonts w:ascii="Arial" w:cs="Arial" w:eastAsia="Arial" w:hAnsi="Arial"/>
          <w:sz w:val="16"/>
          <w:szCs w:val="16"/>
          <w:color w:val="auto"/>
        </w:rPr>
        <w:t>Before a new medical device or a new intended use for, an existing device can be marketed in the United States, a company must first submit and receive either 510(k) clearance or premarketing approval, or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with reasonable scientific data the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For example, during February 2019, we submitted a 510(k) to the FDA seeking clearance to commercialize our CellFX System. During April 2019, we received an additional information (AI) letter request from the FDA that, among other things, questioned the appropriateness of our selected predicate device provided in the 510(k). Responding to this request is likely to add time and is likely to require additional testing, including clinical trials. In consideration of the above, we are reviewing options and alternatives to pursue clearance for our CellFX System, including the option of making a De Novo request to the FDA, which is also likely to require additional time, testing, and clinical studies. We may not be able to obtain the necessary clearances or approvals or may be unduly delayed in doing so, which could harm our business.</w:t>
      </w:r>
    </w:p>
    <w:p>
      <w:pPr>
        <w:spacing w:after="0" w:line="124"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The FDA and the Federal Trade Commission, or FTC, also regulate the advertising and promotion of our devices to ensure that the claims we make are consistent with our regulatory clearances, that there are adequate and reasonable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22" w:lineRule="exact"/>
        <w:rPr>
          <w:sz w:val="20"/>
          <w:szCs w:val="20"/>
          <w:color w:val="auto"/>
        </w:rPr>
      </w:pPr>
    </w:p>
    <w:p>
      <w:pPr>
        <w:ind w:right="260" w:firstLine="441"/>
        <w:spacing w:after="0" w:line="289" w:lineRule="auto"/>
        <w:rPr>
          <w:sz w:val="20"/>
          <w:szCs w:val="20"/>
          <w:color w:val="auto"/>
        </w:rPr>
      </w:pPr>
      <w:r>
        <w:rPr>
          <w:rFonts w:ascii="Arial" w:cs="Arial" w:eastAsia="Arial" w:hAnsi="Arial"/>
          <w:sz w:val="16"/>
          <w:szCs w:val="16"/>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97" w:lineRule="exact"/>
        <w:rPr>
          <w:sz w:val="20"/>
          <w:szCs w:val="20"/>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devices;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44" w:lineRule="exact"/>
        <w:rPr>
          <w:rFonts w:ascii="Arial" w:cs="Arial" w:eastAsia="Arial" w:hAnsi="Arial"/>
          <w:sz w:val="18"/>
          <w:szCs w:val="18"/>
          <w:color w:val="auto"/>
        </w:rPr>
      </w:pPr>
    </w:p>
    <w:p>
      <w:pPr>
        <w:ind w:left="860" w:hanging="427"/>
        <w:spacing w:after="0" w:line="235"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refusing our requests for 510(k) clearance or premarket approval of new devices, new intended uses or modifications to existing devices;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withdrawing 510(k) clearance or premarket approvals that have already been granted;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events were to occur, our business and financial condition would be harmed.</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efforts may never demonstrate the feasibility of our technology</w:t>
      </w:r>
      <w:r>
        <w:rPr>
          <w:rFonts w:ascii="Arial" w:cs="Arial" w:eastAsia="Arial" w:hAnsi="Arial"/>
          <w:sz w:val="18"/>
          <w:szCs w:val="18"/>
          <w:color w:val="auto"/>
        </w:rPr>
        <w:t>.</w:t>
      </w:r>
    </w:p>
    <w:p>
      <w:pPr>
        <w:spacing w:after="0" w:line="144"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Our research and development efforts remain subject to all of the risks associated with the development of new technology. CellFX System and NPS applications are not yet fully developed. Development of the underlying technology, including the development of our CellFX System, may be affected by unanticipated technical or other problems, among other development and research issues, and the possible insufficiency of funds needed in order to complete development of these products or devices. Regulatory and clinical hurdles or challenges also may result in delays and cause us to incur additional expenses that may increase our need for capital and result in additional losses. In addition, the potential indications for our NPS technology are numerous, and we may fail to pursue the most optimal indications. If we cannot complete, or if we experience significant delays in developing our technology, applications or products for use in potential commercial applications, particularly after incurring significant expenditures, our business may fail and investors may lose the entirety of their investment.</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mechanism of action of NPS technology platform has not been fully determined or validated.</w:t>
      </w:r>
    </w:p>
    <w:p>
      <w:pPr>
        <w:spacing w:after="0" w:line="158" w:lineRule="exact"/>
        <w:rPr>
          <w:sz w:val="20"/>
          <w:szCs w:val="20"/>
          <w:color w:val="auto"/>
        </w:rPr>
      </w:pPr>
    </w:p>
    <w:p>
      <w:pPr>
        <w:ind w:firstLine="441"/>
        <w:spacing w:after="0" w:line="212" w:lineRule="auto"/>
        <w:rPr>
          <w:sz w:val="20"/>
          <w:szCs w:val="20"/>
          <w:color w:val="auto"/>
        </w:rPr>
      </w:pPr>
      <w:r>
        <w:rPr>
          <w:rFonts w:ascii="Arial" w:cs="Arial" w:eastAsia="Arial" w:hAnsi="Arial"/>
          <w:sz w:val="18"/>
          <w:szCs w:val="18"/>
          <w:color w:val="auto"/>
        </w:rPr>
        <w:t>The exact mechanism(s) of action(s) of the NPS technology platform is not fully understood, and data is still being gathered regarding its use. Furthermore, there are only a relatively small number of scientists and researchers who can be considered experts in the use of this emerging technology. A full understanding of a future product’s mechanism of action and a large scale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125" w:lineRule="exact"/>
        <w:rPr>
          <w:sz w:val="20"/>
          <w:szCs w:val="20"/>
          <w:color w:val="auto"/>
        </w:rPr>
      </w:pPr>
    </w:p>
    <w:p>
      <w:pPr>
        <w:ind w:right="300" w:firstLine="441"/>
        <w:spacing w:after="0" w:line="224" w:lineRule="auto"/>
        <w:rPr>
          <w:sz w:val="20"/>
          <w:szCs w:val="20"/>
          <w:color w:val="auto"/>
        </w:rPr>
      </w:pPr>
      <w:r>
        <w:rPr>
          <w:rFonts w:ascii="Arial" w:cs="Arial" w:eastAsia="Arial" w:hAnsi="Arial"/>
          <w:sz w:val="18"/>
          <w:szCs w:val="18"/>
          <w:b w:val="1"/>
          <w:bCs w:val="1"/>
          <w:i w:val="1"/>
          <w:iCs w:val="1"/>
          <w:color w:val="auto"/>
        </w:rPr>
        <w:t>Our planned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23"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 xml:space="preserve">The risk of failure of clinical development is high. For example, the vast majority of our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data has been a result of animal testing, and we have only completed a limited number of feasibility studies in humans. It is difficult to predict when or if this or any planned products will prove safe enough to receive regulatory approval or clearance. Undesirable side effects caused by our CellFX System, NPS or any of our planned products could cause us or regulatory authorities to interrupt, delay or halt clinical trials. They could result in a more restrictive label or the delay or denial of regulatory approval by the FDA or other comparable foreign regulatory authority.</w:t>
      </w:r>
    </w:p>
    <w:p>
      <w:pPr>
        <w:spacing w:after="0" w:line="135"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Additionally, if any of our planned products receive marketing approval or clearance but, we or others later identify undesirable side effects caused by such product, a number of potentially significant negative consequences could result, including:</w:t>
      </w:r>
    </w:p>
    <w:p>
      <w:pPr>
        <w:spacing w:after="0" w:line="84" w:lineRule="exact"/>
        <w:rPr>
          <w:sz w:val="20"/>
          <w:szCs w:val="20"/>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44" w:lineRule="exact"/>
        <w:rPr>
          <w:rFonts w:ascii="Arial" w:cs="Arial" w:eastAsia="Arial" w:hAnsi="Arial"/>
          <w:sz w:val="18"/>
          <w:szCs w:val="18"/>
          <w:color w:val="auto"/>
        </w:rPr>
      </w:pPr>
    </w:p>
    <w:p>
      <w:pPr>
        <w:ind w:left="860" w:right="60" w:hanging="427"/>
        <w:spacing w:after="0" w:line="235"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121" w:lineRule="exact"/>
        <w:rPr>
          <w:rFonts w:ascii="Arial" w:cs="Arial" w:eastAsia="Arial" w:hAnsi="Arial"/>
          <w:sz w:val="18"/>
          <w:szCs w:val="18"/>
          <w:color w:val="auto"/>
        </w:rPr>
      </w:pPr>
    </w:p>
    <w:p>
      <w:pPr>
        <w:ind w:left="860" w:right="20" w:hanging="427"/>
        <w:spacing w:after="0" w:line="235"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such product;</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FDA may restrict distribution of our products and impose burdensome implementation requirements on us;</w:t>
      </w:r>
    </w:p>
    <w:p>
      <w:pPr>
        <w:spacing w:after="0" w:line="155" w:lineRule="exact"/>
        <w:rPr>
          <w:rFonts w:ascii="Arial" w:cs="Arial" w:eastAsia="Arial" w:hAnsi="Arial"/>
          <w:sz w:val="17"/>
          <w:szCs w:val="17"/>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860" w:hanging="427"/>
        <w:spacing w:after="0"/>
        <w:tabs>
          <w:tab w:leader="none" w:pos="8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44"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135"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b w:val="1"/>
          <w:bCs w:val="1"/>
          <w:i w:val="1"/>
          <w:iCs w:val="1"/>
          <w:color w:val="auto"/>
        </w:rPr>
        <w:t>Our business is dependent upon physicians adopting our CellFX System and NPS technology, and if we fail to obtain broad adoption, our business would be adversely affected.</w:t>
      </w:r>
    </w:p>
    <w:p>
      <w:pPr>
        <w:spacing w:after="0" w:line="121" w:lineRule="exact"/>
        <w:rPr>
          <w:sz w:val="20"/>
          <w:szCs w:val="20"/>
          <w:color w:val="auto"/>
        </w:rPr>
      </w:pPr>
    </w:p>
    <w:p>
      <w:pPr>
        <w:ind w:firstLine="441"/>
        <w:spacing w:after="0" w:line="234" w:lineRule="auto"/>
        <w:rPr>
          <w:sz w:val="20"/>
          <w:szCs w:val="20"/>
          <w:color w:val="auto"/>
        </w:rPr>
      </w:pPr>
      <w:r>
        <w:rPr>
          <w:rFonts w:ascii="Arial" w:cs="Arial" w:eastAsia="Arial" w:hAnsi="Arial"/>
          <w:sz w:val="16"/>
          <w:szCs w:val="16"/>
          <w:color w:val="auto"/>
        </w:rPr>
        <w:t>If we obtain regulatory approval or clearance for our CellFX System, our success will depend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our CellFX System or NPS technology with alternative treatments may be expensive, time consuming or may not yield positive results. Additionally, adoption will be directly influenced by a number of financial factors, including the ability of providers to attract cash payments from patients or to obtain sufficient reimbursement from third party commercial payors, and the Centers for Medicare &amp; Medicaid Services, or CMS, for the professional services they provide in administering CellFX procedures. The efficacy, safety, performance and cost-effectiveness of our CellFX System, NPS technology,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130" w:lineRule="exact"/>
        <w:rPr>
          <w:sz w:val="20"/>
          <w:szCs w:val="20"/>
          <w:color w:val="auto"/>
        </w:rPr>
      </w:pPr>
    </w:p>
    <w:p>
      <w:pPr>
        <w:ind w:right="60" w:firstLine="441"/>
        <w:spacing w:after="0" w:line="22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136"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life sciences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or GCPs,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These delays could result in increased costs, delays in advancing our product development, delays in testing the effectiveness of our technology or termination of the clinical trials altogether.</w:t>
      </w:r>
    </w:p>
    <w:p>
      <w:pPr>
        <w:spacing w:after="0" w:line="122" w:lineRule="exact"/>
        <w:rPr>
          <w:sz w:val="20"/>
          <w:szCs w:val="20"/>
          <w:color w:val="auto"/>
        </w:rPr>
      </w:pPr>
    </w:p>
    <w:p>
      <w:pPr>
        <w:ind w:right="320" w:firstLine="441"/>
        <w:spacing w:after="0" w:line="235" w:lineRule="auto"/>
        <w:rPr>
          <w:sz w:val="20"/>
          <w:szCs w:val="20"/>
          <w:color w:val="auto"/>
        </w:rPr>
      </w:pPr>
      <w:r>
        <w:rPr>
          <w:rFonts w:ascii="Arial" w:cs="Arial" w:eastAsia="Arial" w:hAnsi="Arial"/>
          <w:sz w:val="18"/>
          <w:szCs w:val="18"/>
          <w:b w:val="1"/>
          <w:bCs w:val="1"/>
          <w:i w:val="1"/>
          <w:iCs w:val="1"/>
          <w:color w:val="auto"/>
        </w:rPr>
        <w:t>Laboratory conditions differ from commercial conditions and field conditions, and the safety and effectiveness of our planned products may depend on the technique of the user.</w:t>
      </w:r>
    </w:p>
    <w:p>
      <w:pPr>
        <w:spacing w:after="0" w:line="121" w:lineRule="exact"/>
        <w:rPr>
          <w:sz w:val="20"/>
          <w:szCs w:val="20"/>
          <w:color w:val="auto"/>
        </w:rPr>
      </w:pPr>
    </w:p>
    <w:p>
      <w:pPr>
        <w:ind w:right="20" w:firstLine="441"/>
        <w:spacing w:after="0" w:line="237" w:lineRule="auto"/>
        <w:rPr>
          <w:sz w:val="20"/>
          <w:szCs w:val="20"/>
          <w:color w:val="auto"/>
        </w:rPr>
      </w:pPr>
      <w:r>
        <w:rPr>
          <w:rFonts w:ascii="Arial" w:cs="Arial" w:eastAsia="Arial" w:hAnsi="Arial"/>
          <w:sz w:val="16"/>
          <w:szCs w:val="16"/>
          <w:color w:val="auto"/>
        </w:rPr>
        <w:t>Observations and developments that may be achievable under laboratory circumstances may not be able to be replicated in broader research and development phases, in commercial settings, or in the use of any of the planned products in the field. Furthermore, if commercialized, CellFX procedures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Issues with our firmware and software may negatively affect the function of our devices.</w:t>
      </w:r>
    </w:p>
    <w:p>
      <w:pPr>
        <w:spacing w:after="0" w:line="144" w:lineRule="exact"/>
        <w:rPr>
          <w:sz w:val="20"/>
          <w:szCs w:val="20"/>
          <w:color w:val="auto"/>
        </w:rPr>
      </w:pPr>
    </w:p>
    <w:p>
      <w:pPr>
        <w:ind w:right="40" w:firstLine="441"/>
        <w:spacing w:after="0" w:line="214" w:lineRule="auto"/>
        <w:rPr>
          <w:sz w:val="20"/>
          <w:szCs w:val="20"/>
          <w:color w:val="auto"/>
        </w:rPr>
      </w:pPr>
      <w:r>
        <w:rPr>
          <w:rFonts w:ascii="Arial" w:cs="Arial" w:eastAsia="Arial" w:hAnsi="Arial"/>
          <w:sz w:val="18"/>
          <w:szCs w:val="18"/>
          <w:color w:val="auto"/>
        </w:rPr>
        <w:t>The safety and effectiveness of CellFX procedures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or similar problems. Any of these might result in harm to a patient or the unauthorized release of confidential medical, business or other information of other persons or of ours.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60" w:firstLine="441"/>
        <w:spacing w:after="0" w:line="232" w:lineRule="auto"/>
        <w:rPr>
          <w:sz w:val="20"/>
          <w:szCs w:val="20"/>
          <w:color w:val="auto"/>
        </w:rPr>
      </w:pPr>
      <w:r>
        <w:rPr>
          <w:rFonts w:ascii="Arial" w:cs="Arial" w:eastAsia="Arial" w:hAnsi="Arial"/>
          <w:sz w:val="17"/>
          <w:szCs w:val="17"/>
          <w:b w:val="1"/>
          <w:bCs w:val="1"/>
          <w:i w:val="1"/>
          <w:iCs w:val="1"/>
          <w:color w:val="auto"/>
        </w:rPr>
        <w:t>We may encounter manufacturing problems or delays that could result in lost revenue. Additionally, we currently rely on third-party suppliers for critical materials needed to manufacture our CellFX System and related applicators. Any problems experienced by these suppliers could result in a delay or interruption of their supply to us, and as a result, we may face delays in the development and commercialization of planned products.</w:t>
      </w:r>
    </w:p>
    <w:p>
      <w:pPr>
        <w:spacing w:after="0" w:line="136"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We perform final assembly of our devices to support our current research and development activities at our facility in California. We believe we have adequate manufacturing capacity for these purposes. However, if demand for our planned products increases significantly, we will need to either expand our manufacturing capabilities or outsource to other manufacturers. We have no corporate experience in commercial-scale manufacturing of our planned products, and we currently rely upon third-party suppliers to manufacture and supply components for our CellFX System.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w:t>
      </w:r>
    </w:p>
    <w:p>
      <w:pPr>
        <w:spacing w:after="0" w:line="127"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We do not control the manufacturing process of, and are completely dependent on, our contract manufacturing partners for compliance with the regulatory requirements, and if our contract manufacturers cannot successfully manufacture our product candidates that conform to our specifications and the strict regulatory requirements of the FDA or comparable regulatory authorities in foreign jurisdictions, we may not be able to rely on their manufacturing facilities for the manufacture of our product candidates.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product candidates or if such facilities are subject to enforcement action in the future or are otherwise inadequate, we may need to find alternative manufacturing facilities, which would significantly impact our ability to develop, obtain regulatory approval for or market our product candidates.</w:t>
      </w:r>
    </w:p>
    <w:p>
      <w:pPr>
        <w:spacing w:after="0" w:line="121" w:lineRule="exact"/>
        <w:rPr>
          <w:sz w:val="20"/>
          <w:szCs w:val="20"/>
          <w:color w:val="auto"/>
        </w:rPr>
      </w:pPr>
    </w:p>
    <w:p>
      <w:pPr>
        <w:ind w:firstLine="441"/>
        <w:spacing w:after="0" w:line="249" w:lineRule="auto"/>
        <w:rPr>
          <w:sz w:val="20"/>
          <w:szCs w:val="20"/>
          <w:color w:val="auto"/>
        </w:rPr>
      </w:pPr>
      <w:r>
        <w:rPr>
          <w:rFonts w:ascii="Arial" w:cs="Arial" w:eastAsia="Arial" w:hAnsi="Arial"/>
          <w:sz w:val="16"/>
          <w:szCs w:val="16"/>
          <w:color w:val="auto"/>
        </w:rPr>
        <w:t>We currently purchase components for our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We could experience delays in manufacturing the devices while finding another acceptable supplier, which could impact our results of operations.</w:t>
      </w:r>
    </w:p>
    <w:p>
      <w:pPr>
        <w:spacing w:after="0" w:line="128" w:lineRule="exact"/>
        <w:rPr>
          <w:sz w:val="20"/>
          <w:szCs w:val="20"/>
          <w:color w:val="auto"/>
        </w:rPr>
      </w:pPr>
    </w:p>
    <w:p>
      <w:pPr>
        <w:ind w:right="180" w:firstLine="441"/>
        <w:spacing w:after="0" w:line="235" w:lineRule="auto"/>
        <w:rPr>
          <w:sz w:val="20"/>
          <w:szCs w:val="20"/>
          <w:color w:val="auto"/>
        </w:rPr>
      </w:pPr>
      <w:r>
        <w:rPr>
          <w:rFonts w:ascii="Arial" w:cs="Arial" w:eastAsia="Arial" w:hAnsi="Arial"/>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21" w:lineRule="exact"/>
        <w:rPr>
          <w:sz w:val="20"/>
          <w:szCs w:val="20"/>
          <w:color w:val="auto"/>
        </w:rPr>
      </w:pPr>
    </w:p>
    <w:p>
      <w:pPr>
        <w:ind w:right="100" w:firstLine="441"/>
        <w:spacing w:after="0" w:line="223" w:lineRule="auto"/>
        <w:rPr>
          <w:sz w:val="20"/>
          <w:szCs w:val="20"/>
          <w:color w:val="auto"/>
        </w:rPr>
      </w:pPr>
      <w:r>
        <w:rPr>
          <w:rFonts w:ascii="Arial" w:cs="Arial" w:eastAsia="Arial" w:hAnsi="Arial"/>
          <w:sz w:val="17"/>
          <w:szCs w:val="17"/>
          <w:color w:val="auto"/>
        </w:rPr>
        <w:t>We believe that the commercial viability of our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is not assured. It typically takes a period of use in the market place before coverage and reimbursement is granted, if it is granted at all. In the United States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21"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a fee or sales price lower than the fee or sales price we might otherwise charge.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140" w:lineRule="exact"/>
        <w:rPr>
          <w:sz w:val="20"/>
          <w:szCs w:val="20"/>
          <w:color w:val="auto"/>
        </w:rPr>
      </w:pPr>
    </w:p>
    <w:p>
      <w:pPr>
        <w:ind w:right="100" w:firstLine="441"/>
        <w:spacing w:after="0" w:line="259" w:lineRule="auto"/>
        <w:rPr>
          <w:sz w:val="20"/>
          <w:szCs w:val="20"/>
          <w:color w:val="auto"/>
        </w:rPr>
      </w:pPr>
      <w:r>
        <w:rPr>
          <w:rFonts w:ascii="Arial" w:cs="Arial" w:eastAsia="Arial" w:hAnsi="Arial"/>
          <w:sz w:val="16"/>
          <w:szCs w:val="16"/>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no broader than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41" w:lineRule="exact"/>
        <w:rPr>
          <w:sz w:val="20"/>
          <w:szCs w:val="20"/>
          <w:color w:val="auto"/>
        </w:rPr>
      </w:pPr>
    </w:p>
    <w:p>
      <w:pPr>
        <w:ind w:firstLine="441"/>
        <w:spacing w:after="0" w:line="237" w:lineRule="auto"/>
        <w:rPr>
          <w:sz w:val="20"/>
          <w:szCs w:val="20"/>
          <w:color w:val="auto"/>
        </w:rPr>
      </w:pPr>
      <w:r>
        <w:rPr>
          <w:rFonts w:ascii="Arial" w:cs="Arial" w:eastAsia="Arial" w:hAnsi="Arial"/>
          <w:sz w:val="16"/>
          <w:szCs w:val="16"/>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 by state basis, because Medicaid, unlike Medicare, is administered by the states under a state plan filed with the Secretary of the United States Department of Health and Human Services (HHS). Medicaid generally reimburses at lower levels than Medicare. Moreover, Medicaid programs and private insurers are frequently influenced by Medicare coverage determinations.</w:t>
      </w:r>
    </w:p>
    <w:p>
      <w:pPr>
        <w:spacing w:after="0" w:line="127"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developing product candidates. These scientists may have other commitments or conflicts of interest, which could limit our access to their expertise, harm our ability to leverage our discovery platforms, or negatively impact our clinical trials.</w:t>
      </w:r>
    </w:p>
    <w:p>
      <w:pPr>
        <w:spacing w:after="0" w:line="123" w:lineRule="exact"/>
        <w:rPr>
          <w:sz w:val="20"/>
          <w:szCs w:val="20"/>
          <w:color w:val="auto"/>
        </w:rPr>
      </w:pPr>
    </w:p>
    <w:p>
      <w:pPr>
        <w:ind w:right="60" w:firstLine="441"/>
        <w:spacing w:after="0" w:line="234" w:lineRule="auto"/>
        <w:rPr>
          <w:sz w:val="20"/>
          <w:szCs w:val="20"/>
          <w:color w:val="auto"/>
        </w:rPr>
      </w:pPr>
      <w:r>
        <w:rPr>
          <w:rFonts w:ascii="Arial" w:cs="Arial" w:eastAsia="Arial" w:hAnsi="Arial"/>
          <w:sz w:val="16"/>
          <w:szCs w:val="16"/>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To the extent these scientists and collaborators may receive cash or equity compensation in connection with such services from time to time, these relationships and any related compensation may result in perceived or actual conflicts of interest, or a regulatory authority to conclude that the financial relationship may have affected the interpretation of the trial, such that the integrity of the data generated at the applicable clinical trial site may be questioned and the utility of the clinical trial itself may be jeopardized, which could result in the delay or rejection of the marketing application we submit.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48" w:lineRule="exact"/>
        <w:rPr>
          <w:sz w:val="20"/>
          <w:szCs w:val="20"/>
          <w:color w:val="auto"/>
        </w:rPr>
      </w:pPr>
    </w:p>
    <w:p>
      <w:pPr>
        <w:ind w:right="620" w:firstLine="441"/>
        <w:spacing w:after="0" w:line="258" w:lineRule="auto"/>
        <w:rPr>
          <w:sz w:val="20"/>
          <w:szCs w:val="20"/>
          <w:color w:val="auto"/>
        </w:rPr>
      </w:pPr>
      <w:r>
        <w:rPr>
          <w:rFonts w:ascii="Arial" w:cs="Arial" w:eastAsia="Arial" w:hAnsi="Arial"/>
          <w:sz w:val="17"/>
          <w:szCs w:val="17"/>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06" w:lineRule="exact"/>
        <w:rPr>
          <w:sz w:val="20"/>
          <w:szCs w:val="20"/>
          <w:color w:val="auto"/>
        </w:rPr>
      </w:pPr>
    </w:p>
    <w:p>
      <w:pPr>
        <w:ind w:right="20" w:firstLine="441"/>
        <w:spacing w:after="0" w:line="220" w:lineRule="auto"/>
        <w:rPr>
          <w:sz w:val="20"/>
          <w:szCs w:val="20"/>
          <w:color w:val="auto"/>
        </w:rPr>
      </w:pPr>
      <w:r>
        <w:rPr>
          <w:rFonts w:ascii="Arial" w:cs="Arial" w:eastAsia="Arial" w:hAnsi="Arial"/>
          <w:sz w:val="17"/>
          <w:szCs w:val="17"/>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300" w:firstLine="441"/>
        <w:spacing w:after="0" w:line="224" w:lineRule="auto"/>
        <w:rPr>
          <w:sz w:val="20"/>
          <w:szCs w:val="20"/>
          <w:color w:val="auto"/>
        </w:rPr>
      </w:pPr>
      <w:r>
        <w:rPr>
          <w:rFonts w:ascii="Arial" w:cs="Arial" w:eastAsia="Arial" w:hAnsi="Arial"/>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36" w:lineRule="exact"/>
        <w:rPr>
          <w:sz w:val="20"/>
          <w:szCs w:val="20"/>
          <w:color w:val="auto"/>
        </w:rPr>
      </w:pPr>
    </w:p>
    <w:p>
      <w:pPr>
        <w:ind w:right="40" w:firstLine="441"/>
        <w:spacing w:after="0" w:line="244" w:lineRule="auto"/>
        <w:rPr>
          <w:sz w:val="20"/>
          <w:szCs w:val="20"/>
          <w:color w:val="auto"/>
        </w:rPr>
      </w:pPr>
      <w:r>
        <w:rPr>
          <w:rFonts w:ascii="Arial" w:cs="Arial" w:eastAsia="Arial" w:hAnsi="Arial"/>
          <w:sz w:val="16"/>
          <w:szCs w:val="16"/>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18" w:lineRule="exact"/>
        <w:rPr>
          <w:sz w:val="20"/>
          <w:szCs w:val="20"/>
          <w:color w:val="auto"/>
        </w:rPr>
      </w:pPr>
    </w:p>
    <w:p>
      <w:pPr>
        <w:ind w:firstLine="441"/>
        <w:spacing w:after="0" w:line="234" w:lineRule="auto"/>
        <w:rPr>
          <w:sz w:val="20"/>
          <w:szCs w:val="20"/>
          <w:color w:val="auto"/>
        </w:rPr>
      </w:pPr>
      <w:r>
        <w:rPr>
          <w:rFonts w:ascii="Arial" w:cs="Arial" w:eastAsia="Arial" w:hAnsi="Arial"/>
          <w:sz w:val="16"/>
          <w:szCs w:val="16"/>
          <w:color w:val="auto"/>
        </w:rPr>
        <w:t>If we or our collaborators experience patent infringement claims, or if we elect to avoid potential claims others may be able to assert, we or our collaborators may choose to seek, or be required to seek, a license from the third-party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30" w:lineRule="exact"/>
        <w:rPr>
          <w:sz w:val="20"/>
          <w:szCs w:val="20"/>
          <w:color w:val="auto"/>
        </w:rPr>
      </w:pPr>
    </w:p>
    <w:p>
      <w:pPr>
        <w:ind w:right="320" w:firstLine="441"/>
        <w:spacing w:after="0" w:line="324"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development or commercialization rights to products or technology from third-parties, we could lose license rights that are important to our business.</w:t>
      </w:r>
    </w:p>
    <w:p>
      <w:pPr>
        <w:spacing w:after="0" w:line="75" w:lineRule="exact"/>
        <w:rPr>
          <w:sz w:val="20"/>
          <w:szCs w:val="20"/>
          <w:color w:val="auto"/>
        </w:rPr>
      </w:pPr>
    </w:p>
    <w:p>
      <w:pPr>
        <w:ind w:right="20" w:firstLine="441"/>
        <w:spacing w:after="0" w:line="232" w:lineRule="auto"/>
        <w:rPr>
          <w:sz w:val="20"/>
          <w:szCs w:val="20"/>
          <w:color w:val="auto"/>
        </w:rPr>
      </w:pPr>
      <w:r>
        <w:rPr>
          <w:rFonts w:ascii="Arial" w:cs="Arial" w:eastAsia="Arial" w:hAnsi="Arial"/>
          <w:sz w:val="16"/>
          <w:szCs w:val="16"/>
          <w:color w:val="auto"/>
        </w:rPr>
        <w:t>We hold licenses from Old Dominion University Research Foundation (“ODURF”) and Eastern Virginia Medical School (“EVMS”) and from Alfred E. Mann Institute for Biomedical Engineering at the University of Southern California (“AMI-USC”)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58" w:lineRule="exact"/>
        <w:rPr>
          <w:sz w:val="20"/>
          <w:szCs w:val="20"/>
          <w:color w:val="auto"/>
        </w:rPr>
      </w:pPr>
    </w:p>
    <w:p>
      <w:pPr>
        <w:jc w:val="both"/>
        <w:ind w:right="100" w:firstLine="441"/>
        <w:spacing w:after="0" w:line="22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23" w:lineRule="exact"/>
        <w:rPr>
          <w:sz w:val="20"/>
          <w:szCs w:val="20"/>
          <w:color w:val="auto"/>
        </w:rPr>
      </w:pPr>
    </w:p>
    <w:p>
      <w:pPr>
        <w:ind w:left="860" w:right="20" w:hanging="427"/>
        <w:spacing w:after="0" w:line="235"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121" w:lineRule="exact"/>
        <w:rPr>
          <w:rFonts w:ascii="Arial" w:cs="Arial" w:eastAsia="Arial" w:hAnsi="Arial"/>
          <w:sz w:val="18"/>
          <w:szCs w:val="18"/>
          <w:color w:val="auto"/>
        </w:rPr>
      </w:pPr>
    </w:p>
    <w:p>
      <w:pPr>
        <w:ind w:left="860" w:right="240" w:hanging="427"/>
        <w:spacing w:after="0" w:line="235"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on our intellectual property rights;</w:t>
      </w:r>
    </w:p>
    <w:p>
      <w:pPr>
        <w:spacing w:after="0" w:line="121" w:lineRule="exact"/>
        <w:rPr>
          <w:rFonts w:ascii="Arial" w:cs="Arial" w:eastAsia="Arial" w:hAnsi="Arial"/>
          <w:sz w:val="18"/>
          <w:szCs w:val="18"/>
          <w:color w:val="auto"/>
        </w:rPr>
      </w:pPr>
    </w:p>
    <w:p>
      <w:pPr>
        <w:ind w:left="860" w:right="140" w:hanging="427"/>
        <w:spacing w:after="0" w:line="235"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121" w:lineRule="exact"/>
        <w:rPr>
          <w:rFonts w:ascii="Arial" w:cs="Arial" w:eastAsia="Arial" w:hAnsi="Arial"/>
          <w:sz w:val="18"/>
          <w:szCs w:val="18"/>
          <w:color w:val="auto"/>
        </w:rPr>
      </w:pPr>
    </w:p>
    <w:p>
      <w:pPr>
        <w:ind w:left="860" w:hanging="427"/>
        <w:spacing w:after="0" w:line="224"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22" w:lineRule="exact"/>
        <w:rPr>
          <w:rFonts w:ascii="Arial" w:cs="Arial" w:eastAsia="Arial" w:hAnsi="Arial"/>
          <w:sz w:val="18"/>
          <w:szCs w:val="18"/>
          <w:color w:val="auto"/>
        </w:rPr>
      </w:pPr>
    </w:p>
    <w:p>
      <w:pPr>
        <w:jc w:val="both"/>
        <w:ind w:left="860" w:hanging="427"/>
        <w:spacing w:after="0" w:line="224"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2" w:lineRule="exact"/>
        <w:rPr>
          <w:rFonts w:ascii="Arial" w:cs="Arial" w:eastAsia="Arial" w:hAnsi="Arial"/>
          <w:sz w:val="18"/>
          <w:szCs w:val="18"/>
          <w:color w:val="auto"/>
        </w:rPr>
      </w:pPr>
    </w:p>
    <w:p>
      <w:pPr>
        <w:ind w:left="860" w:hanging="427"/>
        <w:spacing w:after="0"/>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44" w:lineRule="exact"/>
        <w:rPr>
          <w:rFonts w:ascii="Arial" w:cs="Arial" w:eastAsia="Arial" w:hAnsi="Arial"/>
          <w:sz w:val="18"/>
          <w:szCs w:val="18"/>
          <w:color w:val="auto"/>
        </w:rPr>
      </w:pPr>
    </w:p>
    <w:p>
      <w:pPr>
        <w:ind w:left="860" w:right="80" w:hanging="427"/>
        <w:spacing w:after="0" w:line="224"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22" w:lineRule="exact"/>
        <w:rPr>
          <w:rFonts w:ascii="Arial" w:cs="Arial" w:eastAsia="Arial" w:hAnsi="Arial"/>
          <w:sz w:val="18"/>
          <w:szCs w:val="18"/>
          <w:color w:val="auto"/>
        </w:rPr>
      </w:pPr>
    </w:p>
    <w:p>
      <w:pPr>
        <w:ind w:left="860" w:right="100" w:hanging="427"/>
        <w:spacing w:after="0" w:line="235" w:lineRule="auto"/>
        <w:tabs>
          <w:tab w:leader="none" w:pos="8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aforementioned threats to our competitive advantage could harm our business.</w:t>
      </w:r>
    </w:p>
    <w:p>
      <w:pPr>
        <w:spacing w:after="0" w:line="144" w:lineRule="exact"/>
        <w:rPr>
          <w:sz w:val="20"/>
          <w:szCs w:val="20"/>
          <w:color w:val="auto"/>
        </w:rPr>
      </w:pPr>
    </w:p>
    <w:p>
      <w:pPr>
        <w:ind w:right="8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35" w:lineRule="exact"/>
        <w:rPr>
          <w:sz w:val="20"/>
          <w:szCs w:val="20"/>
          <w:color w:val="auto"/>
        </w:rPr>
      </w:pPr>
    </w:p>
    <w:p>
      <w:pPr>
        <w:ind w:right="120" w:firstLine="441"/>
        <w:spacing w:after="0" w:line="220" w:lineRule="auto"/>
        <w:rPr>
          <w:sz w:val="20"/>
          <w:szCs w:val="20"/>
          <w:color w:val="auto"/>
        </w:rPr>
      </w:pPr>
      <w:r>
        <w:rPr>
          <w:rFonts w:ascii="Arial" w:cs="Arial" w:eastAsia="Arial" w:hAnsi="Arial"/>
          <w:sz w:val="17"/>
          <w:szCs w:val="17"/>
          <w:color w:val="auto"/>
        </w:rPr>
        <w:t>In addition to patented technology, we rely upon, among other things, unpatented proprietary technology, processes, trade secrets and know-how. Any involuntary disclosure to or misappropriation by third-parties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third-parties. While we require all of our employees, consultants, advisors and any third-parties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 pharmaceutical, medical technology or biotechnology companies, those employers may allege violations of trade secrets and other similar claims in relation to their medical device development activities for us.</w:t>
      </w:r>
    </w:p>
    <w:p>
      <w:pPr>
        <w:spacing w:after="0" w:line="129" w:lineRule="exact"/>
        <w:rPr>
          <w:sz w:val="20"/>
          <w:szCs w:val="20"/>
          <w:color w:val="auto"/>
        </w:rPr>
      </w:pPr>
    </w:p>
    <w:p>
      <w:pPr>
        <w:ind w:right="400" w:firstLine="441"/>
        <w:spacing w:after="0" w:line="235" w:lineRule="auto"/>
        <w:rPr>
          <w:sz w:val="20"/>
          <w:szCs w:val="20"/>
          <w:color w:val="auto"/>
        </w:rPr>
      </w:pPr>
      <w:r>
        <w:rPr>
          <w:rFonts w:ascii="Arial" w:cs="Arial" w:eastAsia="Arial" w:hAnsi="Arial"/>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21" w:lineRule="exact"/>
        <w:rPr>
          <w:sz w:val="20"/>
          <w:szCs w:val="20"/>
          <w:color w:val="auto"/>
        </w:rPr>
      </w:pPr>
    </w:p>
    <w:p>
      <w:pPr>
        <w:ind w:firstLine="441"/>
        <w:spacing w:after="0" w:line="229" w:lineRule="auto"/>
        <w:rPr>
          <w:sz w:val="20"/>
          <w:szCs w:val="20"/>
          <w:color w:val="auto"/>
        </w:rPr>
      </w:pPr>
      <w:r>
        <w:rPr>
          <w:rFonts w:ascii="Arial" w:cs="Arial" w:eastAsia="Arial" w:hAnsi="Arial"/>
          <w:sz w:val="17"/>
          <w:szCs w:val="17"/>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issue and in that event we may not obtain the use of the intellectual property that we seek and may lose competitive advantage which could result in harm to our business.</w:t>
      </w:r>
    </w:p>
    <w:p>
      <w:pPr>
        <w:spacing w:after="0" w:line="135" w:lineRule="exact"/>
        <w:rPr>
          <w:sz w:val="20"/>
          <w:szCs w:val="20"/>
          <w:color w:val="auto"/>
        </w:rPr>
      </w:pPr>
    </w:p>
    <w:p>
      <w:pPr>
        <w:ind w:right="140" w:firstLine="441"/>
        <w:spacing w:after="0" w:line="235" w:lineRule="auto"/>
        <w:rPr>
          <w:sz w:val="20"/>
          <w:szCs w:val="20"/>
          <w:color w:val="auto"/>
        </w:rPr>
      </w:pPr>
      <w:r>
        <w:rPr>
          <w:rFonts w:ascii="Arial" w:cs="Arial" w:eastAsia="Arial" w:hAnsi="Arial"/>
          <w:sz w:val="18"/>
          <w:szCs w:val="18"/>
          <w:b w:val="1"/>
          <w:bCs w:val="1"/>
          <w:i w:val="1"/>
          <w:iCs w:val="1"/>
          <w:color w:val="auto"/>
        </w:rPr>
        <w:t>We may become involved in future lawsuits to protect or enforce our patents or the patents of our licensors, which could be expensive, time consuming and unsuccessful.</w:t>
      </w:r>
    </w:p>
    <w:p>
      <w:pPr>
        <w:spacing w:after="0" w:line="121"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127" w:lineRule="exact"/>
        <w:rPr>
          <w:sz w:val="20"/>
          <w:szCs w:val="20"/>
          <w:color w:val="auto"/>
        </w:rPr>
      </w:pPr>
    </w:p>
    <w:p>
      <w:pPr>
        <w:ind w:right="100" w:firstLine="441"/>
        <w:spacing w:after="0" w:line="225" w:lineRule="auto"/>
        <w:rPr>
          <w:sz w:val="20"/>
          <w:szCs w:val="20"/>
          <w:color w:val="auto"/>
        </w:rPr>
      </w:pPr>
      <w:r>
        <w:rPr>
          <w:rFonts w:ascii="Arial" w:cs="Arial" w:eastAsia="Arial" w:hAnsi="Arial"/>
          <w:sz w:val="17"/>
          <w:szCs w:val="17"/>
          <w:color w:val="auto"/>
        </w:rPr>
        <w:t>The United States Patent and Trademark Office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United States.</w:t>
      </w:r>
    </w:p>
    <w:p>
      <w:pPr>
        <w:spacing w:after="0" w:line="135"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21" w:lineRule="exact"/>
        <w:rPr>
          <w:sz w:val="20"/>
          <w:szCs w:val="20"/>
          <w:color w:val="auto"/>
        </w:rPr>
      </w:pPr>
    </w:p>
    <w:p>
      <w:pPr>
        <w:ind w:right="80" w:firstLine="441"/>
        <w:spacing w:after="0" w:line="232"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134"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36"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jc w:val="both"/>
        <w:ind w:right="160"/>
        <w:spacing w:after="0" w:line="224" w:lineRule="auto"/>
        <w:rPr>
          <w:sz w:val="20"/>
          <w:szCs w:val="20"/>
          <w:color w:val="auto"/>
        </w:rPr>
      </w:pPr>
      <w:r>
        <w:rPr>
          <w:rFonts w:ascii="Arial" w:cs="Arial" w:eastAsia="Arial" w:hAnsi="Arial"/>
          <w:sz w:val="18"/>
          <w:szCs w:val="18"/>
          <w:color w:val="auto"/>
        </w:rPr>
        <w:t>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44" w:lineRule="exact"/>
        <w:rPr>
          <w:sz w:val="20"/>
          <w:szCs w:val="20"/>
          <w:color w:val="auto"/>
        </w:rPr>
      </w:pPr>
    </w:p>
    <w:p>
      <w:pPr>
        <w:ind w:right="40" w:firstLine="441"/>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23" w:lineRule="exact"/>
        <w:rPr>
          <w:sz w:val="20"/>
          <w:szCs w:val="20"/>
          <w:color w:val="auto"/>
        </w:rPr>
      </w:pPr>
    </w:p>
    <w:p>
      <w:pPr>
        <w:ind w:right="40" w:firstLine="441"/>
        <w:spacing w:after="0" w:line="221"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6" w:lineRule="exact"/>
        <w:rPr>
          <w:sz w:val="20"/>
          <w:szCs w:val="20"/>
          <w:color w:val="auto"/>
        </w:rPr>
      </w:pPr>
    </w:p>
    <w:p>
      <w:pPr>
        <w:ind w:right="60" w:firstLine="441"/>
        <w:spacing w:after="0" w:line="259" w:lineRule="auto"/>
        <w:rPr>
          <w:sz w:val="20"/>
          <w:szCs w:val="20"/>
          <w:color w:val="auto"/>
        </w:rPr>
      </w:pPr>
      <w:r>
        <w:rPr>
          <w:rFonts w:ascii="Arial" w:cs="Arial" w:eastAsia="Arial" w:hAnsi="Arial"/>
          <w:sz w:val="16"/>
          <w:szCs w:val="16"/>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39"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if we apply to register our trademarks in all of our potential markets, our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In such cases, over the long term, if we are unable to establish name recognition based on our trademarks and trade names, then our marketing abilities may be impacted.</w:t>
      </w:r>
    </w:p>
    <w:p>
      <w:pPr>
        <w:spacing w:after="0" w:line="122"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w:t>
      </w:r>
    </w:p>
    <w:p>
      <w:pPr>
        <w:spacing w:after="0" w:line="121" w:lineRule="exact"/>
        <w:rPr>
          <w:sz w:val="20"/>
          <w:szCs w:val="20"/>
          <w:color w:val="auto"/>
        </w:rPr>
      </w:pPr>
    </w:p>
    <w:p>
      <w:pPr>
        <w:ind w:right="40" w:firstLine="441"/>
        <w:spacing w:after="0" w:line="221" w:lineRule="auto"/>
        <w:rPr>
          <w:sz w:val="20"/>
          <w:szCs w:val="20"/>
          <w:color w:val="auto"/>
        </w:rPr>
      </w:pPr>
      <w:r>
        <w:rPr>
          <w:rFonts w:ascii="Arial" w:cs="Arial" w:eastAsia="Arial" w:hAnsi="Arial"/>
          <w:sz w:val="17"/>
          <w:szCs w:val="17"/>
          <w:color w:val="auto"/>
        </w:rPr>
        <w:t>Patent reform legislation could increase the uncertainties and costs surrounding the prosecution of patent applications and the enforcement or defense of issued patents. In 2011, the Leahy-Smith America Invents Act, or the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 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6" w:lineRule="exact"/>
        <w:rPr>
          <w:sz w:val="20"/>
          <w:szCs w:val="20"/>
          <w:color w:val="auto"/>
        </w:rPr>
      </w:pPr>
    </w:p>
    <w:p>
      <w:pPr>
        <w:ind w:right="100" w:firstLine="441"/>
        <w:spacing w:after="0" w:line="239"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may never receive regulatory approval or clearance, including that from the FDA, for any of our planned products.</w:t>
      </w:r>
    </w:p>
    <w:p>
      <w:pPr>
        <w:spacing w:after="0" w:line="167" w:lineRule="exact"/>
        <w:rPr>
          <w:sz w:val="20"/>
          <w:szCs w:val="20"/>
          <w:color w:val="auto"/>
        </w:rPr>
      </w:pPr>
    </w:p>
    <w:p>
      <w:pPr>
        <w:ind w:right="40" w:firstLine="441"/>
        <w:spacing w:after="0" w:line="216" w:lineRule="auto"/>
        <w:rPr>
          <w:sz w:val="20"/>
          <w:szCs w:val="20"/>
          <w:color w:val="auto"/>
        </w:rPr>
      </w:pPr>
      <w:r>
        <w:rPr>
          <w:rFonts w:ascii="Arial" w:cs="Arial" w:eastAsia="Arial" w:hAnsi="Arial"/>
          <w:sz w:val="18"/>
          <w:szCs w:val="18"/>
          <w:color w:val="auto"/>
        </w:rPr>
        <w:t>We may never receive regulatory approval or clearance, including from the FDA, for any potential devices or products in the United States or in any foreign market. For example, during September 2017, we withdrew our application seeking clearance of our system for soft tissue ablation. As such, it is highly speculative as to any timing for our planned products to be approved or cleared or commercialized. Investors need to take a long-term approach to an investment in our securities, as the commercial realization of our technology is speculative and well into the future.</w:t>
      </w:r>
    </w:p>
    <w:p>
      <w:pPr>
        <w:spacing w:after="0" w:line="122" w:lineRule="exact"/>
        <w:rPr>
          <w:sz w:val="20"/>
          <w:szCs w:val="20"/>
          <w:color w:val="auto"/>
        </w:rPr>
      </w:pPr>
    </w:p>
    <w:p>
      <w:pPr>
        <w:ind w:right="140" w:firstLine="441"/>
        <w:spacing w:after="0" w:line="224" w:lineRule="auto"/>
        <w:rPr>
          <w:sz w:val="20"/>
          <w:szCs w:val="20"/>
          <w:color w:val="auto"/>
        </w:rPr>
      </w:pPr>
      <w:r>
        <w:rPr>
          <w:rFonts w:ascii="Arial" w:cs="Arial" w:eastAsia="Arial" w:hAnsi="Arial"/>
          <w:sz w:val="18"/>
          <w:szCs w:val="18"/>
          <w:b w:val="1"/>
          <w:bCs w:val="1"/>
          <w:i w:val="1"/>
          <w:iCs w:val="1"/>
          <w:color w:val="auto"/>
        </w:rPr>
        <w:t>We will be subject to stringent domestic and foreign regulation in respect of any potential devices and products. Any unfavorable regulatory action may materially and adversely affect our future financial condition and business operations and prospects.</w:t>
      </w:r>
    </w:p>
    <w:p>
      <w:pPr>
        <w:spacing w:after="0" w:line="136" w:lineRule="exact"/>
        <w:rPr>
          <w:sz w:val="20"/>
          <w:szCs w:val="20"/>
          <w:color w:val="auto"/>
        </w:rPr>
      </w:pPr>
    </w:p>
    <w:p>
      <w:pPr>
        <w:ind w:right="80" w:firstLine="441"/>
        <w:spacing w:after="0" w:line="212" w:lineRule="auto"/>
        <w:rPr>
          <w:sz w:val="20"/>
          <w:szCs w:val="20"/>
          <w:color w:val="auto"/>
        </w:rPr>
      </w:pPr>
      <w:r>
        <w:rPr>
          <w:rFonts w:ascii="Arial" w:cs="Arial" w:eastAsia="Arial" w:hAnsi="Arial"/>
          <w:sz w:val="18"/>
          <w:szCs w:val="18"/>
          <w:color w:val="auto"/>
        </w:rPr>
        <w:t>Our potential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125" w:lineRule="exact"/>
        <w:rPr>
          <w:sz w:val="20"/>
          <w:szCs w:val="20"/>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take a significant, indeterminate amount of time;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involve rigorous pre-clinical and clinical testing, and possibly post-market surveillance;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design changes of our products;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 in our never being granted the regulatory approval or clearance we seek.</w:t>
      </w:r>
    </w:p>
    <w:p>
      <w:pPr>
        <w:spacing w:after="0" w:line="144"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If we experience any of these occurrences, our operations may suffer, we might experience harm to our competitive standing and result in further losses that adversely affect our financial condition. For example, in connection with the Pre-Market Notification 510(k) we submitted to the FDA seeking clearance to commercialize our CellFX System, during April 2019, we received an additional information (AI) letter request from the FDA that, among other things, questioned the appropriateness of our selected predicate device provided in the 510(k). Responding to this request is likely to add time and is likely to require additional testing, including clinical trials.</w:t>
      </w:r>
    </w:p>
    <w:p>
      <w:pPr>
        <w:spacing w:after="0" w:line="122" w:lineRule="exact"/>
        <w:rPr>
          <w:sz w:val="20"/>
          <w:szCs w:val="20"/>
          <w:color w:val="auto"/>
        </w:rPr>
      </w:pPr>
    </w:p>
    <w:p>
      <w:pPr>
        <w:ind w:firstLine="441"/>
        <w:spacing w:after="0" w:line="220" w:lineRule="auto"/>
        <w:rPr>
          <w:sz w:val="20"/>
          <w:szCs w:val="20"/>
          <w:color w:val="auto"/>
        </w:rPr>
      </w:pPr>
      <w:r>
        <w:rPr>
          <w:rFonts w:ascii="Arial" w:cs="Arial" w:eastAsia="Arial" w:hAnsi="Arial"/>
          <w:sz w:val="17"/>
          <w:szCs w:val="17"/>
          <w:color w:val="auto"/>
        </w:rPr>
        <w:t>We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devices and products. In addition, negative publicity and product liability claims resulting from any adverse regulatory action could have a material adverse effect on our financial condition and results of operations.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8" w:lineRule="exact"/>
        <w:rPr>
          <w:sz w:val="20"/>
          <w:szCs w:val="20"/>
          <w:color w:val="auto"/>
        </w:rPr>
      </w:pPr>
    </w:p>
    <w:p>
      <w:pPr>
        <w:ind w:right="420" w:firstLine="441"/>
        <w:spacing w:after="0" w:line="235" w:lineRule="auto"/>
        <w:rPr>
          <w:sz w:val="20"/>
          <w:szCs w:val="20"/>
          <w:color w:val="auto"/>
        </w:rPr>
      </w:pPr>
      <w:r>
        <w:rPr>
          <w:rFonts w:ascii="Arial" w:cs="Arial" w:eastAsia="Arial" w:hAnsi="Arial"/>
          <w:sz w:val="18"/>
          <w:szCs w:val="18"/>
          <w:b w:val="1"/>
          <w:bCs w:val="1"/>
          <w:i w:val="1"/>
          <w:iCs w:val="1"/>
          <w:color w:val="auto"/>
        </w:rPr>
        <w:t>The continuing development of our CellFX™ System and other products depends upon maintaining strong working relationships with physicians.</w:t>
      </w:r>
    </w:p>
    <w:p>
      <w:pPr>
        <w:spacing w:after="0" w:line="121"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The development, marketing, and sale of our products in development, including the CellFX System,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or OIG, the Department of Justice, or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w:t>
      </w:r>
    </w:p>
    <w:p>
      <w:pPr>
        <w:spacing w:after="0" w:line="123" w:lineRule="exact"/>
        <w:rPr>
          <w:sz w:val="20"/>
          <w:szCs w:val="20"/>
          <w:color w:val="auto"/>
        </w:rPr>
      </w:pPr>
    </w:p>
    <w:p>
      <w:pPr>
        <w:ind w:right="160" w:firstLine="441"/>
        <w:spacing w:after="0" w:line="289" w:lineRule="auto"/>
        <w:rPr>
          <w:sz w:val="20"/>
          <w:szCs w:val="20"/>
          <w:color w:val="auto"/>
        </w:rPr>
      </w:pPr>
      <w:r>
        <w:rPr>
          <w:rFonts w:ascii="Arial" w:cs="Arial" w:eastAsia="Arial" w:hAnsi="Arial"/>
          <w:sz w:val="16"/>
          <w:szCs w:val="16"/>
          <w:b w:val="1"/>
          <w:bCs w:val="1"/>
          <w:i w:val="1"/>
          <w:iCs w:val="1"/>
          <w:color w:val="auto"/>
        </w:rPr>
        <w:t>We may be subject to healthcare laws and regulations relating to our business and could face substantial penalties if we are determined not to have fully complied with such laws, which would have an adverse impact on our business.</w:t>
      </w:r>
    </w:p>
    <w:p>
      <w:pPr>
        <w:spacing w:after="0" w:line="84"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136" w:lineRule="exact"/>
        <w:rPr>
          <w:sz w:val="20"/>
          <w:szCs w:val="20"/>
          <w:color w:val="auto"/>
        </w:rPr>
      </w:pPr>
    </w:p>
    <w:p>
      <w:pPr>
        <w:ind w:left="860" w:hanging="427"/>
        <w:spacing w:after="0" w:line="223" w:lineRule="auto"/>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U.S. healthcare program such as Medicare and Medicaid. A person or entity does not need to have actual knowledge of the U.S.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127" w:lineRule="exact"/>
        <w:rPr>
          <w:rFonts w:ascii="Arial" w:cs="Arial" w:eastAsia="Arial" w:hAnsi="Arial"/>
          <w:sz w:val="17"/>
          <w:szCs w:val="17"/>
          <w:color w:val="auto"/>
        </w:rPr>
      </w:pPr>
    </w:p>
    <w:p>
      <w:pPr>
        <w:ind w:left="860" w:right="120" w:hanging="427"/>
        <w:spacing w:after="0" w:line="226" w:lineRule="auto"/>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24" w:lineRule="exact"/>
        <w:rPr>
          <w:rFonts w:ascii="Arial" w:cs="Arial" w:eastAsia="Arial" w:hAnsi="Arial"/>
          <w:sz w:val="17"/>
          <w:szCs w:val="17"/>
          <w:color w:val="auto"/>
        </w:rPr>
      </w:pPr>
    </w:p>
    <w:p>
      <w:pPr>
        <w:ind w:left="860" w:right="80" w:hanging="427"/>
        <w:spacing w:after="0" w:line="226" w:lineRule="auto"/>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U.S.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124" w:lineRule="exact"/>
        <w:rPr>
          <w:rFonts w:ascii="Arial" w:cs="Arial" w:eastAsia="Arial" w:hAnsi="Arial"/>
          <w:sz w:val="17"/>
          <w:szCs w:val="17"/>
          <w:color w:val="auto"/>
        </w:rPr>
      </w:pPr>
    </w:p>
    <w:p>
      <w:pPr>
        <w:ind w:left="860" w:hanging="427"/>
        <w:spacing w:after="0" w:line="226" w:lineRule="auto"/>
        <w:tabs>
          <w:tab w:leader="none" w:pos="8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or HITECH, and its implementing regulations, which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860" w:hanging="427"/>
        <w:spacing w:after="0" w:line="212"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 physicians described above and their immediate family members;</w:t>
      </w:r>
    </w:p>
    <w:p>
      <w:pPr>
        <w:spacing w:after="0" w:line="124" w:lineRule="exact"/>
        <w:rPr>
          <w:rFonts w:ascii="Arial" w:cs="Arial" w:eastAsia="Arial" w:hAnsi="Arial"/>
          <w:sz w:val="18"/>
          <w:szCs w:val="18"/>
          <w:color w:val="auto"/>
        </w:rPr>
      </w:pPr>
    </w:p>
    <w:p>
      <w:pPr>
        <w:ind w:left="860" w:hanging="427"/>
        <w:spacing w:after="0" w:line="226" w:lineRule="auto"/>
        <w:tabs>
          <w:tab w:leader="none" w:pos="8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CCPA will, among other things, require covered companies to provide new disclosures to California consumers and afford such consumers new abilities to opt-out of certain sales of personal information. Legislators have stated that they intend to propose amendments to the CCPA before it goes into effect in January 2020 and it remains unclear what, if any, modifications will be made to this legislation or how it will be interpreted. We cannot yet predict the impact of the CCPA on our business or operations, but it may require us to modify our data processing practices and policies to incur substantial costs and expenses in an effort to comply;</w:t>
      </w:r>
    </w:p>
    <w:p>
      <w:pPr>
        <w:spacing w:after="0" w:line="124" w:lineRule="exact"/>
        <w:rPr>
          <w:rFonts w:ascii="Arial" w:cs="Arial" w:eastAsia="Arial" w:hAnsi="Arial"/>
          <w:sz w:val="17"/>
          <w:szCs w:val="17"/>
          <w:color w:val="auto"/>
        </w:rPr>
      </w:pPr>
    </w:p>
    <w:p>
      <w:pPr>
        <w:ind w:left="860" w:right="160" w:hanging="427"/>
        <w:spacing w:after="0" w:line="235" w:lineRule="auto"/>
        <w:tabs>
          <w:tab w:leader="none" w:pos="8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21" w:lineRule="exact"/>
        <w:rPr>
          <w:rFonts w:ascii="Arial" w:cs="Arial" w:eastAsia="Arial" w:hAnsi="Arial"/>
          <w:sz w:val="18"/>
          <w:szCs w:val="18"/>
          <w:color w:val="auto"/>
        </w:rPr>
      </w:pPr>
    </w:p>
    <w:p>
      <w:pPr>
        <w:ind w:left="860" w:right="60" w:hanging="427"/>
        <w:spacing w:after="0" w:line="236" w:lineRule="auto"/>
        <w:tabs>
          <w:tab w:leader="none" w:pos="8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22" w:lineRule="exact"/>
        <w:rPr>
          <w:sz w:val="20"/>
          <w:szCs w:val="20"/>
          <w:color w:val="auto"/>
        </w:rPr>
      </w:pPr>
    </w:p>
    <w:p>
      <w:pPr>
        <w:ind w:right="20" w:firstLine="441"/>
        <w:spacing w:after="0" w:line="220" w:lineRule="auto"/>
        <w:rPr>
          <w:sz w:val="20"/>
          <w:szCs w:val="20"/>
          <w:color w:val="auto"/>
        </w:rPr>
      </w:pPr>
      <w:r>
        <w:rPr>
          <w:rFonts w:ascii="Arial" w:cs="Arial" w:eastAsia="Arial" w:hAnsi="Arial"/>
          <w:sz w:val="17"/>
          <w:szCs w:val="17"/>
          <w:color w:val="auto"/>
        </w:rPr>
        <w:t>We have implemented a comprehensive compliance program to identify and deter healthcare violations by employees and other third-parties that perform services for us. Notwithstanding our compliance program, it is possible that governmental authorities may conclude that our business practices do not comply with current or future statutes, regulations, agency guidance or case law involving applicable healthcare laws.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29" w:lineRule="exact"/>
        <w:rPr>
          <w:sz w:val="20"/>
          <w:szCs w:val="20"/>
          <w:color w:val="auto"/>
        </w:rPr>
      </w:pPr>
    </w:p>
    <w:p>
      <w:pPr>
        <w:jc w:val="both"/>
        <w:ind w:right="240" w:firstLine="441"/>
        <w:spacing w:after="0" w:line="224" w:lineRule="auto"/>
        <w:rPr>
          <w:sz w:val="20"/>
          <w:szCs w:val="20"/>
          <w:color w:val="auto"/>
        </w:rPr>
      </w:pPr>
      <w:r>
        <w:rPr>
          <w:rFonts w:ascii="Arial" w:cs="Arial" w:eastAsia="Arial" w:hAnsi="Arial"/>
          <w:sz w:val="18"/>
          <w:szCs w:val="18"/>
          <w:b w:val="1"/>
          <w:bCs w:val="1"/>
          <w:i w:val="1"/>
          <w:iCs w:val="1"/>
          <w:color w:val="auto"/>
        </w:rPr>
        <w:t>To obtain the necessary device approvals or clearances from regulatory authorities for our product candidates, we will have to conduct various pre-clinical and clinical tests, which may be costly and time consuming, and may not provide results that will allow us to seek regulatory approval or clearance.</w:t>
      </w:r>
    </w:p>
    <w:p>
      <w:pPr>
        <w:spacing w:after="0" w:line="136" w:lineRule="exact"/>
        <w:rPr>
          <w:sz w:val="20"/>
          <w:szCs w:val="20"/>
          <w:color w:val="auto"/>
        </w:rPr>
      </w:pPr>
    </w:p>
    <w:p>
      <w:pPr>
        <w:ind w:right="220" w:firstLine="441"/>
        <w:spacing w:after="0" w:line="216" w:lineRule="auto"/>
        <w:rPr>
          <w:sz w:val="20"/>
          <w:szCs w:val="20"/>
          <w:color w:val="auto"/>
        </w:rPr>
      </w:pPr>
      <w:r>
        <w:rPr>
          <w:rFonts w:ascii="Arial" w:cs="Arial" w:eastAsia="Arial" w:hAnsi="Arial"/>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countries where medical devices and products are regulated, can delay, limit or deny approval of a product for many reasons. For example, regulatory agencies:</w:t>
      </w:r>
    </w:p>
    <w:p>
      <w:pPr>
        <w:spacing w:after="0" w:line="122" w:lineRule="exact"/>
        <w:rPr>
          <w:sz w:val="20"/>
          <w:szCs w:val="20"/>
          <w:color w:val="auto"/>
        </w:rPr>
      </w:pPr>
    </w:p>
    <w:p>
      <w:pPr>
        <w:ind w:left="860" w:hanging="42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not deem a technology or device to be reasonably safe or effective for any intended use or indication;</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interpret data from pre-clinical and clinical testing differently than we do;</w:t>
      </w:r>
    </w:p>
    <w:p>
      <w:pPr>
        <w:spacing w:after="0" w:line="144" w:lineRule="exact"/>
        <w:rPr>
          <w:rFonts w:ascii="Arial" w:cs="Arial" w:eastAsia="Arial" w:hAnsi="Arial"/>
          <w:sz w:val="18"/>
          <w:szCs w:val="18"/>
          <w:color w:val="auto"/>
        </w:rPr>
      </w:pPr>
    </w:p>
    <w:p>
      <w:pPr>
        <w:jc w:val="center"/>
        <w:ind w:left="4640" w:right="1160" w:hanging="4207"/>
        <w:spacing w:after="0" w:line="481" w:lineRule="auto"/>
        <w:tabs>
          <w:tab w:leader="none" w:pos="8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determine our manufacturing facility or processes do not comply with Quality System regulations;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-92710</wp:posOffset>
            </wp:positionV>
            <wp:extent cx="605409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860" w:right="340" w:hanging="427"/>
        <w:spacing w:after="0" w:line="235" w:lineRule="auto"/>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conclude that our device does not meet quality standards for durability, long-term reliability, biocompatibility, electromagnetic compatibility, or electrical safety; and</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change their approval or clearance policies or adopt new regulations.</w:t>
      </w:r>
    </w:p>
    <w:p>
      <w:pPr>
        <w:spacing w:after="0" w:line="144" w:lineRule="exact"/>
        <w:rPr>
          <w:sz w:val="20"/>
          <w:szCs w:val="20"/>
          <w:color w:val="auto"/>
        </w:rPr>
      </w:pPr>
    </w:p>
    <w:p>
      <w:pPr>
        <w:ind w:right="20" w:firstLine="441"/>
        <w:spacing w:after="0" w:line="211" w:lineRule="auto"/>
        <w:rPr>
          <w:sz w:val="20"/>
          <w:szCs w:val="20"/>
          <w:color w:val="auto"/>
        </w:rPr>
      </w:pPr>
      <w:r>
        <w:rPr>
          <w:rFonts w:ascii="Arial" w:cs="Arial" w:eastAsia="Arial" w:hAnsi="Arial"/>
          <w:sz w:val="18"/>
          <w:szCs w:val="18"/>
          <w:color w:val="auto"/>
        </w:rPr>
        <w:t>The FDA may make requests or suggestions regarding conduct of our clinical trials, resulting in an increased risk of difficulties or delays in obtaining regulatory approval or clearance in the U.S. and increased costs. For example, during April 2019, we received an additional information (AI) letter request from the FDA that, among other things, questioned the appropriateness of our selected predicate device provided in the 510(k). Responding to this request is likely to require additional testing, including clinical trials. As part of the process for regulatory approval or clearance, we may, from time to time, elect to withdraw an application. For example, during September 2017, the FDA requested that we submit additional data in connection with our application seeking clearance of our system for soft tissue ablation. Subsequent to this FDA request, we chose to withdraw our application.</w:t>
      </w:r>
    </w:p>
    <w:p>
      <w:pPr>
        <w:spacing w:after="0" w:line="138" w:lineRule="exact"/>
        <w:rPr>
          <w:sz w:val="20"/>
          <w:szCs w:val="20"/>
          <w:color w:val="auto"/>
        </w:rPr>
      </w:pPr>
    </w:p>
    <w:p>
      <w:pPr>
        <w:ind w:right="280" w:firstLine="441"/>
        <w:spacing w:after="0" w:line="289" w:lineRule="auto"/>
        <w:rPr>
          <w:sz w:val="20"/>
          <w:szCs w:val="20"/>
          <w:color w:val="auto"/>
        </w:rPr>
      </w:pPr>
      <w:r>
        <w:rPr>
          <w:rFonts w:ascii="Arial" w:cs="Arial" w:eastAsia="Arial" w:hAnsi="Arial"/>
          <w:sz w:val="16"/>
          <w:szCs w:val="16"/>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84"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Even if we complete clinical testing and a potential device or product of ours is cleared or approved, it may not be cleared or approved for the indications that are necessary or desirable for a successful commercialization. The FDA may grant marketing authorization contingent on the performance of costly additional clinical trials which may be required after approval or clearance. The FDA also may approve or clear our lead product candidates for a more limited indication or a narrower patient population than we originally requested. Our preference will be to obtain as broad an indication as possible for use in connection with the particular disease or treatment for which it is designed. However, the final classification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21" w:lineRule="exact"/>
        <w:rPr>
          <w:sz w:val="20"/>
          <w:szCs w:val="20"/>
          <w:color w:val="auto"/>
        </w:rPr>
      </w:pPr>
    </w:p>
    <w:p>
      <w:pPr>
        <w:ind w:right="560" w:firstLine="441"/>
        <w:spacing w:after="0" w:line="258" w:lineRule="auto"/>
        <w:rPr>
          <w:sz w:val="20"/>
          <w:szCs w:val="20"/>
          <w:color w:val="auto"/>
        </w:rPr>
      </w:pPr>
      <w:r>
        <w:rPr>
          <w:rFonts w:ascii="Arial" w:cs="Arial" w:eastAsia="Arial" w:hAnsi="Arial"/>
          <w:sz w:val="17"/>
          <w:szCs w:val="17"/>
          <w:b w:val="1"/>
          <w:bCs w:val="1"/>
          <w:i w:val="1"/>
          <w:iCs w:val="1"/>
          <w:color w:val="auto"/>
        </w:rPr>
        <w:t>Even if we obtain clearance or approval to sell a potential product, we will be subject to ongoing requirements and inspections that could lead to the restriction, suspension or revocation of our clearance.</w:t>
      </w:r>
    </w:p>
    <w:p>
      <w:pPr>
        <w:spacing w:after="0" w:line="120" w:lineRule="exact"/>
        <w:rPr>
          <w:sz w:val="20"/>
          <w:szCs w:val="20"/>
          <w:color w:val="auto"/>
        </w:rPr>
      </w:pPr>
    </w:p>
    <w:p>
      <w:pPr>
        <w:ind w:right="40" w:firstLine="441"/>
        <w:spacing w:after="0" w:line="235" w:lineRule="auto"/>
        <w:rPr>
          <w:sz w:val="20"/>
          <w:szCs w:val="20"/>
          <w:color w:val="auto"/>
        </w:rPr>
      </w:pPr>
      <w:r>
        <w:rPr>
          <w:rFonts w:ascii="Arial" w:cs="Arial" w:eastAsia="Arial" w:hAnsi="Arial"/>
          <w:sz w:val="16"/>
          <w:szCs w:val="16"/>
          <w:color w:val="auto"/>
        </w:rPr>
        <w:t>We, as well as any potential third-party manufacturer, will be required to adhere to FDA Quality System, which include testing, control, and documentation requirements. We will be subject to similar regulations in foreign countries. Even if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previously obtained, and criminal prosecution. The restriction, suspension or revocation of regulatory approvals or any other failure to comply with regulatory requirements will limit our ability to operate and could increase our costs.</w:t>
      </w:r>
    </w:p>
    <w:p>
      <w:pPr>
        <w:spacing w:after="0" w:line="125" w:lineRule="exact"/>
        <w:rPr>
          <w:sz w:val="20"/>
          <w:szCs w:val="20"/>
          <w:color w:val="auto"/>
        </w:rPr>
      </w:pPr>
    </w:p>
    <w:p>
      <w:pPr>
        <w:ind w:right="240" w:firstLine="441"/>
        <w:spacing w:after="0" w:line="235" w:lineRule="auto"/>
        <w:rPr>
          <w:sz w:val="20"/>
          <w:szCs w:val="20"/>
          <w:color w:val="auto"/>
        </w:rPr>
      </w:pPr>
      <w:r>
        <w:rPr>
          <w:rFonts w:ascii="Arial" w:cs="Arial" w:eastAsia="Arial" w:hAnsi="Arial"/>
          <w:sz w:val="18"/>
          <w:szCs w:val="18"/>
          <w:b w:val="1"/>
          <w:bCs w:val="1"/>
          <w:i w:val="1"/>
          <w:iCs w:val="1"/>
          <w:color w:val="auto"/>
        </w:rPr>
        <w:t>Any failure or delay in completing clinical trials or studies for our devices and products and the expense of those trials may adversely affect our business.</w:t>
      </w:r>
    </w:p>
    <w:p>
      <w:pPr>
        <w:spacing w:after="0" w:line="121" w:lineRule="exact"/>
        <w:rPr>
          <w:sz w:val="20"/>
          <w:szCs w:val="20"/>
          <w:color w:val="auto"/>
        </w:rPr>
      </w:pPr>
    </w:p>
    <w:p>
      <w:pPr>
        <w:ind w:right="120" w:firstLine="441"/>
        <w:spacing w:after="0" w:line="234" w:lineRule="auto"/>
        <w:rPr>
          <w:sz w:val="20"/>
          <w:szCs w:val="20"/>
          <w:color w:val="auto"/>
        </w:rPr>
      </w:pPr>
      <w:r>
        <w:rPr>
          <w:rFonts w:ascii="Arial" w:cs="Arial" w:eastAsia="Arial" w:hAnsi="Arial"/>
          <w:sz w:val="16"/>
          <w:szCs w:val="16"/>
          <w:color w:val="auto"/>
        </w:rPr>
        <w:t>Pre-clinical studies, clinical trials and post-clinical monitoring and trials required to demonstrate the reasonable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760"/>
        <w:spacing w:after="0" w:line="235" w:lineRule="auto"/>
        <w:rPr>
          <w:sz w:val="20"/>
          <w:szCs w:val="20"/>
          <w:color w:val="auto"/>
        </w:rPr>
      </w:pPr>
      <w:r>
        <w:rPr>
          <w:rFonts w:ascii="Arial" w:cs="Arial" w:eastAsia="Arial" w:hAnsi="Arial"/>
          <w:sz w:val="18"/>
          <w:szCs w:val="18"/>
          <w:color w:val="auto"/>
        </w:rPr>
        <w:t>products to market before we do, which could result in harming our ability to commercialize our planned products. If we experience any of these occurrences our business will be materially harmed.</w:t>
      </w:r>
    </w:p>
    <w:p>
      <w:pPr>
        <w:spacing w:after="0" w:line="135" w:lineRule="exact"/>
        <w:rPr>
          <w:sz w:val="20"/>
          <w:szCs w:val="20"/>
          <w:color w:val="auto"/>
        </w:rPr>
      </w:pPr>
    </w:p>
    <w:p>
      <w:pPr>
        <w:ind w:right="160" w:firstLine="441"/>
        <w:spacing w:after="0" w:line="258" w:lineRule="auto"/>
        <w:rPr>
          <w:sz w:val="20"/>
          <w:szCs w:val="20"/>
          <w:color w:val="auto"/>
        </w:rPr>
      </w:pPr>
      <w:r>
        <w:rPr>
          <w:rFonts w:ascii="Arial" w:cs="Arial" w:eastAsia="Arial" w:hAnsi="Arial"/>
          <w:sz w:val="17"/>
          <w:szCs w:val="17"/>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106" w:lineRule="exact"/>
        <w:rPr>
          <w:sz w:val="20"/>
          <w:szCs w:val="20"/>
          <w:color w:val="auto"/>
        </w:rPr>
      </w:pPr>
    </w:p>
    <w:p>
      <w:pPr>
        <w:ind w:right="20" w:firstLine="441"/>
        <w:spacing w:after="0" w:line="223" w:lineRule="auto"/>
        <w:rPr>
          <w:sz w:val="20"/>
          <w:szCs w:val="20"/>
          <w:color w:val="auto"/>
        </w:rPr>
      </w:pPr>
      <w:r>
        <w:rPr>
          <w:rFonts w:ascii="Arial" w:cs="Arial" w:eastAsia="Arial" w:hAnsi="Arial"/>
          <w:sz w:val="17"/>
          <w:szCs w:val="17"/>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21" w:lineRule="exact"/>
        <w:rPr>
          <w:sz w:val="20"/>
          <w:szCs w:val="20"/>
          <w:color w:val="auto"/>
        </w:rPr>
      </w:pPr>
    </w:p>
    <w:p>
      <w:pPr>
        <w:ind w:right="40" w:firstLine="441"/>
        <w:spacing w:after="0" w:line="235"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35" w:lineRule="exact"/>
        <w:rPr>
          <w:sz w:val="20"/>
          <w:szCs w:val="20"/>
          <w:color w:val="auto"/>
        </w:rPr>
      </w:pPr>
    </w:p>
    <w:p>
      <w:pPr>
        <w:ind w:right="40" w:firstLine="441"/>
        <w:spacing w:after="0" w:line="221" w:lineRule="auto"/>
        <w:rPr>
          <w:sz w:val="20"/>
          <w:szCs w:val="20"/>
          <w:color w:val="auto"/>
        </w:rPr>
      </w:pPr>
      <w:r>
        <w:rPr>
          <w:rFonts w:ascii="Arial" w:cs="Arial" w:eastAsia="Arial" w:hAnsi="Arial"/>
          <w:sz w:val="17"/>
          <w:szCs w:val="17"/>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and similar foreign regulatory authorities report financial information or data accurately or disclose unauthorized activities to us. See also “–We may be subject to healthcare laws and regulations relating to our business and could face substantial penalties if we are determined not to have fully complied with such laws, which would have an adverse impact on our business.”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27"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Healthcare policy changes, including recent federal legislation to reform the U.S. healthcare system, may have a material adverse effect on us.</w:t>
      </w:r>
    </w:p>
    <w:p>
      <w:pPr>
        <w:spacing w:after="0" w:line="121" w:lineRule="exact"/>
        <w:rPr>
          <w:sz w:val="20"/>
          <w:szCs w:val="20"/>
          <w:color w:val="auto"/>
        </w:rPr>
      </w:pPr>
    </w:p>
    <w:p>
      <w:pPr>
        <w:ind w:right="20" w:firstLine="441"/>
        <w:spacing w:after="0" w:line="225" w:lineRule="auto"/>
        <w:rPr>
          <w:sz w:val="20"/>
          <w:szCs w:val="20"/>
          <w:color w:val="auto"/>
        </w:rPr>
      </w:pPr>
      <w:r>
        <w:rPr>
          <w:rFonts w:ascii="Arial" w:cs="Arial" w:eastAsia="Arial" w:hAnsi="Arial"/>
          <w:sz w:val="17"/>
          <w:szCs w:val="17"/>
          <w:color w:val="auto"/>
        </w:rPr>
        <w:t>Our operations may be impacted by the Patient Protection and Affordable Care Act (PPACA). For example, the PPACA imposed, among other things, a 2.3% federal excise tax, with limited exceptions, on any entity that manufactures or imports Class I, II and III medical devices offered for sale in the United States that began on January 1, 2013. The excise tax was suspended for a two year period beginning January 1, 2016 and was further suspended through December 31, 2019, and will be reinstated on medical device sales starting January 1, 2020. The current administration has expressed an intention to repeal the PPACA and replace it with alternative reforms. The details and timing of any further such actions are unknown at this time, and it is possible that these changes could adversely affect our business.</w:t>
      </w:r>
    </w:p>
    <w:p>
      <w:pPr>
        <w:spacing w:after="0" w:line="135" w:lineRule="exact"/>
        <w:rPr>
          <w:sz w:val="20"/>
          <w:szCs w:val="20"/>
          <w:color w:val="auto"/>
        </w:rPr>
      </w:pPr>
    </w:p>
    <w:p>
      <w:pPr>
        <w:ind w:firstLine="441"/>
        <w:spacing w:after="0" w:line="244" w:lineRule="auto"/>
        <w:rPr>
          <w:sz w:val="20"/>
          <w:szCs w:val="20"/>
          <w:color w:val="auto"/>
        </w:rPr>
      </w:pPr>
      <w:r>
        <w:rPr>
          <w:rFonts w:ascii="Arial" w:cs="Arial" w:eastAsia="Arial" w:hAnsi="Arial"/>
          <w:sz w:val="16"/>
          <w:szCs w:val="16"/>
          <w:color w:val="auto"/>
        </w:rPr>
        <w:t>On January 2, 2013, the American Taxpayer Relief Act of 2012, or the ATRA, came into effect, which, among other things, further reduced Medicare payments to several providers, including hospitals, and increased the statute of limitations period for the government to recover overpayments to providers from three to five years. We expect that additional state and federal healthcare reform measures will be adopted in the future, any of which could limit the amounts that federal and state governments will pay for healthcare devices and services, which could result in reduced demand for our devices or additional pricing pressures.</w:t>
      </w:r>
    </w:p>
    <w:p>
      <w:pPr>
        <w:spacing w:after="0" w:line="118"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We face uncertainties that might result from modification or repeal of any of the provisions of the PPACA, including as a result of current and future executive orders and legislative actions. The impact of those changes on us and potential effect on the medical device industry as a whole is currently unknown. Any changes to the PPACA are likely to have an impact on our results of operations, and may have a material adverse effect on our results of operations. We cannot predict what other healthcare programs and regulations will ultimately be implemented at the federal or state level or the effect of any future legislation or regulation in the United States may have on our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62"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1" w:lineRule="exact"/>
        <w:rPr>
          <w:sz w:val="20"/>
          <w:szCs w:val="20"/>
          <w:color w:val="auto"/>
        </w:rPr>
      </w:pPr>
    </w:p>
    <w:p>
      <w:pPr>
        <w:ind w:right="320" w:firstLine="441"/>
        <w:spacing w:after="0" w:line="258" w:lineRule="auto"/>
        <w:rPr>
          <w:sz w:val="20"/>
          <w:szCs w:val="20"/>
          <w:color w:val="auto"/>
        </w:rPr>
      </w:pPr>
      <w:r>
        <w:rPr>
          <w:rFonts w:ascii="Arial" w:cs="Arial" w:eastAsia="Arial" w:hAnsi="Arial"/>
          <w:sz w:val="17"/>
          <w:szCs w:val="17"/>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06" w:lineRule="exact"/>
        <w:rPr>
          <w:sz w:val="20"/>
          <w:szCs w:val="20"/>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results of clinical trials of our planned products or those of our competitors;</w:t>
      </w:r>
    </w:p>
    <w:p>
      <w:pPr>
        <w:spacing w:after="0" w:line="144" w:lineRule="exact"/>
        <w:rPr>
          <w:rFonts w:ascii="Arial" w:cs="Arial" w:eastAsia="Arial" w:hAnsi="Arial"/>
          <w:sz w:val="18"/>
          <w:szCs w:val="18"/>
          <w:color w:val="auto"/>
        </w:rPr>
      </w:pPr>
    </w:p>
    <w:p>
      <w:pPr>
        <w:ind w:left="860" w:right="520" w:hanging="427"/>
        <w:spacing w:after="0" w:line="235"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actions by regulatory bodies, such as the FDA, that effect our business or have the effect of delaying or rejecting approval or clearance of our planned products;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44" w:lineRule="exact"/>
        <w:rPr>
          <w:rFonts w:ascii="Arial" w:cs="Arial" w:eastAsia="Arial" w:hAnsi="Arial"/>
          <w:sz w:val="18"/>
          <w:szCs w:val="18"/>
          <w:color w:val="auto"/>
        </w:rPr>
      </w:pPr>
    </w:p>
    <w:p>
      <w:pPr>
        <w:ind w:left="860" w:right="520" w:hanging="427"/>
        <w:spacing w:after="0" w:line="235"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our customers, partners or suppliers relating directly or indirectly to our products, services or technologies;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planned products;</w:t>
      </w:r>
    </w:p>
    <w:p>
      <w:pPr>
        <w:spacing w:after="0" w:line="144" w:lineRule="exact"/>
        <w:rPr>
          <w:rFonts w:ascii="Arial" w:cs="Arial" w:eastAsia="Arial" w:hAnsi="Arial"/>
          <w:sz w:val="18"/>
          <w:szCs w:val="18"/>
          <w:color w:val="auto"/>
        </w:rPr>
      </w:pPr>
    </w:p>
    <w:p>
      <w:pPr>
        <w:ind w:left="860" w:right="520" w:hanging="427"/>
        <w:spacing w:after="0" w:line="235"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44" w:lineRule="exact"/>
        <w:rPr>
          <w:rFonts w:ascii="Arial" w:cs="Arial" w:eastAsia="Arial" w:hAnsi="Arial"/>
          <w:sz w:val="18"/>
          <w:szCs w:val="18"/>
          <w:color w:val="auto"/>
        </w:rPr>
      </w:pPr>
    </w:p>
    <w:p>
      <w:pPr>
        <w:ind w:left="860" w:right="40" w:hanging="427"/>
        <w:spacing w:after="0" w:line="235" w:lineRule="auto"/>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21"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price and volume fluctuations attributable to inconsistent trading volume levels of our shares;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reports, guidance and ratings issued by securities or industry analysts;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conditions in our industry and market;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44" w:lineRule="exact"/>
        <w:rPr>
          <w:sz w:val="20"/>
          <w:szCs w:val="20"/>
          <w:color w:val="auto"/>
        </w:rPr>
      </w:pPr>
    </w:p>
    <w:p>
      <w:pPr>
        <w:ind w:firstLine="441"/>
        <w:spacing w:after="0" w:line="222" w:lineRule="auto"/>
        <w:rPr>
          <w:sz w:val="20"/>
          <w:szCs w:val="20"/>
          <w:color w:val="auto"/>
        </w:rPr>
      </w:pPr>
      <w:r>
        <w:rPr>
          <w:rFonts w:ascii="Arial" w:cs="Arial" w:eastAsia="Arial" w:hAnsi="Arial"/>
          <w:sz w:val="17"/>
          <w:szCs w:val="17"/>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Sales or purchases of shares of our common stock may adversely affect the market for our common stock.</w:t>
      </w:r>
    </w:p>
    <w:p>
      <w:pPr>
        <w:spacing w:after="0" w:line="169" w:lineRule="exact"/>
        <w:rPr>
          <w:sz w:val="20"/>
          <w:szCs w:val="20"/>
          <w:color w:val="auto"/>
        </w:rPr>
      </w:pPr>
    </w:p>
    <w:p>
      <w:pPr>
        <w:ind w:right="40" w:firstLine="441"/>
        <w:spacing w:after="0" w:line="239" w:lineRule="auto"/>
        <w:rPr>
          <w:sz w:val="20"/>
          <w:szCs w:val="20"/>
          <w:color w:val="auto"/>
        </w:rPr>
      </w:pPr>
      <w:r>
        <w:rPr>
          <w:rFonts w:ascii="Arial" w:cs="Arial" w:eastAsia="Arial" w:hAnsi="Arial"/>
          <w:sz w:val="16"/>
          <w:szCs w:val="16"/>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is not subject to any contractual restrictions with us on his ability to sell or transfer our common stock, and these sales or transfers could create substantial declines in the price of our securities or, if these sales or transfers were made to a single buyer or group of buyers, could contribute to a transfer of control of our company to a third party. Sales by Robert W. Duggan of a substantial number of shares, or the expectation of such sales, could cause a significant reduction in the market price of our common stock.</w:t>
      </w:r>
    </w:p>
    <w:p>
      <w:pPr>
        <w:spacing w:after="0" w:line="122" w:lineRule="exact"/>
        <w:rPr>
          <w:sz w:val="20"/>
          <w:szCs w:val="20"/>
          <w:color w:val="auto"/>
        </w:rPr>
      </w:pPr>
    </w:p>
    <w:p>
      <w:pPr>
        <w:ind w:right="40" w:firstLine="441"/>
        <w:spacing w:after="0" w:line="212" w:lineRule="auto"/>
        <w:rPr>
          <w:sz w:val="20"/>
          <w:szCs w:val="20"/>
          <w:color w:val="auto"/>
        </w:rPr>
      </w:pPr>
      <w:r>
        <w:rPr>
          <w:rFonts w:ascii="Arial" w:cs="Arial" w:eastAsia="Arial" w:hAnsi="Arial"/>
          <w:sz w:val="18"/>
          <w:szCs w:val="18"/>
          <w:color w:val="auto"/>
        </w:rPr>
        <w:t>We maintain a shelf registration statement on Form S-3 pursuant to which we may, from time to time, sell up to an aggregate of $150.0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25"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35"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Prior to our initial public offering in May 2016, there was no public market for our common stock. Although our common stock is listed on The Nasdaq Capital Market,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22" w:lineRule="exact"/>
        <w:rPr>
          <w:sz w:val="20"/>
          <w:szCs w:val="20"/>
          <w:color w:val="auto"/>
        </w:rPr>
      </w:pPr>
    </w:p>
    <w:p>
      <w:pPr>
        <w:ind w:right="400" w:firstLine="441"/>
        <w:spacing w:after="0" w:line="235" w:lineRule="auto"/>
        <w:rPr>
          <w:sz w:val="20"/>
          <w:szCs w:val="20"/>
          <w:color w:val="auto"/>
        </w:rPr>
      </w:pPr>
      <w:r>
        <w:rPr>
          <w:rFonts w:ascii="Arial" w:cs="Arial" w:eastAsia="Arial" w:hAnsi="Arial"/>
          <w:sz w:val="18"/>
          <w:szCs w:val="18"/>
          <w:b w:val="1"/>
          <w:bCs w:val="1"/>
          <w:i w:val="1"/>
          <w:iCs w:val="1"/>
          <w:color w:val="auto"/>
        </w:rPr>
        <w:t>Concentration of ownership by our principal stockholders may limit your ability to influence the outcome of director elections and other transactions requiring stockholder approval</w:t>
      </w:r>
      <w:r>
        <w:rPr>
          <w:rFonts w:ascii="Arial" w:cs="Arial" w:eastAsia="Arial" w:hAnsi="Arial"/>
          <w:sz w:val="18"/>
          <w:szCs w:val="18"/>
          <w:color w:val="auto"/>
        </w:rPr>
        <w:t>.</w:t>
      </w:r>
    </w:p>
    <w:p>
      <w:pPr>
        <w:spacing w:after="0" w:line="121" w:lineRule="exact"/>
        <w:rPr>
          <w:sz w:val="20"/>
          <w:szCs w:val="20"/>
          <w:color w:val="auto"/>
        </w:rPr>
      </w:pPr>
    </w:p>
    <w:p>
      <w:pPr>
        <w:ind w:right="60" w:firstLine="441"/>
        <w:spacing w:after="0" w:line="219" w:lineRule="auto"/>
        <w:rPr>
          <w:sz w:val="20"/>
          <w:szCs w:val="20"/>
          <w:color w:val="auto"/>
        </w:rPr>
      </w:pPr>
      <w:r>
        <w:rPr>
          <w:rFonts w:ascii="Arial" w:cs="Arial" w:eastAsia="Arial" w:hAnsi="Arial"/>
          <w:sz w:val="18"/>
          <w:szCs w:val="18"/>
          <w:color w:val="auto"/>
        </w:rPr>
        <w:t>A significant percentage of our outstanding stock is held by a limited number of investors, including Robert W. Duggan. Mr. Duggan, Chairman of our Board, beneficially owns approximately 44% of our common stock outstanding as of the date of this Quarterly Report. As a result, such persons will have significant influence over corporate actions requiring stockholder approval, including the following actions:</w:t>
      </w:r>
    </w:p>
    <w:p>
      <w:pPr>
        <w:spacing w:after="0" w:line="136" w:lineRule="exact"/>
        <w:rPr>
          <w:sz w:val="20"/>
          <w:szCs w:val="20"/>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amend or prevent amendment of our certificate of incorporation or bylaws;</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44" w:lineRule="exact"/>
        <w:rPr>
          <w:rFonts w:ascii="Arial" w:cs="Arial" w:eastAsia="Arial" w:hAnsi="Arial"/>
          <w:sz w:val="18"/>
          <w:szCs w:val="18"/>
          <w:color w:val="auto"/>
        </w:rPr>
      </w:pPr>
    </w:p>
    <w:p>
      <w:pPr>
        <w:ind w:left="860" w:hanging="427"/>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w:t>
      </w:r>
    </w:p>
    <w:p>
      <w:pPr>
        <w:spacing w:after="0" w:line="144" w:lineRule="exact"/>
        <w:rPr>
          <w:sz w:val="20"/>
          <w:szCs w:val="20"/>
          <w:color w:val="auto"/>
        </w:rPr>
      </w:pPr>
    </w:p>
    <w:p>
      <w:pPr>
        <w:jc w:val="both"/>
        <w:ind w:right="240" w:firstLine="441"/>
        <w:spacing w:after="0" w:line="224" w:lineRule="auto"/>
        <w:rPr>
          <w:sz w:val="20"/>
          <w:szCs w:val="20"/>
          <w:color w:val="auto"/>
        </w:rPr>
      </w:pPr>
      <w:r>
        <w:rPr>
          <w:rFonts w:ascii="Arial" w:cs="Arial" w:eastAsia="Arial" w:hAnsi="Arial"/>
          <w:sz w:val="18"/>
          <w:szCs w:val="18"/>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23" w:lineRule="exact"/>
        <w:rPr>
          <w:sz w:val="20"/>
          <w:szCs w:val="20"/>
          <w:color w:val="auto"/>
        </w:rPr>
      </w:pPr>
    </w:p>
    <w:p>
      <w:pPr>
        <w:ind w:right="60" w:firstLine="441"/>
        <w:spacing w:after="0" w:line="219" w:lineRule="auto"/>
        <w:rPr>
          <w:sz w:val="20"/>
          <w:szCs w:val="20"/>
          <w:color w:val="auto"/>
        </w:rPr>
      </w:pPr>
      <w:r>
        <w:rPr>
          <w:rFonts w:ascii="Arial" w:cs="Arial" w:eastAsia="Arial" w:hAnsi="Arial"/>
          <w:sz w:val="18"/>
          <w:szCs w:val="18"/>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122"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b w:val="1"/>
          <w:bCs w:val="1"/>
          <w:i w:val="1"/>
          <w:iCs w:val="1"/>
          <w:color w:val="auto"/>
        </w:rPr>
        <w:t>Robert W. Duggan’s significant ownership position may deter or prevent efforts by other companies to acquire us, which could prevent our stockholders from realizing a control premium.</w:t>
      </w:r>
    </w:p>
    <w:p>
      <w:pPr>
        <w:spacing w:after="0" w:line="135" w:lineRule="exact"/>
        <w:rPr>
          <w:sz w:val="20"/>
          <w:szCs w:val="20"/>
          <w:color w:val="auto"/>
        </w:rPr>
      </w:pPr>
    </w:p>
    <w:p>
      <w:pPr>
        <w:ind w:firstLine="441"/>
        <w:spacing w:after="0" w:line="216" w:lineRule="auto"/>
        <w:rPr>
          <w:sz w:val="20"/>
          <w:szCs w:val="20"/>
          <w:color w:val="auto"/>
        </w:rPr>
      </w:pPr>
      <w:r>
        <w:rPr>
          <w:rFonts w:ascii="Arial" w:cs="Arial" w:eastAsia="Arial" w:hAnsi="Arial"/>
          <w:sz w:val="18"/>
          <w:szCs w:val="18"/>
          <w:color w:val="auto"/>
        </w:rPr>
        <w:t>Robert W. Duggan, is the Chairman of our Board, beneficially owns approximately 44% of our common stock outstanding as of the date of this Quarterly Report. As a result of Robert W. Duggan’s significant ownership and position as Chairman of the Board,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80" w:firstLine="441"/>
        <w:spacing w:after="0" w:line="258" w:lineRule="auto"/>
        <w:rPr>
          <w:sz w:val="20"/>
          <w:szCs w:val="20"/>
          <w:color w:val="auto"/>
        </w:rPr>
      </w:pPr>
      <w:r>
        <w:rPr>
          <w:rFonts w:ascii="Arial" w:cs="Arial" w:eastAsia="Arial" w:hAnsi="Arial"/>
          <w:sz w:val="17"/>
          <w:szCs w:val="17"/>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20" w:lineRule="exact"/>
        <w:rPr>
          <w:sz w:val="20"/>
          <w:szCs w:val="20"/>
          <w:color w:val="auto"/>
        </w:rPr>
      </w:pPr>
    </w:p>
    <w:p>
      <w:pPr>
        <w:ind w:right="120" w:firstLine="441"/>
        <w:spacing w:after="0" w:line="216" w:lineRule="auto"/>
        <w:rPr>
          <w:sz w:val="20"/>
          <w:szCs w:val="20"/>
          <w:color w:val="auto"/>
        </w:rPr>
      </w:pPr>
      <w:r>
        <w:rPr>
          <w:rFonts w:ascii="Arial" w:cs="Arial" w:eastAsia="Arial" w:hAnsi="Arial"/>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the Nasdaq. The SEC and other regulators have continued to adopt new rules and regulations and make additional changes to existing regulations that require our compliance.</w:t>
      </w:r>
    </w:p>
    <w:p>
      <w:pPr>
        <w:spacing w:after="0" w:line="122" w:lineRule="exact"/>
        <w:rPr>
          <w:sz w:val="20"/>
          <w:szCs w:val="20"/>
          <w:color w:val="auto"/>
        </w:rPr>
      </w:pPr>
    </w:p>
    <w:p>
      <w:pPr>
        <w:ind w:firstLine="441"/>
        <w:spacing w:after="0" w:line="221" w:lineRule="auto"/>
        <w:rPr>
          <w:sz w:val="20"/>
          <w:szCs w:val="20"/>
          <w:color w:val="auto"/>
        </w:rPr>
      </w:pPr>
      <w:r>
        <w:rPr>
          <w:rFonts w:ascii="Arial" w:cs="Arial" w:eastAsia="Arial" w:hAnsi="Arial"/>
          <w:sz w:val="17"/>
          <w:szCs w:val="17"/>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of 2002,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22" w:lineRule="exact"/>
        <w:rPr>
          <w:sz w:val="20"/>
          <w:szCs w:val="20"/>
          <w:color w:val="auto"/>
        </w:rPr>
      </w:pPr>
    </w:p>
    <w:p>
      <w:pPr>
        <w:ind w:right="80" w:firstLine="441"/>
        <w:spacing w:after="0" w:line="216" w:lineRule="auto"/>
        <w:rPr>
          <w:sz w:val="20"/>
          <w:szCs w:val="20"/>
          <w:color w:val="auto"/>
        </w:rPr>
      </w:pPr>
      <w:r>
        <w:rPr>
          <w:rFonts w:ascii="Arial" w:cs="Arial" w:eastAsia="Arial" w:hAnsi="Arial"/>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35" w:lineRule="exact"/>
        <w:rPr>
          <w:sz w:val="20"/>
          <w:szCs w:val="20"/>
          <w:color w:val="auto"/>
        </w:rPr>
      </w:pPr>
    </w:p>
    <w:p>
      <w:pPr>
        <w:ind w:right="260" w:firstLine="441"/>
        <w:spacing w:after="0" w:line="324" w:lineRule="auto"/>
        <w:rPr>
          <w:sz w:val="20"/>
          <w:szCs w:val="20"/>
          <w:color w:val="auto"/>
        </w:rPr>
      </w:pPr>
      <w:r>
        <w:rPr>
          <w:rFonts w:ascii="Arial" w:cs="Arial" w:eastAsia="Arial" w:hAnsi="Arial"/>
          <w:sz w:val="15"/>
          <w:szCs w:val="15"/>
          <w:b w:val="1"/>
          <w:bCs w:val="1"/>
          <w:i w:val="1"/>
          <w:iCs w:val="1"/>
          <w:color w:val="auto"/>
        </w:rPr>
        <w:t>We are an “emerging growth company” under the JOBS Act as well as a “smaller reporting company”; as a result, we cannot be certain if the applicable reduced disclosure requirements will make our common stock less attractive to investors.</w:t>
      </w:r>
    </w:p>
    <w:p>
      <w:pPr>
        <w:spacing w:after="0" w:line="61" w:lineRule="exact"/>
        <w:rPr>
          <w:sz w:val="20"/>
          <w:szCs w:val="20"/>
          <w:color w:val="auto"/>
        </w:rPr>
      </w:pPr>
    </w:p>
    <w:p>
      <w:pPr>
        <w:ind w:right="160" w:firstLine="441"/>
        <w:spacing w:after="0" w:line="22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also qualify as a “smaller reporting company,” as defined in the Exchange Act, and so long as we remain a smaller reporting company, we benefit from and may take advantage of scaled disclosure requirements.</w:t>
      </w:r>
    </w:p>
    <w:p>
      <w:pPr>
        <w:spacing w:after="0" w:line="127" w:lineRule="exact"/>
        <w:rPr>
          <w:sz w:val="20"/>
          <w:szCs w:val="20"/>
          <w:color w:val="auto"/>
        </w:rPr>
      </w:pPr>
    </w:p>
    <w:p>
      <w:pPr>
        <w:ind w:right="20" w:firstLine="441"/>
        <w:spacing w:after="0" w:line="237" w:lineRule="auto"/>
        <w:rPr>
          <w:sz w:val="20"/>
          <w:szCs w:val="20"/>
          <w:color w:val="auto"/>
        </w:rPr>
      </w:pPr>
      <w:r>
        <w:rPr>
          <w:rFonts w:ascii="Arial" w:cs="Arial" w:eastAsia="Arial" w:hAnsi="Arial"/>
          <w:sz w:val="16"/>
          <w:szCs w:val="16"/>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 We will remain an “emerging growth company” for up to five years, although we will lose that status sooner if our revenues exceed $1.07 billion, if we issue more than $1.0 billion in non-convertible debt in a three-year period, or if the market value of our common stock that is held by non-affiliates exceeds $700 million as of June 30.</w:t>
      </w:r>
    </w:p>
    <w:p>
      <w:pPr>
        <w:spacing w:after="0" w:line="140" w:lineRule="exact"/>
        <w:rPr>
          <w:sz w:val="20"/>
          <w:szCs w:val="20"/>
          <w:color w:val="auto"/>
        </w:rPr>
      </w:pPr>
    </w:p>
    <w:p>
      <w:pPr>
        <w:ind w:right="600" w:firstLine="441"/>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21" w:lineRule="exact"/>
        <w:rPr>
          <w:sz w:val="20"/>
          <w:szCs w:val="20"/>
          <w:color w:val="auto"/>
        </w:rPr>
      </w:pPr>
    </w:p>
    <w:p>
      <w:pPr>
        <w:ind w:right="60" w:firstLine="441"/>
        <w:spacing w:after="0" w:line="226"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paid dividends in the past and have no plans to pay dividends</w:t>
      </w:r>
      <w:r>
        <w:rPr>
          <w:rFonts w:ascii="Arial" w:cs="Arial" w:eastAsia="Arial" w:hAnsi="Arial"/>
          <w:sz w:val="18"/>
          <w:szCs w:val="18"/>
          <w:color w:val="auto"/>
        </w:rPr>
        <w:t>.</w:t>
      </w:r>
    </w:p>
    <w:p>
      <w:pPr>
        <w:spacing w:after="0" w:line="158"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22" w:lineRule="exact"/>
        <w:rPr>
          <w:sz w:val="20"/>
          <w:szCs w:val="20"/>
          <w:color w:val="auto"/>
        </w:rPr>
      </w:pPr>
    </w:p>
    <w:p>
      <w:pPr>
        <w:jc w:val="both"/>
        <w:ind w:right="60" w:firstLine="441"/>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23" w:lineRule="exact"/>
        <w:rPr>
          <w:sz w:val="20"/>
          <w:szCs w:val="20"/>
          <w:color w:val="auto"/>
        </w:rPr>
      </w:pPr>
    </w:p>
    <w:p>
      <w:pPr>
        <w:ind w:right="60" w:firstLine="441"/>
        <w:spacing w:after="0" w:line="249" w:lineRule="auto"/>
        <w:rPr>
          <w:sz w:val="20"/>
          <w:szCs w:val="20"/>
          <w:color w:val="auto"/>
        </w:rPr>
      </w:pPr>
      <w:r>
        <w:rPr>
          <w:rFonts w:ascii="Arial" w:cs="Arial" w:eastAsia="Arial" w:hAnsi="Arial"/>
          <w:sz w:val="16"/>
          <w:szCs w:val="16"/>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28" w:lineRule="exact"/>
        <w:rPr>
          <w:sz w:val="20"/>
          <w:szCs w:val="20"/>
          <w:color w:val="auto"/>
        </w:rPr>
      </w:pPr>
    </w:p>
    <w:p>
      <w:pPr>
        <w:ind w:left="860" w:right="500" w:hanging="427"/>
        <w:spacing w:after="0" w:line="289"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50,000,000 shares of preferred stock and up to approximately 500,000,000 shares of authorized but unissued shares of common stock;</w:t>
      </w:r>
    </w:p>
    <w:p>
      <w:pPr>
        <w:spacing w:after="0" w:line="83" w:lineRule="exact"/>
        <w:rPr>
          <w:rFonts w:ascii="Arial" w:cs="Arial" w:eastAsia="Arial" w:hAnsi="Arial"/>
          <w:sz w:val="16"/>
          <w:szCs w:val="16"/>
          <w:color w:val="auto"/>
        </w:rPr>
      </w:pPr>
    </w:p>
    <w:p>
      <w:pPr>
        <w:ind w:left="860" w:right="20" w:hanging="427"/>
        <w:spacing w:after="0" w:line="235"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21" w:lineRule="exact"/>
        <w:rPr>
          <w:rFonts w:ascii="Arial" w:cs="Arial" w:eastAsia="Arial" w:hAnsi="Arial"/>
          <w:sz w:val="18"/>
          <w:szCs w:val="18"/>
          <w:color w:val="auto"/>
        </w:rPr>
      </w:pPr>
    </w:p>
    <w:p>
      <w:pPr>
        <w:ind w:left="860" w:right="100" w:hanging="427"/>
        <w:spacing w:after="0" w:line="224"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122" w:lineRule="exact"/>
        <w:rPr>
          <w:rFonts w:ascii="Arial" w:cs="Arial" w:eastAsia="Arial" w:hAnsi="Arial"/>
          <w:sz w:val="18"/>
          <w:szCs w:val="18"/>
          <w:color w:val="auto"/>
        </w:rPr>
      </w:pPr>
    </w:p>
    <w:p>
      <w:pPr>
        <w:ind w:left="860" w:right="640" w:hanging="427"/>
        <w:spacing w:after="0" w:line="258" w:lineRule="auto"/>
        <w:tabs>
          <w:tab w:leader="none" w:pos="8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106" w:lineRule="exact"/>
        <w:rPr>
          <w:rFonts w:ascii="Arial" w:cs="Arial" w:eastAsia="Arial" w:hAnsi="Arial"/>
          <w:sz w:val="17"/>
          <w:szCs w:val="17"/>
          <w:color w:val="auto"/>
        </w:rPr>
      </w:pPr>
    </w:p>
    <w:p>
      <w:pPr>
        <w:jc w:val="both"/>
        <w:ind w:left="860" w:right="180" w:hanging="427"/>
        <w:spacing w:after="0" w:line="224"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the then outstanding shares of our voting stock, voting together as a single class, to amend provisions of our certificate of incorporation or our bylaws;</w:t>
      </w:r>
    </w:p>
    <w:p>
      <w:pPr>
        <w:spacing w:after="0" w:line="122" w:lineRule="exact"/>
        <w:rPr>
          <w:rFonts w:ascii="Arial" w:cs="Arial" w:eastAsia="Arial" w:hAnsi="Arial"/>
          <w:sz w:val="18"/>
          <w:szCs w:val="18"/>
          <w:color w:val="auto"/>
        </w:rPr>
      </w:pPr>
    </w:p>
    <w:p>
      <w:pPr>
        <w:ind w:left="860" w:hanging="427"/>
        <w:spacing w:after="0"/>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our board of directors by majority vote, to amend the bylaws; and</w:t>
      </w:r>
    </w:p>
    <w:p>
      <w:pPr>
        <w:spacing w:after="0" w:line="144" w:lineRule="exact"/>
        <w:rPr>
          <w:rFonts w:ascii="Arial" w:cs="Arial" w:eastAsia="Arial" w:hAnsi="Arial"/>
          <w:sz w:val="18"/>
          <w:szCs w:val="18"/>
          <w:color w:val="auto"/>
        </w:rPr>
      </w:pPr>
    </w:p>
    <w:p>
      <w:pPr>
        <w:ind w:left="860" w:right="500" w:hanging="427"/>
        <w:spacing w:after="0" w:line="235" w:lineRule="auto"/>
        <w:tabs>
          <w:tab w:leader="none" w:pos="8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w:t>
      </w:r>
    </w:p>
    <w:p>
      <w:pPr>
        <w:spacing w:after="0" w:line="297"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 Upon Senior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874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35"/>
        </w:trPr>
        <w:tc>
          <w:tcPr>
            <w:tcW w:w="7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Number</w:t>
            </w:r>
          </w:p>
        </w:tc>
        <w:tc>
          <w:tcPr>
            <w:tcW w:w="87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auto"/>
            </w:tcBorders>
            <w:shd w:val="clear" w:color="auto" w:fill="CCEEFF"/>
          </w:tcPr>
          <w:p>
            <w:pPr>
              <w:spacing w:after="0" w:line="15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hyperlink>
          </w:p>
        </w:tc>
        <w:tc>
          <w:tcPr>
            <w:tcW w:w="4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600" w:type="dxa"/>
            <w:vAlign w:val="bottom"/>
            <w:tcBorders>
              <w:top w:val="single" w:sz="8" w:color="auto"/>
            </w:tcBorders>
            <w:gridSpan w:val="4"/>
            <w:shd w:val="clear" w:color="auto" w:fill="CCEEFF"/>
          </w:tcPr>
          <w:p>
            <w:pPr>
              <w:spacing w:after="0" w:line="156" w:lineRule="exact"/>
              <w:rPr>
                <w:rFonts w:ascii="Arial" w:cs="Arial" w:eastAsia="Arial" w:hAnsi="Arial"/>
                <w:sz w:val="18"/>
                <w:szCs w:val="18"/>
                <w:color w:val="0000EE"/>
              </w:rPr>
            </w:pPr>
            <w:hyperlink w:anchor="page53">
              <w:r>
                <w:rPr>
                  <w:rFonts w:ascii="Arial" w:cs="Arial" w:eastAsia="Arial" w:hAnsi="Arial"/>
                  <w:sz w:val="18"/>
                  <w:szCs w:val="18"/>
                  <w:color w:val="0000EE"/>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60" w:type="dxa"/>
            <w:vAlign w:val="bottom"/>
            <w:shd w:val="clear" w:color="auto" w:fill="0000EE"/>
          </w:tcPr>
          <w:p>
            <w:pPr>
              <w:spacing w:after="0"/>
              <w:rPr>
                <w:sz w:val="2"/>
                <w:szCs w:val="2"/>
                <w:color w:val="auto"/>
              </w:rPr>
            </w:pPr>
          </w:p>
        </w:tc>
        <w:tc>
          <w:tcPr>
            <w:tcW w:w="4920" w:type="dxa"/>
            <w:vAlign w:val="bottom"/>
            <w:shd w:val="clear" w:color="auto" w:fill="0000EE"/>
          </w:tcPr>
          <w:p>
            <w:pPr>
              <w:spacing w:after="0"/>
              <w:rPr>
                <w:sz w:val="2"/>
                <w:szCs w:val="2"/>
                <w:color w:val="auto"/>
              </w:rPr>
            </w:pPr>
          </w:p>
        </w:tc>
        <w:tc>
          <w:tcPr>
            <w:tcW w:w="1400" w:type="dxa"/>
            <w:vAlign w:val="bottom"/>
            <w:tcBorders>
              <w:left w:val="single" w:sz="8" w:color="0000EE"/>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0" w:type="dxa"/>
            <w:vAlign w:val="bottom"/>
          </w:tcPr>
          <w:p>
            <w:pPr>
              <w:spacing w:after="0" w:line="162"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hyperlink>
          </w:p>
        </w:tc>
        <w:tc>
          <w:tcPr>
            <w:tcW w:w="400" w:type="dxa"/>
            <w:vAlign w:val="bottom"/>
          </w:tcPr>
          <w:p>
            <w:pPr>
              <w:spacing w:after="0"/>
              <w:rPr>
                <w:sz w:val="14"/>
                <w:szCs w:val="14"/>
                <w:color w:val="auto"/>
              </w:rPr>
            </w:pPr>
          </w:p>
        </w:tc>
        <w:tc>
          <w:tcPr>
            <w:tcW w:w="8740" w:type="dxa"/>
            <w:vAlign w:val="bottom"/>
            <w:gridSpan w:val="5"/>
          </w:tcPr>
          <w:p>
            <w:pPr>
              <w:ind w:left="140"/>
              <w:spacing w:after="0" w:line="162" w:lineRule="exact"/>
              <w:rPr>
                <w:rFonts w:ascii="Arial" w:cs="Arial" w:eastAsia="Arial" w:hAnsi="Arial"/>
                <w:sz w:val="18"/>
                <w:szCs w:val="18"/>
                <w:color w:val="0000EE"/>
              </w:rPr>
            </w:pPr>
            <w:hyperlink w:anchor="page54">
              <w:r>
                <w:rPr>
                  <w:rFonts w:ascii="Arial" w:cs="Arial" w:eastAsia="Arial" w:hAnsi="Arial"/>
                  <w:sz w:val="18"/>
                  <w:szCs w:val="18"/>
                  <w:color w:val="0000EE"/>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60" w:type="dxa"/>
            <w:vAlign w:val="bottom"/>
            <w:shd w:val="clear" w:color="auto" w:fill="0000EE"/>
          </w:tcPr>
          <w:p>
            <w:pPr>
              <w:spacing w:after="0"/>
              <w:rPr>
                <w:sz w:val="2"/>
                <w:szCs w:val="2"/>
                <w:color w:val="auto"/>
              </w:rPr>
            </w:pPr>
          </w:p>
        </w:tc>
        <w:tc>
          <w:tcPr>
            <w:tcW w:w="4920" w:type="dxa"/>
            <w:vAlign w:val="bottom"/>
            <w:shd w:val="clear" w:color="auto" w:fill="0000EE"/>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700" w:type="dxa"/>
            <w:vAlign w:val="bottom"/>
            <w:gridSpan w:val="2"/>
            <w:shd w:val="clear" w:color="auto" w:fill="CCEEFF"/>
          </w:tcPr>
          <w:p>
            <w:pPr>
              <w:spacing w:after="0" w:line="162" w:lineRule="exact"/>
              <w:rPr>
                <w:rFonts w:ascii="Arial" w:cs="Arial" w:eastAsia="Arial" w:hAnsi="Arial"/>
                <w:sz w:val="18"/>
                <w:szCs w:val="18"/>
                <w:color w:val="0000EE"/>
              </w:rPr>
            </w:pPr>
            <w:hyperlink w:anchor="page55">
              <w:r>
                <w:rPr>
                  <w:rFonts w:ascii="Arial" w:cs="Arial" w:eastAsia="Arial" w:hAnsi="Arial"/>
                  <w:sz w:val="18"/>
                  <w:szCs w:val="18"/>
                  <w:color w:val="0000EE"/>
                </w:rPr>
                <w:t>32.</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8740" w:type="dxa"/>
            <w:vAlign w:val="bottom"/>
            <w:gridSpan w:val="5"/>
            <w:shd w:val="clear" w:color="auto" w:fill="CCEEFF"/>
          </w:tcPr>
          <w:p>
            <w:pPr>
              <w:ind w:left="140"/>
              <w:spacing w:after="0" w:line="162"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Certification of the Chief Executive and Chief Financial Officers pursuant to Section 906 of the Sarbanes-Oxley Act of</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0000EE"/>
            </w:tcBorders>
            <w:gridSpan w:val="3"/>
            <w:shd w:val="clear" w:color="auto" w:fill="CCEEFF"/>
          </w:tcPr>
          <w:p>
            <w:pPr>
              <w:spacing w:after="0" w:line="170" w:lineRule="exact"/>
              <w:rPr>
                <w:rFonts w:ascii="Arial" w:cs="Arial" w:eastAsia="Arial" w:hAnsi="Arial"/>
                <w:sz w:val="18"/>
                <w:szCs w:val="18"/>
                <w:color w:val="0000EE"/>
              </w:rPr>
            </w:pPr>
            <w:hyperlink w:anchor="page55">
              <w:r>
                <w:rPr>
                  <w:rFonts w:ascii="Arial" w:cs="Arial" w:eastAsia="Arial" w:hAnsi="Arial"/>
                  <w:sz w:val="18"/>
                  <w:szCs w:val="18"/>
                  <w:color w:val="0000EE"/>
                </w:rPr>
                <w:t>2002 (18 U.S.C. Section 1350).</w:t>
              </w:r>
            </w:hyperlink>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260" w:type="dxa"/>
            <w:vAlign w:val="bottom"/>
            <w:shd w:val="clear" w:color="auto" w:fill="0000EE"/>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40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0" w:type="dxa"/>
            <w:vAlign w:val="bottom"/>
            <w:gridSpan w:val="2"/>
          </w:tcPr>
          <w:p>
            <w:pPr>
              <w:spacing w:after="0" w:line="189" w:lineRule="exact"/>
              <w:rPr>
                <w:sz w:val="20"/>
                <w:szCs w:val="20"/>
                <w:color w:val="auto"/>
              </w:rPr>
            </w:pPr>
            <w:r>
              <w:rPr>
                <w:rFonts w:ascii="Arial" w:cs="Arial" w:eastAsia="Arial" w:hAnsi="Arial"/>
                <w:sz w:val="18"/>
                <w:szCs w:val="18"/>
                <w:color w:val="auto"/>
              </w:rPr>
              <w:t>101.INS</w:t>
            </w:r>
          </w:p>
        </w:tc>
        <w:tc>
          <w:tcPr>
            <w:tcW w:w="8740" w:type="dxa"/>
            <w:vAlign w:val="bottom"/>
            <w:gridSpan w:val="5"/>
          </w:tcPr>
          <w:p>
            <w:pPr>
              <w:ind w:left="140"/>
              <w:spacing w:after="0" w:line="189"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3"/>
              </w:rPr>
              <w:t>101.SCH</w:t>
            </w:r>
          </w:p>
        </w:tc>
        <w:tc>
          <w:tcPr>
            <w:tcW w:w="8740" w:type="dxa"/>
            <w:vAlign w:val="bottom"/>
            <w:gridSpan w:val="5"/>
            <w:shd w:val="clear" w:color="auto" w:fill="CCEEFF"/>
          </w:tcPr>
          <w:p>
            <w:pPr>
              <w:ind w:left="140"/>
              <w:spacing w:after="0" w:line="189"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spacing w:after="0" w:line="189" w:lineRule="exact"/>
              <w:rPr>
                <w:sz w:val="20"/>
                <w:szCs w:val="20"/>
                <w:color w:val="auto"/>
              </w:rPr>
            </w:pPr>
            <w:r>
              <w:rPr>
                <w:rFonts w:ascii="Arial" w:cs="Arial" w:eastAsia="Arial" w:hAnsi="Arial"/>
                <w:sz w:val="18"/>
                <w:szCs w:val="18"/>
                <w:color w:val="auto"/>
                <w:w w:val="97"/>
              </w:rPr>
              <w:t>101.CAL</w:t>
            </w:r>
          </w:p>
        </w:tc>
        <w:tc>
          <w:tcPr>
            <w:tcW w:w="8740" w:type="dxa"/>
            <w:vAlign w:val="bottom"/>
            <w:gridSpan w:val="5"/>
          </w:tcPr>
          <w:p>
            <w:pPr>
              <w:ind w:left="140"/>
              <w:spacing w:after="0" w:line="189"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5"/>
              </w:rPr>
              <w:t>101.DEF</w:t>
            </w:r>
          </w:p>
        </w:tc>
        <w:tc>
          <w:tcPr>
            <w:tcW w:w="8740" w:type="dxa"/>
            <w:vAlign w:val="bottom"/>
            <w:gridSpan w:val="5"/>
            <w:shd w:val="clear" w:color="auto" w:fill="CCEEFF"/>
          </w:tcPr>
          <w:p>
            <w:pPr>
              <w:ind w:left="140"/>
              <w:spacing w:after="0" w:line="189"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tcPr>
          <w:p>
            <w:pPr>
              <w:spacing w:after="0" w:line="189" w:lineRule="exact"/>
              <w:rPr>
                <w:sz w:val="20"/>
                <w:szCs w:val="20"/>
                <w:color w:val="auto"/>
              </w:rPr>
            </w:pPr>
            <w:r>
              <w:rPr>
                <w:rFonts w:ascii="Arial" w:cs="Arial" w:eastAsia="Arial" w:hAnsi="Arial"/>
                <w:sz w:val="18"/>
                <w:szCs w:val="18"/>
                <w:color w:val="auto"/>
                <w:w w:val="98"/>
              </w:rPr>
              <w:t>101.LAB</w:t>
            </w:r>
          </w:p>
        </w:tc>
        <w:tc>
          <w:tcPr>
            <w:tcW w:w="8740" w:type="dxa"/>
            <w:vAlign w:val="bottom"/>
            <w:gridSpan w:val="5"/>
          </w:tcPr>
          <w:p>
            <w:pPr>
              <w:ind w:left="140"/>
              <w:spacing w:after="0" w:line="189"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94"/>
              </w:rPr>
              <w:t>101.PRE</w:t>
            </w:r>
          </w:p>
        </w:tc>
        <w:tc>
          <w:tcPr>
            <w:tcW w:w="8740" w:type="dxa"/>
            <w:vAlign w:val="bottom"/>
            <w:gridSpan w:val="5"/>
            <w:shd w:val="clear" w:color="auto" w:fill="CCEEFF"/>
          </w:tcPr>
          <w:p>
            <w:pPr>
              <w:ind w:left="140"/>
              <w:spacing w:after="0" w:line="189"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spacing w:after="0" w:line="249" w:lineRule="auto"/>
        <w:tabs>
          <w:tab w:leader="none" w:pos="1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certification attached as Exhibit 32.1 that accompanies this Quarterly Report on Form 10-Q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4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259" w:firstLine="441"/>
        <w:spacing w:after="0" w:line="235"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30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PULSE BIOSCIENCES, INC.</w:t>
      </w:r>
    </w:p>
    <w:p>
      <w:pPr>
        <w:spacing w:after="0" w:line="146" w:lineRule="exact"/>
        <w:rPr>
          <w:sz w:val="20"/>
          <w:szCs w:val="20"/>
          <w:color w:val="auto"/>
        </w:rPr>
      </w:pPr>
    </w:p>
    <w:p>
      <w:pPr>
        <w:spacing w:after="0"/>
        <w:tabs>
          <w:tab w:leader="none" w:pos="4780" w:val="left"/>
          <w:tab w:leader="none" w:pos="6500" w:val="left"/>
        </w:tabs>
        <w:rPr>
          <w:sz w:val="20"/>
          <w:szCs w:val="20"/>
          <w:color w:val="auto"/>
        </w:rPr>
      </w:pPr>
      <w:r>
        <w:rPr>
          <w:rFonts w:ascii="Arial" w:cs="Arial" w:eastAsia="Arial" w:hAnsi="Arial"/>
          <w:sz w:val="18"/>
          <w:szCs w:val="18"/>
          <w:color w:val="auto"/>
        </w:rPr>
        <w:t>Date: May 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-635</wp:posOffset>
            </wp:positionV>
            <wp:extent cx="24180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jc w:val="center"/>
        <w:ind w:left="4800"/>
        <w:spacing w:after="0" w:line="193" w:lineRule="auto"/>
        <w:rPr>
          <w:sz w:val="20"/>
          <w:szCs w:val="20"/>
          <w:color w:val="auto"/>
        </w:rPr>
      </w:pPr>
      <w:r>
        <w:rPr>
          <w:rFonts w:ascii="Arial" w:cs="Arial" w:eastAsia="Arial" w:hAnsi="Arial"/>
          <w:sz w:val="18"/>
          <w:szCs w:val="18"/>
          <w:b w:val="1"/>
          <w:bCs w:val="1"/>
          <w:color w:val="auto"/>
        </w:rPr>
        <w:t>Brian B. Dow</w:t>
      </w:r>
    </w:p>
    <w:p>
      <w:pPr>
        <w:jc w:val="center"/>
        <w:ind w:left="4800"/>
        <w:spacing w:after="0" w:line="202"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480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Darrin R. Uecker, President and Chief Executive Officer, certify that:</w:t>
      </w:r>
    </w:p>
    <w:p>
      <w:pPr>
        <w:spacing w:after="0" w:line="117" w:lineRule="exact"/>
        <w:rPr>
          <w:sz w:val="20"/>
          <w:szCs w:val="20"/>
          <w:color w:val="auto"/>
        </w:rPr>
      </w:pPr>
    </w:p>
    <w:p>
      <w:pPr>
        <w:ind w:left="320" w:hanging="320"/>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720" w:hanging="320"/>
        <w:spacing w:after="0" w:line="258" w:lineRule="auto"/>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79"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May 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Brian B. Dow, Chief Financial Officer, certify that:</w:t>
      </w:r>
    </w:p>
    <w:p>
      <w:pPr>
        <w:spacing w:after="0" w:line="117" w:lineRule="exact"/>
        <w:rPr>
          <w:sz w:val="20"/>
          <w:szCs w:val="20"/>
          <w:color w:val="auto"/>
        </w:rPr>
      </w:pPr>
    </w:p>
    <w:p>
      <w:pPr>
        <w:ind w:left="320" w:hanging="320"/>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720" w:hanging="320"/>
        <w:spacing w:after="0" w:line="258" w:lineRule="auto"/>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79"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May 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ind w:left="2460"/>
        <w:spacing w:after="0" w:line="203" w:lineRule="auto"/>
        <w:rPr>
          <w:sz w:val="20"/>
          <w:szCs w:val="20"/>
          <w:color w:val="auto"/>
        </w:rPr>
      </w:pPr>
      <w:r>
        <w:rPr>
          <w:rFonts w:ascii="Arial" w:cs="Arial" w:eastAsia="Arial" w:hAnsi="Arial"/>
          <w:sz w:val="18"/>
          <w:szCs w:val="18"/>
          <w:b w:val="1"/>
          <w:bCs w:val="1"/>
          <w:color w:val="auto"/>
        </w:rPr>
        <w:t>18 U.S.C. SECTION 1350, AS ADOPTED PURSUANT TO</w:t>
      </w: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right="220" w:firstLine="441"/>
        <w:spacing w:after="0" w:line="219" w:lineRule="auto"/>
        <w:rPr>
          <w:sz w:val="20"/>
          <w:szCs w:val="20"/>
          <w:color w:val="auto"/>
        </w:rPr>
      </w:pPr>
      <w:r>
        <w:rPr>
          <w:rFonts w:ascii="Arial" w:cs="Arial" w:eastAsia="Arial" w:hAnsi="Arial"/>
          <w:sz w:val="18"/>
          <w:szCs w:val="18"/>
          <w:color w:val="auto"/>
        </w:rPr>
        <w:t>In connection with the Quarterly Report of Pulse Biosciences, Inc. (the “Company”) on Form 10-Q for the period ended March 31, 2019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41" w:lineRule="exact"/>
        <w:rPr>
          <w:sz w:val="20"/>
          <w:szCs w:val="20"/>
          <w:color w:val="auto"/>
        </w:rPr>
      </w:pPr>
    </w:p>
    <w:p>
      <w:pPr>
        <w:ind w:left="840" w:hanging="399"/>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right="220" w:firstLine="441"/>
        <w:spacing w:after="0" w:line="235" w:lineRule="auto"/>
        <w:tabs>
          <w:tab w:leader="none" w:pos="8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May 2, 2019</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14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Senior Vice President and Chief Financial Officer</w:t>
      </w:r>
    </w:p>
    <w:p>
      <w:pPr>
        <w:ind w:left="5120"/>
        <w:spacing w:after="0"/>
        <w:rPr>
          <w:sz w:val="20"/>
          <w:szCs w:val="20"/>
          <w:color w:val="auto"/>
        </w:rPr>
      </w:pPr>
      <w:r>
        <w:rPr>
          <w:rFonts w:ascii="Arial" w:cs="Arial" w:eastAsia="Arial" w:hAnsi="Arial"/>
          <w:sz w:val="18"/>
          <w:szCs w:val="18"/>
          <w:color w:val="auto"/>
        </w:rPr>
        <w:t>(Principal Financial and Accounting Officer)</w:t>
      </w:r>
    </w:p>
    <w:p>
      <w:pPr>
        <w:spacing w:after="0" w:line="344" w:lineRule="exact"/>
        <w:rPr>
          <w:sz w:val="20"/>
          <w:szCs w:val="20"/>
          <w:color w:val="auto"/>
        </w:rPr>
      </w:pPr>
    </w:p>
    <w:p>
      <w:pPr>
        <w:ind w:right="80" w:firstLine="441"/>
        <w:spacing w:after="0" w:line="219" w:lineRule="auto"/>
        <w:rPr>
          <w:sz w:val="20"/>
          <w:szCs w:val="20"/>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331470</wp:posOffset>
            </wp:positionV>
            <wp:extent cx="605409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sectPr>
      <w:pgSz w:w="11900" w:h="16838" w:orient="portrait"/>
      <w:cols w:equalWidth="0" w:num="1">
        <w:col w:w="9460"/>
      </w:cols>
      <w:pgMar w:left="1220" w:top="10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A"/>
      <w:numFmt w:val="bullet"/>
      <w:start w:val="1"/>
    </w:lvl>
  </w:abstractNum>
  <w:abstractNum w:abstractNumId="3">
    <w:nsid w:val="41A7C4C9"/>
    <w:multiLevelType w:val="hybridMultilevel"/>
    <w:lvl w:ilvl="0">
      <w:lvlJc w:val="left"/>
      <w:lvlText w:val="%1."/>
      <w:numFmt w:val="decimal"/>
      <w:start w:val="10"/>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2019-12-28T12:57:43Z</dcterms:created>
  <dcterms:modified xsi:type="dcterms:W3CDTF">2019-12-28T12:57:43Z</dcterms:modified>
</cp:coreProperties>
</file>