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9"/>
        <w:spacing w:after="0" w:line="231" w:lineRule="auto"/>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line="225"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17"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77" w:lineRule="exact"/>
        <w:rPr>
          <w:sz w:val="24"/>
          <w:szCs w:val="24"/>
          <w:color w:val="auto"/>
        </w:rPr>
      </w:pPr>
    </w:p>
    <w:p>
      <w:pPr>
        <w:ind w:left="1800" w:hanging="267"/>
        <w:spacing w:after="0"/>
        <w:tabs>
          <w:tab w:leader="none" w:pos="1800" w:val="left"/>
        </w:tabs>
        <w:numPr>
          <w:ilvl w:val="0"/>
          <w:numId w:val="1"/>
        </w:numPr>
        <w:rPr>
          <w:rFonts w:ascii="Arial" w:cs="Arial" w:eastAsia="Arial" w:hAnsi="Arial"/>
          <w:sz w:val="18"/>
          <w:szCs w:val="18"/>
          <w:b w:val="1"/>
          <w:bCs w:val="1"/>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680" w:hanging="350"/>
        <w:spacing w:after="0"/>
        <w:tabs>
          <w:tab w:leader="none" w:pos="16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001-34899</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Pulse Biosciences,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040"/>
        <w:spacing w:after="0"/>
        <w:rPr>
          <w:sz w:val="20"/>
          <w:szCs w:val="20"/>
          <w:color w:val="auto"/>
        </w:rPr>
      </w:pPr>
      <w:r>
        <w:rPr>
          <w:rFonts w:ascii="Arial" w:cs="Arial" w:eastAsia="Arial" w:hAnsi="Arial"/>
          <w:sz w:val="14"/>
          <w:szCs w:val="14"/>
          <w:b w:val="1"/>
          <w:bCs w:val="1"/>
          <w:color w:val="auto"/>
        </w:rPr>
        <w:t>____________________________________________</w:t>
      </w:r>
    </w:p>
    <w:p>
      <w:pPr>
        <w:sectPr>
          <w:pgSz w:w="11900" w:h="16838" w:orient="portrait"/>
          <w:cols w:equalWidth="0" w:num="1">
            <w:col w:w="11240"/>
          </w:cols>
          <w:pgMar w:left="320" w:top="405" w:right="339" w:bottom="1440" w:gutter="0" w:footer="0" w:header="0"/>
        </w:sectPr>
      </w:pPr>
    </w:p>
    <w:p>
      <w:pPr>
        <w:spacing w:after="0" w:line="84"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46-5696597</w:t>
      </w:r>
    </w:p>
    <w:p>
      <w:pPr>
        <w:spacing w:after="0" w:line="18" w:lineRule="exact"/>
        <w:rPr>
          <w:sz w:val="24"/>
          <w:szCs w:val="24"/>
          <w:color w:val="auto"/>
        </w:rPr>
      </w:pPr>
    </w:p>
    <w:p>
      <w:pPr>
        <w:sectPr>
          <w:pgSz w:w="11900" w:h="16838" w:orient="portrait"/>
          <w:cols w:equalWidth="0" w:num="2">
            <w:col w:w="7280" w:space="720"/>
            <w:col w:w="3240"/>
          </w:cols>
          <w:pgMar w:left="320" w:top="405" w:right="339" w:bottom="1440" w:gutter="0" w:footer="0" w:header="0"/>
          <w:type w:val="continuous"/>
        </w:sectPr>
      </w:pPr>
    </w:p>
    <w:p>
      <w:pPr>
        <w:spacing w:after="0" w:line="11"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140" w:space="720"/>
            <w:col w:w="3380"/>
          </w:cols>
          <w:pgMar w:left="320" w:top="405" w:right="339" w:bottom="1440" w:gutter="0" w:footer="0" w:header="0"/>
          <w:type w:val="continuous"/>
        </w:sectPr>
      </w:pPr>
    </w:p>
    <w:p>
      <w:pPr>
        <w:jc w:val="center"/>
        <w:ind w:right="1860"/>
        <w:spacing w:after="0"/>
        <w:rPr>
          <w:sz w:val="20"/>
          <w:szCs w:val="20"/>
          <w:color w:val="auto"/>
        </w:rPr>
      </w:pPr>
      <w:r>
        <w:rPr>
          <w:rFonts w:ascii="Arial" w:cs="Arial" w:eastAsia="Arial" w:hAnsi="Arial"/>
          <w:sz w:val="16"/>
          <w:szCs w:val="16"/>
          <w:b w:val="1"/>
          <w:bCs w:val="1"/>
          <w:color w:val="auto"/>
        </w:rPr>
        <w:t>3957 Point Eden Way</w:t>
      </w:r>
    </w:p>
    <w:p>
      <w:pPr>
        <w:spacing w:after="0" w:line="2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Hayward, CA</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94545</w:t>
      </w:r>
    </w:p>
    <w:p>
      <w:pPr>
        <w:spacing w:after="0" w:line="49" w:lineRule="exact"/>
        <w:rPr>
          <w:sz w:val="24"/>
          <w:szCs w:val="24"/>
          <w:color w:val="auto"/>
        </w:rPr>
      </w:pPr>
    </w:p>
    <w:p>
      <w:pPr>
        <w:sectPr>
          <w:pgSz w:w="11900" w:h="16838" w:orient="portrait"/>
          <w:cols w:equalWidth="0" w:num="2">
            <w:col w:w="7480" w:space="720"/>
            <w:col w:w="3040"/>
          </w:cols>
          <w:pgMar w:left="320" w:top="405" w:right="33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71" w:lineRule="exact"/>
        <w:rPr>
          <w:sz w:val="24"/>
          <w:szCs w:val="24"/>
          <w:color w:val="auto"/>
        </w:rPr>
      </w:pPr>
    </w:p>
    <w:p>
      <w:pPr>
        <w:sectPr>
          <w:pgSz w:w="11900" w:h="16838" w:orient="portrait"/>
          <w:cols w:equalWidth="0" w:num="2">
            <w:col w:w="7380" w:space="720"/>
            <w:col w:w="3140"/>
          </w:cols>
          <w:pgMar w:left="320" w:top="405" w:right="339" w:bottom="1440" w:gutter="0" w:footer="0" w:header="0"/>
          <w:type w:val="continuous"/>
        </w:sectPr>
      </w:pPr>
    </w:p>
    <w:p>
      <w:pPr>
        <w:ind w:left="3560"/>
        <w:spacing w:after="0"/>
        <w:rPr>
          <w:sz w:val="20"/>
          <w:szCs w:val="20"/>
          <w:color w:val="auto"/>
        </w:rPr>
      </w:pPr>
      <w:r>
        <w:rPr>
          <w:rFonts w:ascii="Arial" w:cs="Arial" w:eastAsia="Arial" w:hAnsi="Arial"/>
          <w:sz w:val="12"/>
          <w:szCs w:val="12"/>
          <w:b w:val="1"/>
          <w:bCs w:val="1"/>
          <w:color w:val="auto"/>
        </w:rPr>
        <w:t>Registrant’s telephone number, including area code: (510) 906-4600</w:t>
      </w:r>
    </w:p>
    <w:p>
      <w:pPr>
        <w:spacing w:after="0" w:line="132"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405" w:right="339" w:bottom="1440" w:gutter="0" w:footer="0" w:header="0"/>
          <w:type w:val="continuous"/>
        </w:sectPr>
      </w:pPr>
    </w:p>
    <w:p>
      <w:pPr>
        <w:spacing w:after="0" w:line="177" w:lineRule="exact"/>
        <w:rPr>
          <w:sz w:val="24"/>
          <w:szCs w:val="24"/>
          <w:color w:val="auto"/>
        </w:rPr>
      </w:pPr>
    </w:p>
    <w:p>
      <w:pPr>
        <w:jc w:val="center"/>
        <w:ind w:right="560"/>
        <w:spacing w:after="0"/>
        <w:rPr>
          <w:sz w:val="20"/>
          <w:szCs w:val="20"/>
          <w:color w:val="auto"/>
        </w:rPr>
      </w:pPr>
      <w:r>
        <w:rPr>
          <w:rFonts w:ascii="Arial" w:cs="Arial" w:eastAsia="Arial" w:hAnsi="Arial"/>
          <w:sz w:val="14"/>
          <w:szCs w:val="14"/>
          <w:b w:val="1"/>
          <w:bCs w:val="1"/>
          <w:color w:val="auto"/>
        </w:rPr>
        <w:t>Title of Each Class</w:t>
      </w:r>
    </w:p>
    <w:p>
      <w:pPr>
        <w:spacing w:after="0" w:line="17" w:lineRule="exact"/>
        <w:rPr>
          <w:sz w:val="24"/>
          <w:szCs w:val="24"/>
          <w:color w:val="auto"/>
        </w:rPr>
      </w:pPr>
    </w:p>
    <w:p>
      <w:pPr>
        <w:jc w:val="center"/>
        <w:ind w:right="560"/>
        <w:spacing w:after="0"/>
        <w:rPr>
          <w:sz w:val="20"/>
          <w:szCs w:val="20"/>
          <w:color w:val="auto"/>
        </w:rPr>
      </w:pPr>
      <w:r>
        <w:rPr>
          <w:rFonts w:ascii="Arial" w:cs="Arial" w:eastAsia="Arial" w:hAnsi="Arial"/>
          <w:sz w:val="12"/>
          <w:szCs w:val="12"/>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Trading Symbol(s)</w:t>
      </w:r>
    </w:p>
    <w:p>
      <w:pPr>
        <w:spacing w:after="0" w:line="40"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PLSE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46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0"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4320" w:space="720"/>
            <w:col w:w="2200" w:space="720"/>
            <w:col w:w="3280"/>
          </w:cols>
          <w:pgMar w:left="320" w:top="405" w:right="339" w:bottom="1440" w:gutter="0" w:footer="0" w:header="0"/>
          <w:type w:val="continuous"/>
        </w:sectPr>
      </w:pP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ectPr>
          <w:pgSz w:w="11900" w:h="16838" w:orient="portrait"/>
          <w:cols w:equalWidth="0" w:num="1">
            <w:col w:w="11240"/>
          </w:cols>
          <w:pgMar w:left="320" w:top="405" w:right="339" w:bottom="1440" w:gutter="0" w:footer="0" w:header="0"/>
          <w:type w:val="continuous"/>
        </w:sectPr>
      </w:pPr>
    </w:p>
    <w:p>
      <w:pPr>
        <w:spacing w:after="0" w:line="9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55" w:lineRule="exact"/>
        <w:rPr>
          <w:sz w:val="24"/>
          <w:szCs w:val="24"/>
          <w:color w:val="auto"/>
        </w:rPr>
      </w:pPr>
    </w:p>
    <w:p>
      <w:pPr>
        <w:sectPr>
          <w:pgSz w:w="11900" w:h="16838" w:orient="portrait"/>
          <w:cols w:equalWidth="0" w:num="3">
            <w:col w:w="6760" w:space="180"/>
            <w:col w:w="380" w:space="100"/>
            <w:col w:w="3820"/>
          </w:cols>
          <w:pgMar w:left="320" w:top="405" w:right="3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94" w:lineRule="exact"/>
        <w:rPr>
          <w:sz w:val="24"/>
          <w:szCs w:val="24"/>
          <w:color w:val="auto"/>
        </w:rPr>
      </w:pPr>
    </w:p>
    <w:p>
      <w:pPr>
        <w:sectPr>
          <w:pgSz w:w="11900" w:h="16838" w:orient="portrait"/>
          <w:cols w:equalWidth="0" w:num="3">
            <w:col w:w="6420" w:space="180"/>
            <w:col w:w="380" w:space="120"/>
            <w:col w:w="4140"/>
          </w:cols>
          <w:pgMar w:left="320" w:top="405" w:right="339" w:bottom="1440" w:gutter="0" w:footer="0" w:header="0"/>
          <w:type w:val="continuous"/>
        </w:sectPr>
      </w:pPr>
    </w:p>
    <w:p>
      <w:pPr>
        <w:jc w:val="both"/>
        <w:ind w:right="2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32"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40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0"/>
        </w:trPr>
        <w:tc>
          <w:tcPr>
            <w:tcW w:w="2120" w:type="dxa"/>
            <w:vAlign w:val="bottom"/>
          </w:tcPr>
          <w:p>
            <w:pPr>
              <w:spacing w:after="0" w:line="141" w:lineRule="exact"/>
              <w:rPr>
                <w:sz w:val="20"/>
                <w:szCs w:val="20"/>
                <w:color w:val="auto"/>
              </w:rPr>
            </w:pPr>
            <w:r>
              <w:rPr>
                <w:rFonts w:ascii="Arial" w:cs="Arial" w:eastAsia="Arial" w:hAnsi="Arial"/>
                <w:sz w:val="14"/>
                <w:szCs w:val="14"/>
                <w:color w:val="auto"/>
              </w:rPr>
              <w:t>Non-accelerated filer</w:t>
            </w:r>
          </w:p>
        </w:tc>
        <w:tc>
          <w:tcPr>
            <w:tcW w:w="3320" w:type="dxa"/>
            <w:vAlign w:val="bottom"/>
          </w:tcPr>
          <w:p>
            <w:pPr>
              <w:ind w:left="800"/>
              <w:spacing w:after="0" w:line="141" w:lineRule="exact"/>
              <w:rPr>
                <w:sz w:val="20"/>
                <w:szCs w:val="20"/>
                <w:color w:val="auto"/>
              </w:rPr>
            </w:pPr>
            <w:r>
              <w:rPr>
                <w:rFonts w:ascii="Arial" w:cs="Arial" w:eastAsia="Arial" w:hAnsi="Arial"/>
                <w:sz w:val="14"/>
                <w:szCs w:val="14"/>
                <w:color w:val="auto"/>
              </w:rPr>
              <w:t>x</w:t>
            </w:r>
          </w:p>
        </w:tc>
        <w:tc>
          <w:tcPr>
            <w:tcW w:w="4760" w:type="dxa"/>
            <w:vAlign w:val="bottom"/>
          </w:tcPr>
          <w:p>
            <w:pPr>
              <w:ind w:left="2400"/>
              <w:spacing w:after="0" w:line="141" w:lineRule="exact"/>
              <w:rPr>
                <w:sz w:val="20"/>
                <w:szCs w:val="20"/>
                <w:color w:val="auto"/>
              </w:rPr>
            </w:pPr>
            <w:r>
              <w:rPr>
                <w:rFonts w:ascii="Arial" w:cs="Arial" w:eastAsia="Arial" w:hAnsi="Arial"/>
                <w:sz w:val="14"/>
                <w:szCs w:val="14"/>
                <w:color w:val="auto"/>
              </w:rPr>
              <w:t>Smaller reporting company</w:t>
            </w:r>
          </w:p>
        </w:tc>
        <w:tc>
          <w:tcPr>
            <w:tcW w:w="920" w:type="dxa"/>
            <w:vAlign w:val="bottom"/>
          </w:tcPr>
          <w:p>
            <w:pPr>
              <w:ind w:left="780"/>
              <w:spacing w:after="0" w:line="141" w:lineRule="exact"/>
              <w:rPr>
                <w:sz w:val="20"/>
                <w:szCs w:val="20"/>
                <w:color w:val="auto"/>
              </w:rPr>
            </w:pPr>
            <w:r>
              <w:rPr>
                <w:rFonts w:ascii="Arial" w:cs="Arial" w:eastAsia="Arial" w:hAnsi="Arial"/>
                <w:sz w:val="14"/>
                <w:szCs w:val="14"/>
                <w:color w:val="auto"/>
              </w:rPr>
              <w:t>x</w:t>
            </w:r>
          </w:p>
        </w:tc>
      </w:tr>
      <w:tr>
        <w:trPr>
          <w:trHeight w:val="226"/>
        </w:trPr>
        <w:tc>
          <w:tcPr>
            <w:tcW w:w="2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760" w:type="dxa"/>
            <w:vAlign w:val="bottom"/>
          </w:tcPr>
          <w:p>
            <w:pPr>
              <w:ind w:left="240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6" w:lineRule="exact"/>
        <w:rPr>
          <w:sz w:val="24"/>
          <w:szCs w:val="24"/>
          <w:color w:val="auto"/>
        </w:rPr>
      </w:pPr>
    </w:p>
    <w:p>
      <w:pPr>
        <w:ind w:right="52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right="6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6700" w:val="left"/>
          <w:tab w:leader="none" w:pos="71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jc w:val="both"/>
        <w:spacing w:after="0" w:line="233" w:lineRule="auto"/>
        <w:rPr>
          <w:sz w:val="20"/>
          <w:szCs w:val="20"/>
          <w:color w:val="auto"/>
        </w:rPr>
      </w:pPr>
      <w:r>
        <w:rPr>
          <w:rFonts w:ascii="Arial" w:cs="Arial" w:eastAsia="Arial" w:hAnsi="Arial"/>
          <w:sz w:val="14"/>
          <w:szCs w:val="14"/>
          <w:color w:val="auto"/>
        </w:rPr>
        <w:t>Aggregate market value of registrant’s common stock held by non-affiliates of the registrant on June 30, 2021, the last business day of the registrant’s most recently completed second fiscal quarter, based upon the closing price of the registrant’s common stock on such date as reported by Nasdaq Capital Market, was approximately $178,622,994. Shares of voting stock held by each officer and director have been excluded in that such persons may be deemed to be affiliates. This assumption regarding affiliate status is not necessarily a conclusive determination for other purposes.</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outstanding of the registrant’s common stock as of March 25, 2022: 29,802,280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6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1.</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3">
              <w:r>
                <w:rPr>
                  <w:rFonts w:ascii="Arial" w:cs="Arial" w:eastAsia="Arial" w:hAnsi="Arial"/>
                  <w:sz w:val="18"/>
                  <w:szCs w:val="18"/>
                  <w:color w:val="0563C1"/>
                </w:rPr>
                <w:t>Business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1A.</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18">
              <w:r>
                <w:rPr>
                  <w:rFonts w:ascii="Arial" w:cs="Arial" w:eastAsia="Arial" w:hAnsi="Arial"/>
                  <w:sz w:val="18"/>
                  <w:szCs w:val="18"/>
                  <w:color w:val="0563C1"/>
                </w:rPr>
                <w:t>Risk Factors</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1B.</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50">
              <w:r>
                <w:rPr>
                  <w:rFonts w:ascii="Arial" w:cs="Arial" w:eastAsia="Arial" w:hAnsi="Arial"/>
                  <w:sz w:val="18"/>
                  <w:szCs w:val="18"/>
                  <w:color w:val="0563C1"/>
                </w:rPr>
                <w:t>Unresolved Staff Comments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2.</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51">
              <w:r>
                <w:rPr>
                  <w:rFonts w:ascii="Arial" w:cs="Arial" w:eastAsia="Arial" w:hAnsi="Arial"/>
                  <w:sz w:val="18"/>
                  <w:szCs w:val="18"/>
                  <w:color w:val="0563C1"/>
                </w:rPr>
                <w:t>Properties</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3.</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51">
              <w:r>
                <w:rPr>
                  <w:rFonts w:ascii="Arial" w:cs="Arial" w:eastAsia="Arial" w:hAnsi="Arial"/>
                  <w:sz w:val="18"/>
                  <w:szCs w:val="18"/>
                  <w:color w:val="0563C1"/>
                </w:rPr>
                <w:t>Legal Proceedings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4.</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51">
              <w:r>
                <w:rPr>
                  <w:rFonts w:ascii="Arial" w:cs="Arial" w:eastAsia="Arial" w:hAnsi="Arial"/>
                  <w:sz w:val="18"/>
                  <w:szCs w:val="18"/>
                  <w:color w:val="0563C1"/>
                </w:rPr>
                <w:t>Mine Safety Disclosures</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4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200" w:type="dxa"/>
            <w:vAlign w:val="bottom"/>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5.</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52">
              <w:r>
                <w:rPr>
                  <w:rFonts w:ascii="Arial" w:cs="Arial" w:eastAsia="Arial" w:hAnsi="Arial"/>
                  <w:sz w:val="18"/>
                  <w:szCs w:val="18"/>
                  <w:color w:val="0563C1"/>
                </w:rPr>
                <w:t>Market for Registrant’s Common Equity, Related Stockholder Matters and Issuer Purchases of Equity Securities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76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1040" w:type="dxa"/>
            <w:vAlign w:val="bottom"/>
            <w:tcBorders>
              <w:right w:val="single" w:sz="8" w:color="0563C1"/>
            </w:tcBorders>
            <w:shd w:val="clear" w:color="auto" w:fill="0563C1"/>
          </w:tcPr>
          <w:p>
            <w:pPr>
              <w:spacing w:after="0"/>
              <w:rPr>
                <w:sz w:val="2"/>
                <w:szCs w:val="2"/>
                <w:color w:val="auto"/>
              </w:rPr>
            </w:pPr>
          </w:p>
        </w:tc>
        <w:tc>
          <w:tcPr>
            <w:tcW w:w="800" w:type="dxa"/>
            <w:vAlign w:val="bottom"/>
            <w:shd w:val="clear" w:color="auto" w:fill="0563C1"/>
          </w:tcPr>
          <w:p>
            <w:pPr>
              <w:spacing w:after="0"/>
              <w:rPr>
                <w:sz w:val="2"/>
                <w:szCs w:val="2"/>
                <w:color w:val="auto"/>
              </w:rPr>
            </w:pPr>
          </w:p>
        </w:tc>
        <w:tc>
          <w:tcPr>
            <w:tcW w:w="780" w:type="dxa"/>
            <w:vAlign w:val="bottom"/>
            <w:shd w:val="clear" w:color="auto" w:fill="0563C1"/>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6.</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54">
              <w:r>
                <w:rPr>
                  <w:rFonts w:ascii="Arial" w:cs="Arial" w:eastAsia="Arial" w:hAnsi="Arial"/>
                  <w:sz w:val="18"/>
                  <w:szCs w:val="18"/>
                  <w:color w:val="0563C1"/>
                </w:rPr>
                <w:t>Selected Financial Data</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7.</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54">
              <w:r>
                <w:rPr>
                  <w:rFonts w:ascii="Arial" w:cs="Arial" w:eastAsia="Arial" w:hAnsi="Arial"/>
                  <w:sz w:val="18"/>
                  <w:szCs w:val="18"/>
                  <w:color w:val="0563C1"/>
                </w:rPr>
                <w:t>Management’s Discussion and Analysis of Financial Condition and Results of Operations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76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1040" w:type="dxa"/>
            <w:vAlign w:val="bottom"/>
            <w:tcBorders>
              <w:right w:val="single" w:sz="8" w:color="CCEEFF"/>
            </w:tcBorders>
            <w:shd w:val="clear" w:color="auto" w:fill="0563C1"/>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7A.</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63">
              <w:r>
                <w:rPr>
                  <w:rFonts w:ascii="Arial" w:cs="Arial" w:eastAsia="Arial" w:hAnsi="Arial"/>
                  <w:sz w:val="18"/>
                  <w:szCs w:val="18"/>
                  <w:color w:val="0563C1"/>
                </w:rPr>
                <w:t>Quantitative and Qualitative Disclosures about Market Risk</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76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8.</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64">
              <w:r>
                <w:rPr>
                  <w:rFonts w:ascii="Arial" w:cs="Arial" w:eastAsia="Arial" w:hAnsi="Arial"/>
                  <w:sz w:val="18"/>
                  <w:szCs w:val="18"/>
                  <w:color w:val="0563C1"/>
                </w:rPr>
                <w:t>Financial Statements and Supplementary Data</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9.</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93">
              <w:r>
                <w:rPr>
                  <w:rFonts w:ascii="Arial" w:cs="Arial" w:eastAsia="Arial" w:hAnsi="Arial"/>
                  <w:sz w:val="18"/>
                  <w:szCs w:val="18"/>
                  <w:color w:val="0563C1"/>
                </w:rPr>
                <w:t>Changes in and Disagreements with Accountants on Accounting and Financial Disclosure</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76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1040" w:type="dxa"/>
            <w:vAlign w:val="bottom"/>
            <w:tcBorders>
              <w:right w:val="single" w:sz="8" w:color="0563C1"/>
            </w:tcBorders>
            <w:shd w:val="clear" w:color="auto" w:fill="0563C1"/>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9A.</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93">
              <w:r>
                <w:rPr>
                  <w:rFonts w:ascii="Arial" w:cs="Arial" w:eastAsia="Arial" w:hAnsi="Arial"/>
                  <w:sz w:val="18"/>
                  <w:szCs w:val="18"/>
                  <w:color w:val="0563C1"/>
                </w:rPr>
                <w:t>Controls and Procedures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9B.</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93">
              <w:r>
                <w:rPr>
                  <w:rFonts w:ascii="Arial" w:cs="Arial" w:eastAsia="Arial" w:hAnsi="Arial"/>
                  <w:sz w:val="18"/>
                  <w:szCs w:val="18"/>
                  <w:color w:val="0563C1"/>
                </w:rPr>
                <w:t>Other Information</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9C.</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94">
              <w:r>
                <w:rPr>
                  <w:rFonts w:ascii="Arial" w:cs="Arial" w:eastAsia="Arial" w:hAnsi="Arial"/>
                  <w:sz w:val="18"/>
                  <w:szCs w:val="18"/>
                  <w:color w:val="0563C1"/>
                </w:rPr>
                <w:t>Disclosure Regarding Foreign Jurisdictions that Prevent Inspections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0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PART III</w:t>
            </w:r>
          </w:p>
        </w:tc>
        <w:tc>
          <w:tcPr>
            <w:tcW w:w="200" w:type="dxa"/>
            <w:vAlign w:val="bottom"/>
            <w:tcBorders>
              <w:top w:val="single" w:sz="8" w:color="CCEEFF"/>
            </w:tcBorders>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6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10.</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94">
              <w:r>
                <w:rPr>
                  <w:rFonts w:ascii="Arial" w:cs="Arial" w:eastAsia="Arial" w:hAnsi="Arial"/>
                  <w:sz w:val="18"/>
                  <w:szCs w:val="18"/>
                  <w:color w:val="0563C1"/>
                </w:rPr>
                <w:t>Directors, Executive Officers and Corporate Governance</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760" w:type="dxa"/>
            <w:vAlign w:val="bottom"/>
            <w:shd w:val="clear" w:color="auto" w:fill="0563C1"/>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11.</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94">
              <w:r>
                <w:rPr>
                  <w:rFonts w:ascii="Arial" w:cs="Arial" w:eastAsia="Arial" w:hAnsi="Arial"/>
                  <w:sz w:val="18"/>
                  <w:szCs w:val="18"/>
                  <w:color w:val="0563C1"/>
                </w:rPr>
                <w:t>Executive Compensation</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12.</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94">
              <w:r>
                <w:rPr>
                  <w:rFonts w:ascii="Arial" w:cs="Arial" w:eastAsia="Arial" w:hAnsi="Arial"/>
                  <w:sz w:val="18"/>
                  <w:szCs w:val="18"/>
                  <w:color w:val="0563C1"/>
                </w:rPr>
                <w:t>Security Ownership of Certain Beneficial Owners and Management and Related Stockholder Matters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76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1040" w:type="dxa"/>
            <w:vAlign w:val="bottom"/>
            <w:tcBorders>
              <w:right w:val="single" w:sz="8" w:color="0563C1"/>
            </w:tcBorders>
            <w:shd w:val="clear" w:color="auto" w:fill="0563C1"/>
          </w:tcPr>
          <w:p>
            <w:pPr>
              <w:spacing w:after="0"/>
              <w:rPr>
                <w:sz w:val="2"/>
                <w:szCs w:val="2"/>
                <w:color w:val="auto"/>
              </w:rPr>
            </w:pPr>
          </w:p>
        </w:tc>
        <w:tc>
          <w:tcPr>
            <w:tcW w:w="800" w:type="dxa"/>
            <w:vAlign w:val="bottom"/>
            <w:shd w:val="clear" w:color="auto" w:fill="0563C1"/>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13.</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94">
              <w:r>
                <w:rPr>
                  <w:rFonts w:ascii="Arial" w:cs="Arial" w:eastAsia="Arial" w:hAnsi="Arial"/>
                  <w:sz w:val="18"/>
                  <w:szCs w:val="18"/>
                  <w:color w:val="0563C1"/>
                </w:rPr>
                <w:t>Certain Relationships and Related Transactions, and Director Independence</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76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60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14.</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94">
              <w:r>
                <w:rPr>
                  <w:rFonts w:ascii="Arial" w:cs="Arial" w:eastAsia="Arial" w:hAnsi="Arial"/>
                  <w:sz w:val="18"/>
                  <w:szCs w:val="18"/>
                  <w:color w:val="0563C1"/>
                </w:rPr>
                <w:t>Principal Accounting Fees and Services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0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PART IV</w:t>
            </w:r>
          </w:p>
        </w:tc>
        <w:tc>
          <w:tcPr>
            <w:tcW w:w="200" w:type="dxa"/>
            <w:vAlign w:val="bottom"/>
            <w:tcBorders>
              <w:top w:val="single" w:sz="8" w:color="CCEEFF"/>
            </w:tcBorders>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60" w:type="dxa"/>
            <w:vAlign w:val="bottom"/>
            <w:tcBorders>
              <w:top w:val="single" w:sz="8" w:color="0563C1"/>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8"/>
                <w:szCs w:val="18"/>
                <w:color w:val="auto"/>
              </w:rPr>
              <w:t>Item 15.</w:t>
            </w:r>
          </w:p>
        </w:tc>
        <w:tc>
          <w:tcPr>
            <w:tcW w:w="9580" w:type="dxa"/>
            <w:vAlign w:val="bottom"/>
            <w:gridSpan w:val="19"/>
            <w:shd w:val="clear" w:color="auto" w:fill="CCEEFF"/>
          </w:tcPr>
          <w:p>
            <w:pPr>
              <w:ind w:left="200"/>
              <w:spacing w:after="0" w:line="162" w:lineRule="exact"/>
              <w:rPr>
                <w:rFonts w:ascii="Arial" w:cs="Arial" w:eastAsia="Arial" w:hAnsi="Arial"/>
                <w:sz w:val="18"/>
                <w:szCs w:val="18"/>
                <w:color w:val="0563C1"/>
              </w:rPr>
            </w:pPr>
            <w:hyperlink w:anchor="page95">
              <w:r>
                <w:rPr>
                  <w:rFonts w:ascii="Arial" w:cs="Arial" w:eastAsia="Arial" w:hAnsi="Arial"/>
                  <w:sz w:val="18"/>
                  <w:szCs w:val="18"/>
                  <w:color w:val="0563C1"/>
                </w:rPr>
                <w:t>Exhibits, Financial Statement Schedules</w:t>
              </w:r>
            </w:hyperlink>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20" w:type="dxa"/>
            <w:vAlign w:val="bottom"/>
            <w:tcBorders>
              <w:left w:val="single" w:sz="8" w:color="0563C1"/>
            </w:tcBorders>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100" w:type="dxa"/>
            <w:vAlign w:val="bottom"/>
            <w:tcBorders>
              <w:left w:val="single" w:sz="8" w:color="0563C1"/>
            </w:tcBorders>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860" w:type="dxa"/>
            <w:vAlign w:val="bottom"/>
            <w:tcBorders>
              <w:right w:val="single" w:sz="8" w:color="0563C1"/>
            </w:tcBorders>
            <w:shd w:val="clear" w:color="auto" w:fill="0563C1"/>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Item 16.</w:t>
            </w:r>
          </w:p>
        </w:tc>
        <w:tc>
          <w:tcPr>
            <w:tcW w:w="9580" w:type="dxa"/>
            <w:vAlign w:val="bottom"/>
            <w:gridSpan w:val="19"/>
          </w:tcPr>
          <w:p>
            <w:pPr>
              <w:ind w:left="200"/>
              <w:spacing w:after="0" w:line="162" w:lineRule="exact"/>
              <w:rPr>
                <w:rFonts w:ascii="Arial" w:cs="Arial" w:eastAsia="Arial" w:hAnsi="Arial"/>
                <w:sz w:val="18"/>
                <w:szCs w:val="18"/>
                <w:color w:val="0563C1"/>
              </w:rPr>
            </w:pPr>
            <w:hyperlink w:anchor="page98">
              <w:r>
                <w:rPr>
                  <w:rFonts w:ascii="Arial" w:cs="Arial" w:eastAsia="Arial" w:hAnsi="Arial"/>
                  <w:sz w:val="18"/>
                  <w:szCs w:val="18"/>
                  <w:color w:val="0563C1"/>
                </w:rPr>
                <w:t>Form 10-K Summary</w:t>
              </w:r>
            </w:hyperlink>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98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40" w:type="dxa"/>
            <w:vAlign w:val="bottom"/>
            <w:gridSpan w:val="2"/>
            <w:shd w:val="clear" w:color="auto" w:fill="CCEEFF"/>
          </w:tcPr>
          <w:p>
            <w:pPr>
              <w:spacing w:after="0" w:line="162" w:lineRule="exact"/>
              <w:rPr>
                <w:rFonts w:ascii="Arial" w:cs="Arial" w:eastAsia="Arial" w:hAnsi="Arial"/>
                <w:sz w:val="18"/>
                <w:szCs w:val="18"/>
                <w:color w:val="0563C1"/>
              </w:rPr>
            </w:pPr>
            <w:hyperlink w:anchor="page98">
              <w:r>
                <w:rPr>
                  <w:rFonts w:ascii="Arial" w:cs="Arial" w:eastAsia="Arial" w:hAnsi="Arial"/>
                  <w:sz w:val="18"/>
                  <w:szCs w:val="18"/>
                  <w:color w:val="0563C1"/>
                </w:rPr>
                <w:t>Signatures</w:t>
              </w:r>
            </w:hyperlink>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6"/>
          <w:szCs w:val="16"/>
          <w:color w:val="auto"/>
        </w:rPr>
        <w:t>“Pulse Biosciences,” the Pulse logos and other trademarks or service marks that we use in connection with the operation of our business appearing in this Annual Report, including CellFX, CellFX CloudConnect, CellFX Marketplace, Nano-pulse Stimulation, and NPS, are the property of Pulse</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 xml:space="preserve">Biosciences, Inc. Solely for your convenience, some of our trademarks and trade names referred to in this Annual Report are listed without the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symbols, but we will assert, to the fullest extent under applicable law, our rights to our trademarks and trade names. Also, this Annual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49"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75"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6"/>
          <w:szCs w:val="16"/>
          <w:color w:val="auto"/>
        </w:rPr>
        <w:t>This Annual Report on Form 10-K (“Annual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Annual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47"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Annual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Annual Report, actual results may differ from the projections.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Pulse Biosciences, Inc. is a novel bioelectric medicine company committed to health innovation using an entirely new and proprietary energy</w:t>
      </w:r>
    </w:p>
    <w:p>
      <w:pPr>
        <w:spacing w:after="0" w:line="3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modality. The Company’s CellFX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 is the first commercial product to harness the distinctive advantages of the Company’s proprietary Nano-Pulse Stimulation™ (“NPS”) technology. The CellFX System delivers nanosecond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CellFX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System</w:t>
      </w:r>
    </w:p>
    <w:p>
      <w:pPr>
        <w:spacing w:after="0" w:line="85"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We have begun commercializing our proprietary CellFX System into the large and growing dermatology procedure market as our first commercial market. Powered by NPS technology, the CellFX System delivers nano second duration pulses of electrical energy to non-thermally clear targeted cells while sparing adjacent non-cellular tissue. This non-thermal specificity for cellular targets is a significant differentiator for the CellFX System compared to other energy devices used in dermatology and other medical specialties, such as radiofrequency ablation. The Company has validated the cell-specific effects of NPS technology with a series of completed and ongoing clinical studies of cellular lesions, which are skin conditions characterized by abnormal or undesired cellular structures located on, or in, the non-cellular dermal collagen.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In February 2021, the Company received 510(k) clearance from the U.S. Food and Drug Administration (the “FDA”) for the CellFX System for dermatologic procedures requiring ablation and resurfacing of the skin. In January 2021, the Company received Conformité Européene (“CE”) marking approval for the CellFX System, which allows for marketing of the system in the European Union (“EU”); in June 2021, the Company received Health Canada approval for the CellFX System, which allows for marketing of the system in Canada; and in November 2021, the Company received approval for the CellFX System from the Therapeutic Goods Administration (“TGA”), and from the New Zealand Medicines and Medical Devices Safety Authority (“Medsafe”) which allows for marketing of the system in Australia and New Zealand. The CE mark, Health Canada, TGA, and Medsafe approvals allow for use of the CellFX System in dermatological procedures requiring ablation and resurfacing of the skin for the reduction, removal, and/or clearance of cellular-based benign lesions, including Sebaceous Hyperplasia (“SH”), Seborrheic Keratosis (“SK”), and cutaneous non-genital warts.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CellFX System is a tunable, software-enabled, console-based platform, designed to accommodate the clinical workflow preferred by physicians.</w:t>
      </w:r>
    </w:p>
    <w:p>
      <w:pPr>
        <w:spacing w:after="0" w:line="46"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The CellFX System currently includes a multi-use handpiece and a suite of single-patient use treatment tips ranging from 1.5mm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to 10mm</w:t>
      </w:r>
      <w:r>
        <w:rPr>
          <w:rFonts w:ascii="Arial" w:cs="Arial" w:eastAsia="Arial" w:hAnsi="Arial"/>
          <w:sz w:val="29"/>
          <w:szCs w:val="29"/>
          <w:color w:val="auto"/>
          <w:vertAlign w:val="superscript"/>
        </w:rPr>
        <w:t>2</w:t>
      </w:r>
      <w:r>
        <w:rPr>
          <w:rFonts w:ascii="Arial" w:cs="Arial" w:eastAsia="Arial" w:hAnsi="Arial"/>
          <w:sz w:val="18"/>
          <w:szCs w:val="18"/>
          <w:color w:val="auto"/>
        </w:rPr>
        <w:t>, enabling treatment of a variety of lesion sizes and depths. The treatment tips wirelessly connect to the CellFX System when plugged into the handpiece, allowing for the use of automated treatment settings based on the treatment tip used.</w:t>
      </w:r>
    </w:p>
    <w:p>
      <w:pPr>
        <w:spacing w:after="0" w:line="150"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6"/>
          <w:szCs w:val="16"/>
          <w:color w:val="auto"/>
        </w:rPr>
        <w:t>We have also designed an integrated cloud software infrastructure called CellFX CloudConnect™ to enable our innovative utilization-based business model to help align the interests of patients, practices, and the Company. CellFX CloudConnect makes possible the wireless connectivity between the physician’s CellFX System, our e-commerce customer portal (“CellFX Marketplace”), practice management tools to track utilization data and other metrics, and our internal customer relationship management and enterprise resource planning software systems. CellFX CloudConnect also facilitates direct connectivity to the CellFX System to enable remote software updates, service, and maintenance functions. Because of this ability to streamline, be responsive, and reduce disruption to the clinician workflow, CellFX CloudConnect allows us to provide active high-touch support.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Nano-Pulse Stimulation Technology Platform</w:t>
      </w:r>
    </w:p>
    <w:p>
      <w:pPr>
        <w:spacing w:after="0" w:line="175"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Our proprietary CellFX System leverages our patented NPS technology platform. NPS technology is characterized by nanosecond duration pulses of electrical energy, each less than a millionth of a second long. When applied to targeted tissue, our NPS technology sends energy pulses to cells in order to alter the function of the internal cellular organelles, including the mitochondria and endoplasmic reticulum, without disrupting extracellular tissue. We believe this leads to regulated cell death, a process exhibited naturally by cells in the human body when they undergo stress and are unable to restore cellular homeostasis.</w:t>
      </w:r>
    </w:p>
    <w:p>
      <w:pPr>
        <w:spacing w:after="0" w:line="151"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The CellFX System is designed to function on the basis of a unique non-thermal mechanism of action that likely results in a biophysical disruption brought about by the tunable speed and amplitude of our NPS pulses interacting with the physical structure of cells. While the CellFX System delivers pulses that directly affect the internal organelles of cells, these pulses do not have significant functional effect on non-cellular tissue, such as collagen, a protein that forms the structural foundation of the skin. In short, with our proprietary CellFX System, we can deliver a cell-focused effect that we believe leads to regulated cell death while preserving surrounding non-cellular tissue, a combination that may potentially lead to highly differentiated treatment applications.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Our objective is to advance our NPS technology platform into medical specialty areas where an optimal solution remains unfulfilled. We are in the business of commercializing novel, proprietary, and differentiated products that have the potential to significantly improve patient outcomes in the markets we serve, as well as those we intend to serve in the future. To achieve this plan, we intend to:</w:t>
      </w:r>
    </w:p>
    <w:p>
      <w:pPr>
        <w:spacing w:after="0" w:line="144"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b w:val="1"/>
          <w:bCs w:val="1"/>
          <w:color w:val="auto"/>
        </w:rPr>
        <w:t>Demonstrate the unique benefits of our proprietary CellFX System and its unique non-thermal mechanism of action across a number of compelling applications:</w:t>
      </w:r>
    </w:p>
    <w:p>
      <w:pPr>
        <w:spacing w:after="0" w:line="140" w:lineRule="exact"/>
        <w:rPr>
          <w:sz w:val="20"/>
          <w:szCs w:val="20"/>
          <w:color w:val="auto"/>
        </w:rPr>
      </w:pPr>
    </w:p>
    <w:p>
      <w:pPr>
        <w:jc w:val="both"/>
        <w:ind w:left="1300" w:hanging="320"/>
        <w:spacing w:after="0" w:line="245" w:lineRule="auto"/>
        <w:tabs>
          <w:tab w:leader="none" w:pos="130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The first introduction of the CellFX System focuses on serving dermatologists and other skin specialists as a new modality to address common benign skin conditions that are cellular in nature and often difficult to treat. We have conducted, and will continue to conduct, numerous clinical studies, including studies in SK, the most common benign raised pigmented lesion; SH, small skin-colored bumps, often oily in appearance and can appear in clusters; cutaneous non-genital warts; and back acne.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b w:val="1"/>
          <w:bCs w:val="1"/>
          <w:color w:val="auto"/>
        </w:rPr>
        <w:t>Continue commercialization efforts of our proprietary CellFX System and applications for its use across clinical indications already cleared or approved:</w:t>
      </w:r>
    </w:p>
    <w:p>
      <w:pPr>
        <w:spacing w:after="0" w:line="140" w:lineRule="exact"/>
        <w:rPr>
          <w:sz w:val="20"/>
          <w:szCs w:val="20"/>
          <w:color w:val="auto"/>
        </w:rPr>
      </w:pPr>
    </w:p>
    <w:p>
      <w:pPr>
        <w:jc w:val="both"/>
        <w:ind w:left="1300" w:hanging="320"/>
        <w:spacing w:after="0" w:line="222" w:lineRule="auto"/>
        <w:tabs>
          <w:tab w:leader="none" w:pos="13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 January 2021, the Company received CE marking approval for the CellFX System, which allows for marketing of the system in the European Union and, in June 2021, the Company received Health Canada approval for the CellFX System, which allows for marketing of the system in Canada. The CE mark and Health Canada approvals allow for indication of use of the CellFX System in dermatological procedures requiring ablation and resurfacing of the skin for the reduction, removal, and/or clearance of cellular-based benign lesions, including SH, SK, and cutaneous non-genital warts.</w:t>
      </w:r>
    </w:p>
    <w:p>
      <w:pPr>
        <w:spacing w:after="0" w:line="2" w:lineRule="exact"/>
        <w:rPr>
          <w:rFonts w:ascii="Courier New" w:cs="Courier New" w:eastAsia="Courier New" w:hAnsi="Courier New"/>
          <w:sz w:val="18"/>
          <w:szCs w:val="18"/>
          <w:color w:val="auto"/>
        </w:rPr>
      </w:pPr>
    </w:p>
    <w:p>
      <w:pPr>
        <w:ind w:left="1300" w:hanging="320"/>
        <w:spacing w:after="0" w:line="218" w:lineRule="auto"/>
        <w:tabs>
          <w:tab w:leader="none" w:pos="13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 February 2021, we received 510(k) clearance from the FDA for the CellFX System for general dermatologic procedures requiring ablation and resurfacing of the skin.</w:t>
      </w:r>
    </w:p>
    <w:p>
      <w:pPr>
        <w:spacing w:after="0" w:line="1" w:lineRule="exact"/>
        <w:rPr>
          <w:rFonts w:ascii="Courier New" w:cs="Courier New" w:eastAsia="Courier New" w:hAnsi="Courier New"/>
          <w:sz w:val="18"/>
          <w:szCs w:val="18"/>
          <w:color w:val="auto"/>
        </w:rPr>
      </w:pPr>
    </w:p>
    <w:p>
      <w:pPr>
        <w:ind w:left="1300" w:right="280" w:hanging="320"/>
        <w:spacing w:after="0" w:line="218" w:lineRule="auto"/>
        <w:tabs>
          <w:tab w:leader="none" w:pos="13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 November 2021, we received approval from Medsafe in Australia for indication of use of the CellFX System in dermatological procedures requiring ablation and resurfacing of the skin for the reduction, removal, and/or clearance of cellular-based benign lesions, including SH, SK, and cutaneous non-genital warts.</w:t>
      </w:r>
    </w:p>
    <w:p>
      <w:pPr>
        <w:spacing w:after="0" w:line="2" w:lineRule="exact"/>
        <w:rPr>
          <w:rFonts w:ascii="Courier New" w:cs="Courier New" w:eastAsia="Courier New" w:hAnsi="Courier New"/>
          <w:sz w:val="18"/>
          <w:szCs w:val="18"/>
          <w:color w:val="auto"/>
        </w:rPr>
      </w:pPr>
    </w:p>
    <w:p>
      <w:pPr>
        <w:jc w:val="both"/>
        <w:ind w:left="1300" w:hanging="320"/>
        <w:spacing w:after="0" w:line="218" w:lineRule="auto"/>
        <w:tabs>
          <w:tab w:leader="none" w:pos="13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 November 2021, we received approval from the TGA in Australia for indication of use of the CellFX System in dermatological procedures requiring ablation and resurfacing of the skin for the reduction, removal, and/or clearance of cellular-based benign lesions, including SH, SK, and cutaneous non-genital warts.</w:t>
      </w:r>
    </w:p>
    <w:p>
      <w:pPr>
        <w:spacing w:after="0" w:line="2" w:lineRule="exact"/>
        <w:rPr>
          <w:rFonts w:ascii="Courier New" w:cs="Courier New" w:eastAsia="Courier New" w:hAnsi="Courier New"/>
          <w:sz w:val="18"/>
          <w:szCs w:val="18"/>
          <w:color w:val="auto"/>
        </w:rPr>
      </w:pPr>
    </w:p>
    <w:p>
      <w:pPr>
        <w:ind w:left="1300" w:right="280" w:hanging="320"/>
        <w:spacing w:after="0" w:line="228" w:lineRule="auto"/>
        <w:tabs>
          <w:tab w:leader="none" w:pos="13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 December 2021, we received approval from the Health Sciences Authority in Singapore for indication of the CellFX System in dermatological procedures requiring ablation and resurfacing of the skin for the reduction, removal, and/or clearance of cellular-based benign lesions, such as non-genital cutaneous warts and plantar warts.</w:t>
      </w:r>
    </w:p>
    <w:p>
      <w:pPr>
        <w:spacing w:after="0" w:line="144" w:lineRule="exact"/>
        <w:rPr>
          <w:sz w:val="20"/>
          <w:szCs w:val="20"/>
          <w:color w:val="auto"/>
        </w:rPr>
      </w:pPr>
    </w:p>
    <w:p>
      <w:pPr>
        <w:ind w:left="660" w:right="200"/>
        <w:spacing w:after="0" w:line="250" w:lineRule="auto"/>
        <w:rPr>
          <w:sz w:val="20"/>
          <w:szCs w:val="20"/>
          <w:color w:val="auto"/>
        </w:rPr>
      </w:pPr>
      <w:r>
        <w:rPr>
          <w:rFonts w:ascii="Arial" w:cs="Arial" w:eastAsia="Arial" w:hAnsi="Arial"/>
          <w:sz w:val="18"/>
          <w:szCs w:val="18"/>
          <w:b w:val="1"/>
          <w:bCs w:val="1"/>
          <w:color w:val="auto"/>
        </w:rPr>
        <w:t>Continue with our Controlled Launch and build a foundation of clinical and commercial advocacy among this group of clinics to propel the first wave of early adopters:</w:t>
      </w:r>
    </w:p>
    <w:p>
      <w:pPr>
        <w:spacing w:after="0" w:line="140" w:lineRule="exact"/>
        <w:rPr>
          <w:sz w:val="20"/>
          <w:szCs w:val="20"/>
          <w:color w:val="auto"/>
        </w:rPr>
      </w:pPr>
    </w:p>
    <w:p>
      <w:pPr>
        <w:jc w:val="both"/>
        <w:ind w:left="1300" w:hanging="320"/>
        <w:spacing w:after="0" w:line="223" w:lineRule="auto"/>
        <w:tabs>
          <w:tab w:leader="none" w:pos="13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 February 2021, we initiated controlled launch programs in the United States and the European Union and in June 2021 we initiated a controlled launch program in Canada (collectively, our “Controlled Launch”). We expect our Controlled Launch participants will influence the first wave of early adopters when it comes to their CellFX purchase decisions and integrating the CellFX into a successful aesthetic dermatology practice.</w:t>
      </w:r>
    </w:p>
    <w:p>
      <w:pPr>
        <w:spacing w:after="0" w:line="1" w:lineRule="exact"/>
        <w:rPr>
          <w:rFonts w:ascii="Courier New" w:cs="Courier New" w:eastAsia="Courier New" w:hAnsi="Courier New"/>
          <w:sz w:val="18"/>
          <w:szCs w:val="18"/>
          <w:color w:val="auto"/>
        </w:rPr>
      </w:pPr>
    </w:p>
    <w:p>
      <w:pPr>
        <w:ind w:left="1300" w:hanging="320"/>
        <w:spacing w:after="0" w:line="218" w:lineRule="auto"/>
        <w:tabs>
          <w:tab w:leader="none" w:pos="13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 the fourth quarter of 2021, we completed the first two commercial sales of the CellFX System.</w:t>
      </w:r>
    </w:p>
    <w:p>
      <w:pPr>
        <w:jc w:val="both"/>
        <w:ind w:left="1300" w:hanging="320"/>
        <w:spacing w:after="0" w:line="228" w:lineRule="auto"/>
        <w:tabs>
          <w:tab w:leader="none" w:pos="13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As of December 31, 2021, we onboarded a total of seventy CellFX Controlled Launch Program participants across the U.S., Europe, and Canada, completing program enrollment. As of December 31, 2021, twenty-nine Controlled Launch Program participants opted to purchase their CellFX System and six clinics opted out of the program.</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Expand utilization of the CellFX System with new applications and procedure optimization:</w:t>
      </w:r>
    </w:p>
    <w:p>
      <w:pPr>
        <w:spacing w:after="0" w:line="175" w:lineRule="exact"/>
        <w:rPr>
          <w:sz w:val="20"/>
          <w:szCs w:val="20"/>
          <w:color w:val="auto"/>
        </w:rPr>
      </w:pPr>
    </w:p>
    <w:p>
      <w:pPr>
        <w:jc w:val="both"/>
        <w:ind w:left="1300" w:hanging="320"/>
        <w:spacing w:after="0" w:line="235" w:lineRule="auto"/>
        <w:tabs>
          <w:tab w:leader="none" w:pos="1300" w:val="left"/>
        </w:tabs>
        <w:numPr>
          <w:ilvl w:val="0"/>
          <w:numId w:val="6"/>
        </w:numPr>
        <w:rPr>
          <w:rFonts w:ascii="Courier New" w:cs="Courier New" w:eastAsia="Courier New" w:hAnsi="Courier New"/>
          <w:sz w:val="17"/>
          <w:szCs w:val="17"/>
          <w:color w:val="auto"/>
        </w:rPr>
      </w:pPr>
      <w:r>
        <w:rPr>
          <w:rFonts w:ascii="Arial" w:cs="Arial" w:eastAsia="Arial" w:hAnsi="Arial"/>
          <w:sz w:val="17"/>
          <w:szCs w:val="17"/>
          <w:color w:val="auto"/>
        </w:rPr>
        <w:t>The sale of each CellFX System and the sale of cycle units required to operate the CellFX System are both revenue-generating events. The treatment of each lesion requires cycle units which the treating physicians will need to periodically replenish, creating additional revenue-generating events. Providing additional evidence and/or regulatory clearances for new clinical conditions is expected to increase the potential for physicians to increase their procedure volumes and associated procedure fees, which in turn should increase the number of cycle units purchased for the existing installed base and increase the likelihood that additional physicians will purchase a CellFX System based on its expanded utility and revenue-generating potential within their practice.</w:t>
      </w:r>
    </w:p>
    <w:p>
      <w:pPr>
        <w:jc w:val="both"/>
        <w:ind w:left="1300" w:hanging="320"/>
        <w:spacing w:after="0" w:line="239" w:lineRule="auto"/>
        <w:tabs>
          <w:tab w:leader="none" w:pos="1300" w:val="left"/>
        </w:tabs>
        <w:numPr>
          <w:ilvl w:val="0"/>
          <w:numId w:val="6"/>
        </w:numPr>
        <w:rPr>
          <w:rFonts w:ascii="Courier New" w:cs="Courier New" w:eastAsia="Courier New" w:hAnsi="Courier New"/>
          <w:sz w:val="17"/>
          <w:szCs w:val="17"/>
          <w:color w:val="auto"/>
        </w:rPr>
      </w:pPr>
      <w:r>
        <w:rPr>
          <w:rFonts w:ascii="Arial" w:cs="Arial" w:eastAsia="Arial" w:hAnsi="Arial"/>
          <w:sz w:val="17"/>
          <w:szCs w:val="17"/>
          <w:color w:val="auto"/>
        </w:rPr>
        <w:t>We expect to continue to conduct clinical studies and make regulatory submissions on an ongoing basis to broaden the approved uses of the CellFX System. Specific indication labeling will allow the Company to provide educational and promotional materials to our physician customers to enable them to promote specific applications to their patients. Based on the local regulations of each geographic market, the Company may also engage in cooperative marketing and advertising, under appropriate circumstances.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both"/>
        <w:ind w:left="1300" w:hanging="320"/>
        <w:spacing w:after="0" w:line="225" w:lineRule="auto"/>
        <w:tabs>
          <w:tab w:leader="none" w:pos="13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 December 2021, upon completion of all treatments in an investigational device exemption (“IDE”) pivotal comparison study to evaluate the treatment of SH using the CellFX System, we submitted a 510(k) to add the treatment of SH to the CellFX System’s indications for use in the United States. In February 2022, we received an Additional Information (“AI”) letter from the FDA in response to the 510(k) submitted. In the AI letter, the FDA stated it did not believe the Company provided sufficient clinical evidence at this time to support the expanded indication for use, and that the Company had not met the primary endpoints of the SH IDE study. The Company anticipates meeting with the FDA to discuss the contents of the AI letter and potential next steps, which may require additional clinical data and potentially a new 510(k) submission.</w:t>
      </w:r>
    </w:p>
    <w:p>
      <w:pPr>
        <w:spacing w:after="0" w:line="148"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b w:val="1"/>
          <w:bCs w:val="1"/>
          <w:color w:val="auto"/>
        </w:rPr>
        <w:t>Leverage the CellFX branding of cellular mechanism to drive expansion in dermatology and set the stage for future applications beyond dermatology:</w:t>
      </w:r>
    </w:p>
    <w:p>
      <w:pPr>
        <w:spacing w:after="0" w:line="140" w:lineRule="exact"/>
        <w:rPr>
          <w:sz w:val="20"/>
          <w:szCs w:val="20"/>
          <w:color w:val="auto"/>
        </w:rPr>
      </w:pPr>
    </w:p>
    <w:p>
      <w:pPr>
        <w:jc w:val="both"/>
        <w:ind w:left="1300" w:hanging="320"/>
        <w:spacing w:after="0" w:line="224" w:lineRule="auto"/>
        <w:tabs>
          <w:tab w:leader="none" w:pos="13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While we are prioritizing cash-pay applications in the immediate term, the Company intends to invest in continued research with non-melanoma skin cancer and other medical applications to expand users and usage. This includes evaluating reimbursement strategies and options for selected applications.</w:t>
      </w:r>
    </w:p>
    <w:p>
      <w:pPr>
        <w:spacing w:after="0" w:line="2" w:lineRule="exact"/>
        <w:rPr>
          <w:rFonts w:ascii="Courier New" w:cs="Courier New" w:eastAsia="Courier New" w:hAnsi="Courier New"/>
          <w:sz w:val="18"/>
          <w:szCs w:val="18"/>
          <w:color w:val="auto"/>
        </w:rPr>
      </w:pPr>
    </w:p>
    <w:p>
      <w:pPr>
        <w:ind w:left="1300" w:right="260" w:hanging="320"/>
        <w:spacing w:after="0" w:line="226" w:lineRule="auto"/>
        <w:tabs>
          <w:tab w:leader="none" w:pos="13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The significant investments in scientific and clinical programs in dermatology we have made over the last several years have given us unique insights and a deeper understanding of our cell-based, tissue-sparing platform technology that should inform and accelerate the use of NPS in other application areas within and outside of dermatology. This includes early pre-clinical work in areas such as otolaryngology, cardiology, and oncology.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Aesthetic Dermatology Procedure Market</w:t>
      </w:r>
    </w:p>
    <w:p>
      <w:pPr>
        <w:spacing w:after="0" w:line="175"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We believe the CellFX System has the potential to offer improved clinical outcomes for a broad range of dermatologic conditions and aesthetic skin applications for which targeted clearance of cellular lesions or structures is medically or cosmetically desirable. Current dermatology procedures to remove lesions or undesired skin tissue typically involve either excision (</w:t>
      </w:r>
      <w:r>
        <w:rPr>
          <w:rFonts w:ascii="Arial" w:cs="Arial" w:eastAsia="Arial" w:hAnsi="Arial"/>
          <w:sz w:val="18"/>
          <w:szCs w:val="18"/>
          <w:i w:val="1"/>
          <w:iCs w:val="1"/>
          <w:color w:val="auto"/>
        </w:rPr>
        <w:t>e.g.</w:t>
      </w:r>
      <w:r>
        <w:rPr>
          <w:rFonts w:ascii="Arial" w:cs="Arial" w:eastAsia="Arial" w:hAnsi="Arial"/>
          <w:sz w:val="18"/>
          <w:szCs w:val="18"/>
          <w:color w:val="auto"/>
        </w:rPr>
        <w:t>, surgery), the use of heat (</w:t>
      </w:r>
      <w:r>
        <w:rPr>
          <w:rFonts w:ascii="Arial" w:cs="Arial" w:eastAsia="Arial" w:hAnsi="Arial"/>
          <w:sz w:val="18"/>
          <w:szCs w:val="18"/>
          <w:i w:val="1"/>
          <w:iCs w:val="1"/>
          <w:color w:val="auto"/>
        </w:rPr>
        <w:t>e.g.</w:t>
      </w:r>
      <w:r>
        <w:rPr>
          <w:rFonts w:ascii="Arial" w:cs="Arial" w:eastAsia="Arial" w:hAnsi="Arial"/>
          <w:sz w:val="18"/>
          <w:szCs w:val="18"/>
          <w:color w:val="auto"/>
        </w:rPr>
        <w:t>, lasers or radiofrequency energy), or the use of cold (</w:t>
      </w:r>
      <w:r>
        <w:rPr>
          <w:rFonts w:ascii="Arial" w:cs="Arial" w:eastAsia="Arial" w:hAnsi="Arial"/>
          <w:sz w:val="18"/>
          <w:szCs w:val="18"/>
          <w:i w:val="1"/>
          <w:iCs w:val="1"/>
          <w:color w:val="auto"/>
        </w:rPr>
        <w:t>e.g.</w:t>
      </w:r>
      <w:r>
        <w:rPr>
          <w:rFonts w:ascii="Arial" w:cs="Arial" w:eastAsia="Arial" w:hAnsi="Arial"/>
          <w:sz w:val="18"/>
          <w:szCs w:val="18"/>
          <w:color w:val="auto"/>
        </w:rPr>
        <w:t>, cryoablation). The latter-mentioned thermal methods of tissue destruction affect both cellular and non-cellular tissue components indiscriminately, which can lead to collateral damage of the dermal foundation in the skin.</w:t>
      </w:r>
    </w:p>
    <w:p>
      <w:pPr>
        <w:spacing w:after="0" w:line="151"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Based on the ability of our NPS mechanism to clear cellular structures while sparing the structural foundation of the skin, we believe there is a significant opportunity for the CellFX System in the growing aesthetic and medical dermatology market. In the United States, according to the 2019 Survey on Dermatologic Procedures by the American Society for Dermatologic Surgery (“ASDS”), dermatologists performed nearly 14 million cosmetic and medically-necessary procedures, with 4.1 million cosmetic procedures performed using energy-based devices – an 18% increase from 2018 and a 106% increase from 2012. ASDS has also reported that consumers ranked their dermatologist as the #1 influencer of skin procedure decisions. We have worked closely with top KOLs in the aesthetic and medical dermatology field to identify those procedures and skin conditions in which the CellFX System and its unique NPS mechanism of action would offer a high value proposition.</w:t>
      </w:r>
    </w:p>
    <w:p>
      <w:pPr>
        <w:spacing w:after="0" w:line="149"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Regarding prevalence of our intended initial dermatologic applications (SH, SK, and cutaneous non-genital warts), based on third-party surveys conducted among aesthetic physicians, an average of 200 patients per month in both the United States and the European Union who visit aesthetic dermatology practices present with each of our initial dermatologic applications. Further, these surveys reported that patients place greater value on lesion removal procedures over other popular aesthetic procedures they currently receive and are willing to pay cash to treat multiple lesions in a single visit.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Aesthetic Dermatology Applications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Sebaceous Hyperplasia</w:t>
      </w:r>
    </w:p>
    <w:p>
      <w:pPr>
        <w:spacing w:after="0" w:line="171" w:lineRule="exact"/>
        <w:rPr>
          <w:sz w:val="20"/>
          <w:szCs w:val="20"/>
          <w:color w:val="auto"/>
        </w:rPr>
      </w:pPr>
    </w:p>
    <w:p>
      <w:pPr>
        <w:jc w:val="both"/>
        <w:ind w:firstLine="402"/>
        <w:spacing w:after="0" w:line="231" w:lineRule="auto"/>
        <w:rPr>
          <w:sz w:val="20"/>
          <w:szCs w:val="20"/>
          <w:color w:val="auto"/>
        </w:rPr>
      </w:pPr>
      <w:r>
        <w:rPr>
          <w:rFonts w:ascii="Arial" w:cs="Arial" w:eastAsia="Arial" w:hAnsi="Arial"/>
          <w:sz w:val="18"/>
          <w:szCs w:val="18"/>
          <w:color w:val="231F20"/>
        </w:rPr>
        <w:t>SH is a common benign condition of sebaceous glands in adults of middle age or older. SH occurs when the sebaceous glands become enlarged, creating small, shiny, yellowish lesions or bumps, usually 2-4 millimeters in diameter and typically on the face. In a 2019 marketing study conducted with U.S. dermatologists (n=304), physicians reported seeing on average 42 patients per week with SH, with 65% left untreated due to the lack of desirable outcomes with traditional treatment methods (</w:t>
      </w:r>
      <w:r>
        <w:rPr>
          <w:rFonts w:ascii="Arial" w:cs="Arial" w:eastAsia="Arial" w:hAnsi="Arial"/>
          <w:sz w:val="18"/>
          <w:szCs w:val="18"/>
          <w:i w:val="1"/>
          <w:iCs w:val="1"/>
          <w:color w:val="231F20"/>
        </w:rPr>
        <w:t>e.g.</w:t>
      </w:r>
      <w:r>
        <w:rPr>
          <w:rFonts w:ascii="Arial" w:cs="Arial" w:eastAsia="Arial" w:hAnsi="Arial"/>
          <w:sz w:val="18"/>
          <w:szCs w:val="18"/>
          <w:color w:val="231F20"/>
        </w:rPr>
        <w:t>, electrocautery).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02"/>
        <w:spacing w:after="0" w:line="235" w:lineRule="auto"/>
        <w:rPr>
          <w:sz w:val="20"/>
          <w:szCs w:val="20"/>
          <w:color w:val="auto"/>
        </w:rPr>
      </w:pPr>
      <w:r>
        <w:rPr>
          <w:rFonts w:ascii="Arial" w:cs="Arial" w:eastAsia="Arial" w:hAnsi="Arial"/>
          <w:sz w:val="18"/>
          <w:szCs w:val="18"/>
          <w:color w:val="231F20"/>
        </w:rPr>
        <w:t>Results from our clinical trials have demonstrated that NPS has a unique ability to clear cellular structures located within the dermis of the skin, such as enlarged sebaceous glands that cause SH, without damaging the dermal foundation, making it a potentially unique and highly effective treatment modality for SH lesions and similar targets residing deeper within the dermis of the skin.</w:t>
      </w:r>
    </w:p>
    <w:p>
      <w:pPr>
        <w:spacing w:after="0" w:line="148" w:lineRule="exact"/>
        <w:rPr>
          <w:sz w:val="20"/>
          <w:szCs w:val="20"/>
          <w:color w:val="auto"/>
        </w:rPr>
      </w:pPr>
    </w:p>
    <w:p>
      <w:pPr>
        <w:jc w:val="both"/>
        <w:ind w:firstLine="402"/>
        <w:spacing w:after="0" w:line="228" w:lineRule="auto"/>
        <w:rPr>
          <w:sz w:val="20"/>
          <w:szCs w:val="20"/>
          <w:color w:val="auto"/>
        </w:rPr>
      </w:pPr>
      <w:r>
        <w:rPr>
          <w:rFonts w:ascii="Arial" w:cs="Arial" w:eastAsia="Arial" w:hAnsi="Arial"/>
          <w:sz w:val="18"/>
          <w:szCs w:val="18"/>
          <w:color w:val="auto"/>
        </w:rPr>
        <w:t>In our multi-center clinical studies to date, we have treated more than 1,000 SH lesions in more than 260 patients. As studies are ongoing, results to date indicate that NPS technology is effective for the treatment of SH. Over 80% of treated SH lesions were rated clear or mostly clear by investigators at the 60-day post treatment follow-up evaluation. In our latest study in which we evaluated whether the use of lower energy settings would maintain efficacy, results demonstrated that lower NPS energy levels maintained high efficacy while improving overall cosmetic effects, as well as higher patient satisfaction, compared to our first studies.</w:t>
      </w:r>
    </w:p>
    <w:p>
      <w:pPr>
        <w:spacing w:after="0" w:line="151" w:lineRule="exact"/>
        <w:rPr>
          <w:sz w:val="20"/>
          <w:szCs w:val="20"/>
          <w:color w:val="auto"/>
        </w:rPr>
      </w:pPr>
    </w:p>
    <w:p>
      <w:pPr>
        <w:jc w:val="both"/>
        <w:ind w:firstLine="402"/>
        <w:spacing w:after="0"/>
        <w:rPr>
          <w:sz w:val="20"/>
          <w:szCs w:val="20"/>
          <w:color w:val="auto"/>
        </w:rPr>
      </w:pPr>
      <w:r>
        <w:rPr>
          <w:rFonts w:ascii="Arial" w:cs="Arial" w:eastAsia="Arial" w:hAnsi="Arial"/>
          <w:sz w:val="17"/>
          <w:szCs w:val="17"/>
          <w:color w:val="231F20"/>
        </w:rPr>
        <w:t xml:space="preserve">In January 2021, we completed all treatments in an IDE pivotal study to compare the safety and efficacy of the CellFX System to a comparator group, Electrodessication for the treatment of SH lesions. In December 2021, </w:t>
      </w:r>
      <w:r>
        <w:rPr>
          <w:rFonts w:ascii="Arial" w:cs="Arial" w:eastAsia="Arial" w:hAnsi="Arial"/>
          <w:sz w:val="17"/>
          <w:szCs w:val="17"/>
          <w:color w:val="000000"/>
        </w:rPr>
        <w:t>we submitted a 510(k) to add the treatment of SH to the CellFX System’s indications</w:t>
      </w:r>
      <w:r>
        <w:rPr>
          <w:rFonts w:ascii="Arial" w:cs="Arial" w:eastAsia="Arial" w:hAnsi="Arial"/>
          <w:sz w:val="17"/>
          <w:szCs w:val="17"/>
          <w:color w:val="231F20"/>
        </w:rPr>
        <w:t xml:space="preserve"> </w:t>
      </w:r>
      <w:r>
        <w:rPr>
          <w:rFonts w:ascii="Arial" w:cs="Arial" w:eastAsia="Arial" w:hAnsi="Arial"/>
          <w:sz w:val="17"/>
          <w:szCs w:val="17"/>
          <w:color w:val="000000"/>
        </w:rPr>
        <w:t>for use in the United States. In February 2022, we received an AI letter from the FDA in response to the 510(k) submitted. In the AI letter, the FDA stated it did not believe the Company provided sufficient clinical evidence at this time to support the expanded indication for use, and that the Company had not met the primary endpoints of the SH IDE study. The Company anticipates meeting with the FDA to discuss the contents of the AI letter and potential next steps, which may require additional clinical data and potentially a new 510(k) submission.</w:t>
      </w:r>
    </w:p>
    <w:p>
      <w:pPr>
        <w:spacing w:after="0" w:line="191" w:lineRule="exact"/>
        <w:rPr>
          <w:sz w:val="20"/>
          <w:szCs w:val="20"/>
          <w:color w:val="auto"/>
        </w:rPr>
      </w:pPr>
    </w:p>
    <w:p>
      <w:pPr>
        <w:jc w:val="both"/>
        <w:ind w:firstLine="402"/>
        <w:spacing w:after="0" w:line="231" w:lineRule="auto"/>
        <w:rPr>
          <w:sz w:val="20"/>
          <w:szCs w:val="20"/>
          <w:color w:val="auto"/>
        </w:rPr>
      </w:pPr>
      <w:r>
        <w:rPr>
          <w:rFonts w:ascii="Arial" w:cs="Arial" w:eastAsia="Arial" w:hAnsi="Arial"/>
          <w:sz w:val="18"/>
          <w:szCs w:val="18"/>
          <w:color w:val="231F20"/>
        </w:rPr>
        <w:t>Notwithstanding the AI letter and the FDA’s preliminary assessment, we believe that the successful treatment of SH lesions reflects a valuable commercial opportunity for the CellFX System in an area of unmet need and substantiates the unique ability of NPS pulses to penetrate the dermis and clear deeper cellular structures without damaging the surrounding dermis. In Europe, Canada, Australia, and New Zealand, the CellFX System is approved for the treatment of sebaceous hyperplasia, seborrheic keratosis and non-genital warts.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Seborrheic Keratosis</w:t>
      </w:r>
    </w:p>
    <w:p>
      <w:pPr>
        <w:spacing w:after="0" w:line="171" w:lineRule="exact"/>
        <w:rPr>
          <w:sz w:val="20"/>
          <w:szCs w:val="20"/>
          <w:color w:val="auto"/>
        </w:rPr>
      </w:pPr>
    </w:p>
    <w:p>
      <w:pPr>
        <w:jc w:val="both"/>
        <w:ind w:firstLine="402"/>
        <w:spacing w:after="0" w:line="246" w:lineRule="auto"/>
        <w:rPr>
          <w:sz w:val="20"/>
          <w:szCs w:val="20"/>
          <w:color w:val="auto"/>
        </w:rPr>
      </w:pPr>
      <w:r>
        <w:rPr>
          <w:rFonts w:ascii="Arial" w:cs="Arial" w:eastAsia="Arial" w:hAnsi="Arial"/>
          <w:sz w:val="17"/>
          <w:szCs w:val="17"/>
          <w:color w:val="231F20"/>
        </w:rPr>
        <w:t xml:space="preserve">SK is one of the most common non-cancerous skin growths in older adults. SK usually appear as a brown, black, or light tan growth on the face, chest, shoulders, or back and has a waxy, scaly, slightly elevated appearance. SK are normally painless, and patients often seek to have them removed if they become irritated by clothing or for cosmetic reasons. </w:t>
      </w:r>
      <w:r>
        <w:rPr>
          <w:rFonts w:ascii="Arial" w:cs="Arial" w:eastAsia="Arial" w:hAnsi="Arial"/>
          <w:sz w:val="17"/>
          <w:szCs w:val="17"/>
          <w:color w:val="000000"/>
        </w:rPr>
        <w:t>Based on 2019 marketing research, dermatologists in the United States report seeing 84 patients</w:t>
      </w:r>
      <w:r>
        <w:rPr>
          <w:rFonts w:ascii="Arial" w:cs="Arial" w:eastAsia="Arial" w:hAnsi="Arial"/>
          <w:sz w:val="17"/>
          <w:szCs w:val="17"/>
          <w:color w:val="231F20"/>
        </w:rPr>
        <w:t xml:space="preserve"> </w:t>
      </w:r>
      <w:r>
        <w:rPr>
          <w:rFonts w:ascii="Arial" w:cs="Arial" w:eastAsia="Arial" w:hAnsi="Arial"/>
          <w:sz w:val="17"/>
          <w:szCs w:val="17"/>
          <w:color w:val="000000"/>
        </w:rPr>
        <w:t>with SK each week, with 52% left untreated despite having available treatment options (</w:t>
      </w:r>
      <w:r>
        <w:rPr>
          <w:rFonts w:ascii="Arial" w:cs="Arial" w:eastAsia="Arial" w:hAnsi="Arial"/>
          <w:sz w:val="17"/>
          <w:szCs w:val="17"/>
          <w:i w:val="1"/>
          <w:iCs w:val="1"/>
          <w:color w:val="000000"/>
        </w:rPr>
        <w:t>e.g.</w:t>
      </w:r>
      <w:r>
        <w:rPr>
          <w:rFonts w:ascii="Arial" w:cs="Arial" w:eastAsia="Arial" w:hAnsi="Arial"/>
          <w:sz w:val="17"/>
          <w:szCs w:val="17"/>
          <w:color w:val="000000"/>
        </w:rPr>
        <w:t>, cryosurgery).</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7"/>
          <w:szCs w:val="17"/>
          <w:color w:val="231F20"/>
        </w:rPr>
        <w:t>During 2017 and 2018 we conducted a multi-center clinical study evaluating the safety and efficacy of NPS technology for the treatment of SK.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231F20"/>
        </w:rPr>
        <w:t>Results from our clinical study, including 58 patients and 174 treated SK lesions, indicate that a single NPS treatment is effective for the treatment of SK.</w:t>
      </w:r>
    </w:p>
    <w:p>
      <w:pPr>
        <w:spacing w:after="0" w:line="238" w:lineRule="auto"/>
        <w:rPr>
          <w:sz w:val="20"/>
          <w:szCs w:val="20"/>
          <w:color w:val="auto"/>
        </w:rPr>
      </w:pPr>
      <w:r>
        <w:rPr>
          <w:rFonts w:ascii="Arial" w:cs="Arial" w:eastAsia="Arial" w:hAnsi="Arial"/>
          <w:sz w:val="17"/>
          <w:szCs w:val="17"/>
          <w:color w:val="231F20"/>
        </w:rPr>
        <w:t>Eighty-two percent (82%) of treated SK lesions were rated clear or mostly clear by investigators at the 106-day post treatment follow-up evaluation.</w:t>
      </w:r>
    </w:p>
    <w:p>
      <w:pPr>
        <w:spacing w:after="0"/>
        <w:rPr>
          <w:sz w:val="20"/>
          <w:szCs w:val="20"/>
          <w:color w:val="auto"/>
        </w:rPr>
      </w:pPr>
      <w:r>
        <w:rPr>
          <w:rFonts w:ascii="Arial" w:cs="Arial" w:eastAsia="Arial" w:hAnsi="Arial"/>
          <w:sz w:val="18"/>
          <w:szCs w:val="18"/>
          <w:color w:val="231F20"/>
        </w:rPr>
        <w:t>Patients in the study rated 78% of treatment outcomes as satisfied or mostly satisfied.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Cutaneous, Non-Genital Warts</w:t>
      </w:r>
    </w:p>
    <w:p>
      <w:pPr>
        <w:spacing w:after="0" w:line="171" w:lineRule="exact"/>
        <w:rPr>
          <w:sz w:val="20"/>
          <w:szCs w:val="20"/>
          <w:color w:val="auto"/>
        </w:rPr>
      </w:pPr>
    </w:p>
    <w:p>
      <w:pPr>
        <w:jc w:val="both"/>
        <w:ind w:firstLine="402"/>
        <w:spacing w:after="0" w:line="246" w:lineRule="auto"/>
        <w:rPr>
          <w:sz w:val="20"/>
          <w:szCs w:val="20"/>
          <w:color w:val="auto"/>
        </w:rPr>
      </w:pPr>
      <w:r>
        <w:rPr>
          <w:rFonts w:ascii="Arial" w:cs="Arial" w:eastAsia="Arial" w:hAnsi="Arial"/>
          <w:sz w:val="17"/>
          <w:szCs w:val="17"/>
          <w:color w:val="auto"/>
        </w:rPr>
        <w:t>Non-genital warts are an extremely common benign skin disease caused by infection of epidermal cells with the human papillomavirus (“HPV”), resulting in cell proliferation and a thickened, warty papule on the skin. Common warts are most often seen on the hands and present as skin-colored papules with a rough scaly surface. Flat warts are most often seen on the backs of the hands and on the legs. They appear as slightly elevated small plaques that are skin-colored or light brown. Plantar warts occur on the soles of the feet and look like very thick callouses.</w:t>
      </w:r>
    </w:p>
    <w:p>
      <w:pPr>
        <w:spacing w:after="0" w:line="144" w:lineRule="exact"/>
        <w:rPr>
          <w:sz w:val="20"/>
          <w:szCs w:val="20"/>
          <w:color w:val="auto"/>
        </w:rPr>
      </w:pPr>
    </w:p>
    <w:p>
      <w:pPr>
        <w:jc w:val="both"/>
        <w:ind w:firstLine="402"/>
        <w:spacing w:after="0" w:line="228" w:lineRule="auto"/>
        <w:rPr>
          <w:sz w:val="20"/>
          <w:szCs w:val="20"/>
          <w:color w:val="auto"/>
        </w:rPr>
      </w:pPr>
      <w:r>
        <w:rPr>
          <w:rFonts w:ascii="Arial" w:cs="Arial" w:eastAsia="Arial" w:hAnsi="Arial"/>
          <w:sz w:val="18"/>
          <w:szCs w:val="18"/>
          <w:color w:val="auto"/>
        </w:rPr>
        <w:t>During 2020, we initiated a 62-patient, multi-center, clinical, pivotal study evaluating the safety and efficacy of the CellFX System for the treatment of non-genital cutaneous warts. Results from this study showed favorable outcomes of up to 75% clearance rate for warts on the hands, leg, knee, and neck, with rapid skin recovery and a low rate of residual skin effects. During 2021 we completed enrollment of 150 patients in an IDE pivotal comparison study to assess the treatment of cutaneous non-genital warts using the CellFX System. We are currently analyzing the study data and are anticipating a 510(k) submission during the second quarter of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Dermatology Application Feasibility Studies</w:t>
      </w:r>
    </w:p>
    <w:p>
      <w:pPr>
        <w:spacing w:after="0" w:line="171" w:lineRule="exact"/>
        <w:rPr>
          <w:sz w:val="20"/>
          <w:szCs w:val="20"/>
          <w:color w:val="auto"/>
        </w:rPr>
      </w:pPr>
    </w:p>
    <w:p>
      <w:pPr>
        <w:jc w:val="both"/>
        <w:ind w:right="20" w:firstLine="402"/>
        <w:spacing w:after="0" w:line="246" w:lineRule="auto"/>
        <w:rPr>
          <w:sz w:val="20"/>
          <w:szCs w:val="20"/>
          <w:color w:val="auto"/>
        </w:rPr>
      </w:pPr>
      <w:r>
        <w:rPr>
          <w:rFonts w:ascii="Arial" w:cs="Arial" w:eastAsia="Arial" w:hAnsi="Arial"/>
          <w:sz w:val="18"/>
          <w:szCs w:val="18"/>
          <w:color w:val="auto"/>
        </w:rPr>
        <w:t>We expect to conduct clinical studies on an ongoing basis to continue to evaluate clinical opportunities for, and demonstrate the value of, the CellFX System across a growing list of valuable indications, including: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Basal Cell Carcinoma</w:t>
      </w:r>
    </w:p>
    <w:p>
      <w:pPr>
        <w:spacing w:after="0" w:line="171" w:lineRule="exact"/>
        <w:rPr>
          <w:sz w:val="20"/>
          <w:szCs w:val="20"/>
          <w:color w:val="auto"/>
        </w:rPr>
      </w:pPr>
    </w:p>
    <w:p>
      <w:pPr>
        <w:jc w:val="both"/>
        <w:ind w:firstLine="402"/>
        <w:spacing w:after="0" w:line="261" w:lineRule="auto"/>
        <w:rPr>
          <w:sz w:val="20"/>
          <w:szCs w:val="20"/>
          <w:color w:val="auto"/>
        </w:rPr>
      </w:pPr>
      <w:r>
        <w:rPr>
          <w:rFonts w:ascii="Arial" w:cs="Arial" w:eastAsia="Arial" w:hAnsi="Arial"/>
          <w:sz w:val="16"/>
          <w:szCs w:val="16"/>
          <w:color w:val="auto"/>
        </w:rPr>
        <w:t>During 2021 we completed enrollment of 30 patients as part of an FDA Investigational Device Exemption (“IDE”) feasibility study to assess the treatment of Basal Cell Carcinoma (“BCC") using the CellFX System. BCC is the most frequently occurring form of cancer in the US, with an estimated 3.6 million diagnosed cases every year, according to the Skin Cancer Foundation. The current treatment of BCC is wide margin surgical excision, which can result in undesirable scarring. We believe that NPS technology and the CellFX System can be used to treat smaller BCC lesions with improved outcomes in cosmetically sensitive areas, such as on the face, and we believe that this new application would be beneficial to a large number of patients.</w:t>
      </w:r>
    </w:p>
    <w:p>
      <w:pPr>
        <w:spacing w:after="0" w:line="134" w:lineRule="exact"/>
        <w:rPr>
          <w:sz w:val="20"/>
          <w:szCs w:val="20"/>
          <w:color w:val="auto"/>
        </w:rPr>
      </w:pPr>
    </w:p>
    <w:p>
      <w:pPr>
        <w:jc w:val="both"/>
        <w:ind w:firstLine="402"/>
        <w:spacing w:after="0" w:line="228" w:lineRule="auto"/>
        <w:rPr>
          <w:sz w:val="20"/>
          <w:szCs w:val="20"/>
          <w:color w:val="auto"/>
        </w:rPr>
      </w:pPr>
      <w:r>
        <w:rPr>
          <w:rFonts w:ascii="Arial" w:cs="Arial" w:eastAsia="Arial" w:hAnsi="Arial"/>
          <w:sz w:val="18"/>
          <w:szCs w:val="18"/>
          <w:color w:val="auto"/>
        </w:rPr>
        <w:t>The objective of the feasibility study is to demonstrate that the CellFX System can safely be used to eliminate BCC lesions with a potentially superior cosmetic outcome when compared to wide margin excision. During the study, BCC lesions are treated with the CellFX System and approximately 60 days following the treatment, the treatment area is examined for the cosmetic outcome. The lesion is then be excised using the current standard of care wide margin excision procedure and analyzed by the study pathologist to determine whether there are any remaining basal cells present in the treatment area. This study has been completely enrolled and the data is being analyzed.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Dermatofibroma</w:t>
      </w:r>
    </w:p>
    <w:p>
      <w:pPr>
        <w:spacing w:after="0" w:line="171" w:lineRule="exact"/>
        <w:rPr>
          <w:sz w:val="20"/>
          <w:szCs w:val="20"/>
          <w:color w:val="auto"/>
        </w:rPr>
      </w:pPr>
    </w:p>
    <w:p>
      <w:pPr>
        <w:jc w:val="both"/>
        <w:ind w:firstLine="402"/>
        <w:spacing w:after="0" w:line="261" w:lineRule="auto"/>
        <w:rPr>
          <w:sz w:val="20"/>
          <w:szCs w:val="20"/>
          <w:color w:val="auto"/>
        </w:rPr>
      </w:pPr>
      <w:r>
        <w:rPr>
          <w:rFonts w:ascii="Arial" w:cs="Arial" w:eastAsia="Arial" w:hAnsi="Arial"/>
          <w:sz w:val="16"/>
          <w:szCs w:val="16"/>
          <w:color w:val="auto"/>
        </w:rPr>
        <w:t>Dermatofibroma are small, benign lesions typically found on the extremities, especially the lower legs. These persistent and sometimes painful growths are fairly common, with dermatologists reporting seeing as many as 30 patients presenting with them per week. However, the current treatment rate is low, due primarily to the lack of available treatments. The current standard of care, surgical excision, is used infrequently because it typically results in undesirable scaring. There are currently no energy-based devices that are regularly used to treat dermatofibroma and for this reason we believe this could potentially be a large market opportunity and a viable CellFX procedure performed with the currently available treatment tips.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Profile of Our NPS Technology Platform</w:t>
      </w:r>
    </w:p>
    <w:p>
      <w:pPr>
        <w:spacing w:after="0" w:line="171"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During the course of conducting human clinical studies in dermatology with the NPS platform to support an FDA filing at leading dermatology research centers across the United States, no serious adverse events have been reported and patient tolerance to the procedure has been high. A histological study of treated human tissue examined by experts in dermatopathology revealed a unique and consistent cell-specific non-thermal mechanism of action and a predictable healing response that spared non-cellular dermal tissue across a wide range of skin types and patient demographics.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75" w:lineRule="exact"/>
        <w:rPr>
          <w:sz w:val="20"/>
          <w:szCs w:val="20"/>
          <w:color w:val="auto"/>
        </w:rPr>
      </w:pPr>
    </w:p>
    <w:p>
      <w:pPr>
        <w:jc w:val="both"/>
        <w:ind w:firstLine="402"/>
        <w:spacing w:after="0" w:line="224" w:lineRule="auto"/>
        <w:rPr>
          <w:sz w:val="20"/>
          <w:szCs w:val="20"/>
          <w:color w:val="auto"/>
        </w:rPr>
      </w:pPr>
      <w:r>
        <w:rPr>
          <w:rFonts w:ascii="Arial" w:cs="Arial" w:eastAsia="Arial" w:hAnsi="Arial"/>
          <w:sz w:val="18"/>
          <w:szCs w:val="18"/>
          <w:color w:val="auto"/>
        </w:rPr>
        <w:t>To launch the CellFX System, we selected approximately 70 centers across the United States, Canada and the European Union to be the first physicians to receive the system in their respective markets and geographies through our Controlled Launch program. An objective of our ongoing Controlled Launch program has been to turn participating clinics into high utilization commercial customers that will serve as important reference clinics for future commercial customers. We initially expected clinics to complete the program requirements within three to five months. However, the average time for clinics that have completed the Controlled Launch program has been seven months. We continue to gain valuable information from the Controlled Launch process. While the real-world delivery of NPS technology through the CellFX System has proven to clear benign lesions in clinical studies, we have learned that the market development for benign lesions and the integration of this procedure into the practice workflow will require a higher touch model to generate the system utilization we are expecting. We now expect clinics to continue to move through the program throughout 2022, as they complete the program requirements.</w:t>
      </w:r>
    </w:p>
    <w:p>
      <w:pPr>
        <w:spacing w:after="0" w:line="151" w:lineRule="exact"/>
        <w:rPr>
          <w:sz w:val="20"/>
          <w:szCs w:val="20"/>
          <w:color w:val="auto"/>
        </w:rPr>
      </w:pPr>
    </w:p>
    <w:p>
      <w:pPr>
        <w:jc w:val="both"/>
        <w:ind w:firstLine="402"/>
        <w:spacing w:after="0" w:line="235" w:lineRule="auto"/>
        <w:rPr>
          <w:sz w:val="20"/>
          <w:szCs w:val="20"/>
          <w:color w:val="auto"/>
        </w:rPr>
      </w:pPr>
      <w:r>
        <w:rPr>
          <w:rFonts w:ascii="Arial" w:cs="Arial" w:eastAsia="Arial" w:hAnsi="Arial"/>
          <w:sz w:val="18"/>
          <w:szCs w:val="18"/>
          <w:color w:val="auto"/>
        </w:rPr>
        <w:t>We have deployed a sales and marketing team comprised of professionals with experience in delivering products and applications into the dermatology market and have long-standing relationships with the KOLs, clinics, and customers in this market. The field sales team has been converting Controlled Launch participants to purchases, as well as engaging in direct commercial sales of the CellFX System.</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02"/>
        <w:spacing w:after="0" w:line="237" w:lineRule="auto"/>
        <w:rPr>
          <w:sz w:val="20"/>
          <w:szCs w:val="20"/>
          <w:color w:val="auto"/>
        </w:rPr>
      </w:pPr>
      <w:r>
        <w:rPr>
          <w:rFonts w:ascii="Arial" w:cs="Arial" w:eastAsia="Arial" w:hAnsi="Arial"/>
          <w:sz w:val="17"/>
          <w:szCs w:val="17"/>
          <w:color w:val="auto"/>
        </w:rPr>
        <w:t>Controlled Launch participants that have opted to purchase the CellFX System for commercial use have performed CellFX procedures since becoming commercial users and, in the aggregate, have increased the number of treatment sessions per month. Currently, our commercial clinics are averaging ten patient treatment sessions per month with their CellFX System. Our goal for the end of 2022 is to increase utilization to forty patient treatment sessions per month at our current commercial clinics. To drive this increased utilization and emphasis on education, training and marketing at our current accounts, we have implemented changes to our commercial leadership, restructured our commercial field organization and modified our strategy in support of our utilization focus and reduced emphasis on new system sales in the near-term. In February 2022, we appointed Kevin Danahy as Chief Commercial Officer. Mr. Danahy has a proven track record of building exceptional commercial teams and implementing strategies to drive market penetration and significant growth with disruptive medical technologies across a variety of medical disciplines. Under Mr. Danahy’s leadership, the near-term focus of our commercial team’s efforts will be to increase utilization at our commercial clinics.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of Nano-Pulse Stimulation Technology Beyond Dermatology</w:t>
      </w:r>
    </w:p>
    <w:p>
      <w:pPr>
        <w:spacing w:after="0" w:line="175" w:lineRule="exact"/>
        <w:rPr>
          <w:sz w:val="20"/>
          <w:szCs w:val="20"/>
          <w:color w:val="auto"/>
        </w:rPr>
      </w:pPr>
    </w:p>
    <w:p>
      <w:pPr>
        <w:jc w:val="both"/>
        <w:ind w:firstLine="402"/>
        <w:spacing w:after="0" w:line="231" w:lineRule="auto"/>
        <w:rPr>
          <w:sz w:val="20"/>
          <w:szCs w:val="20"/>
          <w:color w:val="auto"/>
        </w:rPr>
      </w:pPr>
      <w:r>
        <w:rPr>
          <w:rFonts w:ascii="Arial" w:cs="Arial" w:eastAsia="Arial" w:hAnsi="Arial"/>
          <w:sz w:val="18"/>
          <w:szCs w:val="18"/>
          <w:color w:val="auto"/>
        </w:rPr>
        <w:t>We continue to invest in and investigate potential uses for our NPS technology outside of dermatology, and one of our directors, Mitch Levinson, joined the Company as our Chief Strategy Officer in August 2021 to lead these efforts. Mr. Levinson has over 30 years of experience developing and launching novel medical device technologies across multiple medical disciplines, including dermatology, wound care, surgery, diagnostics, patient monitoring, and digital health.</w:t>
      </w:r>
    </w:p>
    <w:p>
      <w:pPr>
        <w:spacing w:after="0" w:line="148" w:lineRule="exact"/>
        <w:rPr>
          <w:sz w:val="20"/>
          <w:szCs w:val="20"/>
          <w:color w:val="auto"/>
        </w:rPr>
      </w:pPr>
    </w:p>
    <w:p>
      <w:pPr>
        <w:jc w:val="both"/>
        <w:ind w:firstLine="402"/>
        <w:spacing w:after="0" w:line="228" w:lineRule="auto"/>
        <w:rPr>
          <w:sz w:val="20"/>
          <w:szCs w:val="20"/>
          <w:color w:val="auto"/>
        </w:rPr>
      </w:pPr>
      <w:r>
        <w:rPr>
          <w:rFonts w:ascii="Arial" w:cs="Arial" w:eastAsia="Arial" w:hAnsi="Arial"/>
          <w:sz w:val="18"/>
          <w:szCs w:val="18"/>
          <w:color w:val="auto"/>
        </w:rPr>
        <w:t>Some early research initiatives outside of dermatology have been encouraging. For example, preclinical data was recently presented on the use of NPS technology in the field of gastroenterology by Dr. Robert Ganz at the Annual Meeting of the American Foregut Society. Dr. Ganz is a key opinion leader in this field and one of the foremost experts on the treatment of Barrett’s esophagus using ablative technologies. Dr. Ganz’s presentation, entitled “Nano-Pulse Stimulation Technology is a Promising New Energy Modality for Barrett’s Esophagus,” showed the successful use of NPS technology in an animal model of Barrett’s Esophagus.</w:t>
      </w:r>
    </w:p>
    <w:p>
      <w:pPr>
        <w:spacing w:after="0" w:line="151" w:lineRule="exact"/>
        <w:rPr>
          <w:sz w:val="20"/>
          <w:szCs w:val="20"/>
          <w:color w:val="auto"/>
        </w:rPr>
      </w:pPr>
    </w:p>
    <w:p>
      <w:pPr>
        <w:jc w:val="both"/>
        <w:ind w:firstLine="402"/>
        <w:spacing w:after="0" w:line="255" w:lineRule="auto"/>
        <w:rPr>
          <w:sz w:val="20"/>
          <w:szCs w:val="20"/>
          <w:color w:val="auto"/>
        </w:rPr>
      </w:pPr>
      <w:r>
        <w:rPr>
          <w:rFonts w:ascii="Arial" w:cs="Arial" w:eastAsia="Arial" w:hAnsi="Arial"/>
          <w:sz w:val="16"/>
          <w:szCs w:val="16"/>
          <w:color w:val="auto"/>
        </w:rPr>
        <w:t>Barrett’s esophagus is a complication of gastroesophageal reflux disease, or GERD, faced by approximately 10% of people with chronic GERD symptoms, in which the tissue lining the esophagus becomes dysplastic or precancerous as a result of the damage caused by the chronic acid reflux. The dysplastic cells are associated with an increased risk of esophageal cancer, and for this reason they are typically removed or destroyed using thermal energy modalities. The porcine study presented by Dr. Ganz demonstrated that the CellFX System using our novel and proprietary esophageal applicator can remove the esophageal epithelium and submucosal glands without causing significant fibrosis or evidence of stricture, which suggests that NPS technology may provide unique safety and efficacy benefits for the treatment of Barrett's esophagus over currently used thermal ablative technologies that can sometimes lead to adverse outcomes such as esophageal stricture, scarring, pain, and retreatment. Importantly, this evidence also demonstrates that the proven mechanism of action of NPS in skin can be applicable to other tissues of similar architecture, such as in the esophagus.</w:t>
      </w:r>
    </w:p>
    <w:p>
      <w:pPr>
        <w:spacing w:after="0" w:line="137" w:lineRule="exact"/>
        <w:rPr>
          <w:sz w:val="20"/>
          <w:szCs w:val="20"/>
          <w:color w:val="auto"/>
        </w:rPr>
      </w:pPr>
    </w:p>
    <w:p>
      <w:pPr>
        <w:jc w:val="both"/>
        <w:ind w:firstLine="402"/>
        <w:spacing w:after="0" w:line="235" w:lineRule="auto"/>
        <w:rPr>
          <w:sz w:val="20"/>
          <w:szCs w:val="20"/>
          <w:color w:val="auto"/>
        </w:rPr>
      </w:pPr>
      <w:r>
        <w:rPr>
          <w:rFonts w:ascii="Arial" w:cs="Arial" w:eastAsia="Arial" w:hAnsi="Arial"/>
          <w:sz w:val="18"/>
          <w:szCs w:val="18"/>
          <w:color w:val="auto"/>
        </w:rPr>
        <w:t>This early preclinical work represents one of several potential new application areas for the CellFX platform and NPS technology outside of dermatology. However, while we believe there are exciting potential applications across many medical specialties for our NPS platform technology, we remain committed and focused on execution of our commercial launch in dermatology.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402"/>
        <w:spacing w:after="0" w:line="227" w:lineRule="auto"/>
        <w:rPr>
          <w:sz w:val="20"/>
          <w:szCs w:val="20"/>
          <w:color w:val="auto"/>
        </w:rPr>
      </w:pPr>
      <w:r>
        <w:rPr>
          <w:rFonts w:ascii="Arial" w:cs="Arial" w:eastAsia="Arial" w:hAnsi="Arial"/>
          <w:sz w:val="18"/>
          <w:szCs w:val="18"/>
          <w:color w:val="auto"/>
        </w:rPr>
        <w:t>We maintain a portfolio of intellectual property surrounding our CellFX System and our NPS technology platform. As a medical technology company our current patents and ongoing intellectual property development are, and will continue to be, a priority for our business. We believe our intellectual property is an important competitive advantage for us. We also rely on trade secrets, know-how, continuing technological innovations, and licensing opportunities to further develop, maintain, and strengthen our competitive position. We actively protect our intellectual property through a combination of patent registrations, trademarks, and copyright protections; confidentiality agreements with our employees, consultants, and other parties; and access control to sensitive information.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We own or have a license to 123 issued patents worldwide and have 105 patent applications pending worldwide, with the earliest expiration of a U.S.-issued licensed patent in 2024 and the latest in 2039. As in the past, we plan to continue to file new patent applications to protect our systems, algorithms, applicators, methods, and designs of our technologies and products as they evolve. Medical technologies such as ours may be utilized in many different applications and incorporate several patentable features, and our strategy will be to always strive to protect our products and technologies with multiple patents directed to the variety of features and applications, in order to establish a strong defense against competitors and such that an expiration of a single patent does not lessen our overall comprehensive coverage. We believe our NPS platform and current CellFX System are protected by several issued patents, as well as pending applications.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402"/>
        <w:spacing w:after="0" w:line="235" w:lineRule="auto"/>
        <w:rPr>
          <w:sz w:val="20"/>
          <w:szCs w:val="20"/>
          <w:color w:val="auto"/>
        </w:rPr>
      </w:pPr>
      <w:r>
        <w:rPr>
          <w:rFonts w:ascii="Arial" w:cs="Arial" w:eastAsia="Arial" w:hAnsi="Arial"/>
          <w:sz w:val="18"/>
          <w:szCs w:val="18"/>
          <w:color w:val="auto"/>
        </w:rPr>
        <w:t>Since inception, the majority of our business has focused on the development of the CellFX System and earlier clinical versions of the system, conducting clinical studies, including dermatology studies in SK, SH, warts, acne, moles (nevi), syringoma, and BCC, and pre-clinical and basic research into the unique mechanism of action of our NPS technology platform.</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2022, we have the following planned clinical studies:</w:t>
      </w:r>
    </w:p>
    <w:p>
      <w:pPr>
        <w:spacing w:after="0" w:line="19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 dermatofibroma and BCC</w:t>
      </w:r>
    </w:p>
    <w:p>
      <w:pPr>
        <w:ind w:left="1100"/>
        <w:spacing w:after="0" w:line="219" w:lineRule="auto"/>
        <w:rPr>
          <w:sz w:val="20"/>
          <w:szCs w:val="20"/>
          <w:color w:val="auto"/>
        </w:rPr>
      </w:pPr>
      <w:r>
        <w:rPr>
          <w:rFonts w:ascii="Arial" w:cs="Arial" w:eastAsia="Arial" w:hAnsi="Arial"/>
          <w:sz w:val="18"/>
          <w:szCs w:val="18"/>
          <w:color w:val="auto"/>
        </w:rPr>
        <w:t>Europe: dermatofibroma, moles (nevi), actinic keratosis, and BCC</w:t>
      </w:r>
    </w:p>
    <w:p>
      <w:pPr>
        <w:ind w:left="1100"/>
        <w:spacing w:after="0"/>
        <w:rPr>
          <w:sz w:val="20"/>
          <w:szCs w:val="20"/>
          <w:color w:val="auto"/>
        </w:rPr>
      </w:pPr>
      <w:r>
        <w:rPr>
          <w:rFonts w:ascii="Arial" w:cs="Arial" w:eastAsia="Arial" w:hAnsi="Arial"/>
          <w:sz w:val="18"/>
          <w:szCs w:val="18"/>
          <w:color w:val="auto"/>
        </w:rPr>
        <w:t>Canada: plantar warts</w:t>
      </w:r>
    </w:p>
    <w:p>
      <w:pPr>
        <w:spacing w:after="0" w:line="155"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The development of our proprietary CellFX System has involved a multi-disciplinary effort including; electrical, mechanical, biomedical, and software engineers to design and integrate the various elements of the CellFX System and its predecessors; clinical research specialists to plan and conduct clinical studies; and research scientists to assess and interpret the focal and systemic biological effects of our technology. We believe we can expand the potential of the CellFX System through ongoing innovation and additional clinical studies demonstrating safety and efficacy in additional dermatologic conditions and additional therapeutic areas.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The applications we intend to target are subject to intense competition from rapidly evolving companies and new scientific discoveries. We compete against well-established incumbent technologies offering products in oncology, dermatology and aesthetics, minimally invasive procedures, and veterinary applications. Given the broad scope of our technology, we face competition ranging from large manufacturers with multiple business lines to small companies with focused products, as well as providers of other medical therapies and therapeutics for conditions that our products are intended to treat. Some of these companies currently have greater financial, technical, research, and/or other resources than we do and have larger and more established manufacturing capabilities and marketing, sales, and support functions. Our future success will depend on our ability to establish and maintain a competitive position in current and future technologies. Our technology is unique and differentiated in that NPS technology can influence many cellular functions depending on the energy applied. When it is used to stimulate primarily regulated cell death, we believe it would be less traumatic to treated tissue and would result in less scarring or collateral damage to surrounding tissues.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CellFX System is a medical device subject to extensive and ongoing regulation by the FDA under the Federal Food, Drug, and Cosmetic Act and its implementing regulations, as well as other federal and state regulatory bodies in the U.S. The laws and regulations govern, among other things, product design and development, pre-clinical and clinical testing, manufacturing, packaging, labeling, storage, recordkeeping and reporting, clearance or approval, marketing, distribution, promotion, import and export, and post-marketing surveillance.</w:t>
      </w:r>
    </w:p>
    <w:p>
      <w:pPr>
        <w:spacing w:after="0" w:line="148"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7"/>
          <w:szCs w:val="17"/>
          <w:color w:val="auto"/>
        </w:rPr>
        <w:t>The FDA regulates the medical device market to ensure the safety and efficacy of these products. For medical devices that require pre-market review, the FDA allows for three clearance/approval pathways for a medical device to be commercialized: approval via a Pre-market Approval Application (“PMA”), clearance of a 510(k) submission, or submission of a de novo application. The FDA has established three different classes of medical devices, based on the level of risk associated with using a device and consequent degree of regulatory controls needed to govern its safety and efficacy, as well as the appropriate clearance/approval pathway needed to obtain authorization to legally market a medical device in the U.S.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Class I and Class II devices are considered low and moderate risk devices. Most Class I devices are exempt from premarket notification. Most Class</w:t>
      </w:r>
    </w:p>
    <w:p>
      <w:pPr>
        <w:spacing w:after="0" w:line="21" w:lineRule="exact"/>
        <w:rPr>
          <w:sz w:val="20"/>
          <w:szCs w:val="20"/>
          <w:color w:val="auto"/>
        </w:rPr>
      </w:pPr>
    </w:p>
    <w:p>
      <w:pPr>
        <w:jc w:val="both"/>
        <w:ind w:firstLine="8"/>
        <w:spacing w:after="0" w:line="234" w:lineRule="auto"/>
        <w:tabs>
          <w:tab w:leader="none" w:pos="172"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devices require 510(k) clearance from the FDA in order to be marketed in the U.S. A 510(k) Premarket Notification is a premarket submission made to the FDA to demonstrate that the device to be marketed is substantially equivalent to a legally marketed Class II device, or a predicate. Companies making a 510(k) submission must compare their 510(k)-candidate device to a predicate device and establish substantial equivalence to the satisfaction of FDA. A device previously cleared under 510(k) or a device approved through a de novo application can be used as a predicate device for later developed substantially equivalent medical devices. However, establishing substantial equivalence in a 510(k) submission requires the candidate device to have the same intended use and the same technological characteristics as a predicate device. The FDA has a 90-calendar day review goal from the date of receipt of the 510(k) to either authorize or decline commercial distribution of the device, but clearance generally takes longer than 90 days. During the review process, the FDA may also request additional information which extends the review process. If the FDA decides that the product is not substantially equivalent to a predicate device, a clearance will not be granted, and the device cannot be commercialized. If a 510(k) submission is rejected by FDA, the applicant may be required to seek premarket authorization through the de novo pathway or the premarket approval pathway, which are more costly and will generally take longer for FDA approval.</w:t>
      </w:r>
    </w:p>
    <w:p>
      <w:pPr>
        <w:spacing w:after="0" w:line="196"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6"/>
          <w:szCs w:val="16"/>
          <w:color w:val="auto"/>
        </w:rPr>
        <w:t>Medical devices regarded as the highest risk by the FDA are typically designated Class III and generally require the submission of a PMA application for approval. Class III devices generally include life-sustaining, life-supporting, or implantable devices or devices without a known predicate technology already approved by the FDA. A PMA application must be accompanied by substantial data that supports the reasonable safety and efficacy of the device, which includes the provision of pre-clinical, clinical, technical, manufacturing, and labeling information. After the FDA determines the application is sufficiently complete to commence a substantive review, it has 180 days to review the submission, but it can typically take longer (up to several years) as this regulatory body can request additional data, including clinical data or clarifications. The FDA may also impose additional regulatory scrutiny for a PMA, including the institution of an outside advisory committee (panel review) to assess the application or provide recommendations as to whether to approve the device. Although the FDA is not required to follow the recommendation of an advisory panel, it generally does. As part of the review, the FDA will also inspect the manufacturing operations of the Company requesting approval to verify compliance with Quality System regulations.</w:t>
      </w:r>
    </w:p>
    <w:p>
      <w:pPr>
        <w:spacing w:after="0" w:line="138"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efficacy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49"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After a device receives 510(k) clearance or PMA approval, any modification that could significantly affect its safety or effectiveness, or that would constitute a major change in its intended use, will require a new 510(k) clearance or PMA Supplemental approval. The FDA requires each manufacturer to make this determination initially, but the FDA can review any such decision and can disagree with a manufacturer’s determination. If the FDA disagrees with the determination not to seek a new 510(k) clearance or PMA Supplement, the FDA may retroactively require a new 510(k) clearance or PMA Supplements to be submitted. The FDA could also require a manufacturer to cease marketing and distribution and/or recall the modified device until clearance or approval is obtained. Also, in these circumstances, the manufacturer may be subject to significant regulatory fines, penalties, and possible warning letters.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Even after a device is placed on the market with FDA clearance or approval, numerous regulatory requirements continue to apply. These include:</w:t>
      </w:r>
    </w:p>
    <w:p>
      <w:pPr>
        <w:spacing w:after="0" w:line="194"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FDA’s Quality System Regulation (“QSR”) which requires manufacturers, including third-party manufacturers, to follow stringent design, testing, control, documentation, and other quality assurance procedures during all aspects of the manufacturing process;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labeling regulations and FDA and FTC prohibitions against the promotion of products for uncleared, unapproved, or off-label uses;</w:t>
      </w:r>
    </w:p>
    <w:p>
      <w:pPr>
        <w:spacing w:after="0" w:line="171" w:lineRule="exact"/>
        <w:rPr>
          <w:sz w:val="20"/>
          <w:szCs w:val="20"/>
          <w:color w:val="auto"/>
        </w:rPr>
      </w:pPr>
    </w:p>
    <w:p>
      <w:pPr>
        <w:ind w:left="660"/>
        <w:spacing w:after="0" w:line="307" w:lineRule="auto"/>
        <w:rPr>
          <w:sz w:val="20"/>
          <w:szCs w:val="20"/>
          <w:color w:val="auto"/>
        </w:rPr>
      </w:pPr>
      <w:r>
        <w:rPr>
          <w:rFonts w:ascii="Arial" w:cs="Arial" w:eastAsia="Arial" w:hAnsi="Arial"/>
          <w:sz w:val="16"/>
          <w:szCs w:val="16"/>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96"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post-market surveillance regulations, which apply when necessary to protect the public health or to provide additional safety and efficacy data for the device.</w:t>
      </w:r>
    </w:p>
    <w:p>
      <w:pPr>
        <w:spacing w:after="0" w:line="143"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The FDA has broad post-market and regulatory enforcement powers, and we must comply with the post-market surveillance regulations, including medical device reporting regulations. We are required to report to the FDA information if a device has, or may have, caused or contributed to a death or serious injury or has malfunctioned in a way that would likely cause or contribute to death or serious injury, if the malfunction of the device or one of our similar devices were to recur.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137" w:lineRule="exact"/>
        <w:rPr>
          <w:sz w:val="20"/>
          <w:szCs w:val="20"/>
          <w:color w:val="auto"/>
        </w:rPr>
      </w:pPr>
    </w:p>
    <w:p>
      <w:pPr>
        <w:jc w:val="both"/>
        <w:ind w:right="20" w:firstLine="440"/>
        <w:spacing w:after="0" w:line="274" w:lineRule="auto"/>
        <w:rPr>
          <w:sz w:val="20"/>
          <w:szCs w:val="20"/>
          <w:color w:val="auto"/>
        </w:rPr>
      </w:pPr>
      <w:r>
        <w:rPr>
          <w:rFonts w:ascii="Arial" w:cs="Arial" w:eastAsia="Arial" w:hAnsi="Arial"/>
          <w:sz w:val="17"/>
          <w:szCs w:val="17"/>
          <w:color w:val="auto"/>
        </w:rPr>
        <w:t>We may be subject to unannounced inspections by the FDA and the Food and Drug Branch of the California Department of Public Health to determine our compliance with the QSR and other regulations, and these inspections may include the manufacturing facilities of our suppliers.</w:t>
      </w:r>
    </w:p>
    <w:p>
      <w:pPr>
        <w:spacing w:after="0" w:line="12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Failure to comply with applicable regulatory requirements can result in enforcement action by FDA, which may include any of the following sanctions: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warning letters, fines, injunctions, consent decrees, and civil penalties;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repair, replacement, refunds, recall, or seizure of our products;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restrictions, partial suspension, or total shutdown of production;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withdrawing 510(k) clearance or premarket approval that has already been granted;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System for Medical Devices in Europe</w:t>
      </w:r>
    </w:p>
    <w:p>
      <w:pPr>
        <w:spacing w:after="0" w:line="17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The European Union (the “EU”) consists of 27-member states and has a coordinated system for the authorization of medical devices. Marketing medical devices in the EU is subject to compliance with the Medical Devices Directive 93/92/EEC (MDD) and the European Union Medical Device Regulation (2017/745 or EU MDR) following its entry into application on May 26, 2020. A medical device may be placed on the market within the EU only if it conforms to certain “essential requirements” and bears the CE Mark. The most fundamental and essential requirement is that a medical device must be designed and manufactured in such a way that it will not compromise the clinical condition or safety of patients, or the safety and health of users and others. In addition, the device must achieve the essential performance(s) intended by the manufacturer and be designed, manufactured, and packaged in a suitable manner.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Manufacturers must demonstrate that their devices conform to the relevant essential requirements through a conformity assessment procedure. The nature of the assessment depends upon the classification of the device. The classification rules are mainly based on three criteria: the length of time the device is in contact with the body, the degree of invasiveness, and the extent to which the device affects the anatomy. Conformity assessment procedures for all but the lowest risk classification of device involve a notified body. Notified bodies are often private entities and are authorized or licensed to perform such assessments by government authorities. Manufacturers usually have some flexibility to select a notified body for the conformity assessment procedures for a particular class of device and to reflect their circumstances, e.g., the likelihood that the manufacturer will make frequent modifications to its products.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Application of the CE Mark allows the general commercializing of a product in the EU. The product can also be subjected to local registration requirements depending on the country.</w:t>
      </w:r>
    </w:p>
    <w:p>
      <w:pPr>
        <w:spacing w:after="0" w:line="154"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color w:val="auto"/>
        </w:rPr>
        <w:t>The EU MDR, which repealed and replaced the MDD, entered into force on May 25, 2017 with a transition period extending until May 26, 2021. The EU MDR clearly envisages, among other things, stricter controls of medical devices, including strengthening of the conformity assessment procedures, increased expectations with respect to clinical data for devices, and pre-market regulatory review of high-risk devices. The EU MDR also envisages greater control over notified bodies and their standards, increased transparency, more robust device vigilance requirements, and clarification of the rules for clinical investigations. Under transitional provisions, medical devices with notified body certificates issued under the MDD prior to May 26, 2020, and which have not been significantly changed, may continue to be placed on the market for the remaining validity of the certificate, until May 27, 2024 at the latest. After the expiry of any applicable transitional period, only devices that have been CE marked under the EU MDR may be placed on the market in the EU.</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Insurance Portability and Accountability Act</w:t>
      </w:r>
    </w:p>
    <w:p>
      <w:pPr>
        <w:spacing w:after="0" w:line="171"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The Health Insurance Portability and Accountability Act of 1996 (“HIPAA”) impacts the transmission, maintenance, use, and disclosure of certain individually identifiable health information (referred to as protected health information, or “PHI”). Since HIPAA was enacted in 1996, numerous implementing regulations have been issued, including, but not limited to: (1) standards for the privacy of individually identifiable health information (the “Privacy Rule”), (2) standards to protect the confidentiality, integrity and security of electronic protected health information (the “Security Rule”),</w:t>
      </w:r>
    </w:p>
    <w:p>
      <w:pPr>
        <w:spacing w:after="0" w:line="3" w:lineRule="exact"/>
        <w:rPr>
          <w:sz w:val="20"/>
          <w:szCs w:val="20"/>
          <w:color w:val="auto"/>
        </w:rPr>
      </w:pPr>
    </w:p>
    <w:p>
      <w:pPr>
        <w:jc w:val="both"/>
        <w:ind w:firstLine="8"/>
        <w:spacing w:after="0" w:line="225" w:lineRule="auto"/>
        <w:tabs>
          <w:tab w:leader="none" w:pos="2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standards for electronic transactions, (4) a standard unique national provider identifier for providers and health plans, and (5) the HHS Breach Notification Rule. We refer to these rules, as well as similar state laws that may be applicable to our operations, as the HIPAA Rules. The U.S. Department of Health and Human Services (“HHS”) has also issued regulations governing the enforcement of the HIPAA Rules, the violation of which potentially includes significant criminal and civil penalties. Furthermore, many states have similar laws and regulations that may be applicable to our operations, including but not limited to state data security breach requirements.</w:t>
      </w:r>
    </w:p>
    <w:p>
      <w:pPr>
        <w:spacing w:after="0" w:line="148" w:lineRule="exact"/>
        <w:rPr>
          <w:sz w:val="20"/>
          <w:szCs w:val="20"/>
          <w:color w:val="auto"/>
        </w:rPr>
      </w:pPr>
    </w:p>
    <w:p>
      <w:pPr>
        <w:jc w:val="both"/>
        <w:ind w:firstLine="402"/>
        <w:spacing w:after="0" w:line="246" w:lineRule="auto"/>
        <w:rPr>
          <w:sz w:val="20"/>
          <w:szCs w:val="20"/>
          <w:color w:val="auto"/>
        </w:rPr>
      </w:pPr>
      <w:r>
        <w:rPr>
          <w:rFonts w:ascii="Arial" w:cs="Arial" w:eastAsia="Arial" w:hAnsi="Arial"/>
          <w:sz w:val="18"/>
          <w:szCs w:val="18"/>
          <w:color w:val="auto"/>
        </w:rPr>
        <w:t>The HIPAA Rules apply to “covered entities”, which includes healthcare providers who conduct certain transactions electronically, including but not limited to the electronic submission of health care claims to an insurance carrier.</w:t>
      </w:r>
    </w:p>
    <w:p>
      <w:pPr>
        <w:spacing w:after="0" w:line="143"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On February 17, 2009, Congress enacted Subtitle D of the Health Information Technology for Economic and Clinical Health Act (“HITECH”) provisions of the American Recovery and Reinvestment Act of 2009. This law includes strengthened federal privacy and security provisions to protect PHI, such as the notification requirements set forth in the Breach Notification Rule. On January 25, 2013, the Office for Civil Rights of the HHS published its final rule to modify the HIPAA Privacy, Security, Breach and Enforcement Rules, including most revisions/additions made by the HITECH. The rule became effective on March 23, 2013, and entities and business associates covered by the rule were required to comply with most of the applicable requirements by September 23, 2013.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In addition to the federal privacy regulations, there are a number of state laws regarding the privacy and security of health information and personal data that are applicable to clinical laboratories. The compliance requirements of these laws, including additional breach reporting requirements, and the penalties for violation vary widely and new privacy and security laws and regulations in this area are evolving and may be adopted in the future. We provide services to customers who are regulated entities under HIPAA and the HIPAA Rules, and we have taken steps to comply with health information privacy and security statutes and regulations in all jurisdictions, both state and federal, that apply to us. However, we may not be able to maintain compliance in all jurisdictions where we do business, and even if we are compliant, we may face allegations that we are not. Any actual or alleged failure to maintain compliance, or changes in state or federal laws regarding privacy or security, could result in regulatory investigations, enforcement actions, and civil and/or criminal penalties and could have a material adverse effect on our business.</w:t>
      </w:r>
    </w:p>
    <w:p>
      <w:pPr>
        <w:spacing w:after="0" w:line="150"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Foreign Fraud and Abuse Laws</w:t>
      </w:r>
    </w:p>
    <w:p>
      <w:pPr>
        <w:spacing w:after="0" w:line="171"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Because of the significant federal funding involved in Medicare and Medicaid, Congress and the states have enacted, and actively enforce, a number of laws to eliminate fraud and abuse in federal healthcare programs. Our business is subject to compliance with these laws. In March 2010, the Patient Protection and Affordable Care Act, as amended by the Healthcare and Education Affordability Reconciliation Act, which we refer to collectively as the Affordable Care Act, was enacted in the United States. The provisions of the Affordable Care Act are effective on various dates. The Affordable Care Act expands the government’s investigative and enforcement authority and increases the penalties for fraud and abuse, including amendments to both the Anti-Kickback Statute and the False Claims Act, to make it easier to bring suit under these statutes. The Affordable Care Act also allocates additional resources and tools for the government to police healthcare fraud, with expanded subpoena power for HHS, additional funding to investigate fraud and abuse across the healthcare system and expanded use of recovery audit contractors for enforcement.</w:t>
      </w:r>
    </w:p>
    <w:p>
      <w:pPr>
        <w:spacing w:after="0" w:line="150"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7"/>
          <w:szCs w:val="17"/>
          <w:i w:val="1"/>
          <w:iCs w:val="1"/>
          <w:color w:val="auto"/>
        </w:rPr>
        <w:t xml:space="preserve">Anti-Kickback Statutes. </w:t>
      </w:r>
      <w:r>
        <w:rPr>
          <w:rFonts w:ascii="Arial" w:cs="Arial" w:eastAsia="Arial" w:hAnsi="Arial"/>
          <w:sz w:val="17"/>
          <w:szCs w:val="17"/>
          <w:color w:val="auto"/>
        </w:rPr>
        <w:t>The federal healthcare programs’ Anti-Kickback Statute prohibits persons or entities from knowingly and willfully</w:t>
      </w:r>
      <w:r>
        <w:rPr>
          <w:rFonts w:ascii="Arial" w:cs="Arial" w:eastAsia="Arial" w:hAnsi="Arial"/>
          <w:sz w:val="17"/>
          <w:szCs w:val="17"/>
          <w:i w:val="1"/>
          <w:iCs w:val="1"/>
          <w:color w:val="auto"/>
        </w:rPr>
        <w:t xml:space="preserve"> </w:t>
      </w:r>
      <w:r>
        <w:rPr>
          <w:rFonts w:ascii="Arial" w:cs="Arial" w:eastAsia="Arial" w:hAnsi="Arial"/>
          <w:sz w:val="17"/>
          <w:szCs w:val="17"/>
          <w:color w:val="auto"/>
        </w:rPr>
        <w:t>soliciting, offering, receiving, or providing remuneration, directly or indirectly, in exchange for or to induce either the referral of an individual, or the furnishing or arranging for a good or service, for which payment may be made under a federal healthcare program such as Medicare or Medicaid.</w:t>
      </w:r>
    </w:p>
    <w:p>
      <w:pPr>
        <w:spacing w:after="0" w:line="138"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The definition of “remuneration” has been broadly interpreted to include anything of value, including, for example, gifts, certain discounts, the furnishing of free supplies, equipment or services, credit arrangements, payment of cash, and waivers of payments. Several courts have interpreted the statute’s intent requirement to mean that if any one purpose of an arrangement involving remuneration for inducing referrals of federal healthcare covered businesses, a violation of the statute can be found. Penalties for violations include criminal penalties and civil sanctions such as fines, imprisonment, and possible exclusion from Medicare, Medicaid, and other federal healthcare programs. In addition, a kickback violation can serve as a predicate for a violation under the Federal False Claims Act, discussed in more detail below.</w:t>
      </w:r>
    </w:p>
    <w:p>
      <w:pPr>
        <w:spacing w:after="0" w:line="150"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The Anti-Kickback Statute is broad and prohibits many arrangements and practices that are otherwise lawful in businesses outside of the healthcare industry. Recognizing that the Anti-Kickback Statute is broad and may technically prohibit many innocuous or beneficial arrangements, Congress authorized the Office of Inspector General (“OIG”), of HHS to issue a series of regulations known as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per se illegal or that prosecution will be pursued. However, conduct and business arrangements that do not fully satisfy an applicable safe harbor may result in increased scrutiny by government enforcement authorities such as OIG.</w:t>
      </w:r>
    </w:p>
    <w:p>
      <w:pPr>
        <w:spacing w:after="0" w:line="149"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Many states have adopted laws similar to the Anti-Kickback Statute. Some of these state prohibitions apply to referral of recipients for healthcare items or services reimbursed by any source, not only the Medicare and Medicaid programs.</w:t>
      </w:r>
    </w:p>
    <w:p>
      <w:pPr>
        <w:spacing w:after="0" w:line="14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Government officials have focused their enforcement efforts on the marketing of healthcare services and products, among other activities, and recently have brought cases against companies, and certain individual sales, marketing, and executive personnel, for allegedly offering unlawful inducements to potential or existing customers in an attempt to procure their business.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color w:val="auto"/>
        </w:rPr>
        <w:t xml:space="preserve">Federal </w:t>
      </w:r>
      <w:r>
        <w:rPr>
          <w:rFonts w:ascii="Arial" w:cs="Arial" w:eastAsia="Arial" w:hAnsi="Arial"/>
          <w:sz w:val="16"/>
          <w:szCs w:val="16"/>
          <w:i w:val="1"/>
          <w:iCs w:val="1"/>
          <w:color w:val="auto"/>
        </w:rPr>
        <w:t>False Claims Act.</w:t>
      </w:r>
      <w:r>
        <w:rPr>
          <w:rFonts w:ascii="Arial" w:cs="Arial" w:eastAsia="Arial" w:hAnsi="Arial"/>
          <w:sz w:val="16"/>
          <w:szCs w:val="16"/>
          <w:color w:val="auto"/>
        </w:rPr>
        <w:t xml:space="preserve"> Another broad statute affecting the healthcare industry is the increased use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The qui tam provisions of the False Claims Act allow a private individual to bring actions on behalf of the federal government alleging that the defendant has violated the False Claims Act and to share in any monetary recovery. In recent years, the number of suits brought against healthcare providers by private individuals has increased dramatically. In addition, various states have enacted false claims laws analogous to the False Claims Act, and many of these state laws apply where a claim is submitted to any third-party payor and not just a federal healthcare program.</w:t>
      </w:r>
    </w:p>
    <w:p>
      <w:pPr>
        <w:spacing w:after="0" w:line="138"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When an entity is determined to have violated the False Claims Act, it may be required to pay up to three times the actual damages sustained by the government, plus civil penalties of between $11,463 and $22,927 for each separate instance of false claim, subject to adjustment for inflation. As part of any settlement, the government may ask the entity to enter into a corporate integrity agreement, which imposes certain compliance, certification, and reporting obligations. There are many potential bases for liability under the False Claims Act. Liability arises, primarily, when an entity knowingly submits, or causes another to submit, a false claim for reimbursement to the federal government. The federal government has used the False Claims Act to assert liability on the basis of inadequate care, non-compliance with medical necessity criteria, kickbacks and other improper referrals, and improper use of Medicare numbers when detailing the provider of services, in addition to the more predictable allegations as to misrepresentations with respect to the services rendered. In addition, the federal government has prosecuted companies under the False Claims Act in connection with off-label promotion of products. Our future activities relating to the reporting of wholesale or estimated retail prices of our products, the reporting of discount and rebate information, and other information affecting federal, state, and third-party reimbursement of our products and the sale and marketing of our products may be subject to scrutiny under these laws.</w:t>
      </w:r>
    </w:p>
    <w:p>
      <w:pPr>
        <w:spacing w:after="0" w:line="154"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While we are unaware of any current matters, we are unable to predict whether we will be subject to actions under the False Claims Act or a similar state law, or the impact of such actions. However, the costs of defending such claims, as well as any sanctions imposed, could significantly affect our financial performance.</w:t>
      </w:r>
    </w:p>
    <w:p>
      <w:pPr>
        <w:spacing w:after="0" w:line="148"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6"/>
          <w:szCs w:val="16"/>
          <w:i w:val="1"/>
          <w:iCs w:val="1"/>
          <w:color w:val="auto"/>
        </w:rPr>
        <w:t xml:space="preserve">The Sunshine Act. </w:t>
      </w:r>
      <w:r>
        <w:rPr>
          <w:rFonts w:ascii="Arial" w:cs="Arial" w:eastAsia="Arial" w:hAnsi="Arial"/>
          <w:sz w:val="16"/>
          <w:szCs w:val="16"/>
          <w:color w:val="auto"/>
        </w:rPr>
        <w:t>The Physician Payment Sunshine Act (the “Sunshine Act”), which was enacted as part of the Affordable Care Act,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manufacturers and certain distributors of prescription drugs, devices, biologics or other medical supplies available for coverage by Medicare, Medicaid or the Children’s Health Insurance Program to report annually to the Secretary of HHS: (i) payments or other transfers of value made by that entity, or by a third party as directed by that entity, to physicians and teaching hospitals or to third parties on behalf of physicians or teaching hospitals; and</w:t>
      </w:r>
    </w:p>
    <w:p>
      <w:pPr>
        <w:spacing w:after="0" w:line="2" w:lineRule="exact"/>
        <w:rPr>
          <w:sz w:val="20"/>
          <w:szCs w:val="20"/>
          <w:color w:val="auto"/>
        </w:rPr>
      </w:pPr>
    </w:p>
    <w:p>
      <w:pPr>
        <w:jc w:val="both"/>
        <w:ind w:firstLine="8"/>
        <w:spacing w:after="0" w:line="235"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physician ownership (including immediate family ownership) and investment interests in the entity. The statute requires the federal government to make reported information available to the public starting September 2014, which it has. Failure to comply with the reporting requirements can result in significant civil monetary penalties ranging from $1,000 to $10,000 for each payment or other transfer of value that is not reported (up to a maximum per annual report of $150,000) and from $10,000 to $100,000 for each knowing failure to report (up to a maximum per annual report of $1.0 million). Additionally, there are criminal penalties if an entity intentionally makes false statements in such reports. Upon commercialization, if physicians use our products for procedures that are reimbursed by Medicare, Medicaid or the Children’s Health Insurance Program, we may be subject to the Sunshine Act and the information we disclose may lead to greater scrutiny, which may result in modifications to established practices and additional costs. Additionally, similar reporting requirements have also been enacted on the state level domestically, and an increasing number of countries worldwide either have adopted or are considering similar laws requiring transparency of interactions with healthcare professionals.</w:t>
      </w:r>
    </w:p>
    <w:p>
      <w:pPr>
        <w:spacing w:after="0" w:line="151"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The Foreign Corrupt Practices Act (“FCPA”) prohibits any U.S. individual or business from paying, offering, or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i w:val="1"/>
          <w:iCs w:val="1"/>
          <w:color w:val="auto"/>
        </w:rPr>
        <w:t xml:space="preserve">International Laws. </w:t>
      </w:r>
      <w:r>
        <w:rPr>
          <w:rFonts w:ascii="Arial" w:cs="Arial" w:eastAsia="Arial" w:hAnsi="Arial"/>
          <w:sz w:val="16"/>
          <w:szCs w:val="16"/>
          <w:color w:val="auto"/>
        </w:rPr>
        <w:t>In Europe, various countries have adopted anti-bribery laws providing for severe consequences, in the form of criminal penalties</w:t>
      </w:r>
      <w:r>
        <w:rPr>
          <w:rFonts w:ascii="Arial" w:cs="Arial" w:eastAsia="Arial" w:hAnsi="Arial"/>
          <w:sz w:val="16"/>
          <w:szCs w:val="16"/>
          <w:i w:val="1"/>
          <w:iCs w:val="1"/>
          <w:color w:val="auto"/>
        </w:rPr>
        <w:t xml:space="preserve"> </w:t>
      </w:r>
      <w:r>
        <w:rPr>
          <w:rFonts w:ascii="Arial" w:cs="Arial" w:eastAsia="Arial" w:hAnsi="Arial"/>
          <w:sz w:val="16"/>
          <w:szCs w:val="16"/>
          <w:color w:val="auto"/>
        </w:rPr>
        <w:t>and/or significant fines, for individuals and/or companies committing a bribery offense. Violations of these anti-bribery laws, or allegations of such violations, could have a negative impact on our business, results of operations, and reputation. For instance, in the United Kingdom, under the Bribery Act 2010, which went into effect in July 2011, a bribery occurs when a person offers, gives, or promises to give a financial or other advantage to induce or reward another individual to improperly perform certain functions or activities, including any function of a public nature. Bribery of foreign public officials also falls within the scope of the Bribery Act 2010. Under the new regime, an individual found in violation of the Bribery Act of 2010, faces imprisonment of up to 10 years. In addition, the individual can be subject to an unlimited fine, as can commercial organizations for failure to prevent bribery.</w:t>
      </w:r>
    </w:p>
    <w:p>
      <w:pPr>
        <w:spacing w:after="0" w:line="138"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There are also international privacy laws that impose restrictions on the access, use, and disclosure of health information. All of these laws may impact our business. Our failure to comply with these privacy laws or significant changes in the laws restricting our ability to obtain required patient information could significantly impact our business and our future business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71"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 substantially changes the way healthcare is financed by both governmental and private insurers, and significantly impacts our industry. The Act contains a number of provisions that impact our business and operations, some of which in ways we cannot currently predict, including those governing enrollments in federal healthcare programs and reimbursement changes.</w:t>
      </w:r>
    </w:p>
    <w:p>
      <w:pPr>
        <w:spacing w:after="0" w:line="134"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 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We maintain product and clinical trial liability insurance coverage which includes a maximum of per claim and annual aggregate policy limits, subject to self-insured retentions. The policy covers, subject to policy conditions and exclusions, claims of bodily injury and property damage from any product manufactured by us or from trial-related adverse events.</w:t>
      </w:r>
    </w:p>
    <w:p>
      <w:pPr>
        <w:spacing w:after="0" w:line="148"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7"/>
          <w:szCs w:val="17"/>
          <w:color w:val="auto"/>
        </w:rPr>
        <w:t>There is no assurance that our level of coverage is adequate. We may not be able to sustain or maintain our current level of coverage and cannot assure you that adequate insurance coverage will continue to be available on commercially reasonable terms, or at all. A successful product liability claim may exceed our existing coverages and may make future coverages significantly more expensive, if available at all.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jc w:val="both"/>
        <w:ind w:firstLine="440"/>
        <w:spacing w:after="0" w:line="307" w:lineRule="auto"/>
        <w:rPr>
          <w:sz w:val="20"/>
          <w:szCs w:val="20"/>
          <w:color w:val="auto"/>
        </w:rPr>
      </w:pPr>
      <w:r>
        <w:rPr>
          <w:rFonts w:ascii="Arial" w:cs="Arial" w:eastAsia="Arial" w:hAnsi="Arial"/>
          <w:sz w:val="16"/>
          <w:szCs w:val="16"/>
          <w:color w:val="auto"/>
        </w:rPr>
        <w:t>As of December 31, 2021, we had 142 employees, of which substantially all are located at our headquarters in Hayward, California. Of these employees, 81 were engaged in research and development activities, and 61 were engaged in sales, marketing and general and administrative activities.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i w:val="1"/>
          <w:iCs w:val="1"/>
          <w:color w:val="auto"/>
        </w:rPr>
        <w:t xml:space="preserve">Talent Acquisition and Development. </w:t>
      </w:r>
      <w:r>
        <w:rPr>
          <w:rFonts w:ascii="Arial" w:cs="Arial" w:eastAsia="Arial" w:hAnsi="Arial"/>
          <w:sz w:val="18"/>
          <w:szCs w:val="18"/>
          <w:color w:val="auto"/>
        </w:rPr>
        <w:t>We are committed to providing a respectful work environment to our diverse workforce. We provide equal</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opportunities to all persons regardless of race, age, color, gender, sexual orientation, national origin, physical or mental disability, religion, or any other characteristic protected by federal, state, or local law.</w:t>
      </w:r>
    </w:p>
    <w:p>
      <w:pPr>
        <w:spacing w:after="0" w:line="148"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We believe our employees are essential to our success and our ability to attract, develop, and retain key talent is a vital part of that. Our philosophy is to both develop talent from within and to strategically recruit key external talent. Our overall talent acquisition and retention strategy is designed to attract and retain diverse and qualified candidates to enable the success of the Company and achievement of our performance goals. The skills, experience and industry knowledge of key employees significantly benefit our operations and performance.</w:t>
      </w:r>
    </w:p>
    <w:p>
      <w:pPr>
        <w:spacing w:after="0" w:line="181" w:lineRule="exact"/>
        <w:rPr>
          <w:sz w:val="20"/>
          <w:szCs w:val="20"/>
          <w:color w:val="auto"/>
        </w:rPr>
      </w:pPr>
    </w:p>
    <w:p>
      <w:pPr>
        <w:ind w:right="180" w:firstLine="583"/>
        <w:spacing w:after="0" w:line="314" w:lineRule="auto"/>
        <w:rPr>
          <w:sz w:val="20"/>
          <w:szCs w:val="20"/>
          <w:color w:val="auto"/>
        </w:rPr>
      </w:pPr>
      <w:r>
        <w:rPr>
          <w:rFonts w:ascii="Arial" w:cs="Arial" w:eastAsia="Arial" w:hAnsi="Arial"/>
          <w:sz w:val="16"/>
          <w:szCs w:val="16"/>
          <w:i w:val="1"/>
          <w:iCs w:val="1"/>
          <w:color w:val="auto"/>
        </w:rPr>
        <w:t>Compensation and Benefits Program</w:t>
      </w:r>
      <w:r>
        <w:rPr>
          <w:rFonts w:ascii="Arial" w:cs="Arial" w:eastAsia="Arial" w:hAnsi="Arial"/>
          <w:sz w:val="19"/>
          <w:szCs w:val="19"/>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compensation program is designed to attract, motivate, and retain talented individuals who possess the</w:t>
      </w:r>
      <w:r>
        <w:rPr>
          <w:rFonts w:ascii="Arial" w:cs="Arial" w:eastAsia="Arial" w:hAnsi="Arial"/>
          <w:sz w:val="16"/>
          <w:szCs w:val="16"/>
          <w:i w:val="1"/>
          <w:iCs w:val="1"/>
          <w:color w:val="auto"/>
        </w:rPr>
        <w:t xml:space="preserve"> </w:t>
      </w:r>
      <w:r>
        <w:rPr>
          <w:rFonts w:ascii="Arial" w:cs="Arial" w:eastAsia="Arial" w:hAnsi="Arial"/>
          <w:sz w:val="16"/>
          <w:szCs w:val="16"/>
          <w:color w:val="auto"/>
        </w:rPr>
        <w:t>skills necessary to support our business and contribute to our strategic goals, creating long-term value for our stockholders. We provide employees with competitive compensation packages that include base salary, annual incentive bonuses, 401(k), and equity awards tied to the value of our stock price. Our comprehensive benefits package also includes medical, dental, vision, life and disability plans, and an employee assistance program.</w:t>
      </w:r>
    </w:p>
    <w:p>
      <w:pPr>
        <w:spacing w:after="0" w:line="10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 xml:space="preserve">Wellness and Safety. </w:t>
      </w:r>
      <w:r>
        <w:rPr>
          <w:rFonts w:ascii="Arial" w:cs="Arial" w:eastAsia="Arial" w:hAnsi="Arial"/>
          <w:sz w:val="18"/>
          <w:szCs w:val="18"/>
          <w:color w:val="222222"/>
        </w:rPr>
        <w:t>The health and safety of our employees is of utmost importance to us. In response to the COVID-19 pandemic, we are requiring all of</w:t>
      </w:r>
      <w:r>
        <w:rPr>
          <w:rFonts w:ascii="Arial" w:cs="Arial" w:eastAsia="Arial" w:hAnsi="Arial"/>
          <w:sz w:val="18"/>
          <w:szCs w:val="18"/>
          <w:i w:val="1"/>
          <w:iCs w:val="1"/>
          <w:color w:val="auto"/>
        </w:rPr>
        <w:t xml:space="preserve"> </w:t>
      </w:r>
      <w:r>
        <w:rPr>
          <w:rFonts w:ascii="Arial" w:cs="Arial" w:eastAsia="Arial" w:hAnsi="Arial"/>
          <w:sz w:val="18"/>
          <w:szCs w:val="18"/>
          <w:color w:val="222222"/>
        </w:rPr>
        <w:t>our employees to work remotely unless they cannot perform their essential functions remotely and have also suspended all non-essential travel for our employees. For the employees who are unable to perform their essential functions remotely, we have established extensive policies and guidelines which are designed to protect those individuals while they are physically in our offices.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Effective June 18, 2018, Pulse Biosciences reincorporated as a Delaware Corporation. We were originally incorporated in Nevada on May 19, 2014 under the name Electroblate, Inc. and changed our name to Pulse Biosciences, Inc. effective December 8, 2015. Our corporate offices are located at 3957 Point Eden Way, Hayward, California. Our telephone number is (510) 906-4600.</w:t>
      </w:r>
    </w:p>
    <w:p>
      <w:pPr>
        <w:spacing w:after="0" w:line="148"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7"/>
          <w:szCs w:val="17"/>
          <w:color w:val="auto"/>
        </w:rPr>
        <w:t>Our website is located at www.pulsebiosciences.com. The information that can be accessed through our website is not incorporated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Securities and Exchange Commission (“SEC”).</w:t>
      </w:r>
    </w:p>
    <w:p>
      <w:pPr>
        <w:spacing w:after="0" w:line="148"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Additionally, we use our website as a channel for distribution of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“Investors” on our website home page.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Annual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75"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limited operating history and our limited revenue producing operations;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to operate without additional fundraising;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Substantial doubt about our ability to continue as a going concern;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Competition within our industry;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Health epidemics, including the coronavirus pandemic;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reliance on certain third parties such as key suppliers;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loss of key management personnel;</w:t>
      </w:r>
    </w:p>
    <w:p>
      <w:pPr>
        <w:spacing w:after="0" w:line="171"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Potential security breaches, loss of data, and other disruptions to us or to our third-party service providers that could compromise sensitive information;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product liability lawsuits and other litigation;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unpredictability, and expense of our clinical and product development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possibility of adverse trial results and unfavorable long-term trial data;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failure to obtain and maintain necessary regulatory clearances or approvals;</w:t>
      </w:r>
    </w:p>
    <w:p>
      <w:pPr>
        <w:spacing w:after="0" w:line="171" w:lineRule="exact"/>
        <w:rPr>
          <w:sz w:val="20"/>
          <w:szCs w:val="20"/>
          <w:color w:val="auto"/>
        </w:rPr>
      </w:pPr>
    </w:p>
    <w:p>
      <w:pPr>
        <w:ind w:left="660"/>
        <w:spacing w:after="0" w:line="228" w:lineRule="auto"/>
        <w:rPr>
          <w:sz w:val="20"/>
          <w:szCs w:val="20"/>
          <w:color w:val="auto"/>
        </w:rPr>
      </w:pPr>
      <w:r>
        <w:rPr>
          <w:rFonts w:ascii="Arial" w:cs="Arial" w:eastAsia="Arial" w:hAnsi="Arial"/>
          <w:sz w:val="18"/>
          <w:szCs w:val="18"/>
          <w:color w:val="auto"/>
        </w:rPr>
        <w:t>Uncertainties concerning the long-term safety and effectiveness of our CellFX System and product candidates, and the potential for adverse side effects;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commercial uncertainties concerning whether there will be broad adoption of our CellFX System and NPS technology;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Possible challenges enrolling patients in our clinical trials;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Uncertainties concerning our ability to obtain an adequate level of reimbursement by Medicare and other third-party payers;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Protection of intellectual property, potential litigation related to intellectual property, and obligations under intellectual property agreements;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Stringent domestic and foreign regulation in respect of any potential devices and products, including healthcare laws and regulations;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Healthcare policy changes;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Volatility of the price of our common stock;</w:t>
      </w:r>
    </w:p>
    <w:p>
      <w:pPr>
        <w:spacing w:after="0" w:line="171" w:lineRule="exact"/>
        <w:rPr>
          <w:sz w:val="20"/>
          <w:szCs w:val="20"/>
          <w:color w:val="auto"/>
        </w:rPr>
      </w:pPr>
    </w:p>
    <w:p>
      <w:pPr>
        <w:ind w:left="660" w:right="3460"/>
        <w:spacing w:after="0" w:line="438" w:lineRule="auto"/>
        <w:rPr>
          <w:sz w:val="20"/>
          <w:szCs w:val="20"/>
          <w:color w:val="auto"/>
        </w:rPr>
      </w:pPr>
      <w:r>
        <w:rPr>
          <w:rFonts w:ascii="Arial" w:cs="Arial" w:eastAsia="Arial" w:hAnsi="Arial"/>
          <w:sz w:val="18"/>
          <w:szCs w:val="18"/>
          <w:color w:val="auto"/>
        </w:rPr>
        <w:t>Concentration of ownership by our principal stockholder and Board Chairman, Robert W. Duggan; Unfavorable global economic or political conditions; and</w:t>
      </w:r>
    </w:p>
    <w:p>
      <w:pPr>
        <w:spacing w:after="0" w:line="1" w:lineRule="exact"/>
        <w:rPr>
          <w:sz w:val="20"/>
          <w:szCs w:val="20"/>
          <w:color w:val="auto"/>
        </w:rPr>
      </w:pPr>
    </w:p>
    <w:p>
      <w:pPr>
        <w:ind w:right="100" w:firstLine="648"/>
        <w:spacing w:after="0" w:line="438" w:lineRule="auto"/>
        <w:rPr>
          <w:sz w:val="20"/>
          <w:szCs w:val="20"/>
          <w:color w:val="auto"/>
        </w:rPr>
      </w:pPr>
      <w:r>
        <w:rPr>
          <w:rFonts w:ascii="Arial" w:cs="Arial" w:eastAsia="Arial" w:hAnsi="Arial"/>
          <w:sz w:val="18"/>
          <w:szCs w:val="18"/>
          <w:color w:val="auto"/>
        </w:rPr>
        <w:t xml:space="preserve">Potential material weaknesses and uncertainties concerning our ability to maintain an effective system of internal control over financial reporting. </w:t>
      </w:r>
      <w:r>
        <w:rPr>
          <w:rFonts w:ascii="Arial" w:cs="Arial" w:eastAsia="Arial" w:hAnsi="Arial"/>
          <w:sz w:val="18"/>
          <w:szCs w:val="18"/>
          <w:b w:val="1"/>
          <w:bCs w:val="1"/>
          <w:color w:val="auto"/>
        </w:rPr>
        <w:t>Risks Relating to Our Business, Industry and Financial Condition</w:t>
      </w:r>
    </w:p>
    <w:p>
      <w:pPr>
        <w:spacing w:after="0" w:line="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Because we have a limited operating history and have recently commenced revenue producing operations, it is difficult to evaluate the future of our business</w:t>
      </w:r>
      <w:r>
        <w:rPr>
          <w:rFonts w:ascii="Arial" w:cs="Arial" w:eastAsia="Arial" w:hAnsi="Arial"/>
          <w:sz w:val="18"/>
          <w:szCs w:val="18"/>
          <w:color w:val="auto"/>
        </w:rPr>
        <w:t>.</w:t>
      </w:r>
    </w:p>
    <w:p>
      <w:pPr>
        <w:spacing w:after="0" w:line="143"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6"/>
          <w:szCs w:val="16"/>
          <w:color w:val="auto"/>
        </w:rPr>
        <w:t>We are a bioelectric medicine technology company and have recently commenced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very limited product revenue and we may never become profitable.</w:t>
      </w:r>
    </w:p>
    <w:p>
      <w:pPr>
        <w:spacing w:after="0" w:line="171"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To date, we have not generated significant revenue and we have historically relied on financing from the sale of equity securities to fund our operations. We expect that our future financial results will depend primarily on our success in launching, selling, and supporting our therapies and procedures using the CellFX System or other products based on our NPS technology.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54"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is substantial doubt about our ability to continue as a going concern.</w:t>
      </w:r>
    </w:p>
    <w:p>
      <w:pPr>
        <w:spacing w:after="0" w:line="171"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color w:val="auto"/>
        </w:rPr>
        <w:t>To date, we have generated limited revenue from product sales and have incurred significant operating losses in each year since our inception and we anticipate that losses may continue for the next several years or until such time as we can generate substantial product revenue and achieve profitability. In connection with the preparation of this Annual Report for the twelve months ended December 31, 2021, our management has concluded that there is substantial doubt as to whether we can continue as a going concern for the twelve months following the issuance of this Annual Report. We plan to raise additional capital to fund our operations through public or private equity offerings, debt financings, our at-the-market equity offering program, and/or potential new collaborations. There is no assurance, however, that any additional financing or any revenue-generating collaboration will be available when needed or that management of the Company will be able to obtain financing or enter into a collaboration on terms acceptable to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can give no assurance that our internal and external sources of liquidity will be sufficient for our cash requirements.</w:t>
      </w:r>
    </w:p>
    <w:p>
      <w:pPr>
        <w:spacing w:after="0" w:line="171"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6"/>
          <w:szCs w:val="16"/>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Accordingly,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139"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43"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We have experienced operating losses and we may continue to incur operating losses for the next several years as we implement our business plan. Currently, we have no significant revenue from operations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29"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We will need to raise additional capital in order to continue to execute our business plan. If we are unable to raise sufficient additional funds, we will have to scale back our operations. Also, the ongoing hostilities between Russia and Ukraine and the ongoing COVID-19 pandemic and resulting negative impact on the global macroeconomic environment and capital markets may make it more difficult for us to raise additional funds. We may be required to incur debt in the future.</w:t>
      </w:r>
    </w:p>
    <w:p>
      <w:pPr>
        <w:spacing w:after="0" w:line="148"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49"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be required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150"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48"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For example,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and other personnel who are critical to our business. Any failure to attract or retain qualified personnel could prevent us from successfully developing and commercializing our new product candidates in the future and could also harm our existing and planned commercial activities in dermatology.</w:t>
      </w:r>
    </w:p>
    <w:p>
      <w:pPr>
        <w:spacing w:after="0" w:line="137"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Our revenues and future profitability are entirely dependent upon one family of products, the CellFX System, and one platform technology, Nano-pulse Stimulation.</w:t>
      </w:r>
    </w:p>
    <w:p>
      <w:pPr>
        <w:spacing w:after="0" w:line="143"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Our revenue is generated entirely from the CellFX System, which consists of a console, handpieces and tips, and both these products and all our potential products under development are based upon the same patented platform technology, Nano-pulse Stimulation (“NPS”). Our revenue is therefore dependent on the success of these products and platform technology, and if these products are not widely adopted by dermatologists or if we suffer any disruptions in our ability to sell these products, our business will suffer. Reliance on a single family of products and single platform technology could negatively affect our results of operations and financial condition. Our ability to become profitable will depend upon the commercial success of these products and platform technology.</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We market the CellFX System primarily to aesthetic and medical dermatologists who may be slow or fail to adopt our products or who may use our products in only a small percentage of their eligible patients for a variety of reasons, including, among others: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lack of experience with our products;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lack of adequate reimbursement or cost to the patient;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lack of conviction regarding evidence supporting cost benefits or cost effectiveness of our products over existing alternatives;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lack of clinical data showing longer-term patient benefits;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possible introduction of new technologies competitive to our products;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liability risks generally associated with the use of new products and procedures.</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Moreover, our products, including our platform NPS technology, could be rendered obsolete or economically impractical by numerous factors, many of which are beyond our control, including but not limited 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technological advancements of alternative technologies, such as laser ablation technologies;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of key relationships with suppliers, group purchasing organizations, or end-user customers;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or supply interruptions;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liability claims;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reputation and product market acceptance;</w:t>
      </w:r>
    </w:p>
    <w:p>
      <w:pPr>
        <w:spacing w:after="0" w:line="171" w:lineRule="exact"/>
        <w:rPr>
          <w:sz w:val="20"/>
          <w:szCs w:val="20"/>
          <w:color w:val="auto"/>
        </w:rPr>
      </w:pPr>
    </w:p>
    <w:p>
      <w:pPr>
        <w:ind w:left="660" w:right="2840"/>
        <w:spacing w:after="0" w:line="438" w:lineRule="auto"/>
        <w:rPr>
          <w:sz w:val="20"/>
          <w:szCs w:val="20"/>
          <w:color w:val="auto"/>
        </w:rPr>
      </w:pPr>
      <w:r>
        <w:rPr>
          <w:rFonts w:ascii="Arial" w:cs="Arial" w:eastAsia="Arial" w:hAnsi="Arial"/>
          <w:sz w:val="18"/>
          <w:szCs w:val="18"/>
          <w:color w:val="auto"/>
        </w:rPr>
        <w:t>loss of existing regulatory approvals or the imposition of new requirements to maintain such approvals; and product recalls or safety alerts.</w:t>
      </w:r>
    </w:p>
    <w:p>
      <w:pPr>
        <w:spacing w:after="0" w:line="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43"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The Company may provide financial guidance about its business and future operating results. In developing this guidance, the Company’s management must make certain assumptions and judgments about its future operating performance, including but not limited to projected hiring of sales professionals, growth of revenue in the aesthetic device market,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5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43" w:lineRule="exact"/>
        <w:rPr>
          <w:sz w:val="20"/>
          <w:szCs w:val="20"/>
          <w:color w:val="auto"/>
        </w:rPr>
      </w:pPr>
    </w:p>
    <w:p>
      <w:pPr>
        <w:jc w:val="both"/>
        <w:ind w:firstLine="440"/>
        <w:spacing w:after="0" w:line="274"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21"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the timing and cost of, and level of investment in, research, development, and commercialization activities relating to our product and product candidates, which may change from time to time;</w:t>
      </w:r>
    </w:p>
    <w:p>
      <w:pPr>
        <w:spacing w:after="0" w:line="143" w:lineRule="exact"/>
        <w:rPr>
          <w:sz w:val="20"/>
          <w:szCs w:val="20"/>
          <w:color w:val="auto"/>
        </w:rPr>
      </w:pPr>
    </w:p>
    <w:p>
      <w:pPr>
        <w:ind w:left="660" w:right="480"/>
        <w:spacing w:after="0" w:line="438" w:lineRule="auto"/>
        <w:rPr>
          <w:sz w:val="20"/>
          <w:szCs w:val="20"/>
          <w:color w:val="auto"/>
        </w:rPr>
      </w:pPr>
      <w:r>
        <w:rPr>
          <w:rFonts w:ascii="Arial" w:cs="Arial" w:eastAsia="Arial" w:hAnsi="Arial"/>
          <w:sz w:val="18"/>
          <w:szCs w:val="18"/>
          <w:color w:val="auto"/>
        </w:rPr>
        <w:t>the timing of receipt of approvals or clearances for our product candidates from regulatory authorities in the United States or internationally; the timing and status of enrollment for our clinical trials;</w:t>
      </w:r>
    </w:p>
    <w:p>
      <w:pPr>
        <w:spacing w:after="0" w:line="1"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14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costs of manufacturing our product, as well as building out our supply chain, which may vary depending on the quantity of production and which will vary significantly depending upon the terms of our agreements with manufacturers;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of demand for our product and any product candidates, if approved or cleared, which may vary significantly over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litigation, including patent, employment, securities class action, stockholder derivative, general commercial, and other lawsuits;</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accounting pronouncements or changes in our accounting policies; and</w:t>
      </w:r>
    </w:p>
    <w:p>
      <w:pPr>
        <w:spacing w:after="0" w:line="17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4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44" w:lineRule="exact"/>
        <w:rPr>
          <w:sz w:val="20"/>
          <w:szCs w:val="20"/>
          <w:color w:val="auto"/>
        </w:rPr>
      </w:pPr>
    </w:p>
    <w:p>
      <w:pPr>
        <w:jc w:val="both"/>
        <w:ind w:right="20" w:firstLine="440"/>
        <w:spacing w:after="0" w:line="307" w:lineRule="auto"/>
        <w:rPr>
          <w:sz w:val="20"/>
          <w:szCs w:val="20"/>
          <w:color w:val="auto"/>
        </w:rPr>
      </w:pPr>
      <w:r>
        <w:rPr>
          <w:rFonts w:ascii="Arial" w:cs="Arial" w:eastAsia="Arial" w:hAnsi="Arial"/>
          <w:sz w:val="16"/>
          <w:szCs w:val="16"/>
          <w:b w:val="1"/>
          <w:bCs w:val="1"/>
          <w:i w:val="1"/>
          <w:iCs w:val="1"/>
          <w:color w:val="auto"/>
        </w:rPr>
        <w:t>Because we operate in a highly competitive market, we can expect to face competition from large, well-established manufacturers of medical technologies, devices and similar products; we may not be able to compete effectively against companies with significantly more resources.</w:t>
      </w:r>
    </w:p>
    <w:p>
      <w:pPr>
        <w:spacing w:after="0" w:line="96"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significantly greater name recognition;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established relationships with healthcare professionals, customers, and third-party payers;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competitive products with greater efficacy or better safety profiles;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established distribution networks;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greater experience in obtaining patents and regulatory approvals for product candidates;</w:t>
      </w:r>
    </w:p>
    <w:p>
      <w:pPr>
        <w:spacing w:after="0" w:line="17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greater experience conducting new product research and development, manufacturing therapies, conducting clinical trials, obtaining regulatory approval for products, and marketing approved products; and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greater financial and human resources for product development, sales and marketing.</w:t>
      </w:r>
    </w:p>
    <w:p>
      <w:pPr>
        <w:spacing w:after="0" w:line="171"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activities, and these third parties may not perform satisfactorily.</w:t>
      </w:r>
    </w:p>
    <w:p>
      <w:pPr>
        <w:spacing w:after="0" w:line="143"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These third parties may also be adversely impacted by COVID-19 which could affect their ability to perform satisfactorily.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50"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We have recently commenced revenue-producing operations; however, we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50"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43" w:lineRule="exact"/>
        <w:rPr>
          <w:sz w:val="20"/>
          <w:szCs w:val="20"/>
          <w:color w:val="auto"/>
        </w:rPr>
      </w:pPr>
    </w:p>
    <w:p>
      <w:pPr>
        <w:jc w:val="both"/>
        <w:ind w:firstLine="440"/>
        <w:spacing w:after="0" w:line="252" w:lineRule="auto"/>
        <w:rPr>
          <w:sz w:val="20"/>
          <w:szCs w:val="20"/>
          <w:color w:val="auto"/>
        </w:rPr>
      </w:pPr>
      <w:r>
        <w:rPr>
          <w:rFonts w:ascii="Arial" w:cs="Arial" w:eastAsia="Arial" w:hAnsi="Arial"/>
          <w:sz w:val="16"/>
          <w:szCs w:val="16"/>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39"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43"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very limited experience selling the CellFX System.</w:t>
      </w:r>
    </w:p>
    <w:p>
      <w:pPr>
        <w:spacing w:after="0" w:line="17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In January 2022, we established an operating company in the Netherlands to further enhance our operations in Europe. As of December 31, 2021, our U.S. sales force consisted of 7 sales managers and directors and 3 clinical support specialists directly employed by us. As of December 31, 2021, our international sales force consisted of 3 sales managers and directors and 7 clinical support specialists, all of whom are employed by Globalization Partners, a third-party employer of record engaged by us. We therefore have limited experience marketing and selling the CellFX System and our revenues and cash flows have been volatile and difficult to predict.</w:t>
      </w:r>
    </w:p>
    <w:p>
      <w:pPr>
        <w:spacing w:after="0" w:line="154"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We hire and train sales representatives and clinical specialists with backgrounds and experience in the aesthetic dermatology market, especially those familiar with energy-based therapies and who have existing relationships with dermatologist.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Our commercialization efforts depend on the efforts of our management and sales team, our third-party manufacturers and suppliers, physicians and medical clinics, and general economic conditions, among other factors, including the following: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effectiveness of our marketing and sales efforts in the United States and internationally;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success in educating physicians and patients about the benefits, administration and use of our products;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acceptance by physicians and patients of the safety and effectiveness of our products;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availability, perceived advantages, relative cost, relative safety, and relative efficacy of alternative and competing therapies;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obtain, maintain, and enforce our intellectual property rights in and to our CellFX System;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raise additional capital on acceptable terms, or at all, if needed to support the commercialization of our products;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achieve and maintain compliance with all regulatory requirements applicable to our products.</w:t>
      </w:r>
    </w:p>
    <w:p>
      <w:pPr>
        <w:spacing w:after="0" w:line="171"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6"/>
          <w:szCs w:val="16"/>
          <w:color w:val="auto"/>
        </w:rPr>
        <w:t>Our intention is for our direct sales representatives to develop long-lasting relationships with the dermatologists they serve. Our future success will depend largely on our ability to continue to hire, train, retain and motivate skilled direct sales representatives with significant technical knowledge in various areas, such as dermatology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71"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71"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6"/>
          <w:szCs w:val="16"/>
          <w:color w:val="auto"/>
        </w:rPr>
        <w:t>We have experienced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worldwide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must successfully educate and train dermatologists and their staff on the proper use of the CellFX System.</w:t>
      </w:r>
    </w:p>
    <w:p>
      <w:pPr>
        <w:spacing w:after="0" w:line="17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Although most dermatologists may have adequate knowledge on how to use our novel CellFX System based on their clinical training and experience, we believe that the most effective way to introduce and build market demand for our products is by directly training dermatologists in the use of our products. Convincing dermatologists to dedicate the time and energy necessary for adequate training is challenging, and we cannot assure you that we will succeed in these efforts. If dermatologists are not properly trained, they may not use our products and, as a result, we may not maintain or grow our sales or achieve or sustain profitability. If dermatologists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54" w:lineRule="exact"/>
        <w:rPr>
          <w:sz w:val="20"/>
          <w:szCs w:val="20"/>
          <w:color w:val="auto"/>
        </w:rPr>
      </w:pPr>
    </w:p>
    <w:p>
      <w:pPr>
        <w:jc w:val="both"/>
        <w:ind w:firstLine="440"/>
        <w:spacing w:after="0" w:line="276" w:lineRule="auto"/>
        <w:rPr>
          <w:sz w:val="20"/>
          <w:szCs w:val="20"/>
          <w:color w:val="auto"/>
        </w:rPr>
      </w:pPr>
      <w:r>
        <w:rPr>
          <w:rFonts w:ascii="Arial" w:cs="Arial" w:eastAsia="Arial" w:hAnsi="Arial"/>
          <w:sz w:val="16"/>
          <w:szCs w:val="16"/>
          <w:color w:val="auto"/>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w:t>
      </w:r>
    </w:p>
    <w:p>
      <w:pPr>
        <w:spacing w:after="0" w:line="121"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Although we believe our training methods for dermatologists are conducted in compliance with FDA and other applicable regulations developed both nationally and in other countries, if the FDA or other regulatory agency determines that our training constitutes promotion of an unapproved use or promotion of an intended purpose not covered by the CE mark affixed to our products or FDA approved labeling, they could request that we modify our training or subject us to regulatory enforcement actions, including the issuance of a warning letter, injunction, seizure, civil fine, or criminal penalty.</w:t>
      </w:r>
    </w:p>
    <w:p>
      <w:pPr>
        <w:spacing w:after="0" w:line="129"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143"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To ensure adequate inventory supply, we must forecast inventory needs and place orders with suppliers based on our estimates of future demand for our products. Our ability to accurately forecast demand for our products could be negatively affected by many factors, including our failure to adequately manage our expansion efforts, product introductions by competitors, an increase or decrease in customer demand for our products or for products of our competitors, our failure to accurately forecast customer acceptance of new product enhancements, unanticipated changes in general market conditions or regulatory matters, and weakening of economic conditions or consumer confidence in future economic conditions.</w:t>
      </w:r>
    </w:p>
    <w:p>
      <w:pPr>
        <w:spacing w:after="0" w:line="134"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Inventory levels in excess of customer demand may result in inventory write-downs or write-offs, which would cause our gross margin to be adversely affected and could impair the strength of our brand. Similarly, a portion of our inventory could become obsolete or expire, which could have a material and adverse effect on our earnings and cash flows due to the resulting costs associated with inventory impairment charges and costs required to replace obsolete inventory. Any of these occurrences could negatively impact our financial performance.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7"/>
          <w:szCs w:val="17"/>
          <w:color w:val="auto"/>
        </w:rPr>
        <w:t>Conversely, if we underestimate customer demand for our products, we may not be able to deliver sufficient products to meet our customers’ requirements, which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resources to meet our increased requirements, which could have an adverse effect on our ability to meet customer demand for our products and our results of operations.</w:t>
      </w:r>
    </w:p>
    <w:p>
      <w:pPr>
        <w:spacing w:after="0" w:line="148" w:lineRule="exact"/>
        <w:rPr>
          <w:sz w:val="20"/>
          <w:szCs w:val="20"/>
          <w:color w:val="auto"/>
        </w:rPr>
      </w:pPr>
    </w:p>
    <w:p>
      <w:pPr>
        <w:jc w:val="both"/>
        <w:ind w:firstLine="440"/>
        <w:spacing w:after="0" w:line="343" w:lineRule="auto"/>
        <w:rPr>
          <w:sz w:val="20"/>
          <w:szCs w:val="20"/>
          <w:color w:val="auto"/>
        </w:rPr>
      </w:pPr>
      <w:r>
        <w:rPr>
          <w:rFonts w:ascii="Arial" w:cs="Arial" w:eastAsia="Arial" w:hAnsi="Arial"/>
          <w:sz w:val="15"/>
          <w:szCs w:val="15"/>
          <w:b w:val="1"/>
          <w:bCs w:val="1"/>
          <w:i w:val="1"/>
          <w:iCs w:val="1"/>
          <w:color w:val="auto"/>
        </w:rPr>
        <w:t>We have limited experience in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74"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Hayward, California where we produce, package and warehouse the CellFX System. We also rely on third-party manufacturers for production of some of the components used in the CellFX System. If our facility, or the facilities of our third-party contract manufacturers, suffer damage, or a force majeure event, this could materially impact our ability to operate.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17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143" w:lineRule="exact"/>
        <w:rPr>
          <w:sz w:val="20"/>
          <w:szCs w:val="20"/>
          <w:color w:val="auto"/>
        </w:rPr>
      </w:pPr>
    </w:p>
    <w:p>
      <w:pPr>
        <w:ind w:left="660" w:right="420"/>
        <w:spacing w:after="0" w:line="438" w:lineRule="auto"/>
        <w:rPr>
          <w:sz w:val="20"/>
          <w:szCs w:val="20"/>
          <w:color w:val="auto"/>
        </w:rPr>
      </w:pPr>
      <w:r>
        <w:rPr>
          <w:rFonts w:ascii="Arial" w:cs="Arial" w:eastAsia="Arial" w:hAnsi="Arial"/>
          <w:sz w:val="18"/>
          <w:szCs w:val="18"/>
          <w:color w:val="auto"/>
        </w:rPr>
        <w:t>failure to secure raw materials, components and materials in a timely manner, in sufficient quantities or on commercially reasonable terms; inability to secure raw materials, components and materials of sufficient quality to meet the exacting needs of medical device manufacturing; failure to maintain compliance with quality system requirements or pass regulatory quality inspections; inability to increase production capacity or volumes to meet demand; and</w:t>
      </w:r>
    </w:p>
    <w:p>
      <w:pPr>
        <w:spacing w:after="0" w:line="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4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Certain parts used in the manufacturing of our equipment may experience shortages in global supply which could impact our ability to manufacture our device for customers or maintain research and development timelines.</w:t>
      </w:r>
    </w:p>
    <w:p>
      <w:pPr>
        <w:spacing w:after="0" w:line="143"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There are several component parts used in the manufacture of our device that are used by many manufacturers in a variety of products. We will compete with other manufacturers for the supply of these components. Additionally, certain parts that are currently in our design may be discontinued by our suppliers requiring us to find alternative parts. This issue may require us to change the design of our device or purchase significant inventories of these parts in order to protect against manufacturing delays. We may not be able to procure alternative components or adequate raw material inventories which would result in an inability to produce our device.</w:t>
      </w:r>
    </w:p>
    <w:p>
      <w:pPr>
        <w:spacing w:after="0" w:line="15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As our international sales and operations grow, we could become increasingly subject to additional economic, political, and other risks that could harm our business.</w:t>
      </w:r>
    </w:p>
    <w:p>
      <w:pPr>
        <w:spacing w:after="0" w:line="143"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We have sales and operations both inside and outside the United States, including a limited sales and marketing organization outside the United States. Our short-term international sales strategy is to increase our presence in Europe and Canada. To successfully market and sell our products in markets outside of the United States, we must address many international business risks with which we have limited experience, and failure to manage these risks may adversely affect our operating results and financial condition. These risks include: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impact of recessions and other economic conditions in economies, including impact of COVID-19 pandemic,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instability of foreign economic, political and labor conditions;</w:t>
      </w:r>
    </w:p>
    <w:p>
      <w:pPr>
        <w:spacing w:after="0" w:line="17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unfavorable labor regulations applicable to our European operations, such as severance and the unenforceability of non-competition agreements in the European Union;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difficulties in complying with restrictions imposed by regulatory or market requirements, tariffs, or other trade barriers or by U.S. export laws;</w:t>
      </w:r>
    </w:p>
    <w:p>
      <w:pPr>
        <w:spacing w:after="0" w:line="183"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potentially adverse tax consequences, including, if required or applicable, difficulties transferring funds generated in non-U.S. jurisdictions to the United States in a tax efficient manner;</w:t>
      </w:r>
    </w:p>
    <w:p>
      <w:pPr>
        <w:spacing w:after="0" w:line="143" w:lineRule="exact"/>
        <w:rPr>
          <w:sz w:val="20"/>
          <w:szCs w:val="20"/>
          <w:color w:val="auto"/>
        </w:rPr>
      </w:pPr>
    </w:p>
    <w:p>
      <w:pPr>
        <w:ind w:left="660" w:right="4420"/>
        <w:spacing w:after="0" w:line="493" w:lineRule="auto"/>
        <w:rPr>
          <w:sz w:val="20"/>
          <w:szCs w:val="20"/>
          <w:color w:val="auto"/>
        </w:rPr>
      </w:pPr>
      <w:r>
        <w:rPr>
          <w:rFonts w:ascii="Arial" w:cs="Arial" w:eastAsia="Arial" w:hAnsi="Arial"/>
          <w:sz w:val="16"/>
          <w:szCs w:val="16"/>
          <w:color w:val="auto"/>
        </w:rPr>
        <w:t>difficulties in protecting intellectual property, especially in international jurisdictions; foreign certification and regulatory clearance or approval requirements;</w:t>
      </w:r>
    </w:p>
    <w:p>
      <w:pPr>
        <w:ind w:left="660" w:right="4220"/>
        <w:spacing w:after="0" w:line="438" w:lineRule="auto"/>
        <w:rPr>
          <w:sz w:val="20"/>
          <w:szCs w:val="20"/>
          <w:color w:val="auto"/>
        </w:rPr>
      </w:pPr>
      <w:r>
        <w:rPr>
          <w:rFonts w:ascii="Arial" w:cs="Arial" w:eastAsia="Arial" w:hAnsi="Arial"/>
          <w:sz w:val="18"/>
          <w:szCs w:val="18"/>
          <w:color w:val="auto"/>
        </w:rPr>
        <w:t>difficulties in developing effective marketing campaigns in unfamiliar foreign countries; customs clearance and shipping delays;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difficulties in managing international operations;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burdens of complying with a wide variety of foreign laws.</w:t>
      </w:r>
    </w:p>
    <w:p>
      <w:pPr>
        <w:spacing w:after="0" w:line="17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Our success depends, in part, on our ability to anticipate and address these and any new risks. We cannot guarantee that these or other factors will not adversely affect our business or operating results.</w:t>
      </w:r>
    </w:p>
    <w:p>
      <w:pPr>
        <w:spacing w:after="0" w:line="14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We could be negatively impacted by actual or perceived violations of applicable anti-corruption law or our own internal policies designed to ensure ethical business practices.</w:t>
      </w:r>
    </w:p>
    <w:p>
      <w:pPr>
        <w:spacing w:after="0" w:line="143"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spacing w:after="0" w:line="148"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spacing w:after="0" w:line="154"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6"/>
          <w:szCs w:val="16"/>
          <w:color w:val="auto"/>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76" w:lineRule="auto"/>
        <w:rPr>
          <w:sz w:val="20"/>
          <w:szCs w:val="20"/>
          <w:color w:val="auto"/>
        </w:rPr>
      </w:pPr>
      <w:r>
        <w:rPr>
          <w:rFonts w:ascii="Arial" w:cs="Arial" w:eastAsia="Arial" w:hAnsi="Arial"/>
          <w:sz w:val="16"/>
          <w:szCs w:val="16"/>
          <w:b w:val="1"/>
          <w:bCs w:val="1"/>
          <w:i w:val="1"/>
          <w:iCs w:val="1"/>
          <w:color w:val="auto"/>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1"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spacing w:after="0" w:line="134"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6"/>
          <w:szCs w:val="16"/>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believe we have not experienced any such attack or breach, both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(“CCPA”),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 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in November 2020, California voters approved a new privacy law, the California Privacy Rights Act (“CPRA”), which significantly modifies the CCPA, resulting in further uncertainty and requiring us to incur additional costs and expenses in an effort to comply. Most of the substantive provisions of the CPRA will not take effect until January 2023, however.</w:t>
      </w:r>
    </w:p>
    <w:p>
      <w:pPr>
        <w:spacing w:after="0" w:line="141"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Unauthorized access, loss or dissemination of data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50"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and internationally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b w:val="1"/>
          <w:bCs w:val="1"/>
          <w:i w:val="1"/>
          <w:iCs w:val="1"/>
          <w:color w:val="auto"/>
        </w:rPr>
        <w:t>We are subject to environmental regulations and any failure to comply with applicable laws could subject us to significant liabilities and harm our business.</w:t>
      </w:r>
    </w:p>
    <w:p>
      <w:pPr>
        <w:spacing w:after="0" w:line="143"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6"/>
          <w:szCs w:val="16"/>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fail to meet expectations relating to environmental, social and governance factors.</w:t>
      </w:r>
    </w:p>
    <w:p>
      <w:pPr>
        <w:spacing w:after="0" w:line="17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Market participants, including investors, analysts, customers, and other key stakeholders are increasingly focused on environmental, social and governance (“ESG”) factors. We have never had a comprehensive ESG initiative at the Company. Moreover, the ESG factors by which companies’ corporate responsibility practices are assessed differ among market participants, are constantly evolving and could result in greater expectations of us and/or cause us to undertake costly initiatives to satisfy such new criteria. We risk damage to our brand and reputation if our corporate responsibility procedures or standards do not meet the standards expected by us. Furthermore, we could fail, or be perceived to fail, in our achievement of any ESG initiatives or goals we may establish in the future and we could also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149"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limit commercialization of our product or any future products that we may develop.</w:t>
      </w:r>
    </w:p>
    <w:p>
      <w:pPr>
        <w:spacing w:after="0" w:line="143"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decreased demand for our product or any planned products that we may develop;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injury to our reputation and significant negative media attention;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withdrawal of patients from our clinical studies or cancellation of studies;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costs to defend the related litigation and distraction to our management team;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substantial monetary awards to patients;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of revenue;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inability to commercialize any future products that we may develop.</w:t>
      </w:r>
    </w:p>
    <w:p>
      <w:pPr>
        <w:spacing w:after="0" w:line="17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7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5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48"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43"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75"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43"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w:t>
      </w:r>
    </w:p>
    <w:p>
      <w:pPr>
        <w:spacing w:after="0" w:line="148" w:lineRule="exact"/>
        <w:rPr>
          <w:sz w:val="20"/>
          <w:szCs w:val="20"/>
          <w:color w:val="auto"/>
        </w:rPr>
      </w:pPr>
    </w:p>
    <w:p>
      <w:pPr>
        <w:jc w:val="both"/>
        <w:ind w:firstLine="440"/>
        <w:spacing w:after="0" w:line="274" w:lineRule="auto"/>
        <w:rPr>
          <w:sz w:val="20"/>
          <w:szCs w:val="20"/>
          <w:color w:val="auto"/>
        </w:rPr>
      </w:pPr>
      <w:r>
        <w:rPr>
          <w:rFonts w:ascii="Arial" w:cs="Arial" w:eastAsia="Arial" w:hAnsi="Arial"/>
          <w:sz w:val="17"/>
          <w:szCs w:val="17"/>
          <w:b w:val="1"/>
          <w:bCs w:val="1"/>
          <w:i w:val="1"/>
          <w:iCs w:val="1"/>
          <w:color w:val="auto"/>
        </w:rPr>
        <w:t>Our long-term growth depends on our ability to commercialize our products in development and to develop and commercialize additional products through our research and development efforts, and if we fail to do so we may be unable to compete effectively.</w:t>
      </w:r>
    </w:p>
    <w:p>
      <w:pPr>
        <w:spacing w:after="0" w:line="121"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The medical device industry is characterized by intense competition, rapid technological changes, new product introductions and enhancements, and evolving industry standards. Our business prospects depend in part on our ability to develop and commercialize new products and applications for our NPS technology, including in new markets that develop as a result of technological and scientific advances, while improving the performance and cost-effectiveness of our products in the dermatology market.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We might be unable to successfully commercialize our current products with domestic or international regulatory clearances or approvals or develop or obtain regulatory clearances or approvals to market new products. Additionally, these products and any future products might not be accepted by dermatologists or other health care workers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properly identify and anticipate clinician and patient needs;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develop and introduce new products or product enhancements in a timely manner;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demonstrate the safety and efficacy of new products;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 the necessary regulatory clearances or approvals for new products or product enhancements.</w:t>
      </w:r>
    </w:p>
    <w:p>
      <w:pPr>
        <w:spacing w:after="0" w:line="171"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50" w:lineRule="exact"/>
        <w:rPr>
          <w:sz w:val="20"/>
          <w:szCs w:val="20"/>
          <w:color w:val="auto"/>
        </w:rPr>
      </w:pPr>
    </w:p>
    <w:p>
      <w:pPr>
        <w:jc w:val="both"/>
        <w:ind w:firstLine="440"/>
        <w:spacing w:after="0" w:line="274" w:lineRule="auto"/>
        <w:rPr>
          <w:sz w:val="20"/>
          <w:szCs w:val="20"/>
          <w:color w:val="auto"/>
        </w:rPr>
      </w:pPr>
      <w:r>
        <w:rPr>
          <w:rFonts w:ascii="Arial" w:cs="Arial" w:eastAsia="Arial" w:hAnsi="Arial"/>
          <w:sz w:val="17"/>
          <w:szCs w:val="17"/>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21"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If we fail to maintain necessary regulatory clearance for our product, or if clearances or approvals for future devices and indications are delayed or not issued, our commercial operations would be harmed.</w:t>
      </w:r>
    </w:p>
    <w:p>
      <w:pPr>
        <w:spacing w:after="0" w:line="14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device design, development and manufacture;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laboratory, preclinical and clinical testing, labeling, packaging, and storage;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premarketing clearance or approval;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keeping;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device marketing, promotion and advertising, sales and distribution;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post-marketing surveillance, including reporting of deaths and serious injuries and recalls and correction and removals.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53"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In February 2021, we received a 510(k) clearance from the FDA for the CellFX System for dermatologic procedures requiring ablation and resurfacing of the skin. We plan to pursue specific indications for the CellFX System, starting with an indication for the treatment of SH lesions, requiring additional 510(k) submissions for each indication, and will likely be based on comparative clinical data. In February 2022, we received an Additional Information (“AI”) letter from the FDA in response to a 510(k) submission to the FDA to add the specific indication for the treatment of sebaceous hyperplasia to expand the CellFX System’s current labeling. In the AI letter, the FDA stated it did not believe the Company provided sufficient clinical evidence at this time to support the expanded indication for use, and that the Company had not met the primary endpoints of the sebaceous hyperplasia FDA-approved IDE study. The Company anticipates meeting with the FDA to discuss the contents of the AI letter and potential next steps, which may require additional clinical data and potentially a new 510(k) submission.</w:t>
      </w:r>
    </w:p>
    <w:p>
      <w:pPr>
        <w:spacing w:after="0" w:line="149"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Any failure to obtain further 510(k) clearances may add significant time and expense to our regulatory clearance process, may delay our ability to generate revenue, and may have a negative impact on our stock price. We may not be able to obtain the necessary clearances or approvals necessary to market the CellFX System for specific indications or such approvals or clearances may be unduly delayed, which could harm our business. If the FDA rejects our 510(k) submissions for specific indications, we may be required to obtain FDA approval through the de novo pathway, which will require additional time and resources, including the need to conduct more clinical studies to demonstrate safety and effectiveness of our candidate device.</w:t>
      </w:r>
    </w:p>
    <w:p>
      <w:pPr>
        <w:spacing w:after="0" w:line="134"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44"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5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adverse publicity, warning letters, fines, injunctions, consent decrees, and civil penalties;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obligations to repair, replace, refund, or recall our marketed devices, or government seizure of them;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restrictions, partial suspension, or total shutdown of production;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refusing our requests for 510(k) clearance or premarket approval of new devices, new intended uses or modifications to existing devices;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withdrawing 510(k) clearance or premarket approvals that have already been granted;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criminal prosecution.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technology platform has not been fully determined or validated.</w:t>
      </w:r>
    </w:p>
    <w:p>
      <w:pPr>
        <w:spacing w:after="0" w:line="17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The exact mechanism(s) of action(s) of the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44"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Our product and any future product candidates may cause serious adverse side effects or have other properties that could delay or prevent their regulatory approval, limit their commercial desirability or result in significant negative consequences.</w:t>
      </w:r>
    </w:p>
    <w:p>
      <w:pPr>
        <w:spacing w:after="0" w:line="143"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The risk of failure of clinical development is high. For example, the vast majority of our in vivo data has been a result of animal testing, and we have only completed a limited number of feasibility studies in humans. Undesirable side effects caused by the CellFX System, NPS pulses, or any of our planned future products could cause us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5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Additionally, if we or others identify undesirable side effects caused by the CellFX System, a number of potentially significant negative consequences could result, including:</w:t>
      </w:r>
    </w:p>
    <w:p>
      <w:pPr>
        <w:spacing w:after="0" w:line="143" w:lineRule="exact"/>
        <w:rPr>
          <w:sz w:val="20"/>
          <w:szCs w:val="20"/>
          <w:color w:val="auto"/>
        </w:rPr>
      </w:pPr>
    </w:p>
    <w:p>
      <w:pPr>
        <w:ind w:left="660" w:right="4520"/>
        <w:spacing w:after="0" w:line="464" w:lineRule="auto"/>
        <w:rPr>
          <w:sz w:val="20"/>
          <w:szCs w:val="20"/>
          <w:color w:val="auto"/>
        </w:rPr>
      </w:pPr>
      <w:r>
        <w:rPr>
          <w:rFonts w:ascii="Arial" w:cs="Arial" w:eastAsia="Arial" w:hAnsi="Arial"/>
          <w:sz w:val="17"/>
          <w:szCs w:val="17"/>
          <w:color w:val="auto"/>
        </w:rPr>
        <w:t>we may be forced to recall such product and suspend the marketing of such product; regulatory authorities may withdraw their approvals of such product;</w:t>
      </w:r>
    </w:p>
    <w:p>
      <w:pPr>
        <w:ind w:left="660"/>
        <w:spacing w:after="0" w:line="246" w:lineRule="auto"/>
        <w:rPr>
          <w:sz w:val="20"/>
          <w:szCs w:val="20"/>
          <w:color w:val="auto"/>
        </w:rPr>
      </w:pPr>
      <w:r>
        <w:rPr>
          <w:rFonts w:ascii="Arial" w:cs="Arial" w:eastAsia="Arial" w:hAnsi="Arial"/>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43"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43" w:lineRule="exact"/>
        <w:rPr>
          <w:sz w:val="20"/>
          <w:szCs w:val="20"/>
          <w:color w:val="auto"/>
        </w:rPr>
      </w:pPr>
    </w:p>
    <w:p>
      <w:pPr>
        <w:ind w:left="660" w:right="2680"/>
        <w:spacing w:after="0" w:line="438" w:lineRule="auto"/>
        <w:rPr>
          <w:sz w:val="20"/>
          <w:szCs w:val="20"/>
          <w:color w:val="auto"/>
        </w:rPr>
      </w:pPr>
      <w:r>
        <w:rPr>
          <w:rFonts w:ascii="Arial" w:cs="Arial" w:eastAsia="Arial" w:hAnsi="Arial"/>
          <w:sz w:val="18"/>
          <w:szCs w:val="18"/>
          <w:color w:val="auto"/>
        </w:rPr>
        <w:t>the FDA may restrict distribution of our product and impose burdensome implementation requirements on us; we may be required to change the way the product is administered or conduct additional clinical trials; we could be sued and held liable for harm caused to subjects or patients; and our reputation could suffer.</w:t>
      </w:r>
    </w:p>
    <w:p>
      <w:pPr>
        <w:spacing w:after="0" w:line="1"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CellFX System or of any future particular planned product, if approved.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Our business is dependent upon physicians adopting the CellFX System and NPS technology, and if we fail to obtain broad adoption, our business would be adversely affected.</w:t>
      </w:r>
    </w:p>
    <w:p>
      <w:pPr>
        <w:spacing w:after="0" w:line="143"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Our success depends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the CellFX System or NPS technology with alternative treatments may be expensive, time consuming or may not yield positive results. Additionally, adoption will be directly influenced by a number of financial factors, including the ability of providers to use the CellFX System profitably and to attract cash payments from patients or to obtain sufficient reimbursement from third-party commercial payors and from the Centers for Medicare &amp; Medicaid Services (“CMS”) for the professional services they provide in administering CellFX procedures. The efficacy, safety, performance, and cost-effectiveness of the CellFX System, NPS technology, or other potential products based on NPS technology, on a stand-alone basis and relative to competing services, will determine the availability and level of reimbursement received by us and providers. If physicians do not adopt and prescribe the CellFX System or future products using our NPS technology, we may never become profitable.</w:t>
      </w:r>
    </w:p>
    <w:p>
      <w:pPr>
        <w:spacing w:after="0" w:line="154" w:lineRule="exact"/>
        <w:rPr>
          <w:sz w:val="20"/>
          <w:szCs w:val="20"/>
          <w:color w:val="auto"/>
        </w:rPr>
      </w:pPr>
    </w:p>
    <w:p>
      <w:pPr>
        <w:jc w:val="both"/>
        <w:ind w:firstLine="440"/>
        <w:spacing w:after="0" w:line="274" w:lineRule="auto"/>
        <w:rPr>
          <w:sz w:val="20"/>
          <w:szCs w:val="20"/>
          <w:color w:val="auto"/>
        </w:rPr>
      </w:pPr>
      <w:r>
        <w:rPr>
          <w:rFonts w:ascii="Arial" w:cs="Arial" w:eastAsia="Arial" w:hAnsi="Arial"/>
          <w:sz w:val="17"/>
          <w:szCs w:val="17"/>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121"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39"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43"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CellFX procedures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71"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76" w:lineRule="auto"/>
        <w:rPr>
          <w:sz w:val="20"/>
          <w:szCs w:val="20"/>
          <w:color w:val="auto"/>
        </w:rPr>
      </w:pPr>
      <w:r>
        <w:rPr>
          <w:rFonts w:ascii="Arial" w:cs="Arial" w:eastAsia="Arial" w:hAnsi="Arial"/>
          <w:sz w:val="16"/>
          <w:szCs w:val="16"/>
          <w:b w:val="1"/>
          <w:bCs w:val="1"/>
          <w:i w:val="1"/>
          <w:iCs w:val="1"/>
          <w:color w:val="auto"/>
        </w:rPr>
        <w:t>We may encounter manufacturing problems or delays that could result in lost revenue.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12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We are in the process of commencing commercial-scale manufacturing of our product, and we currently rely upon third-party suppliers to manufacture and supply components for the CellFX System. We perform final assembly of our devices at our facility in California. We believe we have an adequate inventory of materials and manufacturing capacity to support all our anticipated commercial launch activities. However, if demand for our product increases significantly, we will need to either expand our manufacturing capabilities or outsource to other manufacturers.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49"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 in a manner that conforms to our specifications and these strict regulatory requirements, we may not be able to rely on their manufacturing facilities for the manufacture of our product.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50"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We currently purchase components for the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43"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49"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6"/>
          <w:szCs w:val="16"/>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38"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49"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our product and product candidates. These scientists may have other commitments or conflicts of interest, which could limit our access to their expertise, harm our ability to leverage our discovery platforms, or negatively impact our clinical trials.</w:t>
      </w:r>
    </w:p>
    <w:p>
      <w:pPr>
        <w:spacing w:after="0" w:line="148"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We work with scientific advisors and collaborators at academic research institutions in connection with our product development efforts. These scientists and collaborators are not our employees, but they serve as either independent contractors or researchers under research agreements that we have with their sponsoring clinic, academic institution or research institution. These scientists and collaborators may have other commitments limiting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could cause competitive harm to our business. To the extent these scientists and collaborators, including those assisting us with our clinical trials, may receive cash or equity compensation in connection with such services from time to time, these relationships and any related compensation may result in perceived or actual conflicts of interest, or cause a regulatory authority to conclude that the financial relationship may have affected the interpretation of the trial, such that the integrity of the data generated by them or by their institutions may be questioned and the utility of the data itself may be jeopardized, which could result in the delay or rejection of any marketing application we submit.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43"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343" w:lineRule="auto"/>
        <w:rPr>
          <w:sz w:val="20"/>
          <w:szCs w:val="20"/>
          <w:color w:val="auto"/>
        </w:rPr>
      </w:pPr>
      <w:r>
        <w:rPr>
          <w:rFonts w:ascii="Arial" w:cs="Arial" w:eastAsia="Arial" w:hAnsi="Arial"/>
          <w:sz w:val="15"/>
          <w:szCs w:val="15"/>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74"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51"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71" w:lineRule="exact"/>
        <w:rPr>
          <w:sz w:val="20"/>
          <w:szCs w:val="20"/>
          <w:color w:val="auto"/>
        </w:rPr>
      </w:pPr>
    </w:p>
    <w:p>
      <w:pPr>
        <w:jc w:val="both"/>
        <w:ind w:right="20" w:firstLine="440"/>
        <w:spacing w:after="0" w:line="27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1"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others may independently develop similar or alternative technologies without infringing on our intellectual property rights;</w:t>
      </w:r>
    </w:p>
    <w:p>
      <w:pPr>
        <w:spacing w:after="0" w:line="171"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43"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4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fail to develop additional proprietary technologies that are patentable;</w:t>
      </w:r>
    </w:p>
    <w:p>
      <w:pPr>
        <w:spacing w:after="0" w:line="171"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4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43"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6"/>
          <w:szCs w:val="16"/>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3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43"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50"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148"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even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If we are unable to establish name recognition based on our trademarks and trade names, then our marketing abilities may be impacted.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143"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take a significant indeterminate amount of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require the expenditure of substantial resources;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involve rigorous preclinical and clinical testing, and possibly post-market surveillance;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involve modifications, repairs or replacements of our products;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require design changes of our products;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result in limitations on the indicated uses of our products;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result in our never being granted the regulatory approval or clearance we seek.</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experience any of these occurrences, our operations may suffer and we might experience harm to our competitive standing, which could adversely affect our financial condition.</w:t>
      </w:r>
    </w:p>
    <w:p>
      <w:pPr>
        <w:spacing w:after="0" w:line="143"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The continuing development of the CellFX System and other products depends upon maintaining strong working relationships with physicians.</w:t>
      </w:r>
    </w:p>
    <w:p>
      <w:pPr>
        <w:spacing w:after="0" w:line="206"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6"/>
          <w:szCs w:val="16"/>
          <w:color w:val="auto"/>
        </w:rPr>
        <w:t>The development, marketing, and sale of the CellFX System, and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43"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50" w:lineRule="exact"/>
        <w:rPr>
          <w:sz w:val="20"/>
          <w:szCs w:val="20"/>
          <w:color w:val="auto"/>
        </w:rPr>
      </w:pPr>
    </w:p>
    <w:p>
      <w:pPr>
        <w:jc w:val="both"/>
        <w:ind w:left="660"/>
        <w:spacing w:after="0" w:line="239" w:lineRule="auto"/>
        <w:rPr>
          <w:sz w:val="20"/>
          <w:szCs w:val="20"/>
          <w:color w:val="auto"/>
        </w:rPr>
      </w:pPr>
      <w:r>
        <w:rPr>
          <w:rFonts w:ascii="Arial" w:cs="Arial" w:eastAsia="Arial" w:hAnsi="Arial"/>
          <w:sz w:val="17"/>
          <w:szCs w:val="17"/>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49" w:lineRule="exact"/>
        <w:rPr>
          <w:sz w:val="20"/>
          <w:szCs w:val="20"/>
          <w:color w:val="auto"/>
        </w:rPr>
      </w:pPr>
    </w:p>
    <w:p>
      <w:pPr>
        <w:jc w:val="both"/>
        <w:ind w:left="660"/>
        <w:spacing w:after="0" w:line="228" w:lineRule="auto"/>
        <w:rPr>
          <w:sz w:val="20"/>
          <w:szCs w:val="20"/>
          <w:color w:val="auto"/>
        </w:rPr>
      </w:pPr>
      <w:r>
        <w:rPr>
          <w:rFonts w:ascii="Arial" w:cs="Arial" w:eastAsia="Arial" w:hAnsi="Arial"/>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51" w:lineRule="exact"/>
        <w:rPr>
          <w:sz w:val="20"/>
          <w:szCs w:val="20"/>
          <w:color w:val="auto"/>
        </w:rPr>
      </w:pPr>
    </w:p>
    <w:p>
      <w:pPr>
        <w:jc w:val="both"/>
        <w:ind w:left="660"/>
        <w:spacing w:after="0" w:line="246" w:lineRule="auto"/>
        <w:rPr>
          <w:sz w:val="20"/>
          <w:szCs w:val="20"/>
          <w:color w:val="auto"/>
        </w:rPr>
      </w:pPr>
      <w:r>
        <w:rPr>
          <w:rFonts w:ascii="Arial" w:cs="Arial" w:eastAsia="Arial" w:hAnsi="Arial"/>
          <w:sz w:val="17"/>
          <w:szCs w:val="17"/>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44" w:lineRule="exact"/>
        <w:rPr>
          <w:sz w:val="20"/>
          <w:szCs w:val="20"/>
          <w:color w:val="auto"/>
        </w:rPr>
      </w:pPr>
    </w:p>
    <w:p>
      <w:pPr>
        <w:jc w:val="both"/>
        <w:ind w:left="660"/>
        <w:spacing w:after="0" w:line="246" w:lineRule="auto"/>
        <w:rPr>
          <w:sz w:val="20"/>
          <w:szCs w:val="20"/>
          <w:color w:val="auto"/>
        </w:rPr>
      </w:pPr>
      <w:r>
        <w:rPr>
          <w:rFonts w:ascii="Arial" w:cs="Arial" w:eastAsia="Arial" w:hAnsi="Arial"/>
          <w:sz w:val="17"/>
          <w:szCs w:val="17"/>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44"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34"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the CCPA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4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37" w:lineRule="exact"/>
        <w:rPr>
          <w:sz w:val="20"/>
          <w:szCs w:val="20"/>
          <w:color w:val="auto"/>
        </w:rPr>
      </w:pPr>
    </w:p>
    <w:p>
      <w:pPr>
        <w:jc w:val="both"/>
        <w:ind w:firstLine="440"/>
        <w:spacing w:after="0" w:line="252" w:lineRule="auto"/>
        <w:rPr>
          <w:sz w:val="20"/>
          <w:szCs w:val="20"/>
          <w:color w:val="auto"/>
        </w:rPr>
      </w:pPr>
      <w:r>
        <w:rPr>
          <w:rFonts w:ascii="Arial" w:cs="Arial" w:eastAsia="Arial" w:hAnsi="Arial"/>
          <w:sz w:val="16"/>
          <w:szCs w:val="16"/>
          <w:color w:val="auto"/>
        </w:rPr>
        <w:t>We have implemented compliance related programs and procedures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 In addition, we are subject to the risk that a person or government could allege violations of such laws, regulations and other obligations, or allege that fraud or other misconduct has taken place, even if no misconduct has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4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Also, any material change to any of the laws or regulations applicable to our business could harm our business, financial condition and results of operations.</w:t>
      </w:r>
    </w:p>
    <w:p>
      <w:pPr>
        <w:spacing w:after="0" w:line="14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48"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not deem a technology or device to be reasonably safe or effective for any intended use or indication;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interpret data from preclinical and clinical testing differently than we do;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determine our manufacturing facility or processes do not comply with quality system regulations;</w:t>
      </w:r>
    </w:p>
    <w:p>
      <w:pPr>
        <w:spacing w:after="0" w:line="17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may conclude that our products do not meet quality standards for durability, long-term reliability, biocompatibility, electromagnetic compatibility, or electrical safety; or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change their approval or clearance policies or adopt new regulations in a manner that is adverse to us.</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43"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will be subject to ongoing requirements and inspections that could lead to the restriction, suspension or revocation of our clearance.</w:t>
      </w:r>
    </w:p>
    <w:p>
      <w:pPr>
        <w:spacing w:after="0" w:line="194"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49"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43"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50"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43" w:lineRule="exact"/>
        <w:rPr>
          <w:sz w:val="20"/>
          <w:szCs w:val="20"/>
          <w:color w:val="auto"/>
        </w:rPr>
      </w:pPr>
    </w:p>
    <w:p>
      <w:pPr>
        <w:jc w:val="both"/>
        <w:ind w:firstLine="440"/>
        <w:spacing w:after="0" w:line="224" w:lineRule="auto"/>
        <w:rPr>
          <w:sz w:val="20"/>
          <w:szCs w:val="20"/>
          <w:color w:val="auto"/>
        </w:rPr>
      </w:pPr>
      <w:r>
        <w:rPr>
          <w:rFonts w:ascii="Arial" w:cs="Arial" w:eastAsia="Arial" w:hAnsi="Arial"/>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Healthcare policy changes, including recent federal legislation to reform the U.S. healthcare system, may have a material adverse effect on us.</w:t>
      </w:r>
    </w:p>
    <w:p>
      <w:pPr>
        <w:spacing w:after="0" w:line="206"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43"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results of clinical trials of our planned products or those of our competitors;</w:t>
      </w:r>
    </w:p>
    <w:p>
      <w:pPr>
        <w:spacing w:after="0" w:line="17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actions by regulatory bodies, such as the FDA, that affect our business or have the effect of delaying or rejecting approval or clearance of our planned products;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actual or anticipated fluctuations in our financial condition and operating results;</w:t>
      </w:r>
    </w:p>
    <w:p>
      <w:pPr>
        <w:spacing w:after="0" w:line="171" w:lineRule="exact"/>
        <w:rPr>
          <w:sz w:val="20"/>
          <w:szCs w:val="20"/>
          <w:color w:val="auto"/>
        </w:rPr>
      </w:pPr>
    </w:p>
    <w:p>
      <w:pPr>
        <w:ind w:left="660" w:right="1500"/>
        <w:spacing w:after="0" w:line="438" w:lineRule="auto"/>
        <w:rPr>
          <w:sz w:val="20"/>
          <w:szCs w:val="20"/>
          <w:color w:val="auto"/>
        </w:rPr>
      </w:pPr>
      <w:r>
        <w:rPr>
          <w:rFonts w:ascii="Arial" w:cs="Arial" w:eastAsia="Arial" w:hAnsi="Arial"/>
          <w:sz w:val="18"/>
          <w:szCs w:val="18"/>
          <w:color w:val="auto"/>
        </w:rPr>
        <w:t>announcements by our customers, partners or suppliers relating directly or indirectly to our products, services or technologies; announcements of technological innovations by us or our competitors;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laws or regulations applicable to the CellFX System or to our planned products;</w:t>
      </w:r>
    </w:p>
    <w:p>
      <w:pPr>
        <w:spacing w:after="0" w:line="17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additions or departures of key personnel;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competition from existing products or new products that may emerge;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actual or alleged security breaches;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announcements or expectations of additional financing efforts;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of our common stock by us or our stockholders;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price and volume fluctuations attributable to inconsistent trading volume levels of our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reports, guidance and ratings issued by securities or industry analysts;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overall conditions in our industry and market including the negative impact of COVID-19 on the global economy and markets;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economic and market conditions.</w:t>
      </w:r>
    </w:p>
    <w:p>
      <w:pPr>
        <w:spacing w:after="0" w:line="171"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or purchases of shares of our common stock may adversely affect the market for our common stock.</w:t>
      </w:r>
    </w:p>
    <w:p>
      <w:pPr>
        <w:spacing w:after="0" w:line="171"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Board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3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Additionally, we may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44"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43"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4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A majority percentage of our outstanding stock is held by Robert W. Duggan, Chairman of our Board, who beneficially owns approximately 51% of our common stock outstanding as of the date of this Annual Report. As a result, Mr. Duggan has control over corporate actions requiring stockholder approval, including the following actions: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elect or defeat the election of our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amend or prevent amendment of our certificate of incorporation or bylaws;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effect or prevent a merger, sale of assets or other corporate transaction;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control the outcome of any other matter submitted to our stockholders for vote.</w:t>
      </w:r>
    </w:p>
    <w:p>
      <w:pPr>
        <w:spacing w:after="0" w:line="171"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are executives at Summit Therapeutics Inc., another company in which Mr. Duggan holds a controlling equity interest.</w:t>
      </w:r>
    </w:p>
    <w:p>
      <w:pPr>
        <w:spacing w:after="0" w:line="134"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48"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48"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48"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b w:val="1"/>
          <w:bCs w:val="1"/>
          <w:i w:val="1"/>
          <w:iCs w:val="1"/>
          <w:color w:val="auto"/>
        </w:rPr>
        <w:t>Robert W. Duggan’s controlling ownership position may impact our stock price and may deter or prevent efforts by others to acquire us, which could prevent our stockholders from realizing a control premium.</w:t>
      </w:r>
    </w:p>
    <w:p>
      <w:pPr>
        <w:spacing w:after="0" w:line="143"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color w:val="auto"/>
        </w:rPr>
        <w:t>Robert W. Duggan is our Board Chairman, and beneficially owns approximately 51% of our common stock outstanding as of the date of this Annual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controlling ownership and position as Board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43"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 -Oxley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48"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49"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We are a “smaller reporting company”; we cannot be certain if the applicable reduced disclosure requirements will make our common stock less attractive to investors.</w:t>
      </w:r>
    </w:p>
    <w:p>
      <w:pPr>
        <w:spacing w:after="0" w:line="143"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Through the end of 2021, we were an “emerging growth company,” as defined in the JOBS Act, and we took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are no longer an emerging growth company, however, we still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50"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43"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7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48"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48"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4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83"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4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4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 our board of directors the ability to amend our bylaws by majority vote;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8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183" w:lineRule="exact"/>
        <w:rPr>
          <w:sz w:val="20"/>
          <w:szCs w:val="20"/>
          <w:color w:val="auto"/>
        </w:rPr>
      </w:pPr>
    </w:p>
    <w:p>
      <w:pPr>
        <w:jc w:val="both"/>
        <w:ind w:firstLine="440"/>
        <w:spacing w:after="0" w:line="22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the CellFX System,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5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48"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50"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6"/>
          <w:szCs w:val="16"/>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71"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business may be adversely affected by health epidemics including the coronavirus pandemic.</w:t>
      </w:r>
    </w:p>
    <w:p>
      <w:pPr>
        <w:spacing w:after="0" w:line="17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COVID-19 pandemic has resulted in government authorities implementing numerous measures to try to contain the virus, such as travel bans and restrictions, quarantines, shelter-in-place or stay-at-home orders, and business shutdowns.</w:t>
      </w:r>
    </w:p>
    <w:p>
      <w:pPr>
        <w:spacing w:after="0" w:line="143"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For most of 2020 and much of 2021, we required, in accordance with local and state guidelines regarding the COVID-19 pandemic, all of our employees to work remotely unless they could not perform their essential functions remotely. We also suspended all non-essential travel for our employees. While many of our employees are accustomed to working remotely or working with other remote employees, much of our workforce has not historically been remote. We continue to monitor the situation and may adjust our current policies as more information and public health guidance becomes available. Operational restrictions as a result of the COVD-19 pandemic could harm our business, financial condition and results of operations.</w:t>
      </w:r>
    </w:p>
    <w:p>
      <w:pPr>
        <w:spacing w:after="0" w:line="134"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In addition, our clinical trials may be affected by the continuing COVID-19 pandemic. Site initiation and patient enrollment may be delayed, for example, due to prioritization of hospital resources toward the COVID-19 pandemic, travel restrictions imposed by governments, and the inability to access sites for initiation and monitoring. Some of our suppliers of certain materials used in the production of the CellFX System are located in areas heavily impacted by COVID-19 which could limit our ability to obtain sufficient materials. COVID-19 has and will continue to adversely affect global economies and financial markets of many countries, resulting in an economic downturn that could affect demand for the CellFX System and other product candidates, if approved, and impact our operating results. Even after the COVID-19 pandemic has subsided, we may continue to experience an adverse impact to our business as a result of the continued global economic impact of the pandemic. Although we are continuing to monitor and assess the effects of the COVID-19 pandemic on our business, the ultimate impact of the COVID-19 pandemic or a similar health epidemic is highly uncertain and subject to change.</w:t>
      </w:r>
    </w:p>
    <w:p>
      <w:pPr>
        <w:spacing w:after="0" w:line="137"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43"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We currently lease approximately 50,300 square feet of premises located in Hayward, California, which is used for our corporate headquarters and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our existing and expanded facilities will be sufficient to meet our needs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w:t>
      </w:r>
    </w:p>
    <w:p>
      <w:pPr>
        <w:spacing w:after="0" w:line="148"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6"/>
          <w:szCs w:val="16"/>
          <w:color w:val="auto"/>
        </w:rPr>
        <w:t>In February 2022, a civil securities lawsuit was filed in the U.S. District Court for the Northern District of California against the Company and certain of its executive officers, following the Company’s announcement on February 8, 2022 that it had received an Additional Information letter from the FDA indicating that the FDA did not believe the Company provided sufficient clinical evidence to support its 510(k) submission to add the treatment of sebaceous hyperplasia to the CellFX System’s current U.S. labeling, and the subsequent decline of the market price of the Company’s common stock. The Company is currently evaluating the case and its allegations. The lawsuit seeks class certification, unspecified damages, fees, costs, and expenses. The Company expects to file a motion to dismiss the case later this year, and an estimate of possible loss or range of loss, if any, cannot be made.</w:t>
      </w:r>
    </w:p>
    <w:p>
      <w:pPr>
        <w:spacing w:after="0" w:line="136"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The results of legal proceedings and claims are inherently unpredictable. However, we do not believe any currently pending matters will have a material adverse effect on our business based on our current understanding of such matters.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98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Nasdaq and has been traded under the symbol “PLSE” since May 18,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7"/>
          <w:szCs w:val="17"/>
          <w:color w:val="auto"/>
        </w:rPr>
        <w:t>As of March 25, 2022, there were approximately 12 stockholders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We have never declared or paid any cash dividend on our common stock and have no present plans to do so. We intend to retain earnings for use in the operation and expansion of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performance graph included in this Annual Report on Form 10-K shall not be deemed “filed” for purposes of Section 18 of the Securities Exchange Act of 1934, as amended (“Exchange Act”), or incorporated by reference into any filing of Pulse Biosciences, Inc. under the Securities Act of 1933, as amended, or the Exchange Act, except as shall be expressly set forth by specific reference in such filing.</w:t>
      </w:r>
    </w:p>
    <w:p>
      <w:pPr>
        <w:spacing w:after="0" w:line="148"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following graph matches our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December 31, 2016, to December 31, 2021.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222885</wp:posOffset>
            </wp:positionV>
            <wp:extent cx="5760720" cy="47917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0720" cy="479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thereto included in Item 8 under the heading “Financial Statements and Supplementary Data”. Some of the information contained in this discussion and analysis or set forth elsewhere in this Form 10-K contains forward-looking statements that involve risks and uncertainties, including statements regarding our expected financial results in future periods. The words “anticipates,” “believes,” “could,” “estimates,” “expects,” “intends,” “may,” “might,”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Form 10-K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We are a novel bioelectric medicine company committed to health innovation using an entirely new and proprietary energy modality. The CellFX System is the first commercial product to harness the distinctive advantages of our proprietary Nano-Pulse Stimulation technology. The CellFX System delivers nano 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44"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7"/>
          <w:szCs w:val="17"/>
          <w:color w:val="auto"/>
        </w:rPr>
        <w:t>In January 2021, we received CE marking approval for the CellFX System, which allows us to market the system in the European Union and, in June 2021, we received Health Canada approval for the CellFX System, which allows for marketing of the system in Canada. The CE mark and Health Canada approvals allow us to market the CellFX System for use in dermatological procedures requiring ablation and resurfacing of the skin for the reduction, removal, and/or clearance of cellular-based benign lesions, including SH, SK, and cutaneous non-genital warts. In February 2021, we received 510(k) clearance from the FDA for the CellFX System for dermatologic procedures requiring ablation and resurfacing of the skin.</w:t>
      </w:r>
    </w:p>
    <w:p>
      <w:pPr>
        <w:spacing w:after="0" w:line="148"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6"/>
          <w:szCs w:val="16"/>
          <w:color w:val="auto"/>
        </w:rPr>
        <w:t>In February 2021, we initiated controlled launch programs in the United States and the European Union and in June 2021 we initiated a controlled launch program in Canada (collectively, our “Controlled Launch”). Under the Controlled Launch program, the physicians and their patients complete evaluation surveys about their experiences with the CellFX System and provide other information helpful to defining best practices for the introduction of the CellFX System into the clinic practice. As of December 31, 2021, we onboarded a total of seventy CellFX Controlled Launch Program participants across the United States, Europe, and Canada, completing program enrollment. In August 2021, we began to convert Controlled Launch Program participants into sales agreements, triggering revenue recognition. As of December 31, 2021, twenty-nine Controlled Launch Program participants opted to purchase their CellFX System and six clinics opted out of the program. An objective of the Controlled Launch program is to turn participating clinics into high utilization commercial customers that will serve as important reference clinics for future commercial customers.</w:t>
      </w:r>
    </w:p>
    <w:p>
      <w:pPr>
        <w:spacing w:after="0" w:line="137"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We initially expected clinics to complete the program requirements within three to five months. However, the average time for clinics that have completed the Controlled Launch program has been seven months. We continue to gain valuable information from the Controlled Launch process. While the real-world delivery of NPS technology through the CellFX System has proven to clear benign lesions in clinical studies, we have learned that the market development for benign lesions and the integration of this procedure into the practice workflow will require a higher touch model to generate the system utilization we are expecting. We now expect clinics to continue to move through the program throughout 2022, as they complete the program requirements.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Controlled Launch participants that have opted to purchase the CellFX System for commercial use have performed CellFX procedures since becoming commercial users and, in the aggregate, have increased the number of treatment sessions per month. Currently, our commercial clinics are averaging ten patient treatment sessions per month wither their CellFX System. Our goal for the end of 2022 is to increase utilization to forty patient treatment sessions per month at our current commercial clinics. To drive this increased utilization and emphasis on education, training and marketing at our current accounts, we have implemented changes to our commercial leadership, restructured our commercial field organization and modified our strategy in support of our utilization focus and reduced emphasis on new system sales in the near-term. In February 2022, we appointed Kevin Danahy as Chief Commercial Officer. Mr. Danahy has a proven track record of building exceptional commercial teams and implementing strategies to drive market penetration and significant growth with disruptive medical technologies across a variety of medical disciplines. Under Mr. Danahy’s leadership, the near-term focus of our commercial team’s efforts will be to increase utilization at our commercial clinics.</w:t>
      </w:r>
    </w:p>
    <w:p>
      <w:pPr>
        <w:spacing w:after="0" w:line="153" w:lineRule="exact"/>
        <w:rPr>
          <w:sz w:val="20"/>
          <w:szCs w:val="20"/>
          <w:color w:val="auto"/>
        </w:rPr>
      </w:pPr>
    </w:p>
    <w:p>
      <w:pPr>
        <w:jc w:val="both"/>
        <w:ind w:firstLine="440"/>
        <w:spacing w:after="0" w:line="276" w:lineRule="auto"/>
        <w:rPr>
          <w:sz w:val="20"/>
          <w:szCs w:val="20"/>
          <w:color w:val="auto"/>
        </w:rPr>
      </w:pPr>
      <w:r>
        <w:rPr>
          <w:rFonts w:ascii="Arial" w:cs="Arial" w:eastAsia="Arial" w:hAnsi="Arial"/>
          <w:sz w:val="16"/>
          <w:szCs w:val="16"/>
          <w:color w:val="auto"/>
        </w:rPr>
        <w:t>We completed the first two commercial sales of CellFX Systems in the fourth quarter of 2021. The majority of our revenue for the year ended December 31, 2021 was recognized on a non-cash basis when Controlled Launch Program participants applied their earned credits towards the purchase of a CellFX System. See Note 8 for additional details of the Controlled Launch Program and Note 9 for additional details of the revenue transactions.</w:t>
      </w:r>
    </w:p>
    <w:p>
      <w:pPr>
        <w:spacing w:after="0" w:line="12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 xml:space="preserve">We are pursuing specific indications for the CellFX System in the United States similar to the regulatory clearances we have received in Europe and Canada, requiring additional 510(k) submissions, and likely based on comparative clinical data. </w:t>
      </w:r>
      <w:r>
        <w:rPr>
          <w:rFonts w:ascii="Arial" w:cs="Arial" w:eastAsia="Arial" w:hAnsi="Arial"/>
          <w:sz w:val="18"/>
          <w:szCs w:val="18"/>
          <w:color w:val="231F20"/>
        </w:rPr>
        <w:t>In December 2021,</w:t>
      </w:r>
      <w:r>
        <w:rPr>
          <w:rFonts w:ascii="Arial" w:cs="Arial" w:eastAsia="Arial" w:hAnsi="Arial"/>
          <w:sz w:val="18"/>
          <w:szCs w:val="18"/>
          <w:color w:val="auto"/>
        </w:rPr>
        <w:t xml:space="preserve"> we submitted a 510(k) to add the treatment of SH to the CellFX System’s indications for use in the United States. In February 2022 we received an AI letter from the FDA in response to the 510(k) submitted. In the AI letter, the FDA stated it did not believe the Company provided sufficient clinical evidence at this time to support the expanded indication for use, and that the Company had not met the primary endpoints of the SH FDA-approved IDE study. The Company anticipates meeting with the FDA to discuss the contents of the AI letter and potential next steps, which may require additional clinical data and potentially a new 510(k) submission.</w:t>
      </w:r>
    </w:p>
    <w:p>
      <w:pPr>
        <w:spacing w:after="0" w:line="154"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We have incurred substantial operating losses and have used cash in our operating activities since inception. Based on our current operating plan, we believe we do not have sufficient cash and cash equivalents on hand to support current operations for the twelve months following the filing of this Annual Report. Therefore, to finance our ongoing operations, we will need to raise additional capital or enter into a revenue-generating collaboration, which cannot be assured. We plan to seek to raise capital from time to time through public or private equity offerings, debt financings, our at-the-market equity offering program, or to enter into collaborations with third parties, to fund our future operations. Meanwhile, over the past few years, Mr. Duggan, our majority stockholder, has made significant investments in our Company to fund its operations. Mr. Duggan may elect to participate in any number of our future fundraisings, as described above, and he may choose to invest more than his current pro rata share in any of these fundraisings, or alternatively he may offer to provide debt financing as may be needed in order to maintain the Company as a going concern.</w:t>
      </w:r>
    </w:p>
    <w:p>
      <w:pPr>
        <w:spacing w:after="0" w:line="150"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The source, timing and availability of any future financing will depend largely upon market conditions and perceived progress in the CellFX commercial program,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75"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We plan to establish ourselves as a medical therapy company with a local, nonthermal, and drug-free treatment platform that initiates cell death in targeted tissue by a process of cell signaling. In order to accomplish this, we plan to:</w:t>
      </w:r>
    </w:p>
    <w:p>
      <w:pPr>
        <w:spacing w:after="0" w:line="143"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Improve our technology by continuing our research and product development efforts. We expect to develop interchangeable tissue applicators to target different tissue types that will leverage the novel characteristics of our NPS technology platform.</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Further explore and understand the benefits of our NPS technology platform with the objectives of broadening the currently planned cosmetic and therapeutic applications, while also identifying new applications. We anticipate that results of our clinical studies will enable us to recognize certain unmet medical needs that may be addressed by our technology.</w:t>
      </w:r>
    </w:p>
    <w:p>
      <w:pPr>
        <w:spacing w:after="0" w:line="148"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143" w:lineRule="exact"/>
        <w:rPr>
          <w:sz w:val="20"/>
          <w:szCs w:val="20"/>
          <w:color w:val="auto"/>
        </w:rPr>
      </w:pPr>
    </w:p>
    <w:p>
      <w:pPr>
        <w:jc w:val="both"/>
        <w:ind w:left="660" w:right="20"/>
        <w:spacing w:after="0" w:line="307" w:lineRule="auto"/>
        <w:rPr>
          <w:sz w:val="20"/>
          <w:szCs w:val="20"/>
          <w:color w:val="auto"/>
        </w:rPr>
      </w:pPr>
      <w:r>
        <w:rPr>
          <w:rFonts w:ascii="Arial" w:cs="Arial" w:eastAsia="Arial" w:hAnsi="Arial"/>
          <w:sz w:val="16"/>
          <w:szCs w:val="16"/>
          <w:color w:val="auto"/>
        </w:rPr>
        <w:t>Partner with medical or biomedical device companies for certain applications which we anticipate may accelerate product development and acceptance into target market areas and allow us to gain the sales and marketing advantages of one or more established distribution infrastructures.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75"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it is possible that delivery from some of our suppliers of certain materials used in the production of our product candidates could be delayed due to COVID-19 which could affect our ability to obtain sufficient materials for our product candidates. COVID-19 has adversely affected global economies and financial markets and will likely continue to do so, resulting in an economic downturn that could affect demand for our product candidates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w:t>
      </w:r>
    </w:p>
    <w:p>
      <w:pPr>
        <w:spacing w:after="0" w:line="175"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The discussion and analysis of financial condition and results of operations is based upon our consolidated financial statements, which have been prepared in accordance with the rules and regulations of the SEC. Certain accounting policies and estimates are particularly important to the understanding of our financial position and results of operations and require the application of significant judgment by management or can be materially affected by changes from period to period in economic factors or conditions that are outside of the Company’s control. As a result, these issues are subject to an inherent degree of uncertainty. In applying these policies, management uses its judgment to determine the appropriate assumptions to be used in the determination of certain estimates. Those estimates are based on our historical operations, future business plans and the projected financial results, the terms of existing contracts, trends in the industry and information available from other outside sources.</w:t>
      </w:r>
    </w:p>
    <w:p>
      <w:pPr>
        <w:spacing w:after="0" w:line="149"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We continually evaluate the accounting policies and estimates used in preparing our consolidated financial statements. During the year ended December 31, 2021, the Company received 510(k) clearance, CE marking approval, and Health Canada clearance for the CellFX System and began to capitalize inventory in preparation of commercialization. Additionally, during the year ended December 31, 2021, the Company entered into sales contracts with customers and began to recognize revenue.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Valuation of Inventory</w:t>
      </w:r>
    </w:p>
    <w:p>
      <w:pPr>
        <w:spacing w:after="0" w:line="17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Inventory is stated at lower of cost or net realizable value. We established the inventory basis by determining the cost based on standard costs approximating the purchase costs on a first-in, first-out basis. Net realizable value is the estimated selling price in the ordinary course of our business, less reasonably predictable costs of completion, disposal, and transportation. The cost basis of our inventory will be reduced for any products that are considered excessive or obsolete based upon assumptions about future demand and market conditions. At December 31, 2021, there is no reduction to the balance of inventory for excessive and obsolete inventory.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color w:val="auto"/>
        </w:rPr>
        <w:t>We recognize revenue at a point in time as we satisfy performance obligations by transferring control of promised goods to our customers. The amount of revenue recognized is equal to the consideration which we are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we sell these products on a stand-alone basis at a particular stand-alone selling price (“SSP”), initial customer contracts will likely involve the bundling of products which will be delivered concurrently to the customer and have the same pattern of transfer. In such instances, the full consideration of the contract will be recognized upon delivery of the products. We include a standard warranty on our products which provides assurances that the products comply with agreed-upon specifications.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71"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accrues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The warranty reserve is included within Accrued expenses on the consolidated balance sheets. Warranty expense is recorded as a component of Cost of Revenues in the consolidated statements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We periodically issue stock options and restricted stock units (“RSUs”)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fair values. Stock option grants, which are generally time vested, are measured at the grant date fair value and charged to operations on a straight-line basis over the vesting period. We estimate the grant date fair value of stock options, using the Black-Scholes option-pricing model.</w:t>
      </w:r>
    </w:p>
    <w:p>
      <w:pPr>
        <w:spacing w:after="0" w:line="15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so that they are inherently subjective. If factors change and different assumptions are used, our stock-based compensation expense could be materially different in the future.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We account for income taxes using the asset and liability method, whereby deferred tax assets and liability account balances are determined based on differences between the financial reporting and tax bases of assets and liabilities, and are measured using the enacted rates and laws that will be in effect when the differences are expected to reverse.</w:t>
      </w:r>
    </w:p>
    <w:p>
      <w:pPr>
        <w:spacing w:after="0" w:line="148"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We provide a valuation allowance to reduce its deferred tax assets to the amount that is more likely than not to be realized. If we determine that we would be able to realize deferred tax assets in the future in excess of the recorded amount, an adjustment to the deferred tax assets would be credited to operations in the period such determination was made. Likewise, should we determine that we would not be able to realize all or part of its deferred tax assets in the future, an adjustment to the deferred tax assets would be charged to operations in the period such determination was made.</w:t>
      </w:r>
    </w:p>
    <w:p>
      <w:pPr>
        <w:spacing w:after="0" w:line="129"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 xml:space="preserve">We account for uncertainties in income tax law under a comprehensive model for the financial statement recognition, measurement, presentation and disclosure of uncertain tax positions taken or expected to be taken in income tax returns as prescribed by Financial Accounting Standards Board (“FASB”) issued Accounting Standards Codification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The tax effects of a position are recognized only if it is “more-likely-than-not” to be sustained by the taxing authority as of the reporting date. If the tax position is not considered “more-likely-than-not” to be sustained, then no benefits of the position are recognized.</w:t>
      </w:r>
    </w:p>
    <w:p>
      <w:pPr>
        <w:spacing w:after="0" w:line="110"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We are subject to U.S. federal income taxes and income taxes in California. As our net operating losses have yet to be utilized, previous tax years remain open to examination by federal authorities and other jurisdictions in which we currently operate or have operated in the past. We are not currently under examination by any tax authority.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operations as discussed herein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jc w:val="center"/>
              <w:ind w:left="573"/>
              <w:spacing w:after="0"/>
              <w:rPr>
                <w:sz w:val="20"/>
                <w:szCs w:val="20"/>
                <w:color w:val="auto"/>
              </w:rPr>
            </w:pPr>
            <w:r>
              <w:rPr>
                <w:rFonts w:ascii="Arial" w:cs="Arial" w:eastAsia="Arial" w:hAnsi="Arial"/>
                <w:sz w:val="14"/>
                <w:szCs w:val="14"/>
                <w:b w:val="1"/>
                <w:bCs w:val="1"/>
                <w:color w:val="auto"/>
                <w:w w:val="93"/>
              </w:rPr>
              <w:t>Year Ended</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573"/>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8"/>
        </w:trPr>
        <w:tc>
          <w:tcPr>
            <w:tcW w:w="478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13"/>
              <w:spacing w:after="0" w:line="129"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471"/>
              <w:spacing w:after="0" w:line="129"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8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8"/>
                <w:szCs w:val="18"/>
                <w:color w:val="auto"/>
                <w:w w:val="99"/>
              </w:rPr>
              <w:t>Revenues:</w:t>
            </w:r>
          </w:p>
        </w:tc>
        <w:tc>
          <w:tcPr>
            <w:tcW w:w="39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Product revenues</w:t>
            </w:r>
          </w:p>
        </w:tc>
        <w:tc>
          <w:tcPr>
            <w:tcW w:w="2040" w:type="dxa"/>
            <w:vAlign w:val="bottom"/>
            <w:gridSpan w:val="2"/>
          </w:tcPr>
          <w:p>
            <w:pPr>
              <w:jc w:val="right"/>
              <w:ind w:right="187"/>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1,418</w:t>
            </w:r>
          </w:p>
        </w:tc>
        <w:tc>
          <w:tcPr>
            <w:tcW w:w="16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revenues</w:t>
            </w:r>
          </w:p>
        </w:tc>
        <w:tc>
          <w:tcPr>
            <w:tcW w:w="17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1,418</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183"/>
        </w:trPr>
        <w:tc>
          <w:tcPr>
            <w:tcW w:w="4780" w:type="dxa"/>
            <w:vAlign w:val="bottom"/>
            <w:gridSpan w:val="2"/>
          </w:tcPr>
          <w:p>
            <w:pPr>
              <w:spacing w:after="0" w:line="182" w:lineRule="exact"/>
              <w:rPr>
                <w:sz w:val="20"/>
                <w:szCs w:val="20"/>
                <w:color w:val="auto"/>
              </w:rPr>
            </w:pPr>
            <w:r>
              <w:rPr>
                <w:rFonts w:ascii="Arial" w:cs="Arial" w:eastAsia="Arial" w:hAnsi="Arial"/>
                <w:sz w:val="18"/>
                <w:szCs w:val="18"/>
                <w:color w:val="auto"/>
              </w:rPr>
              <w:t>Cost and expenses:</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Cost of revenues</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189"/>
        </w:trPr>
        <w:tc>
          <w:tcPr>
            <w:tcW w:w="47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28,640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26,444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189"/>
        </w:trPr>
        <w:tc>
          <w:tcPr>
            <w:tcW w:w="47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Sales and marketing</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14,751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7,256</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189"/>
        </w:trPr>
        <w:tc>
          <w:tcPr>
            <w:tcW w:w="4780" w:type="dxa"/>
            <w:vAlign w:val="bottom"/>
            <w:tcBorders>
              <w:bottom w:val="single" w:sz="8" w:color="CCEEFF"/>
            </w:tcBorders>
            <w:gridSpan w:val="2"/>
          </w:tcPr>
          <w:p>
            <w:pPr>
              <w:ind w:left="220"/>
              <w:spacing w:after="0" w:line="189" w:lineRule="exact"/>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19,073</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16,265</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183"/>
        </w:trPr>
        <w:tc>
          <w:tcPr>
            <w:tcW w:w="47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cost and expenses</w:t>
            </w:r>
          </w:p>
        </w:tc>
        <w:tc>
          <w:tcPr>
            <w:tcW w:w="17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64,432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49,965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14,467</w:t>
            </w:r>
          </w:p>
        </w:tc>
        <w:tc>
          <w:tcPr>
            <w:tcW w:w="0" w:type="dxa"/>
            <w:vAlign w:val="bottom"/>
          </w:tcPr>
          <w:p>
            <w:pPr>
              <w:spacing w:after="0"/>
              <w:rPr>
                <w:sz w:val="1"/>
                <w:szCs w:val="1"/>
                <w:color w:val="auto"/>
              </w:rPr>
            </w:pPr>
          </w:p>
        </w:tc>
      </w:tr>
      <w:tr>
        <w:trPr>
          <w:trHeight w:val="183"/>
        </w:trPr>
        <w:tc>
          <w:tcPr>
            <w:tcW w:w="4780" w:type="dxa"/>
            <w:vAlign w:val="bottom"/>
            <w:gridSpan w:val="2"/>
          </w:tcPr>
          <w:p>
            <w:pPr>
              <w:spacing w:after="0" w:line="182" w:lineRule="exact"/>
              <w:rPr>
                <w:sz w:val="20"/>
                <w:szCs w:val="20"/>
                <w:color w:val="auto"/>
              </w:rPr>
            </w:pPr>
            <w:r>
              <w:rPr>
                <w:rFonts w:ascii="Arial" w:cs="Arial" w:eastAsia="Arial" w:hAnsi="Arial"/>
                <w:sz w:val="18"/>
                <w:szCs w:val="18"/>
                <w:color w:val="auto"/>
              </w:rPr>
              <w:t>Loss from operations</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(63,014)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(49,965)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189"/>
        </w:trPr>
        <w:tc>
          <w:tcPr>
            <w:tcW w:w="4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income (expense):</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Interest income (expense), net</w:t>
            </w: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(646)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114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82"/>
        </w:trPr>
        <w:tc>
          <w:tcPr>
            <w:tcW w:w="47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other income (expense)</w:t>
            </w:r>
          </w:p>
        </w:tc>
        <w:tc>
          <w:tcPr>
            <w:tcW w:w="17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(646)</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114</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83"/>
        </w:trPr>
        <w:tc>
          <w:tcPr>
            <w:tcW w:w="4780" w:type="dxa"/>
            <w:vAlign w:val="bottom"/>
            <w:gridSpan w:val="2"/>
          </w:tcPr>
          <w:p>
            <w:pPr>
              <w:spacing w:after="0" w:line="182" w:lineRule="exact"/>
              <w:rPr>
                <w:sz w:val="20"/>
                <w:szCs w:val="20"/>
                <w:color w:val="auto"/>
              </w:rPr>
            </w:pPr>
            <w:r>
              <w:rPr>
                <w:rFonts w:ascii="Arial" w:cs="Arial" w:eastAsia="Arial" w:hAnsi="Arial"/>
                <w:sz w:val="18"/>
                <w:szCs w:val="18"/>
                <w:color w:val="auto"/>
              </w:rPr>
              <w:t>Loss from operations, before income taxes</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(63,660)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(49,851)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r>
        <w:trPr>
          <w:trHeight w:val="189"/>
        </w:trPr>
        <w:tc>
          <w:tcPr>
            <w:tcW w:w="47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Income tax benefit</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780" w:type="dxa"/>
            <w:vAlign w:val="bottom"/>
            <w:gridSpan w:val="2"/>
          </w:tcPr>
          <w:p>
            <w:pPr>
              <w:spacing w:after="0" w:line="182" w:lineRule="exact"/>
              <w:rPr>
                <w:sz w:val="20"/>
                <w:szCs w:val="20"/>
                <w:color w:val="auto"/>
              </w:rPr>
            </w:pPr>
            <w:r>
              <w:rPr>
                <w:rFonts w:ascii="Arial" w:cs="Arial" w:eastAsia="Arial" w:hAnsi="Arial"/>
                <w:sz w:val="18"/>
                <w:szCs w:val="18"/>
                <w:color w:val="auto"/>
              </w:rPr>
              <w:t>Net loss</w:t>
            </w:r>
          </w:p>
        </w:tc>
        <w:tc>
          <w:tcPr>
            <w:tcW w:w="17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(63,660)</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(49,851)</w:t>
            </w: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bl>
    <w:p>
      <w:pPr>
        <w:jc w:val="both"/>
        <w:ind w:firstLine="8"/>
        <w:spacing w:after="0" w:line="234" w:lineRule="auto"/>
        <w:tabs>
          <w:tab w:leader="none" w:pos="1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2020 amounts have been reclassified to conform to the current period presentation. Sales and marketing expenses have been reclassified out of general and administrative and presented as a separate line item. Amortization of intangible assets have been reclassified to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-375285</wp:posOffset>
            </wp:positionV>
            <wp:extent cx="30257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Revenues increased by $1.4 million to $1.4 million for the year ended December 31, 2021, from zero during the same period in 2020. We commenced sales agreement activity in August 2021, triggering the recognition of revenue.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Cost of revenues increased by $2.0 million to $2.0 million for the year ended December 31, 2021, from zero during the same period in 2020. Prior to commercialization in August 2021, all uncapitalized manufacturing related overhead costs were recorded as research and development expenses. Upon commercialization, these costs are recorded as cost of revenues.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Research and development expenses consist of salaries and related expenses for research and development personnel, clinical trials, professional fees and consulting costs related to the design, development and enhancement of our current and potential future products, engineering prototypes and pre-commercial manufacturing supplies. Research and development expenses increased by $2.2 million to $28.6 million in 2021 from $26.4 million in 2020 due to $1.4 million of increased clinical trial and other outside research costs, $1.2 million of increased stock-based compensation, and $1.0 million of increased compensation and other employee related expenses. These increases were partially offset by decreases of $1.0 million in expensed equipment and supplies and $0.7 million of manufacturing absorption related to inventory production previously expensed to research and development prior to commercialization. Compensation costs increased primarily due to headcount growth, while consulting and outside services increased primarily due to new application development, medical research and studies.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$7.5 million to $14.8 million in 2021 from $7.3 million in 2020 due to $3.0 million of increased compensation and other employee related expenses as a result of increased headcount, $1.6 million increased stock-based compensation, $1.8 million of non-cash Controlled Launch expenses, and $0.5 million of increased paid services. The increases in sales and marketing expenses are attributable to commercialization activities of the CellFX System subsequent to receiving FDA clearance, CE marking approval, and Health Canada clearance.</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General and administrative expenses consist of compensation and other related employee expenses for executives, finance, legal, human resources, information technology and administrative personnel, professional fees, patent fees and costs, insurance costs, public company costs, and other general corporate expenses. General and administrative expenses increased by $2.8 million to $19.1 million in 2021 from $16.3 million in 2020 due to $1.2 million of increased compensation and other employee related expenses and $1.6 million of increased stock-based compensation, both primarily related to headcount growth.</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1" w:lineRule="exact"/>
        <w:rPr>
          <w:sz w:val="20"/>
          <w:szCs w:val="20"/>
          <w:color w:val="auto"/>
        </w:rPr>
      </w:pPr>
    </w:p>
    <w:p>
      <w:pPr>
        <w:ind w:right="260" w:firstLine="440"/>
        <w:spacing w:after="0" w:line="235" w:lineRule="auto"/>
        <w:rPr>
          <w:sz w:val="20"/>
          <w:szCs w:val="20"/>
          <w:color w:val="auto"/>
        </w:rPr>
      </w:pPr>
      <w:r>
        <w:rPr>
          <w:rFonts w:ascii="Arial" w:cs="Arial" w:eastAsia="Arial" w:hAnsi="Arial"/>
          <w:sz w:val="18"/>
          <w:szCs w:val="18"/>
          <w:color w:val="auto"/>
        </w:rPr>
        <w:t>Interest expense increased by $0.7 million to $0.7 million for the year ended December 31, 2021, from zero during the same period in 2020 due to the Loan Agreement entered into in March 2021 and Insurance Loan Agreement entered into in May 2021. Interest income decreased by $0.1 million primarily due to decreased investment activity.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212529"/>
        </w:rPr>
        <w:t>Refer to Item 7. Management’s Discussion and Analysis of Financial Condition and Results of Operations located in our Form 10-K for the fiscal year ended December 31, 2020, filed on March 12, 2021, for the discussion of the comparison of the fiscal year ended December 31, 2020, to the fiscal year ended December 31, 2019, the earliest of the three fiscal years presented in the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new applications for existing products and additional commercially viable products and to assess the feasibility of potential future products. Additionally, we expect that our general and administrative expenses will increase as we continue to incur incremental costs associated with being a public company and our sales and marketing expenses will increase as we continue to commercialize the CellFX System.</w:t>
      </w:r>
    </w:p>
    <w:p>
      <w:pPr>
        <w:spacing w:after="0" w:line="15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In June 2020, we completed a rights offering pursuant to which we sold an aggregate of 4,279,600 shares of our common stock, par value $0.001 per share, and 641,571 warrants, for net proceeds of $29.4 million. On December 31, 2020, the Company met the requirements for redemption of these warrants. Pursuant to the redemption, the Company redeemed 5,139 warrants at a redemption price of $0.01 per warrant. 636,432 warrants were exercised, generating approximately $4.5 million of additional net proceeds to the Company.</w:t>
      </w:r>
    </w:p>
    <w:p>
      <w:pPr>
        <w:spacing w:after="0" w:line="148"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year ended December 31, 2021, the Company issued and sold 288,490 shares of common stock under the Sales Agreement. The shares were sold at a weighted average price of $27.73 per share for aggregate net proceeds of approximately $7.4 million, after deducting sales commissions and offering costs payable by us.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In March 2021 we entered into a Loan Agreement with Robert W. Duggan, our Board Chairman, in connection with Mr. Duggan lending the principal sum of $41.0 million to the Company. The Loan Agreement had a maturity date of June 11, 2022. Under the Loan Agreement, Mr. Duggan provided us, subject to certain conditions, an unsecured term loan facility in an original aggregate principal amount of $41.0 million. The Loan Agreement bore interest at a rate per annum equal to 5.0%, payable quarterly commencing on July 1, 2021. The Loan Agreement contained certain covenants and Events of Default.</w:t>
      </w:r>
    </w:p>
    <w:p>
      <w:pPr>
        <w:spacing w:after="0" w:line="15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On June 30, 2021, we entered into a Securities Purchase Agreement with Mr. Duggan, pursuant to which the Company issued and sold to Mr. Duggan 3,048,780 shares of the Company’s common stock, par value $0.001 per share, in a private placement, at a price per share of $16.40. The shares were paid for through (i) the conversion of the $41 million aggregate principal amount, together with all accrued and unpaid interest outstanding, pursuant to the Loan Agreement by and between the Company and Mr. Duggan (Note 13), and (ii) additional cash in the amount of approximately $8.4 million. Upon closing of this Private Placement and satisfaction of the outstanding debt, the Loan Agreement was terminated, without early termination fees or penalties being owed by the Company, and no additional amounts were owed to Mr. Duggan under the Loan Agreement. The cash proceeds of approximately $8.4 million were received by the Company in July 2021.</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statements of cash flows as discussed herein are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4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514"/>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514"/>
              <w:spacing w:after="0" w:line="129"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514"/>
              <w:spacing w:after="0" w:line="12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(54,097)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(35,365)</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(34,185)</w:t>
            </w: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line="189"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7,563</w:t>
            </w:r>
          </w:p>
        </w:tc>
        <w:tc>
          <w:tcPr>
            <w:tcW w:w="440" w:type="dxa"/>
            <w:vAlign w:val="bottom"/>
            <w:gridSpan w:val="2"/>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10,044</w:t>
            </w:r>
          </w:p>
        </w:tc>
        <w:tc>
          <w:tcPr>
            <w:tcW w:w="180" w:type="dxa"/>
            <w:vAlign w:val="bottom"/>
          </w:tcPr>
          <w:p>
            <w:pPr>
              <w:spacing w:after="0"/>
              <w:rPr>
                <w:sz w:val="16"/>
                <w:szCs w:val="16"/>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189"/>
        </w:trPr>
        <w:tc>
          <w:tcPr>
            <w:tcW w:w="6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62,685</w:t>
            </w: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30,885</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16,151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5,564</w:t>
            </w:r>
          </w:p>
        </w:tc>
        <w:tc>
          <w:tcPr>
            <w:tcW w:w="18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(44,204)</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 xml:space="preserve">To date, we have generated limited revenue and used cash in our operating activities. As a result, we have incurred significant operating losses in each year since our inception and we may continue to incur additional losses for the next several years. As of December 31, 2021, the Company had an accumulated deficit of $236.2 million, cash outflows from operations of $54.1 million for the year then ended, cash and cash equivalents of $28.6 million and a net loss of $63.7 million. These factors, combined with the Company’s forecast of cash required to fund operations for a period of at least twelve months from the date of issuance of the accompanying consolidated financial statements, raise substantial doubt under ASC 205-40,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Statements – Going Concern </w:t>
      </w:r>
      <w:r>
        <w:rPr>
          <w:rFonts w:ascii="Arial" w:cs="Arial" w:eastAsia="Arial" w:hAnsi="Arial"/>
          <w:sz w:val="17"/>
          <w:szCs w:val="17"/>
          <w:color w:val="auto"/>
        </w:rPr>
        <w:t>about the Company’s ability to continue as a going concern within one year after the issuance of these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We plan to raise additional capital in the future to fund our operations through public or private equity offerings, debt financings, or our at-the-market equity offering program, or by entering into revenue-generating collaborations. Mr. Duggan, our majority stockholder, may elect to participate in any number of our future financings, or alternatively he may offer to provide debt financing as may be needed in order to maintain the Company as a going concern. We can give no assurance, at this time, that additional financing or a collaboration will be available when needed on terms acceptable to us, however.</w:t>
      </w:r>
    </w:p>
    <w:p>
      <w:pPr>
        <w:spacing w:after="0" w:line="154" w:lineRule="exact"/>
        <w:rPr>
          <w:sz w:val="20"/>
          <w:szCs w:val="20"/>
          <w:color w:val="auto"/>
        </w:rPr>
      </w:pPr>
    </w:p>
    <w:p>
      <w:pPr>
        <w:jc w:val="both"/>
        <w:ind w:firstLine="440"/>
        <w:spacing w:after="0" w:line="252" w:lineRule="auto"/>
        <w:rPr>
          <w:sz w:val="20"/>
          <w:szCs w:val="20"/>
          <w:color w:val="auto"/>
        </w:rPr>
      </w:pPr>
      <w:r>
        <w:rPr>
          <w:rFonts w:ascii="Arial" w:cs="Arial" w:eastAsia="Arial" w:hAnsi="Arial"/>
          <w:sz w:val="16"/>
          <w:szCs w:val="16"/>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and/or potential new collaborations. Such additional funds may not be available on terms acceptable to us or at all.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15"/>
        <w:spacing w:after="0" w:line="235" w:lineRule="auto"/>
        <w:rPr>
          <w:sz w:val="20"/>
          <w:szCs w:val="20"/>
          <w:color w:val="auto"/>
        </w:rPr>
      </w:pPr>
      <w:r>
        <w:rPr>
          <w:rFonts w:ascii="Arial" w:cs="Arial" w:eastAsia="Arial" w:hAnsi="Arial"/>
          <w:sz w:val="18"/>
          <w:szCs w:val="18"/>
          <w:color w:val="auto"/>
        </w:rPr>
        <w:t>During 2021, we used cash of $54.1 million in operating activities. The difference between cash used in operating activities and net loss consisted primarily of stock-based compensation, depreciation and amortization, accounts payable and accrued expenses, and right-of-use assets, partially offset by increases in prepaid expenses and inventory.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both"/>
        <w:ind w:firstLine="415"/>
        <w:spacing w:after="0" w:line="235" w:lineRule="auto"/>
        <w:rPr>
          <w:sz w:val="20"/>
          <w:szCs w:val="20"/>
          <w:color w:val="auto"/>
        </w:rPr>
      </w:pPr>
      <w:r>
        <w:rPr>
          <w:rFonts w:ascii="Arial" w:cs="Arial" w:eastAsia="Arial" w:hAnsi="Arial"/>
          <w:sz w:val="18"/>
          <w:szCs w:val="18"/>
          <w:color w:val="auto"/>
        </w:rPr>
        <w:t>During 2020, we used cash of $35.4 million in operating activities. The difference between cash used in operating activities and net loss consisted primarily of stock-based compensation, accrued expenses, depreciation and amortization, and right-of-use assets, partially offset by decreases in prepaid expenses and other current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investing activities consist primarily of investment purchases, sales and maturities and capital expenditures.</w:t>
      </w:r>
    </w:p>
    <w:p>
      <w:pPr>
        <w:spacing w:after="0" w:line="17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During 2021, cash provided from investing activities was $7.6 million, of which $8.0 million was provided from the maturities of investments, partially offset by the purchase of property and equipment.</w:t>
      </w:r>
    </w:p>
    <w:p>
      <w:pPr>
        <w:spacing w:after="0" w:line="14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During 2020, cash provided from investing activities was $10.0 million, of which $39.5 million was provided from the maturities and sales of investments, offset by $29.5 million for the purchase of investments and property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During 2021, cash provided from financing activities was $62.7 million, primarily due to $49.3 million net cash received from our Loan Agreement and Private Placement, $7.4 million net cash received from our at-the-market equity offering, $5.0 million received from stock option and warrant exercises, $0.4 million received, net of payments made to date, from the Insurance Loan Agreement and $0.8 million received from the sale of stock under our employee stock purchase plan.</w:t>
      </w:r>
    </w:p>
    <w:p>
      <w:pPr>
        <w:spacing w:after="0" w:line="148" w:lineRule="exact"/>
        <w:rPr>
          <w:sz w:val="20"/>
          <w:szCs w:val="20"/>
          <w:color w:val="auto"/>
        </w:rPr>
      </w:pPr>
    </w:p>
    <w:p>
      <w:pPr>
        <w:jc w:val="both"/>
        <w:ind w:firstLine="440"/>
        <w:spacing w:after="0" w:line="307" w:lineRule="auto"/>
        <w:rPr>
          <w:sz w:val="20"/>
          <w:szCs w:val="20"/>
          <w:color w:val="auto"/>
        </w:rPr>
      </w:pPr>
      <w:r>
        <w:rPr>
          <w:rFonts w:ascii="Arial" w:cs="Arial" w:eastAsia="Arial" w:hAnsi="Arial"/>
          <w:sz w:val="16"/>
          <w:szCs w:val="16"/>
          <w:color w:val="auto"/>
        </w:rPr>
        <w:t>During 2020, cash provided from financing activities was $30.9 million, of which $29.4 million was received from the rights offering, $1.0 million received from the exercise of stock options and warrants, and $0.5 million received from the sale of our stock under our employee stock purchase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212529"/>
        </w:rPr>
        <w:t>Refer to Item 7. Management’s Discussion and Analysis of Financial Condition and Results of Operations located in our Form 10-K for the fiscal year ended December 31, 2020, filed on March 12, 2021, for the discussion of the comparison of the fiscal year ended December 31, 2020, to the fiscal year ended December 31, 2019, the earliest of the three fiscal years presented in the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Frank Reidy Research Center Agreement</w:t>
      </w:r>
    </w:p>
    <w:p>
      <w:pPr>
        <w:spacing w:after="0" w:line="171"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As provided for in the license agreement with Old Dominion University Research Foundation (“ODURF”) and Eastern Virginia Medical School (“EVMS”), effective on November 6, 2014, we sponsored certain approved research activities at ODURF’s Frank Reidy Research Center under a sponsored research agreement (“SRA”). In August 2018, we agreed to sponsor a task order for research in the amount of $0.8 million and in September 2019, we agreed to sponsor an additional task order for research in the amount of $0.8 million each to be performed during their respective subsequent 12-month periods. In March 2021, we agreed to sponsor a task order for research in the amount of $0.3 million and in May 2021 we sponsored an additional task order for $0.3 million each to be performed during their respective subsequent 12-month periods. These sponsored researches are funded through monthly payments made upon ODURF certifying, to our reasonable satisfaction, that ODURF has met its obligations pursuant to the specified task order and statement of work. The principal investigator may transfer funds within the budget as needed with our approval so long as the obligations of ODURF under the task order and statement of work remain unchanged and unimpaired. During the years ended December 31, 2021, 2020, and 2019, we incurred costs relating to the SRA equal to $0.3 million, $0.6 million and $0.9 million, respectively. As of December 31, 2021, there is a $0.3 million balance payable under this research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71"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We currently lease approximately 50,300 square feet of premises located in Hayward, California, which is used for our corporate headquarters and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spacing w:after="0" w:line="150"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Under the original lease agreement, the landlord provided a $2.1 million allowance for tenant improvements, which was recorded as deferred rent at the inception of the lease term. Future minimum lease payments are net of amortization of tenant improvement allowance. The following table summarizes our contractual obligations as of December 31, 2021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1260"/>
              <w:spacing w:after="0"/>
              <w:rPr>
                <w:sz w:val="20"/>
                <w:szCs w:val="20"/>
                <w:color w:val="auto"/>
              </w:rPr>
            </w:pPr>
            <w:r>
              <w:rPr>
                <w:rFonts w:ascii="Arial" w:cs="Arial" w:eastAsia="Arial" w:hAnsi="Arial"/>
                <w:sz w:val="14"/>
                <w:szCs w:val="14"/>
                <w:b w:val="1"/>
                <w:bCs w:val="1"/>
                <w:color w:val="auto"/>
                <w:w w:val="94"/>
              </w:rPr>
              <w:t>Payments Due by Period</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36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97"/>
              </w:rPr>
              <w:t>Less Than 1 Year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1 to 3 Years</w:t>
            </w:r>
          </w:p>
        </w:tc>
        <w:tc>
          <w:tcPr>
            <w:tcW w:w="16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3 to 5 Years</w:t>
            </w:r>
          </w:p>
        </w:tc>
        <w:tc>
          <w:tcPr>
            <w:tcW w:w="100" w:type="dxa"/>
            <w:vAlign w:val="bottom"/>
          </w:tcPr>
          <w:p>
            <w:pPr>
              <w:spacing w:after="0"/>
              <w:rPr>
                <w:sz w:val="11"/>
                <w:szCs w:val="11"/>
                <w:color w:val="auto"/>
              </w:rPr>
            </w:pPr>
          </w:p>
        </w:tc>
        <w:tc>
          <w:tcPr>
            <w:tcW w:w="128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93"/>
              </w:rPr>
              <w:t>More Than 5 Years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15,775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3,755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4,023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Through the end of 2021, we were an emerging growth company as defined by the JOBS Act. Under the JOBS Act, we were given the option to delay adopting new or revised accounting standards issued subsequent to the enactment of the JOBS Act until such time as those standards apply to private companies. We irrevocably elected not to avail ourselves of this exemption from new or revised accounting standards and, therefore, we were subject to the same new or revised accounting standards as other public companies that are not emerging growth companies.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75"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commercialization of the CellFX System, including, but not limited to, additional financing through follow-on stock offerings, debt financings, or co-development agreements and /or other alternatives.</w:t>
      </w:r>
    </w:p>
    <w:p>
      <w:pPr>
        <w:spacing w:after="0" w:line="151"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50" w:lineRule="exact"/>
        <w:rPr>
          <w:sz w:val="20"/>
          <w:szCs w:val="20"/>
          <w:color w:val="auto"/>
        </w:rPr>
      </w:pPr>
    </w:p>
    <w:p>
      <w:pPr>
        <w:jc w:val="both"/>
        <w:ind w:firstLine="440"/>
        <w:spacing w:after="0" w:line="307" w:lineRule="auto"/>
        <w:rPr>
          <w:sz w:val="20"/>
          <w:szCs w:val="20"/>
          <w:color w:val="auto"/>
        </w:rPr>
      </w:pPr>
      <w:r>
        <w:rPr>
          <w:rFonts w:ascii="Arial" w:cs="Arial" w:eastAsia="Arial" w:hAnsi="Arial"/>
          <w:sz w:val="16"/>
          <w:szCs w:val="16"/>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96" w:lineRule="exact"/>
        <w:rPr>
          <w:sz w:val="20"/>
          <w:szCs w:val="20"/>
          <w:color w:val="auto"/>
        </w:rPr>
      </w:pPr>
    </w:p>
    <w:p>
      <w:pPr>
        <w:jc w:val="both"/>
        <w:ind w:right="40" w:firstLine="440"/>
        <w:spacing w:after="0" w:line="235" w:lineRule="auto"/>
        <w:rPr>
          <w:sz w:val="20"/>
          <w:szCs w:val="20"/>
          <w:color w:val="auto"/>
        </w:rPr>
      </w:pPr>
      <w:r>
        <w:rPr>
          <w:rFonts w:ascii="Arial" w:cs="Arial" w:eastAsia="Arial" w:hAnsi="Arial"/>
          <w:sz w:val="18"/>
          <w:szCs w:val="18"/>
          <w:color w:val="auto"/>
        </w:rPr>
        <w:t>Other than as discussed above and elsewhere in this Annual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75"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color w:val="auto"/>
        </w:rPr>
        <w:t>Our exposure to interest rate and market risk is confined to our cash, cash equivalents and investments, all of which have maturities of less than one year. The goals of our investment policy are preservation of capital, fulfillment of liquidity needs and fiduciary control of our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 We currently do not hedge interest rate exposure. Because of the short-term maturities of our investments, we do not believe that a hypothetical 10% change in market interest rates would have a material negative impact on the value of our investment portfolio. At December 31, 2021, we did not have any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75"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In 2021, we expended operations and sales into Europe and Canada. While we currently have limited international operations, we may incur foreign exchange gains or losses in the future as we further commercialize and expand internationally.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1036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89"/>
        </w:trPr>
        <w:tc>
          <w:tcPr>
            <w:tcW w:w="10360" w:type="dxa"/>
            <w:vAlign w:val="bottom"/>
            <w:gridSpan w:val="10"/>
            <w:vMerge w:val="continue"/>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10180" w:type="dxa"/>
            <w:vAlign w:val="bottom"/>
            <w:gridSpan w:val="9"/>
            <w:shd w:val="clear" w:color="auto" w:fill="CCEEFF"/>
          </w:tcPr>
          <w:p>
            <w:pPr>
              <w:spacing w:after="0" w:line="162" w:lineRule="exact"/>
              <w:rPr>
                <w:rFonts w:ascii="Arial" w:cs="Arial" w:eastAsia="Arial" w:hAnsi="Arial"/>
                <w:sz w:val="18"/>
                <w:szCs w:val="18"/>
                <w:color w:val="0563C1"/>
              </w:rPr>
            </w:pPr>
            <w:hyperlink w:anchor="page64">
              <w:r>
                <w:rPr>
                  <w:rFonts w:ascii="Arial" w:cs="Arial" w:eastAsia="Arial" w:hAnsi="Arial"/>
                  <w:sz w:val="18"/>
                  <w:szCs w:val="18"/>
                  <w:color w:val="0563C1"/>
                </w:rPr>
                <w:t xml:space="preserve">Report of Independent Registered Public Accounting Firm (PCAOB ID No. </w:t>
              </w:r>
            </w:hyperlink>
            <w:r>
              <w:rPr>
                <w:rFonts w:ascii="Arial" w:cs="Arial" w:eastAsia="Arial" w:hAnsi="Arial"/>
                <w:sz w:val="18"/>
                <w:szCs w:val="18"/>
                <w:color w:val="0070C0"/>
              </w:rPr>
              <w:t>34)</w:t>
            </w:r>
          </w:p>
        </w:tc>
        <w:tc>
          <w:tcPr>
            <w:tcW w:w="88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69"/>
        </w:trPr>
        <w:tc>
          <w:tcPr>
            <w:tcW w:w="180" w:type="dxa"/>
            <w:vAlign w:val="bottom"/>
            <w:tcBorders>
              <w:top w:val="single" w:sz="8" w:color="CCEEFF"/>
            </w:tcBorders>
          </w:tcPr>
          <w:p>
            <w:pPr>
              <w:spacing w:after="0"/>
              <w:rPr>
                <w:sz w:val="14"/>
                <w:szCs w:val="14"/>
                <w:color w:val="auto"/>
              </w:rPr>
            </w:pPr>
          </w:p>
        </w:tc>
        <w:tc>
          <w:tcPr>
            <w:tcW w:w="2100" w:type="dxa"/>
            <w:vAlign w:val="bottom"/>
            <w:tcBorders>
              <w:top w:val="single" w:sz="8" w:color="0563C1"/>
              <w:bottom w:val="single" w:sz="8" w:color="0563C1"/>
            </w:tcBorders>
          </w:tcPr>
          <w:p>
            <w:pPr>
              <w:spacing w:after="0" w:line="162" w:lineRule="exact"/>
              <w:rPr>
                <w:rFonts w:ascii="Arial" w:cs="Arial" w:eastAsia="Arial" w:hAnsi="Arial"/>
                <w:sz w:val="18"/>
                <w:szCs w:val="18"/>
                <w:color w:val="0563C1"/>
                <w:w w:val="88"/>
              </w:rPr>
            </w:pPr>
            <w:hyperlink w:anchor="page67">
              <w:r>
                <w:rPr>
                  <w:rFonts w:ascii="Arial" w:cs="Arial" w:eastAsia="Arial" w:hAnsi="Arial"/>
                  <w:sz w:val="18"/>
                  <w:szCs w:val="18"/>
                  <w:color w:val="0563C1"/>
                  <w:w w:val="88"/>
                </w:rPr>
                <w:t>Consolidated Balance Sheets</w:t>
              </w:r>
            </w:hyperlink>
          </w:p>
        </w:tc>
        <w:tc>
          <w:tcPr>
            <w:tcW w:w="3380" w:type="dxa"/>
            <w:vAlign w:val="bottom"/>
            <w:tcBorders>
              <w:top w:val="single" w:sz="8" w:color="0563C1"/>
            </w:tcBorders>
            <w:gridSpan w:val="5"/>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0070C0"/>
            </w:tcBorders>
          </w:tcPr>
          <w:p>
            <w:pPr>
              <w:spacing w:after="0"/>
              <w:rPr>
                <w:sz w:val="14"/>
                <w:szCs w:val="14"/>
                <w:color w:val="auto"/>
              </w:rPr>
            </w:pPr>
          </w:p>
        </w:tc>
        <w:tc>
          <w:tcPr>
            <w:tcW w:w="44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jc w:val="center"/>
              <w:spacing w:after="0" w:line="162"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10180" w:type="dxa"/>
            <w:vAlign w:val="bottom"/>
            <w:gridSpan w:val="9"/>
            <w:shd w:val="clear" w:color="auto" w:fill="CCEEFF"/>
          </w:tcPr>
          <w:p>
            <w:pPr>
              <w:spacing w:after="0" w:line="162" w:lineRule="exact"/>
              <w:rPr>
                <w:rFonts w:ascii="Arial" w:cs="Arial" w:eastAsia="Arial" w:hAnsi="Arial"/>
                <w:sz w:val="18"/>
                <w:szCs w:val="18"/>
                <w:color w:val="0563C1"/>
              </w:rPr>
            </w:pPr>
            <w:hyperlink w:anchor="page68">
              <w:r>
                <w:rPr>
                  <w:rFonts w:ascii="Arial" w:cs="Arial" w:eastAsia="Arial" w:hAnsi="Arial"/>
                  <w:sz w:val="18"/>
                  <w:szCs w:val="18"/>
                  <w:color w:val="0563C1"/>
                </w:rPr>
                <w:t>Consolidated Statements of Operations and Comprehensive Loss</w:t>
              </w:r>
            </w:hyperlink>
          </w:p>
        </w:tc>
        <w:tc>
          <w:tcPr>
            <w:tcW w:w="880" w:type="dxa"/>
            <w:vAlign w:val="bottom"/>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169"/>
        </w:trPr>
        <w:tc>
          <w:tcPr>
            <w:tcW w:w="180" w:type="dxa"/>
            <w:vAlign w:val="bottom"/>
            <w:tcBorders>
              <w:top w:val="single" w:sz="8" w:color="CCEEFF"/>
            </w:tcBorders>
          </w:tcPr>
          <w:p>
            <w:pPr>
              <w:spacing w:after="0"/>
              <w:rPr>
                <w:sz w:val="14"/>
                <w:szCs w:val="14"/>
                <w:color w:val="auto"/>
              </w:rPr>
            </w:pPr>
          </w:p>
        </w:tc>
        <w:tc>
          <w:tcPr>
            <w:tcW w:w="3560" w:type="dxa"/>
            <w:vAlign w:val="bottom"/>
            <w:tcBorders>
              <w:top w:val="single" w:sz="8" w:color="0563C1"/>
              <w:bottom w:val="single" w:sz="8" w:color="0563C1"/>
            </w:tcBorders>
            <w:gridSpan w:val="4"/>
          </w:tcPr>
          <w:p>
            <w:pPr>
              <w:spacing w:after="0" w:line="162" w:lineRule="exact"/>
              <w:rPr>
                <w:rFonts w:ascii="Arial" w:cs="Arial" w:eastAsia="Arial" w:hAnsi="Arial"/>
                <w:sz w:val="18"/>
                <w:szCs w:val="18"/>
                <w:color w:val="0563C1"/>
                <w:w w:val="90"/>
              </w:rPr>
            </w:pPr>
            <w:hyperlink w:anchor="page69">
              <w:r>
                <w:rPr>
                  <w:rFonts w:ascii="Arial" w:cs="Arial" w:eastAsia="Arial" w:hAnsi="Arial"/>
                  <w:sz w:val="18"/>
                  <w:szCs w:val="18"/>
                  <w:color w:val="0563C1"/>
                  <w:w w:val="90"/>
                </w:rPr>
                <w:t>Consolidated Statements of Stockholders’ Equity</w:t>
              </w:r>
            </w:hyperlink>
          </w:p>
        </w:tc>
        <w:tc>
          <w:tcPr>
            <w:tcW w:w="1120" w:type="dxa"/>
            <w:vAlign w:val="bottom"/>
            <w:tcBorders>
              <w:top w:val="single" w:sz="8" w:color="0563C1"/>
            </w:tcBorders>
          </w:tcPr>
          <w:p>
            <w:pPr>
              <w:spacing w:after="0"/>
              <w:rPr>
                <w:sz w:val="14"/>
                <w:szCs w:val="14"/>
                <w:color w:val="auto"/>
              </w:rPr>
            </w:pPr>
          </w:p>
        </w:tc>
        <w:tc>
          <w:tcPr>
            <w:tcW w:w="5500" w:type="dxa"/>
            <w:vAlign w:val="bottom"/>
            <w:tcBorders>
              <w:top w:val="single" w:sz="8" w:color="CCEEFF"/>
            </w:tcBorders>
            <w:gridSpan w:val="4"/>
          </w:tcPr>
          <w:p>
            <w:pPr>
              <w:spacing w:after="0"/>
              <w:rPr>
                <w:sz w:val="14"/>
                <w:szCs w:val="14"/>
                <w:color w:val="auto"/>
              </w:rPr>
            </w:pPr>
          </w:p>
        </w:tc>
        <w:tc>
          <w:tcPr>
            <w:tcW w:w="880" w:type="dxa"/>
            <w:vAlign w:val="bottom"/>
            <w:tcBorders>
              <w:top w:val="single" w:sz="8" w:color="CCEEFF"/>
            </w:tcBorders>
          </w:tcPr>
          <w:p>
            <w:pPr>
              <w:jc w:val="center"/>
              <w:spacing w:after="0" w:line="162"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2880" w:type="dxa"/>
            <w:vAlign w:val="bottom"/>
            <w:tcBorders>
              <w:bottom w:val="single" w:sz="8" w:color="0563C1"/>
            </w:tcBorders>
            <w:gridSpan w:val="2"/>
            <w:shd w:val="clear" w:color="auto" w:fill="CCEEFF"/>
          </w:tcPr>
          <w:p>
            <w:pPr>
              <w:spacing w:after="0" w:line="162" w:lineRule="exact"/>
              <w:rPr>
                <w:rFonts w:ascii="Arial" w:cs="Arial" w:eastAsia="Arial" w:hAnsi="Arial"/>
                <w:sz w:val="18"/>
                <w:szCs w:val="18"/>
                <w:color w:val="0563C1"/>
                <w:w w:val="89"/>
              </w:rPr>
            </w:pPr>
            <w:hyperlink w:anchor="page70">
              <w:r>
                <w:rPr>
                  <w:rFonts w:ascii="Arial" w:cs="Arial" w:eastAsia="Arial" w:hAnsi="Arial"/>
                  <w:sz w:val="18"/>
                  <w:szCs w:val="18"/>
                  <w:color w:val="0563C1"/>
                  <w:w w:val="89"/>
                </w:rPr>
                <w:t>Consolidated Statements of Cash Flows</w:t>
              </w:r>
            </w:hyperlink>
          </w:p>
        </w:tc>
        <w:tc>
          <w:tcPr>
            <w:tcW w:w="7300" w:type="dxa"/>
            <w:vAlign w:val="bottom"/>
            <w:tcBorders>
              <w:bottom w:val="single" w:sz="8" w:color="CCEEFF"/>
            </w:tcBorders>
            <w:gridSpan w:val="7"/>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160" w:type="dxa"/>
            <w:vAlign w:val="bottom"/>
            <w:tcBorders>
              <w:bottom w:val="single" w:sz="8" w:color="0563C1"/>
            </w:tcBorders>
            <w:gridSpan w:val="3"/>
          </w:tcPr>
          <w:p>
            <w:pPr>
              <w:spacing w:after="0" w:line="162" w:lineRule="exact"/>
              <w:rPr>
                <w:rFonts w:ascii="Arial" w:cs="Arial" w:eastAsia="Arial" w:hAnsi="Arial"/>
                <w:sz w:val="18"/>
                <w:szCs w:val="18"/>
                <w:color w:val="0563C1"/>
                <w:w w:val="89"/>
              </w:rPr>
            </w:pPr>
            <w:hyperlink w:anchor="page71">
              <w:r>
                <w:rPr>
                  <w:rFonts w:ascii="Arial" w:cs="Arial" w:eastAsia="Arial" w:hAnsi="Arial"/>
                  <w:sz w:val="18"/>
                  <w:szCs w:val="18"/>
                  <w:color w:val="0563C1"/>
                  <w:w w:val="89"/>
                </w:rPr>
                <w:t>Notes to Consolidated Financial Statements</w:t>
              </w:r>
            </w:hyperlink>
          </w:p>
        </w:tc>
        <w:tc>
          <w:tcPr>
            <w:tcW w:w="7020" w:type="dxa"/>
            <w:vAlign w:val="bottom"/>
            <w:gridSpan w:val="6"/>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ind w:right="2540" w:firstLine="2535"/>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Pulse Biosciences,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have audited the accompanying consolidated balance sheets of Pulse Biosciences, Inc. and its wholly owned subsidiaries (the "Company") as of December 31, 2021 and 2020, the related consolidated statements of operations and comprehensive loss,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incurred a net loss, accumulated deficit, and cash outflows from operations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Private Placement Securities Purchase Agreement and Termination of Loan Agreement — Refer to Notes 6, 12 and 13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March 2021, the Company and Robert W. Duggan, the Company’s largest stockholder and Board Chairman, entered into a $41.0 million loan agreement. On June 30, 2021, the Company entered into a securities purchase agreement with Mr. Duggan in which the Company issued and sold approximately 3.0 million shares of common stock in a private placement. The shares were paid for through conversion of the $41.0 million aggregate principal amount of the loan, along with accrued interest and unpaid interest, and additional cash of approximately $8.4 million.</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identified the accounting for the conversion of the loan in connection with the private placement as a critical audit matter because of the complexity in applying the accounting framework for this related party transaction.</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required a high degree of auditor judgment and an increased extent of effort, including the use of professionals with specialized skill and knowledge, to evaluate the appropriateness of the accounting framework.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accounting for the conversion of the loan included the following, among others:</w:t>
      </w:r>
    </w:p>
    <w:p>
      <w:pPr>
        <w:spacing w:after="0" w:line="198" w:lineRule="exact"/>
        <w:rPr>
          <w:sz w:val="20"/>
          <w:szCs w:val="20"/>
          <w:color w:val="auto"/>
        </w:rPr>
      </w:pPr>
    </w:p>
    <w:p>
      <w:pPr>
        <w:ind w:left="660" w:right="680"/>
        <w:spacing w:after="0" w:line="256" w:lineRule="auto"/>
        <w:rPr>
          <w:sz w:val="20"/>
          <w:szCs w:val="20"/>
          <w:color w:val="auto"/>
        </w:rPr>
      </w:pPr>
      <w:r>
        <w:rPr>
          <w:rFonts w:ascii="Arial" w:cs="Arial" w:eastAsia="Arial" w:hAnsi="Arial"/>
          <w:sz w:val="16"/>
          <w:szCs w:val="16"/>
          <w:color w:val="auto"/>
        </w:rPr>
        <w:t>We read the Private Placement Securities Purchase Agreement and tested the accuracy and completeness of management’s analysis of the transaction by agreeing the terms used in management’s analysis to the Private Placement Securities Purchase Agreement.</w:t>
      </w:r>
    </w:p>
    <w:p>
      <w:pPr>
        <w:spacing w:after="0" w:line="1" w:lineRule="exact"/>
        <w:rPr>
          <w:sz w:val="20"/>
          <w:szCs w:val="20"/>
          <w:color w:val="auto"/>
        </w:rPr>
      </w:pPr>
    </w:p>
    <w:p>
      <w:pPr>
        <w:ind w:left="660" w:right="200"/>
        <w:spacing w:after="0" w:line="219" w:lineRule="auto"/>
        <w:rPr>
          <w:sz w:val="20"/>
          <w:szCs w:val="20"/>
          <w:color w:val="auto"/>
        </w:rPr>
      </w:pPr>
      <w:r>
        <w:rPr>
          <w:rFonts w:ascii="Arial" w:cs="Arial" w:eastAsia="Arial" w:hAnsi="Arial"/>
          <w:sz w:val="18"/>
          <w:szCs w:val="18"/>
          <w:color w:val="auto"/>
        </w:rPr>
        <w:t>We read the Private Placement Securities Purchase Agreement and the Loan Agreement to evaluate management’s conclusion that the Company was released from its obligations under the loan agreement as of June 30, 2021.</w:t>
      </w:r>
    </w:p>
    <w:p>
      <w:pPr>
        <w:ind w:left="660"/>
        <w:spacing w:after="0" w:line="232" w:lineRule="auto"/>
        <w:rPr>
          <w:sz w:val="20"/>
          <w:szCs w:val="20"/>
          <w:color w:val="auto"/>
        </w:rPr>
      </w:pPr>
      <w:r>
        <w:rPr>
          <w:rFonts w:ascii="Arial" w:cs="Arial" w:eastAsia="Arial" w:hAnsi="Arial"/>
          <w:sz w:val="17"/>
          <w:szCs w:val="17"/>
          <w:color w:val="auto"/>
        </w:rPr>
        <w:t>We evaluated the accounting relative to the timing of cash received and shares issued, including its underlying supporting documents.</w:t>
      </w:r>
    </w:p>
    <w:p>
      <w:pPr>
        <w:ind w:left="660" w:right="280"/>
        <w:spacing w:after="0" w:line="219" w:lineRule="auto"/>
        <w:rPr>
          <w:sz w:val="20"/>
          <w:szCs w:val="20"/>
          <w:color w:val="auto"/>
        </w:rPr>
      </w:pPr>
      <w:r>
        <w:rPr>
          <w:rFonts w:ascii="Arial" w:cs="Arial" w:eastAsia="Arial" w:hAnsi="Arial"/>
          <w:sz w:val="18"/>
          <w:szCs w:val="18"/>
          <w:color w:val="auto"/>
        </w:rPr>
        <w:t>With the assistance of professionals in our firm having expertise in accounting treatment for financial instruments, we evaluated management’s conclusions regarding the accounting treatment applied to the accounting for the Private Placement Securities Purchase Agreement and Termination of Loan Agreement.</w:t>
      </w:r>
    </w:p>
    <w:p>
      <w:pPr>
        <w:ind w:left="660"/>
        <w:spacing w:after="0"/>
        <w:rPr>
          <w:sz w:val="20"/>
          <w:szCs w:val="20"/>
          <w:color w:val="auto"/>
        </w:rPr>
      </w:pPr>
      <w:r>
        <w:rPr>
          <w:rFonts w:ascii="Arial" w:cs="Arial" w:eastAsia="Arial" w:hAnsi="Arial"/>
          <w:sz w:val="18"/>
          <w:szCs w:val="18"/>
          <w:color w:val="auto"/>
        </w:rPr>
        <w:t>We evaluated the Company’s disclosures related to this related party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March 31,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21"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r>
      <w:tr>
        <w:trPr>
          <w:trHeight w:val="142"/>
        </w:trPr>
        <w:tc>
          <w:tcPr>
            <w:tcW w:w="8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2020</w:t>
            </w:r>
          </w:p>
        </w:tc>
      </w:tr>
      <w:tr>
        <w:trPr>
          <w:trHeight w:val="183"/>
        </w:trPr>
        <w:tc>
          <w:tcPr>
            <w:tcW w:w="8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81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28,614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12,463</w:t>
            </w:r>
          </w:p>
        </w:tc>
      </w:tr>
      <w:tr>
        <w:trPr>
          <w:trHeight w:val="189"/>
        </w:trPr>
        <w:tc>
          <w:tcPr>
            <w:tcW w:w="8140" w:type="dxa"/>
            <w:vAlign w:val="bottom"/>
          </w:tcPr>
          <w:p>
            <w:pPr>
              <w:ind w:left="220"/>
              <w:spacing w:after="0" w:line="189" w:lineRule="exact"/>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8,012</w:t>
            </w:r>
          </w:p>
        </w:tc>
      </w:tr>
      <w:tr>
        <w:trPr>
          <w:trHeight w:val="189"/>
        </w:trPr>
        <w:tc>
          <w:tcPr>
            <w:tcW w:w="81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140" w:type="dxa"/>
            <w:vAlign w:val="bottom"/>
          </w:tcPr>
          <w:p>
            <w:pPr>
              <w:ind w:left="220"/>
              <w:spacing w:after="0" w:line="189" w:lineRule="exact"/>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5,824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1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1,864</w:t>
            </w:r>
          </w:p>
        </w:tc>
      </w:tr>
      <w:tr>
        <w:trPr>
          <w:trHeight w:val="183"/>
        </w:trPr>
        <w:tc>
          <w:tcPr>
            <w:tcW w:w="8140" w:type="dxa"/>
            <w:vAlign w:val="bottom"/>
          </w:tcPr>
          <w:p>
            <w:pPr>
              <w:ind w:left="440"/>
              <w:spacing w:after="0" w:line="182" w:lineRule="exact"/>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36,630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22,339</w:t>
            </w: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2,478</w:t>
            </w: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3,216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3,882</w:t>
            </w: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2,791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2,791</w:t>
            </w: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8,785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9,438</w:t>
            </w: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365</w:t>
            </w:r>
          </w:p>
        </w:tc>
      </w:tr>
      <w:tr>
        <w:trPr>
          <w:trHeight w:val="223"/>
        </w:trPr>
        <w:tc>
          <w:tcPr>
            <w:tcW w:w="814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54,249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41,293</w:t>
            </w:r>
          </w:p>
        </w:tc>
      </w:tr>
      <w:tr>
        <w:trPr>
          <w:trHeight w:val="169"/>
        </w:trPr>
        <w:tc>
          <w:tcPr>
            <w:tcW w:w="8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140" w:type="dxa"/>
            <w:vAlign w:val="bottom"/>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2,904</w:t>
            </w:r>
          </w:p>
        </w:tc>
        <w:tc>
          <w:tcPr>
            <w:tcW w:w="80" w:type="dxa"/>
            <w:vAlign w:val="bottom"/>
          </w:tcPr>
          <w:p>
            <w:pPr>
              <w:spacing w:after="0"/>
              <w:rPr>
                <w:sz w:val="16"/>
                <w:szCs w:val="16"/>
                <w:color w:val="auto"/>
              </w:rPr>
            </w:pPr>
          </w:p>
        </w:tc>
        <w:tc>
          <w:tcPr>
            <w:tcW w:w="560" w:type="dxa"/>
            <w:vAlign w:val="bottom"/>
            <w:gridSpan w:val="2"/>
          </w:tcPr>
          <w:p>
            <w:pPr>
              <w:jc w:val="right"/>
              <w:ind w:right="290"/>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1,717</w:t>
            </w:r>
          </w:p>
        </w:tc>
      </w:tr>
      <w:tr>
        <w:trPr>
          <w:trHeight w:val="189"/>
        </w:trPr>
        <w:tc>
          <w:tcPr>
            <w:tcW w:w="81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4,389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5,326</w:t>
            </w:r>
          </w:p>
        </w:tc>
      </w:tr>
      <w:tr>
        <w:trPr>
          <w:trHeight w:val="189"/>
        </w:trPr>
        <w:tc>
          <w:tcPr>
            <w:tcW w:w="8140" w:type="dxa"/>
            <w:vAlign w:val="bottom"/>
          </w:tcPr>
          <w:p>
            <w:pPr>
              <w:ind w:left="220"/>
              <w:spacing w:after="0" w:line="189" w:lineRule="exact"/>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1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Lease liability, current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542</w:t>
            </w:r>
          </w:p>
        </w:tc>
      </w:tr>
      <w:tr>
        <w:trPr>
          <w:trHeight w:val="189"/>
        </w:trPr>
        <w:tc>
          <w:tcPr>
            <w:tcW w:w="814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Note payable, current</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436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2"/>
        </w:trPr>
        <w:tc>
          <w:tcPr>
            <w:tcW w:w="814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8,519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7,585</w:t>
            </w:r>
          </w:p>
        </w:tc>
      </w:tr>
      <w:tr>
        <w:trPr>
          <w:trHeight w:val="183"/>
        </w:trPr>
        <w:tc>
          <w:tcPr>
            <w:tcW w:w="8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Lease liability, less current portion</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10,040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10,814</w:t>
            </w:r>
          </w:p>
        </w:tc>
      </w:tr>
      <w:tr>
        <w:trPr>
          <w:trHeight w:val="182"/>
        </w:trPr>
        <w:tc>
          <w:tcPr>
            <w:tcW w:w="814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18,559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18,399</w:t>
            </w:r>
          </w:p>
        </w:tc>
      </w:tr>
      <w:tr>
        <w:trPr>
          <w:trHeight w:val="183"/>
        </w:trPr>
        <w:tc>
          <w:tcPr>
            <w:tcW w:w="8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Commitments and contingencies (Note 13)</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8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1"/>
        </w:trPr>
        <w:tc>
          <w:tcPr>
            <w:tcW w:w="8140" w:type="dxa"/>
            <w:vAlign w:val="bottom"/>
            <w:shd w:val="clear" w:color="auto" w:fill="CCEEFF"/>
          </w:tcPr>
          <w:p>
            <w:pPr>
              <w:ind w:left="220"/>
              <w:spacing w:after="0" w:line="161" w:lineRule="exact"/>
              <w:rPr>
                <w:sz w:val="20"/>
                <w:szCs w:val="20"/>
                <w:color w:val="auto"/>
              </w:rPr>
            </w:pPr>
            <w:r>
              <w:rPr>
                <w:rFonts w:ascii="Arial" w:cs="Arial" w:eastAsia="Arial" w:hAnsi="Arial"/>
                <w:sz w:val="18"/>
                <w:szCs w:val="18"/>
                <w:color w:val="auto"/>
              </w:rPr>
              <w:t>Preferred stock, $0.001 par value;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7"/>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authorized – 50,000 shares; no shares issued and outstanding</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61"/>
        </w:trPr>
        <w:tc>
          <w:tcPr>
            <w:tcW w:w="8140" w:type="dxa"/>
            <w:vAlign w:val="bottom"/>
          </w:tcPr>
          <w:p>
            <w:pPr>
              <w:ind w:left="220"/>
              <w:spacing w:after="0" w:line="161" w:lineRule="exact"/>
              <w:rPr>
                <w:sz w:val="20"/>
                <w:szCs w:val="20"/>
                <w:color w:val="auto"/>
              </w:rPr>
            </w:pPr>
            <w:r>
              <w:rPr>
                <w:rFonts w:ascii="Arial" w:cs="Arial" w:eastAsia="Arial" w:hAnsi="Arial"/>
                <w:sz w:val="18"/>
                <w:szCs w:val="18"/>
                <w:color w:val="auto"/>
              </w:rPr>
              <w:t>Common stock, $0.001 par value;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8140" w:type="dxa"/>
            <w:vAlign w:val="bottom"/>
          </w:tcPr>
          <w:p>
            <w:pPr>
              <w:ind w:left="220"/>
              <w:spacing w:after="0" w:line="189" w:lineRule="exact"/>
              <w:rPr>
                <w:sz w:val="20"/>
                <w:szCs w:val="20"/>
                <w:color w:val="auto"/>
              </w:rPr>
            </w:pPr>
            <w:r>
              <w:rPr>
                <w:rFonts w:ascii="Arial" w:cs="Arial" w:eastAsia="Arial" w:hAnsi="Arial"/>
                <w:sz w:val="18"/>
                <w:szCs w:val="18"/>
                <w:color w:val="auto"/>
              </w:rPr>
              <w:t>authorized – 500,000 shares; issued and outstanding – 29,716 shares and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8140" w:type="dxa"/>
            <w:vAlign w:val="bottom"/>
          </w:tcPr>
          <w:p>
            <w:pPr>
              <w:ind w:left="220"/>
              <w:spacing w:after="0"/>
              <w:rPr>
                <w:sz w:val="20"/>
                <w:szCs w:val="20"/>
                <w:color w:val="auto"/>
              </w:rPr>
            </w:pPr>
            <w:r>
              <w:rPr>
                <w:rFonts w:ascii="Arial" w:cs="Arial" w:eastAsia="Arial" w:hAnsi="Arial"/>
                <w:sz w:val="18"/>
                <w:szCs w:val="18"/>
                <w:color w:val="auto"/>
              </w:rPr>
              <w:t>25,550 shares at December 31, 2021 and 2020,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89"/>
        </w:trPr>
        <w:tc>
          <w:tcPr>
            <w:tcW w:w="81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271,861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195,410</w:t>
            </w:r>
          </w:p>
        </w:tc>
      </w:tr>
      <w:tr>
        <w:trPr>
          <w:trHeight w:val="189"/>
        </w:trPr>
        <w:tc>
          <w:tcPr>
            <w:tcW w:w="8140" w:type="dxa"/>
            <w:vAlign w:val="bottom"/>
          </w:tcPr>
          <w:p>
            <w:pPr>
              <w:ind w:left="220"/>
              <w:spacing w:after="0" w:line="189" w:lineRule="exact"/>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189"/>
        </w:trPr>
        <w:tc>
          <w:tcPr>
            <w:tcW w:w="81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(236,200)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(172,540)</w:t>
            </w:r>
          </w:p>
        </w:tc>
      </w:tr>
      <w:tr>
        <w:trPr>
          <w:trHeight w:val="183"/>
        </w:trPr>
        <w:tc>
          <w:tcPr>
            <w:tcW w:w="814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35,690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22,894</w:t>
            </w:r>
          </w:p>
        </w:tc>
      </w:tr>
      <w:tr>
        <w:trPr>
          <w:trHeight w:val="183"/>
        </w:trPr>
        <w:tc>
          <w:tcPr>
            <w:tcW w:w="8140" w:type="dxa"/>
            <w:vAlign w:val="bottom"/>
            <w:tcBorders>
              <w:bottom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54,249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41,293</w:t>
            </w: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21" w:lineRule="auto"/>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20"/>
              <w:spacing w:after="0" w:line="189" w:lineRule="exact"/>
              <w:rPr>
                <w:sz w:val="20"/>
                <w:szCs w:val="20"/>
                <w:color w:val="auto"/>
              </w:rPr>
            </w:pPr>
            <w:r>
              <w:rPr>
                <w:rFonts w:ascii="Arial" w:cs="Arial" w:eastAsia="Arial" w:hAnsi="Arial"/>
                <w:sz w:val="18"/>
                <w:szCs w:val="18"/>
                <w:color w:val="auto"/>
              </w:rPr>
              <w:t>Product revenues</w:t>
            </w:r>
          </w:p>
        </w:tc>
        <w:tc>
          <w:tcPr>
            <w:tcW w:w="620" w:type="dxa"/>
            <w:vAlign w:val="bottom"/>
            <w:gridSpan w:val="2"/>
          </w:tcPr>
          <w:p>
            <w:pPr>
              <w:jc w:val="right"/>
              <w:ind w:right="187"/>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1,418</w:t>
            </w:r>
          </w:p>
        </w:tc>
        <w:tc>
          <w:tcPr>
            <w:tcW w:w="60" w:type="dxa"/>
            <w:vAlign w:val="bottom"/>
          </w:tcPr>
          <w:p>
            <w:pPr>
              <w:spacing w:after="0"/>
              <w:rPr>
                <w:sz w:val="16"/>
                <w:szCs w:val="16"/>
                <w:color w:val="auto"/>
              </w:rPr>
            </w:pPr>
          </w:p>
        </w:tc>
        <w:tc>
          <w:tcPr>
            <w:tcW w:w="440" w:type="dxa"/>
            <w:vAlign w:val="bottom"/>
            <w:gridSpan w:val="2"/>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1,418</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line="182" w:lineRule="exact"/>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1,968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200" w:type="dxa"/>
            <w:vAlign w:val="bottom"/>
          </w:tcPr>
          <w:p>
            <w:pPr>
              <w:ind w:left="220"/>
              <w:spacing w:after="0" w:line="189"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28,640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26,444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24,961</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14,751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7,256</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19,073</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16,265</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cost and expenses</w:t>
            </w:r>
          </w:p>
        </w:tc>
        <w:tc>
          <w:tcPr>
            <w:tcW w:w="2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64,432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49,965</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47,954</w:t>
            </w:r>
          </w:p>
        </w:tc>
        <w:tc>
          <w:tcPr>
            <w:tcW w:w="0" w:type="dxa"/>
            <w:vAlign w:val="bottom"/>
          </w:tcPr>
          <w:p>
            <w:pPr>
              <w:spacing w:after="0"/>
              <w:rPr>
                <w:sz w:val="1"/>
                <w:szCs w:val="1"/>
                <w:color w:val="auto"/>
              </w:rPr>
            </w:pPr>
          </w:p>
        </w:tc>
      </w:tr>
      <w:tr>
        <w:trPr>
          <w:trHeight w:val="183"/>
        </w:trPr>
        <w:tc>
          <w:tcPr>
            <w:tcW w:w="6200" w:type="dxa"/>
            <w:vAlign w:val="bottom"/>
          </w:tcPr>
          <w:p>
            <w:pPr>
              <w:spacing w:after="0" w:line="182"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(63,014)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(49,965)</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(47,954)</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20"/>
              <w:spacing w:after="0" w:line="189" w:lineRule="exact"/>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114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183"/>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(646)</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114</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182"/>
        </w:trPr>
        <w:tc>
          <w:tcPr>
            <w:tcW w:w="6200" w:type="dxa"/>
            <w:vAlign w:val="bottom"/>
          </w:tcPr>
          <w:p>
            <w:pPr>
              <w:spacing w:after="0" w:line="182" w:lineRule="exact"/>
              <w:rPr>
                <w:sz w:val="20"/>
                <w:szCs w:val="20"/>
                <w:color w:val="auto"/>
              </w:rPr>
            </w:pPr>
            <w:r>
              <w:rPr>
                <w:rFonts w:ascii="Arial" w:cs="Arial" w:eastAsia="Arial" w:hAnsi="Arial"/>
                <w:sz w:val="18"/>
                <w:szCs w:val="18"/>
                <w:color w:val="auto"/>
              </w:rPr>
              <w:t>Loss from operations, before income taxes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(63,660)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(49,851)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(46,971)</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20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(63,660)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(49,851)</w:t>
            </w:r>
          </w:p>
        </w:tc>
        <w:tc>
          <w:tcPr>
            <w:tcW w:w="1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(46,971)</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comprehensive gain (loss):</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20"/>
              <w:spacing w:after="0" w:line="189" w:lineRule="exact"/>
              <w:rPr>
                <w:sz w:val="20"/>
                <w:szCs w:val="20"/>
                <w:color w:val="auto"/>
              </w:rPr>
            </w:pPr>
            <w:r>
              <w:rPr>
                <w:rFonts w:ascii="Arial" w:cs="Arial" w:eastAsia="Arial" w:hAnsi="Arial"/>
                <w:sz w:val="18"/>
                <w:szCs w:val="18"/>
                <w:color w:val="auto"/>
              </w:rPr>
              <w:t>Unrealized gain (loss) on available-for-sale securities</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62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(63,659)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(49,856)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(46,966)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and diluted net loss per share</w:t>
            </w:r>
          </w:p>
        </w:tc>
        <w:tc>
          <w:tcPr>
            <w:tcW w:w="620" w:type="dxa"/>
            <w:vAlign w:val="bottom"/>
            <w:gridSpan w:val="2"/>
            <w:shd w:val="clear" w:color="auto" w:fill="CCEEFF"/>
          </w:tcPr>
          <w:p>
            <w:pPr>
              <w:jc w:val="right"/>
              <w:ind w:right="187"/>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(2.28)</w:t>
            </w:r>
          </w:p>
        </w:tc>
        <w:tc>
          <w:tcPr>
            <w:tcW w:w="440" w:type="dxa"/>
            <w:vAlign w:val="bottom"/>
            <w:gridSpan w:val="2"/>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line="154" w:lineRule="exact"/>
              <w:rPr>
                <w:sz w:val="20"/>
                <w:szCs w:val="20"/>
                <w:color w:val="auto"/>
              </w:rPr>
            </w:pPr>
            <w:r>
              <w:rPr>
                <w:rFonts w:ascii="Arial" w:cs="Arial" w:eastAsia="Arial" w:hAnsi="Arial"/>
                <w:sz w:val="17"/>
                <w:szCs w:val="17"/>
                <w:color w:val="auto"/>
                <w:w w:val="97"/>
              </w:rPr>
              <w:t>Weighted average shares used to compute net loss per common share — basic and</w:t>
            </w: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27,964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23,248</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20,746</w:t>
            </w:r>
          </w:p>
        </w:tc>
        <w:tc>
          <w:tcPr>
            <w:tcW w:w="0" w:type="dxa"/>
            <w:vAlign w:val="bottom"/>
          </w:tcPr>
          <w:p>
            <w:pPr>
              <w:spacing w:after="0"/>
              <w:rPr>
                <w:sz w:val="1"/>
                <w:szCs w:val="1"/>
                <w:color w:val="auto"/>
              </w:rPr>
            </w:pPr>
          </w:p>
        </w:tc>
      </w:tr>
      <w:tr>
        <w:trPr>
          <w:trHeight w:val="203"/>
        </w:trPr>
        <w:tc>
          <w:tcPr>
            <w:tcW w:w="6200" w:type="dxa"/>
            <w:vAlign w:val="bottom"/>
          </w:tcPr>
          <w:p>
            <w:pPr>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980" w:type="dxa"/>
            <w:vAlign w:val="bottom"/>
            <w:gridSpan w:val="6"/>
          </w:tcPr>
          <w:p>
            <w:pPr>
              <w:ind w:left="4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 December 31, 2018</w:t>
            </w:r>
          </w:p>
        </w:tc>
        <w:tc>
          <w:tcPr>
            <w:tcW w:w="96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3700" w:type="dxa"/>
            <w:vAlign w:val="bottom"/>
            <w:vMerge w:val="continue"/>
          </w:tcPr>
          <w:p>
            <w:pPr>
              <w:spacing w:after="0"/>
              <w:rPr>
                <w:sz w:val="10"/>
                <w:szCs w:val="10"/>
                <w:color w:val="auto"/>
              </w:rPr>
            </w:pPr>
          </w:p>
        </w:tc>
        <w:tc>
          <w:tcPr>
            <w:tcW w:w="8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20,593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warrants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stock options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shares under employee stock purchase plan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shares on vesting of restricted stock units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w w:val="97"/>
              </w:rPr>
              <w:t>Tax payments related to shares withheld for vested restricted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stock units</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left="4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00" w:type="dxa"/>
            <w:vAlign w:val="bottom"/>
          </w:tcPr>
          <w:p>
            <w:pPr>
              <w:spacing w:after="0" w:line="123" w:lineRule="exact"/>
              <w:rPr>
                <w:sz w:val="20"/>
                <w:szCs w:val="20"/>
                <w:color w:val="auto"/>
              </w:rPr>
            </w:pPr>
            <w:r>
              <w:rPr>
                <w:rFonts w:ascii="Arial" w:cs="Arial" w:eastAsia="Arial" w:hAnsi="Arial"/>
                <w:sz w:val="14"/>
                <w:szCs w:val="14"/>
                <w:color w:val="auto"/>
              </w:rPr>
              <w:t>Balance, December 31, 2019</w:t>
            </w:r>
          </w:p>
        </w:tc>
        <w:tc>
          <w:tcPr>
            <w:tcW w:w="8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20,825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shares under employee stock purchase plan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warrants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common stock and warrants in connection with</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w w:val="98"/>
              </w:rPr>
              <w:t>rights offering at $7.01 per unit, net of issuance cost of $565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investments, net of tax</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left="4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00" w:type="dxa"/>
            <w:vAlign w:val="bottom"/>
          </w:tcPr>
          <w:p>
            <w:pPr>
              <w:spacing w:after="0" w:line="123" w:lineRule="exact"/>
              <w:rPr>
                <w:sz w:val="20"/>
                <w:szCs w:val="20"/>
                <w:color w:val="auto"/>
              </w:rPr>
            </w:pPr>
            <w:r>
              <w:rPr>
                <w:rFonts w:ascii="Arial" w:cs="Arial" w:eastAsia="Arial" w:hAnsi="Arial"/>
                <w:sz w:val="14"/>
                <w:szCs w:val="14"/>
                <w:color w:val="auto"/>
              </w:rPr>
              <w:t>Balance, December 31, 2020</w:t>
            </w:r>
          </w:p>
        </w:tc>
        <w:tc>
          <w:tcPr>
            <w:tcW w:w="8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25,550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common stock as part of debt extinguishment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and private investment, net of issuance cost of $106</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 of warrants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common stock as part of ATM offering, net of</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cost of $568</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vesting of restricted stock</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units, net of shares withheld for employee taxes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shares under employee stock purchase plan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4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left="44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20"/>
                <w:szCs w:val="20"/>
                <w:color w:val="auto"/>
              </w:rPr>
            </w:pPr>
            <w:r>
              <w:rPr>
                <w:rFonts w:ascii="Arial" w:cs="Arial" w:eastAsia="Arial" w:hAnsi="Arial"/>
                <w:sz w:val="14"/>
                <w:szCs w:val="14"/>
                <w:color w:val="auto"/>
              </w:rPr>
              <w:t>Balance, December 31, 2021</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-2969895</wp:posOffset>
            </wp:positionV>
            <wp:extent cx="7132320" cy="93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-2781300</wp:posOffset>
            </wp:positionV>
            <wp:extent cx="7132320" cy="93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-2592705</wp:posOffset>
            </wp:positionV>
            <wp:extent cx="713232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-2309495</wp:posOffset>
            </wp:positionV>
            <wp:extent cx="7132320" cy="93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-2112645</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-1924050</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-1640840</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-1452245</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-1255395</wp:posOffset>
            </wp:positionV>
            <wp:extent cx="713232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-972185</wp:posOffset>
            </wp:positionV>
            <wp:extent cx="713232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-3166745</wp:posOffset>
            </wp:positionV>
            <wp:extent cx="713232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right"/>
              <w:ind w:right="348"/>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080" w:type="dxa"/>
            <w:vAlign w:val="bottom"/>
          </w:tcPr>
          <w:p>
            <w:pPr>
              <w:jc w:val="right"/>
              <w:ind w:right="448"/>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1080" w:type="dxa"/>
            <w:vAlign w:val="bottom"/>
          </w:tcPr>
          <w:p>
            <w:pPr>
              <w:jc w:val="right"/>
              <w:ind w:right="44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3"/>
        </w:trPr>
        <w:tc>
          <w:tcPr>
            <w:tcW w:w="1080" w:type="dxa"/>
            <w:vAlign w:val="bottom"/>
          </w:tcPr>
          <w:p>
            <w:pPr>
              <w:jc w:val="right"/>
              <w:ind w:right="108"/>
              <w:spacing w:after="0" w:line="123" w:lineRule="exact"/>
              <w:rPr>
                <w:sz w:val="20"/>
                <w:szCs w:val="20"/>
                <w:color w:val="auto"/>
              </w:rPr>
            </w:pPr>
            <w:r>
              <w:rPr>
                <w:rFonts w:ascii="Arial" w:cs="Arial" w:eastAsia="Arial" w:hAnsi="Arial"/>
                <w:sz w:val="14"/>
                <w:szCs w:val="14"/>
                <w:color w:val="auto"/>
              </w:rPr>
              <w:t>142,032</w:t>
            </w:r>
          </w:p>
        </w:tc>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ind w:left="1260"/>
              <w:spacing w:after="0" w:line="123" w:lineRule="exact"/>
              <w:rPr>
                <w:sz w:val="20"/>
                <w:szCs w:val="20"/>
                <w:color w:val="auto"/>
              </w:rPr>
            </w:pPr>
            <w:r>
              <w:rPr>
                <w:rFonts w:ascii="Arial" w:cs="Arial" w:eastAsia="Arial" w:hAnsi="Arial"/>
                <w:sz w:val="14"/>
                <w:szCs w:val="14"/>
                <w:color w:val="auto"/>
                <w:w w:val="81"/>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(75,718)</w:t>
            </w:r>
          </w:p>
        </w:tc>
        <w:tc>
          <w:tcPr>
            <w:tcW w:w="140" w:type="dxa"/>
            <w:vAlign w:val="bottom"/>
          </w:tcPr>
          <w:p>
            <w:pPr>
              <w:spacing w:after="0"/>
              <w:rPr>
                <w:sz w:val="10"/>
                <w:szCs w:val="10"/>
                <w:color w:val="auto"/>
              </w:rPr>
            </w:pPr>
          </w:p>
        </w:tc>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66,334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272</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423</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080" w:type="dxa"/>
            <w:vAlign w:val="bottom"/>
          </w:tcPr>
          <w:p>
            <w:pPr>
              <w:jc w:val="right"/>
              <w:ind w:right="108"/>
              <w:spacing w:after="0"/>
              <w:rPr>
                <w:sz w:val="20"/>
                <w:szCs w:val="20"/>
                <w:color w:val="auto"/>
              </w:rPr>
            </w:pPr>
            <w:r>
              <w:rPr>
                <w:rFonts w:ascii="Arial" w:cs="Arial" w:eastAsia="Arial" w:hAnsi="Arial"/>
                <w:sz w:val="14"/>
                <w:szCs w:val="14"/>
                <w:color w:val="auto"/>
              </w:rPr>
              <w:t>11,287</w:t>
            </w:r>
          </w:p>
        </w:tc>
        <w:tc>
          <w:tcPr>
            <w:tcW w:w="120" w:type="dxa"/>
            <w:vAlign w:val="bottom"/>
          </w:tcPr>
          <w:p>
            <w:pPr>
              <w:spacing w:after="0"/>
              <w:rPr>
                <w:sz w:val="15"/>
                <w:szCs w:val="15"/>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2"/>
                <w:szCs w:val="22"/>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20" w:type="dxa"/>
            <w:vAlign w:val="bottom"/>
          </w:tcPr>
          <w:p>
            <w:pPr>
              <w:jc w:val="center"/>
              <w:ind w:left="1228"/>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(46,971)</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80" w:type="dxa"/>
            <w:vAlign w:val="bottom"/>
          </w:tcPr>
          <w:p>
            <w:pPr>
              <w:jc w:val="right"/>
              <w:ind w:right="108"/>
              <w:spacing w:after="0" w:line="123" w:lineRule="exact"/>
              <w:rPr>
                <w:sz w:val="20"/>
                <w:szCs w:val="20"/>
                <w:color w:val="auto"/>
              </w:rPr>
            </w:pPr>
            <w:r>
              <w:rPr>
                <w:rFonts w:ascii="Arial" w:cs="Arial" w:eastAsia="Arial" w:hAnsi="Arial"/>
                <w:sz w:val="14"/>
                <w:szCs w:val="14"/>
                <w:color w:val="auto"/>
              </w:rPr>
              <w:t>153,401</w:t>
            </w: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left="1228"/>
              <w:spacing w:after="0" w:line="123"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(122,689)</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30,737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887</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490</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80" w:type="dxa"/>
            <w:vAlign w:val="bottom"/>
          </w:tcPr>
          <w:p>
            <w:pPr>
              <w:jc w:val="right"/>
              <w:ind w:right="108"/>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15"/>
                <w:szCs w:val="15"/>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80" w:type="dxa"/>
            <w:vAlign w:val="bottom"/>
          </w:tcPr>
          <w:p>
            <w:pPr>
              <w:jc w:val="right"/>
              <w:ind w:right="108"/>
              <w:spacing w:after="0"/>
              <w:rPr>
                <w:sz w:val="20"/>
                <w:szCs w:val="20"/>
                <w:color w:val="auto"/>
              </w:rPr>
            </w:pPr>
            <w:r>
              <w:rPr>
                <w:rFonts w:ascii="Arial" w:cs="Arial" w:eastAsia="Arial" w:hAnsi="Arial"/>
                <w:sz w:val="14"/>
                <w:szCs w:val="14"/>
                <w:color w:val="auto"/>
              </w:rPr>
              <w:t>29,430</w:t>
            </w:r>
          </w:p>
        </w:tc>
        <w:tc>
          <w:tcPr>
            <w:tcW w:w="120" w:type="dxa"/>
            <w:vAlign w:val="bottom"/>
          </w:tcPr>
          <w:p>
            <w:pPr>
              <w:spacing w:after="0"/>
              <w:rPr>
                <w:sz w:val="22"/>
                <w:szCs w:val="22"/>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29,434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10,075</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500" w:type="dxa"/>
            <w:vAlign w:val="bottom"/>
            <w:gridSpan w:val="2"/>
          </w:tcPr>
          <w:p>
            <w:pPr>
              <w:ind w:left="12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(49,851)</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(49,851)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right"/>
              <w:ind w:right="108"/>
              <w:spacing w:after="0"/>
              <w:rPr>
                <w:sz w:val="20"/>
                <w:szCs w:val="20"/>
                <w:color w:val="auto"/>
              </w:rPr>
            </w:pPr>
            <w:r>
              <w:rPr>
                <w:rFonts w:ascii="Arial" w:cs="Arial" w:eastAsia="Arial" w:hAnsi="Arial"/>
                <w:sz w:val="14"/>
                <w:szCs w:val="14"/>
                <w:color w:val="auto"/>
              </w:rPr>
              <w:t>195,410</w:t>
            </w: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ind w:left="1260"/>
              <w:spacing w:after="0"/>
              <w:rPr>
                <w:sz w:val="20"/>
                <w:szCs w:val="20"/>
                <w:color w:val="auto"/>
              </w:rPr>
            </w:pPr>
            <w:r>
              <w:rPr>
                <w:rFonts w:ascii="Arial" w:cs="Arial" w:eastAsia="Arial" w:hAnsi="Arial"/>
                <w:sz w:val="14"/>
                <w:szCs w:val="14"/>
                <w:color w:val="auto"/>
                <w:w w:val="81"/>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(172,540)</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080" w:type="dxa"/>
            <w:vAlign w:val="bottom"/>
          </w:tcPr>
          <w:p>
            <w:pPr>
              <w:jc w:val="right"/>
              <w:ind w:right="108"/>
              <w:spacing w:after="0"/>
              <w:rPr>
                <w:sz w:val="20"/>
                <w:szCs w:val="20"/>
                <w:color w:val="auto"/>
              </w:rPr>
            </w:pPr>
            <w:r>
              <w:rPr>
                <w:rFonts w:ascii="Arial" w:cs="Arial" w:eastAsia="Arial" w:hAnsi="Arial"/>
                <w:sz w:val="14"/>
                <w:szCs w:val="14"/>
                <w:color w:val="auto"/>
              </w:rPr>
              <w:t>49,891</w:t>
            </w:r>
          </w:p>
        </w:tc>
        <w:tc>
          <w:tcPr>
            <w:tcW w:w="120" w:type="dxa"/>
            <w:vAlign w:val="bottom"/>
          </w:tcPr>
          <w:p>
            <w:pPr>
              <w:spacing w:after="0"/>
              <w:rPr>
                <w:sz w:val="21"/>
                <w:szCs w:val="21"/>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49,894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80" w:type="dxa"/>
            <w:vAlign w:val="bottom"/>
          </w:tcPr>
          <w:p>
            <w:pPr>
              <w:jc w:val="right"/>
              <w:ind w:right="108"/>
              <w:spacing w:after="0"/>
              <w:rPr>
                <w:sz w:val="20"/>
                <w:szCs w:val="20"/>
                <w:color w:val="auto"/>
              </w:rPr>
            </w:pPr>
            <w:r>
              <w:rPr>
                <w:rFonts w:ascii="Arial" w:cs="Arial" w:eastAsia="Arial" w:hAnsi="Arial"/>
                <w:sz w:val="14"/>
                <w:szCs w:val="14"/>
                <w:color w:val="auto"/>
              </w:rPr>
              <w:t>3,333</w:t>
            </w:r>
          </w:p>
        </w:tc>
        <w:tc>
          <w:tcPr>
            <w:tcW w:w="120" w:type="dxa"/>
            <w:vAlign w:val="bottom"/>
          </w:tcPr>
          <w:p>
            <w:pPr>
              <w:spacing w:after="0"/>
              <w:rPr>
                <w:sz w:val="15"/>
                <w:szCs w:val="15"/>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1080" w:type="dxa"/>
            <w:vAlign w:val="bottom"/>
          </w:tcPr>
          <w:p>
            <w:pPr>
              <w:jc w:val="right"/>
              <w:ind w:right="108"/>
              <w:spacing w:after="0"/>
              <w:rPr>
                <w:sz w:val="20"/>
                <w:szCs w:val="20"/>
                <w:color w:val="auto"/>
              </w:rPr>
            </w:pPr>
            <w:r>
              <w:rPr>
                <w:rFonts w:ascii="Arial" w:cs="Arial" w:eastAsia="Arial" w:hAnsi="Arial"/>
                <w:sz w:val="14"/>
                <w:szCs w:val="14"/>
                <w:color w:val="auto"/>
              </w:rPr>
              <w:t>7,432</w:t>
            </w:r>
          </w:p>
        </w:tc>
        <w:tc>
          <w:tcPr>
            <w:tcW w:w="120" w:type="dxa"/>
            <w:vAlign w:val="bottom"/>
          </w:tcPr>
          <w:p>
            <w:pPr>
              <w:spacing w:after="0"/>
              <w:rPr>
                <w:sz w:val="24"/>
                <w:szCs w:val="24"/>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810</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616</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14,601</w:t>
            </w:r>
          </w:p>
        </w:tc>
        <w:tc>
          <w:tcPr>
            <w:tcW w:w="120" w:type="dxa"/>
            <w:vAlign w:val="bottom"/>
          </w:tcPr>
          <w:p>
            <w:pPr>
              <w:spacing w:after="0"/>
              <w:rPr>
                <w:sz w:val="12"/>
                <w:szCs w:val="12"/>
                <w:color w:val="auto"/>
              </w:rPr>
            </w:pPr>
          </w:p>
        </w:tc>
        <w:tc>
          <w:tcPr>
            <w:tcW w:w="1500" w:type="dxa"/>
            <w:vAlign w:val="bottom"/>
            <w:gridSpan w:val="2"/>
          </w:tcPr>
          <w:p>
            <w:pPr>
              <w:jc w:val="center"/>
              <w:ind w:left="112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20" w:type="dxa"/>
            <w:vAlign w:val="bottom"/>
          </w:tcPr>
          <w:p>
            <w:pPr>
              <w:jc w:val="center"/>
              <w:ind w:left="1228"/>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center"/>
              <w:ind w:left="11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(63,660)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(63,660)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right"/>
              <w:ind w:right="108"/>
              <w:spacing w:after="0"/>
              <w:rPr>
                <w:sz w:val="20"/>
                <w:szCs w:val="20"/>
                <w:color w:val="auto"/>
              </w:rPr>
            </w:pPr>
            <w:r>
              <w:rPr>
                <w:rFonts w:ascii="Arial" w:cs="Arial" w:eastAsia="Arial" w:hAnsi="Arial"/>
                <w:sz w:val="14"/>
                <w:szCs w:val="14"/>
                <w:color w:val="auto"/>
              </w:rPr>
              <w:t>271,861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center"/>
              <w:ind w:left="120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(236,200)</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35,690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-123825</wp:posOffset>
            </wp:positionV>
            <wp:extent cx="754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-1358265</wp:posOffset>
            </wp:positionV>
            <wp:extent cx="7543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-2215515</wp:posOffset>
            </wp:positionV>
            <wp:extent cx="7543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180"/>
            <w:col w:w="5220"/>
          </w:cols>
          <w:pgMar w:left="320" w:top="108" w:right="339" w:bottom="1440" w:gutter="0" w:footer="0" w:header="0"/>
          <w:type w:val="continuous"/>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1360" w:type="dxa"/>
            <w:vAlign w:val="bottom"/>
            <w:tcBorders>
              <w:top w:val="single" w:sz="8" w:color="0563C1"/>
            </w:tcBorders>
          </w:tcPr>
          <w:p>
            <w:pPr>
              <w:spacing w:after="0"/>
              <w:rPr>
                <w:sz w:val="24"/>
                <w:szCs w:val="24"/>
                <w:color w:val="auto"/>
              </w:rPr>
            </w:pPr>
          </w:p>
        </w:tc>
        <w:tc>
          <w:tcPr>
            <w:tcW w:w="5540" w:type="dxa"/>
            <w:vAlign w:val="bottom"/>
            <w:gridSpan w:val="3"/>
          </w:tcPr>
          <w:p>
            <w:pPr>
              <w:jc w:val="center"/>
              <w:ind w:left="2890"/>
              <w:spacing w:after="0"/>
              <w:rPr>
                <w:sz w:val="20"/>
                <w:szCs w:val="20"/>
                <w:color w:val="auto"/>
              </w:rPr>
            </w:pPr>
            <w:r>
              <w:rPr>
                <w:rFonts w:ascii="Arial" w:cs="Arial" w:eastAsia="Arial" w:hAnsi="Arial"/>
                <w:sz w:val="18"/>
                <w:szCs w:val="18"/>
                <w:b w:val="1"/>
                <w:bCs w:val="1"/>
                <w:color w:val="auto"/>
                <w:w w:val="98"/>
              </w:rPr>
              <w:t>PULSE BIOSCIENCES, INC.</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6740" w:type="dxa"/>
            <w:vAlign w:val="bottom"/>
            <w:gridSpan w:val="5"/>
          </w:tcPr>
          <w:p>
            <w:pPr>
              <w:jc w:val="center"/>
              <w:ind w:left="1690"/>
              <w:spacing w:after="0" w:line="189" w:lineRule="exact"/>
              <w:rPr>
                <w:sz w:val="20"/>
                <w:szCs w:val="20"/>
                <w:color w:val="auto"/>
              </w:rPr>
            </w:pPr>
            <w:r>
              <w:rPr>
                <w:rFonts w:ascii="Arial" w:cs="Arial" w:eastAsia="Arial" w:hAnsi="Arial"/>
                <w:sz w:val="18"/>
                <w:szCs w:val="18"/>
                <w:b w:val="1"/>
                <w:bCs w:val="1"/>
                <w:color w:val="auto"/>
                <w:w w:val="88"/>
              </w:rPr>
              <w:t>Consolidated Statements of Cash Flows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960" w:type="dxa"/>
            <w:vAlign w:val="bottom"/>
          </w:tcPr>
          <w:p>
            <w:pPr>
              <w:jc w:val="center"/>
              <w:ind w:left="349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gridSpan w:val="6"/>
            <w:vMerge w:val="restart"/>
          </w:tcPr>
          <w:p>
            <w:pPr>
              <w:jc w:val="right"/>
              <w:ind w:right="147"/>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vMerge w:val="continue"/>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49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3"/>
        </w:trPr>
        <w:tc>
          <w:tcPr>
            <w:tcW w:w="6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line="189" w:lineRule="exact"/>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267"/>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(63,660)</w:t>
            </w: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(49,851)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(46,971)</w:t>
            </w:r>
          </w:p>
        </w:tc>
        <w:tc>
          <w:tcPr>
            <w:tcW w:w="0" w:type="dxa"/>
            <w:vAlign w:val="bottom"/>
          </w:tcPr>
          <w:p>
            <w:pPr>
              <w:spacing w:after="0"/>
              <w:rPr>
                <w:sz w:val="1"/>
                <w:szCs w:val="1"/>
                <w:color w:val="auto"/>
              </w:rPr>
            </w:pPr>
          </w:p>
        </w:tc>
      </w:tr>
      <w:tr>
        <w:trPr>
          <w:trHeight w:val="161"/>
        </w:trPr>
        <w:tc>
          <w:tcPr>
            <w:tcW w:w="632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rPr>
              <w:t>Adjustments to reconcile net loss to net cash used in</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480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430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14,601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10,075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Net premium amortization and discount on available-for-sale securities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Loss on disposal of fixed assets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119</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Gain on U.S. Treasury securities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(5,824)</w:t>
            </w:r>
          </w:p>
        </w:tc>
        <w:tc>
          <w:tcPr>
            <w:tcW w:w="340" w:type="dxa"/>
            <w:vAlign w:val="bottom"/>
          </w:tcPr>
          <w:p>
            <w:pPr>
              <w:spacing w:after="0"/>
              <w:rPr>
                <w:sz w:val="16"/>
                <w:szCs w:val="16"/>
                <w:color w:val="auto"/>
              </w:rPr>
            </w:pPr>
          </w:p>
        </w:tc>
        <w:tc>
          <w:tcPr>
            <w:tcW w:w="13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(1,374)</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89"/>
        </w:trPr>
        <w:tc>
          <w:tcPr>
            <w:tcW w:w="632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9"/>
        </w:trPr>
        <w:tc>
          <w:tcPr>
            <w:tcW w:w="632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129</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189"/>
        </w:trPr>
        <w:tc>
          <w:tcPr>
            <w:tcW w:w="632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(937)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2,830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tcPr>
          <w:p>
            <w:pPr>
              <w:ind w:left="440"/>
              <w:spacing w:after="0" w:line="189" w:lineRule="exact"/>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(542)</w:t>
            </w:r>
          </w:p>
        </w:tc>
        <w:tc>
          <w:tcPr>
            <w:tcW w:w="3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(196)</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Accrued interest on note payable</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gridSpan w:val="2"/>
          </w:tcPr>
          <w:p>
            <w:pPr>
              <w:ind w:left="660"/>
              <w:spacing w:after="0" w:line="182"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(54,097)</w:t>
            </w:r>
          </w:p>
        </w:tc>
        <w:tc>
          <w:tcPr>
            <w:tcW w:w="1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(35,365)</w:t>
            </w:r>
          </w:p>
        </w:tc>
        <w:tc>
          <w:tcPr>
            <w:tcW w:w="1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(34,185)</w:t>
            </w:r>
          </w:p>
        </w:tc>
        <w:tc>
          <w:tcPr>
            <w:tcW w:w="0" w:type="dxa"/>
            <w:vAlign w:val="bottom"/>
          </w:tcPr>
          <w:p>
            <w:pPr>
              <w:spacing w:after="0"/>
              <w:rPr>
                <w:sz w:val="1"/>
                <w:szCs w:val="1"/>
                <w:color w:val="auto"/>
              </w:rPr>
            </w:pPr>
          </w:p>
        </w:tc>
      </w:tr>
      <w:tr>
        <w:trPr>
          <w:trHeight w:val="183"/>
        </w:trPr>
        <w:tc>
          <w:tcPr>
            <w:tcW w:w="6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(437)</w:t>
            </w:r>
          </w:p>
        </w:tc>
        <w:tc>
          <w:tcPr>
            <w:tcW w:w="3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(441)</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Purchases of investments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(29,025)</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(77,993)</w:t>
            </w: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Maturities of investments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8,000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35,000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68,500</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Sales of investments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4,510</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gridSpan w:val="2"/>
          </w:tcPr>
          <w:p>
            <w:pPr>
              <w:ind w:left="660"/>
              <w:spacing w:after="0" w:line="182"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7,563</w:t>
            </w:r>
          </w:p>
        </w:tc>
        <w:tc>
          <w:tcPr>
            <w:tcW w:w="1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10,044</w:t>
            </w:r>
          </w:p>
        </w:tc>
        <w:tc>
          <w:tcPr>
            <w:tcW w:w="1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183"/>
        </w:trPr>
        <w:tc>
          <w:tcPr>
            <w:tcW w:w="6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96"/>
              </w:rPr>
              <w:t>Proceeds from issuance of common stock under employee stock purchase plan</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810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490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Proceeds from exercises of warrants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4,217</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Proceeds from exercises of stock options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786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717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Proceeds from issuance of common stock</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56,697</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29,434</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Proceeds from insurance loan agreement</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1,939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Payments made on insurance loan agreement</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(1,532)</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Tax payments related to shares withheld for vested restricted stock units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(232)</w:t>
            </w:r>
          </w:p>
        </w:tc>
        <w:tc>
          <w:tcPr>
            <w:tcW w:w="340" w:type="dxa"/>
            <w:vAlign w:val="bottom"/>
          </w:tcPr>
          <w:p>
            <w:pPr>
              <w:spacing w:after="0"/>
              <w:rPr>
                <w:sz w:val="16"/>
                <w:szCs w:val="16"/>
                <w:color w:val="auto"/>
              </w:rPr>
            </w:pPr>
          </w:p>
        </w:tc>
        <w:tc>
          <w:tcPr>
            <w:tcW w:w="13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183"/>
        </w:trPr>
        <w:tc>
          <w:tcPr>
            <w:tcW w:w="6320" w:type="dxa"/>
            <w:vAlign w:val="bottom"/>
            <w:tcBorders>
              <w:top w:val="single" w:sz="8" w:color="CCEEFF"/>
            </w:tcBorders>
            <w:gridSpan w:val="2"/>
            <w:shd w:val="clear" w:color="auto" w:fill="CCEEFF"/>
          </w:tcPr>
          <w:p>
            <w:pPr>
              <w:ind w:left="66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62,685</w:t>
            </w: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30,885</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632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16,151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5,564</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(44,204)</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12,463</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6,899</w:t>
            </w:r>
          </w:p>
        </w:tc>
        <w:tc>
          <w:tcPr>
            <w:tcW w:w="1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51,103</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28,614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12,463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20" w:type="dxa"/>
            <w:vAlign w:val="bottom"/>
            <w:gridSpan w:val="2"/>
          </w:tcPr>
          <w:p>
            <w:pPr>
              <w:spacing w:after="0" w:line="157" w:lineRule="exact"/>
              <w:rPr>
                <w:sz w:val="20"/>
                <w:szCs w:val="20"/>
                <w:color w:val="auto"/>
              </w:rPr>
            </w:pPr>
            <w:r>
              <w:rPr>
                <w:rFonts w:ascii="Arial" w:cs="Arial" w:eastAsia="Arial" w:hAnsi="Arial"/>
                <w:sz w:val="18"/>
                <w:szCs w:val="18"/>
                <w:b w:val="1"/>
                <w:bCs w:val="1"/>
                <w:color w:val="auto"/>
              </w:rPr>
              <w:t>Supplemental disclosure of noncash investing</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and financing activities: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Other receivable from exercise of warrants and stock options</w:t>
            </w:r>
          </w:p>
        </w:tc>
        <w:tc>
          <w:tcPr>
            <w:tcW w:w="58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1,053</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Change in unrealized gains on available-for-sale securities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6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Equipment purchases included in accounts payable and accrued expenses</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61"/>
        </w:trPr>
        <w:tc>
          <w:tcPr>
            <w:tcW w:w="6320" w:type="dxa"/>
            <w:vAlign w:val="bottom"/>
            <w:gridSpan w:val="2"/>
          </w:tcPr>
          <w:p>
            <w:pPr>
              <w:ind w:left="220"/>
              <w:spacing w:after="0" w:line="161" w:lineRule="exact"/>
              <w:rPr>
                <w:sz w:val="20"/>
                <w:szCs w:val="20"/>
                <w:color w:val="auto"/>
              </w:rPr>
            </w:pPr>
            <w:r>
              <w:rPr>
                <w:rFonts w:ascii="Arial" w:cs="Arial" w:eastAsia="Arial" w:hAnsi="Arial"/>
                <w:sz w:val="18"/>
                <w:szCs w:val="18"/>
                <w:color w:val="auto"/>
                <w:w w:val="97"/>
              </w:rPr>
              <w:t>Accrued interest settled via issuance of common stock from private placement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equity offering</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7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Pulse Biosciences, Inc. is a novel bioelectric medicine company committed to health innovation using an entirely new and proprietary energy modality. The Company’s CellFX System is the first commercial product to harness the distinctive advantages of the Company’s proprietary NPS technology. The CellFX System delivers nanosecond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29"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 xml:space="preserve">In February 2021, the Company received 510(k) clearance from the FDA for the CellFX System for dermatologic procedures requiring ablation and resurfacing of the skin. In January 2021, the Company received CE marking approval for the CellFX System, which allows for marketing of the system in the EU and, in June 2021, the Company received Health Canada approval for the CellFX System, which allows for marketing of the system in Canada. The CE mark and Health Canada approvals allow for use of the CellFX System in dermatological procedures requiring ablation and resurfacing of the skin for the reduction, removal, and/or clearance of cellular-based benign lesions, including SH, SK, and cutaneous non-genital warts. The Company will continue to pursue specific indications for the CellFX System in the United States similar to the regulatory clearances already received in Europe and Canada. This will require additional 510(k) submissions for each subsequent indication, and will likely be based on comparative clinical data. </w:t>
      </w:r>
      <w:r>
        <w:rPr>
          <w:rFonts w:ascii="Arial" w:cs="Arial" w:eastAsia="Arial" w:hAnsi="Arial"/>
          <w:sz w:val="17"/>
          <w:szCs w:val="17"/>
          <w:color w:val="231F20"/>
        </w:rPr>
        <w:t>In December 2021,</w:t>
      </w:r>
      <w:r>
        <w:rPr>
          <w:rFonts w:ascii="Arial" w:cs="Arial" w:eastAsia="Arial" w:hAnsi="Arial"/>
          <w:sz w:val="17"/>
          <w:szCs w:val="17"/>
          <w:color w:val="auto"/>
        </w:rPr>
        <w:t xml:space="preserve"> the Company submitted a 510(k) to add the treatment of SH to the CellFX System’s indications for use in the United States. In February 2022 the Company received an AI letter from the FDA in response to the 510(k) submitted. In the AI letter, the FDA stated it did not believe the Company provided sufficient clinical evidence at this time to support the expanded indication for use, and that the Company had not met the primary endpoints of the SH FDA-approved IDE study. The Company anticipates meeting with the FDA to discuss the contents of the AI letter and potential next steps, which may require additional clinical data and potentially a new 510(k) submission.</w:t>
      </w:r>
    </w:p>
    <w:p>
      <w:pPr>
        <w:spacing w:after="0" w:line="150"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In February 2021, the Company initiated controlled launch programs (Note 8) in the United States and the European Union and in June 2021 the Company initiated a controlled launch program in Canada (collectively, our “Controlled Launch”). In August 2021, the Company began to convert Controlled Launch Program participants into sales agreements, thereby triggering revenue recognition.</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Company was incorporated in Nevada on May 19, 2014. On June 18, 2018, the Company reincorporated from the State of Nevada to the State of Delaware. The Company is located in Hayward, California.</w:t>
      </w:r>
    </w:p>
    <w:p>
      <w:pPr>
        <w:spacing w:after="0" w:line="143"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Company’s activities are subject to significant risks and uncertainties, including the need for additional capital. The Company does not currently have any cash flows from operations. It has recently commenced revenue-generating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7"/>
          <w:szCs w:val="17"/>
          <w:color w:val="auto"/>
        </w:rPr>
        <w:t xml:space="preserve">As of December 31, 2021, the Company had an accumulated deficit of $236.2 million, cash outflows from operations of $54.1 million for the year then ended, cash and cash equivalents of $28.6 million, and a net loss of $63.7 million. The Company has recently begun to generate revenue from product sales, but anticipates net losses for the next several years or until it can generate substantial product revenue and achieve profitability. Based on the Company’s current operating plan, the Company has determined that, with its current financial resources, the Company would be able to operate into the second quarter of 2022. As the Company’s operating plan does not allow the Company to operate for a period of twelve months from the date the consolidated financial statements are issued without additional financing, based on the ASC 205-40, </w:t>
      </w:r>
      <w:r>
        <w:rPr>
          <w:rFonts w:ascii="Arial" w:cs="Arial" w:eastAsia="Arial" w:hAnsi="Arial"/>
          <w:sz w:val="17"/>
          <w:szCs w:val="17"/>
          <w:i w:val="1"/>
          <w:iCs w:val="1"/>
          <w:color w:val="auto"/>
        </w:rPr>
        <w:t>Presentation of Financial Statements – Going</w:t>
      </w:r>
      <w:r>
        <w:rPr>
          <w:rFonts w:ascii="Arial" w:cs="Arial" w:eastAsia="Arial" w:hAnsi="Arial"/>
          <w:sz w:val="17"/>
          <w:szCs w:val="17"/>
          <w:color w:val="auto"/>
        </w:rPr>
        <w:t xml:space="preserve"> </w:t>
      </w:r>
      <w:r>
        <w:rPr>
          <w:rFonts w:ascii="Arial" w:cs="Arial" w:eastAsia="Arial" w:hAnsi="Arial"/>
          <w:sz w:val="17"/>
          <w:szCs w:val="17"/>
          <w:i w:val="1"/>
          <w:iCs w:val="1"/>
          <w:color w:val="auto"/>
        </w:rPr>
        <w:t>Concern</w:t>
      </w:r>
      <w:r>
        <w:rPr>
          <w:rFonts w:ascii="Arial" w:cs="Arial" w:eastAsia="Arial" w:hAnsi="Arial"/>
          <w:sz w:val="17"/>
          <w:szCs w:val="17"/>
          <w:color w:val="auto"/>
        </w:rPr>
        <w:t>, the Company is required to disclose that substantial doubt regarding the Company’s ability to continue as a going concern exists. This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initially cannot take into consideration the potential mitigating effects of plans that have not been fully implemented as of the date the financial statements are issued. To continue to fund the operations of the Company beyond this time period, management has developed plans, which primarily consist of raising additional capital through some combination of public or private equity offerings, debt financings, the Company’s at-the-market equity offering program, and/or potential new collaborations. There is no assurance, however, that any additional financing or any revenue-generating collaboration will be available when needed or that management of the Company will be able to obtain financing or enter into a collaboration on terms acceptable to the Company.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Certain prior period balances have been reclassified to conform to the current period presentation in the consolidated financial statements and the accompanying notes. Sales and marketing expenses are reclassified out of general and administrative expenses, both of which are presented as separate line items. Amortization of intangible assets are reclassified to general and administrative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pursuant to the rules and regulations of the United States Securities Exchange Commission (the “SEC”). The consolidated financial statements include the financial statements of the Company and its wholly-owned subsidiaries and intercompany balances and transactions have been eliminated in consolidation.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the valuation and recognition of share-based compensation, inventory valuation, warranty obligations,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333333"/>
        </w:rPr>
        <w:t>Financial instruments that potentially subject the Company to a concentration of credit risk consist of cash and cash equivalents and investments. The Company places its cash equivalents and investments with high credit quality financial institutions and, by policy, limits the amounts invested with any one financial institution or issuer. Deposits held with banks may exceed the amount of insurance provided on such deposits. The Company has not experienced any losses since inception.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333333"/>
        </w:rPr>
        <w:t xml:space="preserve">The </w:t>
      </w:r>
      <w:r>
        <w:rPr>
          <w:rFonts w:ascii="Arial" w:cs="Arial" w:eastAsia="Arial" w:hAnsi="Arial"/>
          <w:sz w:val="18"/>
          <w:szCs w:val="18"/>
          <w:color w:val="000000"/>
        </w:rPr>
        <w:t>Company believes the carrying amounts of its financial instruments, including cash equivalents, prepaid expenses and other current assets,</w:t>
      </w:r>
      <w:r>
        <w:rPr>
          <w:rFonts w:ascii="Arial" w:cs="Arial" w:eastAsia="Arial" w:hAnsi="Arial"/>
          <w:sz w:val="18"/>
          <w:szCs w:val="18"/>
          <w:color w:val="333333"/>
        </w:rPr>
        <w:t xml:space="preserve"> </w:t>
      </w:r>
      <w:r>
        <w:rPr>
          <w:rFonts w:ascii="Arial" w:cs="Arial" w:eastAsia="Arial" w:hAnsi="Arial"/>
          <w:sz w:val="18"/>
          <w:szCs w:val="18"/>
          <w:color w:val="000000"/>
        </w:rPr>
        <w:t>accounts payable and accrued expenses, approximate fair value due to the short-term nature of such instruments.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Cash, Cash Equivalents and Investments</w:t>
      </w:r>
    </w:p>
    <w:p>
      <w:pPr>
        <w:spacing w:after="0" w:line="171"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333333"/>
        </w:rPr>
        <w:t>The Company considers all highly liquid investments purchased with an original maturity of three months or less to be cash equivalents. The Company has designated all investments as available-for-sale and therefore, such investments are reported at fair value, with unrealized gains and losses recognized in accumulated other comprehensive income (loss) in stockholders’ equity. The cost of marketable securities is adjusted for the amortization of premiums and discounts to expected maturity. Premium and discount amortization is included in other income, net. Realized gains and losses, as well as interest income, on available-for-sale securities are also included in other income, net. The Company includes all of its available-for-sale securities in current assets.</w:t>
      </w:r>
    </w:p>
    <w:p>
      <w:pPr>
        <w:spacing w:after="0" w:line="148"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333333"/>
        </w:rPr>
        <w:t>All of the Company’s investments are subject to annual impairment review. The Company recognizes an impairment loss when a decline in the fair value of its marketable investments below the cost basis is judged to be other-than-temporary. Factors considered in determining whether a loss is temporary include the length of time and extent to which the marketable investments fair value has been less than the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No impairment losses were incurred during the periods presented</w:t>
      </w:r>
      <w:r>
        <w:rPr>
          <w:rFonts w:ascii="Arial" w:cs="Arial" w:eastAsia="Arial" w:hAnsi="Arial"/>
          <w:sz w:val="18"/>
          <w:szCs w:val="18"/>
          <w:color w:val="000000"/>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right="20" w:firstLine="440"/>
        <w:spacing w:after="0" w:line="274" w:lineRule="auto"/>
        <w:rPr>
          <w:sz w:val="20"/>
          <w:szCs w:val="20"/>
          <w:color w:val="auto"/>
        </w:rPr>
      </w:pPr>
      <w:r>
        <w:rPr>
          <w:rFonts w:ascii="Arial" w:cs="Arial" w:eastAsia="Arial" w:hAnsi="Arial"/>
          <w:sz w:val="17"/>
          <w:szCs w:val="17"/>
          <w:color w:val="auto"/>
        </w:rPr>
        <w:t>Leasehold improvements are amortized using the straight-line method over the shorter of the lease term or estimated useful life. Equipment is recorded at cost and depreciated using the straight-line method over their estimated useful lives, ranging from three to five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Inventory</w:t>
      </w:r>
    </w:p>
    <w:p>
      <w:pPr>
        <w:spacing w:after="0" w:line="171"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7"/>
          <w:szCs w:val="17"/>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December 31, 2021, there is no reduction to the balance of inventory for excessive and obsolete inventory.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intangible assets consist of acquired patents and licenses, which are amortized over their estimated useful lives of twelve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Company reviews long-lived assets, consisting of property and equipment and intangible assets, for impairment during each fiscal year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7"/>
          <w:szCs w:val="17"/>
          <w:color w:val="auto"/>
        </w:rPr>
        <w:t>The Company records goodwill when the consideration paid in a business acquisition exceeds the fair value of the net tangible assets and the identified intangible assets acquired. The Company reviews goodwill for impairment at the reporting unit level at least annually or whenever changes in circumstances indicate that the carrying value of the goodwill may not be recoverable. To date, there has been no impairment of goodwill.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jc w:val="both"/>
        <w:ind w:firstLine="440"/>
        <w:spacing w:after="0" w:line="223" w:lineRule="auto"/>
        <w:rPr>
          <w:sz w:val="20"/>
          <w:szCs w:val="20"/>
          <w:color w:val="auto"/>
        </w:rPr>
      </w:pPr>
      <w:r>
        <w:rPr>
          <w:rFonts w:ascii="Arial" w:cs="Arial" w:eastAsia="Arial" w:hAnsi="Arial"/>
          <w:sz w:val="18"/>
          <w:szCs w:val="18"/>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the Company sells these products on a stand-alone basis at their respective SSP, initial customer contracts will likely involve the bundling of products which will be delivered concurrently to the customer. In such instances, the full consideration of the contract will be recognized upon shipment of the products. The Company generally requires receipt of full payment prior to shipment, however, from time to time, payment terms may be extended to customers upon which the Company will perform a necessary credit evaluation to ensure future collectability of the outstanding balance. The Company does not believe any portion of the outstanding accounts receivable balance to be uncollectible, and has therefore not recorded an allowance against the accounts receivable balance. Refer to Note 9 for further details.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71"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accrues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The warranty reserve is included within Accrued expenses on the consolidated balance sheets. Warranty expense is recorded as a component of Cost of Revenues in the consolidated statements of operations and comprehensive loss.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accrual activity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26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2021</w:t>
            </w:r>
          </w:p>
        </w:tc>
        <w:tc>
          <w:tcPr>
            <w:tcW w:w="182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Year Ended December 31,</w:t>
            </w:r>
          </w:p>
        </w:tc>
        <w:tc>
          <w:tcPr>
            <w:tcW w:w="12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4"/>
        </w:trPr>
        <w:tc>
          <w:tcPr>
            <w:tcW w:w="69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Beginning balance</w:t>
            </w:r>
          </w:p>
        </w:tc>
        <w:tc>
          <w:tcPr>
            <w:tcW w:w="1260" w:type="dxa"/>
            <w:vAlign w:val="bottom"/>
            <w:shd w:val="clear" w:color="auto" w:fill="CCEEFF"/>
          </w:tcPr>
          <w:p>
            <w:pPr>
              <w:jc w:val="right"/>
              <w:ind w:right="1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102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8"/>
                <w:szCs w:val="18"/>
                <w:color w:val="auto"/>
              </w:rPr>
              <w:t>Add: Accruals for warranties issued during the period</w:t>
            </w:r>
          </w:p>
        </w:tc>
        <w:tc>
          <w:tcPr>
            <w:tcW w:w="1260" w:type="dxa"/>
            <w:vAlign w:val="bottom"/>
          </w:tcPr>
          <w:p>
            <w:pPr>
              <w:spacing w:after="0"/>
              <w:rPr>
                <w:sz w:val="16"/>
                <w:szCs w:val="16"/>
                <w:color w:val="auto"/>
              </w:rPr>
            </w:pPr>
          </w:p>
        </w:tc>
        <w:tc>
          <w:tcPr>
            <w:tcW w:w="780" w:type="dxa"/>
            <w:vAlign w:val="bottom"/>
          </w:tcPr>
          <w:p>
            <w:pPr>
              <w:ind w:left="540"/>
              <w:spacing w:after="0" w:line="189" w:lineRule="exact"/>
              <w:rPr>
                <w:sz w:val="20"/>
                <w:szCs w:val="20"/>
                <w:color w:val="auto"/>
              </w:rPr>
            </w:pPr>
            <w:r>
              <w:rPr>
                <w:rFonts w:ascii="Arial" w:cs="Arial" w:eastAsia="Arial" w:hAnsi="Arial"/>
                <w:sz w:val="18"/>
                <w:szCs w:val="18"/>
                <w:color w:val="auto"/>
              </w:rPr>
              <w:t>80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ind w:left="10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Less: Settlements made during the period</w:t>
            </w:r>
          </w:p>
        </w:tc>
        <w:tc>
          <w:tcPr>
            <w:tcW w:w="1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4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60" w:type="dxa"/>
            <w:vAlign w:val="bottom"/>
            <w:shd w:val="clear" w:color="auto" w:fill="CCEEFF"/>
          </w:tcPr>
          <w:p>
            <w:pPr>
              <w:ind w:left="10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90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260" w:type="dxa"/>
            <w:vAlign w:val="bottom"/>
            <w:tcBorders>
              <w:top w:val="single" w:sz="8" w:color="auto"/>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40"/>
              <w:spacing w:after="0" w:line="182" w:lineRule="exact"/>
              <w:rPr>
                <w:sz w:val="20"/>
                <w:szCs w:val="20"/>
                <w:color w:val="auto"/>
              </w:rPr>
            </w:pPr>
            <w:r>
              <w:rPr>
                <w:rFonts w:ascii="Arial" w:cs="Arial" w:eastAsia="Arial" w:hAnsi="Arial"/>
                <w:sz w:val="18"/>
                <w:szCs w:val="18"/>
                <w:color w:val="auto"/>
              </w:rPr>
              <w:t>80</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102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6"/>
          <w:szCs w:val="16"/>
          <w:color w:val="auto"/>
        </w:rPr>
        <w:t>The Company recognizes the cost of stock-based compensation in the financial statements based upon fair value. The fair value of stock options is determined as of the grant date using the Black-Scholes option pricing model. The fair value of Restricted Stock Units (“RSU”) awards is determined based on the number of units granted and the closing price of the Company’s common stock on the grant date. The fair value of each purchase under the employee stock purchase plan (“ESPP”) is estimated at the beginning of the offering period using the Black-Scholes option pricing model. The Company’s determination of the fair value of equity-settled awards is impacted by the price of the Company’s common stock as well as changes in assumptions regarding a number of complex and subjective variables. These variables include, but are not limited to, the expected term that awards will remain outstanding, expected common stock price volatility over the term of the awards, risk-free interest rates and expected dividends. The fair value of an award is recognized over the period during which service is required to be performed in exchange for the award, the requisite service period (usually the vesting period) on a straight-line basis. The Company accounts for all equity instruments awarded to non-employees at the fair value of the award issued on the day of the grant. The fair value of these equity instruments are expensed over the requisite service period. Certain stock options awarded to the Company’s executives and other key employees contain performance conditions related to certain financial measures and achievements of strategic/operational milestones (“performance options”). These performance options can contain both service and performance-based vesting conditions. The fair value of these performance options is recognized using the graded vesting method over the requisite service period beginning in the period in which the awards are deemed probable to vest, to the extent such awards are probable to vest.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Estimates of the fair value of equity-settled awards as of the grant date using valuation models, such as the Black-Scholes option pricing model, are affected by assumptions regarding a number of complex variables. Changes in the assumptions can materially affect the fair value of the award and the stock-based compensation expense recognized. These inputs are subjective and generally require significant analysis and judgment to develop. The Company determines the volatility factor based on the weighted average of its own historical volatility and those of comparable public companies in similar industries. The risk-free interest rate is based on the yield available on U.S. Treasury zero-coupon issues similar in duration to the expected term of the equity-settled award. For all stock options granted to date, the Company used the simplified method to calculate the expected term, which is the average of the contractual term and vesting period.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6 for a detailed discussion of the Company’s stock plans and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Research and development costs consist primarily of compensation costs,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costs incurred by the Company are expensed as incurred, unless the achievement of milestones, the completion of contracted work, or other information indicates that a different expensing schedule is more appropriate.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71"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7"/>
          <w:szCs w:val="17"/>
          <w:color w:val="auto"/>
        </w:rPr>
        <w:t>The Company is the owner of numerous domestic and foreign patents. Due to the significant uncertainty associated with the successful development of one or more commercially viable products based on the Company’s research efforts and any related patent applications, patent costs not related to acquired patents, including patent-related legal fees, filing fees and other costs, including internally generated costs, are expensed as incurred. During the years ended December 31, 2021, 2020 and 2019, patent costs totaled $0.6 million, $0.5 million and $0.6 million, respectively. Patent costs are included in general and administrative costs in the consolidated statements of operations and comprehensive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Company accounts for income taxes under an asset and liability approach for financial accounting and reporting for income taxes. Accordingly, the Company recognizes deferred tax assets and liabilities for the expected impact of differences between the financial statements and the tax basis of assets and liabilities.</w:t>
      </w:r>
    </w:p>
    <w:p>
      <w:pPr>
        <w:spacing w:after="0" w:line="148" w:lineRule="exact"/>
        <w:rPr>
          <w:sz w:val="20"/>
          <w:szCs w:val="20"/>
          <w:color w:val="auto"/>
        </w:rPr>
      </w:pPr>
    </w:p>
    <w:p>
      <w:pPr>
        <w:jc w:val="both"/>
        <w:ind w:firstLine="415"/>
        <w:spacing w:after="0" w:line="228" w:lineRule="auto"/>
        <w:rPr>
          <w:sz w:val="20"/>
          <w:szCs w:val="20"/>
          <w:color w:val="auto"/>
        </w:rPr>
      </w:pPr>
      <w:r>
        <w:rPr>
          <w:rFonts w:ascii="Arial" w:cs="Arial" w:eastAsia="Arial" w:hAnsi="Arial"/>
          <w:sz w:val="18"/>
          <w:szCs w:val="18"/>
          <w:color w:val="auto"/>
        </w:rPr>
        <w:t>The Company records a valuation allowance to reduce its deferred tax assets to the amount that is more-likely-than-not to be realized. In the event the Company determines that it would be able to realize its deferred tax assets in the future in excess of its recorded amount, an adjustment to the deferred tax assets would be credited to operations in the period such determination was made. Likewise, should the Company determine that it would not be able to realize all or part of its deferred tax assets in the future, an adjustment to the deferred tax assets would be charged to operations in the period such determination was made.</w:t>
      </w:r>
    </w:p>
    <w:p>
      <w:pPr>
        <w:spacing w:after="0" w:line="15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Company is subject to U.S. federal income taxes and state income taxes in various states. As the Company’s net operating losses have yet to be utilized, previous tax years remain open to examination by federal authorities and other jurisdictions in which the Company currently operates or has operated in the past. The Company is not currently under examination by any tax authority.</w:t>
      </w:r>
    </w:p>
    <w:p>
      <w:pPr>
        <w:spacing w:after="0" w:line="148"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The Company accounts for uncertainties in income tax law under a comprehensive model for the financial statement recognition, measurement, presentation and disclosure of uncertain tax positions taken or expected to be taken in income tax returns as prescribed by U.S. GAAP. The tax effects of a position are recognized only if it is more-likely-than-not to be sustained by the taxing authority as of the reporting date. If the tax position is not considered more-likely-than-not to be sustained, then no benefits of the position are recognized. At December 31, 2021 and 2020, the Company had not recorded any liability for uncertain tax positions. The Company includes interest and penalties related to uncertain tax positions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Comprehensive loss consists of net loss and unrealized gains or losses on available-for-sale investments. The Company displays comprehensive loss and its components as part of the consolidated statements of operations and comprehensive loss.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5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The following outstanding stock options, warrants, and RSUs to purchase common stock were excluded from the computation of diluted net loss per share for the periods presented because including them would have had an anti-dilutive effect:</w:t>
      </w:r>
    </w:p>
    <w:p>
      <w:pPr>
        <w:spacing w:after="0" w:line="148"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20" w:type="dxa"/>
            <w:vAlign w:val="bottom"/>
            <w:tcBorders>
              <w:top w:val="single" w:sz="8" w:color="auto"/>
              <w:bottom w:val="single" w:sz="8" w:color="auto"/>
            </w:tcBorders>
          </w:tcPr>
          <w:p>
            <w:pPr>
              <w:jc w:val="right"/>
              <w:ind w:right="77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020" w:type="dxa"/>
            <w:vAlign w:val="bottom"/>
            <w:tcBorders>
              <w:top w:val="single" w:sz="8" w:color="auto"/>
              <w:bottom w:val="single" w:sz="8" w:color="auto"/>
            </w:tcBorders>
          </w:tcPr>
          <w:p>
            <w:pPr>
              <w:jc w:val="right"/>
              <w:ind w:right="774"/>
              <w:spacing w:after="0" w:line="142" w:lineRule="exact"/>
              <w:rPr>
                <w:sz w:val="20"/>
                <w:szCs w:val="20"/>
                <w:color w:val="auto"/>
              </w:rPr>
            </w:pPr>
            <w:r>
              <w:rPr>
                <w:rFonts w:ascii="Arial" w:cs="Arial" w:eastAsia="Arial" w:hAnsi="Arial"/>
                <w:sz w:val="14"/>
                <w:szCs w:val="14"/>
                <w:b w:val="1"/>
                <w:bCs w:val="1"/>
                <w:color w:val="auto"/>
              </w:rPr>
              <w:t>2019</w:t>
            </w:r>
          </w:p>
        </w:tc>
      </w:tr>
      <w:tr>
        <w:trPr>
          <w:trHeight w:val="182"/>
        </w:trPr>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Common stock warrants</w:t>
            </w:r>
          </w:p>
        </w:tc>
        <w:tc>
          <w:tcPr>
            <w:tcW w:w="1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612,310</w:t>
            </w: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167,847</w:t>
            </w:r>
          </w:p>
        </w:tc>
      </w:tr>
      <w:tr>
        <w:trPr>
          <w:trHeight w:val="189"/>
        </w:trPr>
        <w:tc>
          <w:tcPr>
            <w:tcW w:w="5900" w:type="dxa"/>
            <w:vAlign w:val="bottom"/>
            <w:gridSpan w:val="2"/>
          </w:tcPr>
          <w:p>
            <w:pPr>
              <w:spacing w:after="0" w:line="189" w:lineRule="exact"/>
              <w:rPr>
                <w:sz w:val="20"/>
                <w:szCs w:val="20"/>
                <w:color w:val="auto"/>
              </w:rPr>
            </w:pPr>
            <w:r>
              <w:rPr>
                <w:rFonts w:ascii="Arial" w:cs="Arial" w:eastAsia="Arial" w:hAnsi="Arial"/>
                <w:sz w:val="18"/>
                <w:szCs w:val="18"/>
                <w:color w:val="auto"/>
              </w:rPr>
              <w:t>Common stock options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2"/>
              </w:rPr>
              <w:t>5,996,813</w:t>
            </w:r>
          </w:p>
        </w:tc>
        <w:tc>
          <w:tcPr>
            <w:tcW w:w="240" w:type="dxa"/>
            <w:vAlign w:val="bottom"/>
          </w:tcPr>
          <w:p>
            <w:pPr>
              <w:spacing w:after="0"/>
              <w:rPr>
                <w:sz w:val="16"/>
                <w:szCs w:val="16"/>
                <w:color w:val="auto"/>
              </w:rPr>
            </w:pPr>
          </w:p>
        </w:tc>
        <w:tc>
          <w:tcPr>
            <w:tcW w:w="2020" w:type="dxa"/>
            <w:vAlign w:val="bottom"/>
          </w:tcPr>
          <w:p>
            <w:pPr>
              <w:jc w:val="right"/>
              <w:spacing w:after="0" w:line="189" w:lineRule="exact"/>
              <w:rPr>
                <w:sz w:val="20"/>
                <w:szCs w:val="20"/>
                <w:color w:val="auto"/>
              </w:rPr>
            </w:pPr>
            <w:r>
              <w:rPr>
                <w:rFonts w:ascii="Arial" w:cs="Arial" w:eastAsia="Arial" w:hAnsi="Arial"/>
                <w:sz w:val="18"/>
                <w:szCs w:val="18"/>
                <w:color w:val="auto"/>
              </w:rPr>
              <w:t>5,039,194</w:t>
            </w:r>
          </w:p>
        </w:tc>
        <w:tc>
          <w:tcPr>
            <w:tcW w:w="240" w:type="dxa"/>
            <w:vAlign w:val="bottom"/>
          </w:tcPr>
          <w:p>
            <w:pPr>
              <w:spacing w:after="0"/>
              <w:rPr>
                <w:sz w:val="16"/>
                <w:szCs w:val="16"/>
                <w:color w:val="auto"/>
              </w:rPr>
            </w:pPr>
          </w:p>
        </w:tc>
        <w:tc>
          <w:tcPr>
            <w:tcW w:w="2020" w:type="dxa"/>
            <w:vAlign w:val="bottom"/>
          </w:tcPr>
          <w:p>
            <w:pPr>
              <w:jc w:val="right"/>
              <w:spacing w:after="0" w:line="189" w:lineRule="exact"/>
              <w:rPr>
                <w:sz w:val="20"/>
                <w:szCs w:val="20"/>
                <w:color w:val="auto"/>
              </w:rPr>
            </w:pPr>
            <w:r>
              <w:rPr>
                <w:rFonts w:ascii="Arial" w:cs="Arial" w:eastAsia="Arial" w:hAnsi="Arial"/>
                <w:sz w:val="18"/>
                <w:szCs w:val="18"/>
                <w:color w:val="auto"/>
              </w:rPr>
              <w:t>3,749,186</w:t>
            </w:r>
          </w:p>
        </w:tc>
      </w:tr>
      <w:tr>
        <w:trPr>
          <w:trHeight w:val="189"/>
        </w:trPr>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Restricted stock units</w:t>
            </w:r>
          </w:p>
        </w:tc>
        <w:tc>
          <w:tcPr>
            <w:tcW w:w="10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111,305</w:t>
            </w:r>
          </w:p>
        </w:tc>
        <w:tc>
          <w:tcPr>
            <w:tcW w:w="24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222,606</w:t>
            </w:r>
          </w:p>
        </w:tc>
      </w:tr>
      <w:tr>
        <w:trPr>
          <w:trHeight w:val="183"/>
        </w:trPr>
        <w:tc>
          <w:tcPr>
            <w:tcW w:w="470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5,996,813</w:t>
            </w:r>
          </w:p>
        </w:tc>
        <w:tc>
          <w:tcPr>
            <w:tcW w:w="240" w:type="dxa"/>
            <w:vAlign w:val="bottom"/>
          </w:tcPr>
          <w:p>
            <w:pPr>
              <w:spacing w:after="0"/>
              <w:rPr>
                <w:sz w:val="15"/>
                <w:szCs w:val="15"/>
                <w:color w:val="auto"/>
              </w:rPr>
            </w:pPr>
          </w:p>
        </w:tc>
        <w:tc>
          <w:tcPr>
            <w:tcW w:w="2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5,762,809</w:t>
            </w:r>
          </w:p>
        </w:tc>
        <w:tc>
          <w:tcPr>
            <w:tcW w:w="240" w:type="dxa"/>
            <w:vAlign w:val="bottom"/>
          </w:tcPr>
          <w:p>
            <w:pPr>
              <w:spacing w:after="0"/>
              <w:rPr>
                <w:sz w:val="15"/>
                <w:szCs w:val="15"/>
                <w:color w:val="auto"/>
              </w:rPr>
            </w:pPr>
          </w:p>
        </w:tc>
        <w:tc>
          <w:tcPr>
            <w:tcW w:w="2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4,139,639</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71"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The Company operates in one segment and reports segment information in accordance with ASC 280</w:t>
      </w:r>
      <w:r>
        <w:rPr>
          <w:rFonts w:ascii="Arial" w:cs="Arial" w:eastAsia="Arial" w:hAnsi="Arial"/>
          <w:sz w:val="16"/>
          <w:szCs w:val="16"/>
          <w:i w:val="1"/>
          <w:iCs w:val="1"/>
          <w:color w:val="auto"/>
        </w:rPr>
        <w:t>, Segment Reporting</w:t>
      </w:r>
      <w:r>
        <w:rPr>
          <w:rFonts w:ascii="Arial" w:cs="Arial" w:eastAsia="Arial" w:hAnsi="Arial"/>
          <w:sz w:val="16"/>
          <w:szCs w:val="16"/>
          <w:color w:val="auto"/>
        </w:rPr>
        <w:t>. Management uses one measurement of profitability and does not segregate its business for internal reporting, however in making certain operating decisions and assessing performance, management will additionally review the disaggregated revenue results by product and geography. As of December 31, 2021 and 2020</w:t>
      </w:r>
      <w:r>
        <w:rPr>
          <w:rFonts w:ascii="Arial" w:cs="Arial" w:eastAsia="Arial" w:hAnsi="Arial"/>
          <w:sz w:val="16"/>
          <w:szCs w:val="16"/>
          <w:i w:val="1"/>
          <w:iCs w:val="1"/>
          <w:color w:val="auto"/>
        </w:rPr>
        <w:t>,</w:t>
      </w:r>
      <w:r>
        <w:rPr>
          <w:rFonts w:ascii="Arial" w:cs="Arial" w:eastAsia="Arial" w:hAnsi="Arial"/>
          <w:sz w:val="16"/>
          <w:szCs w:val="16"/>
          <w:color w:val="auto"/>
        </w:rPr>
        <w:t xml:space="preserve"> 100% of long-lived assets were in the United States. Revenue is attributed to a geographic region based on the location of the end customer.</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10 for details of revenue by product and geography.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requiring an entity to recognize the amount of revenue to which it expects to be entitled for the transfer of promised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to customers. This updated standard became effective for the Company in the first quarter of fiscal year 2018. The Company began to recognize revenue in 2021 using this updated standard. See Note 9 for additional details of the revenue recognition approach.</w:t>
      </w:r>
    </w:p>
    <w:p>
      <w:pPr>
        <w:spacing w:after="0" w:line="144"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 Clarifying the Interaction between Topic 808 (Collaborative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 and Topic 606 (Revenue from Contracts with Customers)</w:t>
      </w:r>
      <w:r>
        <w:rPr>
          <w:rFonts w:ascii="Arial" w:cs="Arial" w:eastAsia="Arial" w:hAnsi="Arial"/>
          <w:sz w:val="16"/>
          <w:szCs w:val="16"/>
          <w:color w:val="auto"/>
        </w:rPr>
        <w:t>, which clarifies the interaction between ASC 808,</w:t>
      </w:r>
      <w:r>
        <w:rPr>
          <w:rFonts w:ascii="Arial" w:cs="Arial" w:eastAsia="Arial" w:hAnsi="Arial"/>
          <w:sz w:val="16"/>
          <w:szCs w:val="16"/>
          <w:i w:val="1"/>
          <w:iCs w:val="1"/>
          <w:color w:val="auto"/>
        </w:rPr>
        <w:t xml:space="preserve"> Collaborative Arrangements </w:t>
      </w:r>
      <w:r>
        <w:rPr>
          <w:rFonts w:ascii="Arial" w:cs="Arial" w:eastAsia="Arial" w:hAnsi="Arial"/>
          <w:sz w:val="16"/>
          <w:szCs w:val="16"/>
          <w:color w:val="auto"/>
        </w:rPr>
        <w:t xml:space="preserve">and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The ASU clarifies that certain transactions between participants in a collaborative arrangement should be accounted for under ASC 606 when the counterparty is a customer. In addition, the ASU precludes an entity from presenting consideration from a transaction in a collaborative arrangement as revenue if the counterparty is not a customer for that transaction. The Company adopted the standard on January 1, 2020, however, did not record revenue until August 2021 and does not currently have any collaborative arrangements in place. The adoption of the new standard had no impact on the Company’s consolidated financial statements.</w:t>
      </w:r>
    </w:p>
    <w:p>
      <w:pPr>
        <w:spacing w:after="0" w:line="138"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eliminates certain exceptions related to the general principles in ASC 740 and makes amendments to other areas with the intention of simplifying various aspects related to accounting for income taxes. The new standard is effective for fiscal years beginning after December 15, 2020, including interim periods therein; with early adoption permitted. The Company adopted the Topic 740 effective January 1, 2021. The adoption did not have a material impact on the Company’s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 and Fair Value of Financial Instruments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Company’s investments have been classified and accounted for as available-for-sale. At December 31, 2021 the Company had no investments outstanding. The Company’s investments consisted of the following at December 31, 2020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1180"/>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Gross Unrealized Gains</w:t>
            </w:r>
          </w:p>
        </w:tc>
        <w:tc>
          <w:tcPr>
            <w:tcW w:w="1960" w:type="dxa"/>
            <w:vAlign w:val="bottom"/>
            <w:tcBorders>
              <w:bottom w:val="single" w:sz="8" w:color="auto"/>
            </w:tcBorders>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rPr>
              <w:t>Gross Unrealized Losses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r>
      <w:tr>
        <w:trPr>
          <w:trHeight w:val="183"/>
        </w:trPr>
        <w:tc>
          <w:tcPr>
            <w:tcW w:w="3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U.S. Treasury securities</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8,013</w:t>
            </w:r>
          </w:p>
        </w:tc>
        <w:tc>
          <w:tcPr>
            <w:tcW w:w="300" w:type="dxa"/>
            <w:vAlign w:val="bottom"/>
            <w:gridSpan w:val="2"/>
            <w:shd w:val="clear" w:color="auto" w:fill="CCEEFF"/>
          </w:tcPr>
          <w:p>
            <w:pPr>
              <w:jc w:val="right"/>
              <w:ind w:right="47"/>
              <w:spacing w:after="0" w:line="18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1520"/>
              <w:spacing w:after="0" w:line="18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w:t>
            </w:r>
          </w:p>
        </w:tc>
        <w:tc>
          <w:tcPr>
            <w:tcW w:w="500" w:type="dxa"/>
            <w:vAlign w:val="bottom"/>
            <w:gridSpan w:val="3"/>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8,012</w:t>
            </w:r>
          </w:p>
        </w:tc>
        <w:tc>
          <w:tcPr>
            <w:tcW w:w="20" w:type="dxa"/>
            <w:vAlign w:val="bottom"/>
          </w:tcPr>
          <w:p>
            <w:pPr>
              <w:spacing w:after="0"/>
              <w:rPr>
                <w:sz w:val="15"/>
                <w:szCs w:val="15"/>
                <w:color w:val="auto"/>
              </w:rPr>
            </w:pPr>
          </w:p>
        </w:tc>
      </w:tr>
      <w:tr>
        <w:trPr>
          <w:trHeight w:val="183"/>
        </w:trPr>
        <w:tc>
          <w:tcPr>
            <w:tcW w:w="3180" w:type="dxa"/>
            <w:vAlign w:val="bottom"/>
          </w:tcPr>
          <w:p>
            <w:pPr>
              <w:spacing w:after="0" w:line="182" w:lineRule="exact"/>
              <w:rPr>
                <w:sz w:val="20"/>
                <w:szCs w:val="20"/>
                <w:color w:val="auto"/>
              </w:rPr>
            </w:pPr>
            <w:r>
              <w:rPr>
                <w:rFonts w:ascii="Arial" w:cs="Arial" w:eastAsia="Arial" w:hAnsi="Arial"/>
                <w:sz w:val="18"/>
                <w:szCs w:val="18"/>
                <w:color w:val="auto"/>
              </w:rPr>
              <w:t>Total assets measured at fair value</w:t>
            </w:r>
          </w:p>
        </w:tc>
        <w:tc>
          <w:tcPr>
            <w:tcW w:w="7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8,013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ind w:left="1520"/>
              <w:spacing w:after="0" w:line="18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1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8,012</w:t>
            </w:r>
          </w:p>
        </w:tc>
        <w:tc>
          <w:tcPr>
            <w:tcW w:w="20" w:type="dxa"/>
            <w:vAlign w:val="bottom"/>
          </w:tcPr>
          <w:p>
            <w:pPr>
              <w:spacing w:after="0"/>
              <w:rPr>
                <w:sz w:val="15"/>
                <w:szCs w:val="15"/>
                <w:color w:val="auto"/>
              </w:rPr>
            </w:pPr>
          </w:p>
        </w:tc>
      </w:tr>
      <w:tr>
        <w:trPr>
          <w:trHeight w:val="20"/>
        </w:trPr>
        <w:tc>
          <w:tcPr>
            <w:tcW w:w="3880" w:type="dxa"/>
            <w:vAlign w:val="bottom"/>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780" w:type="dxa"/>
            <w:vAlign w:val="bottom"/>
            <w:gridSpan w:val="9"/>
          </w:tcPr>
          <w:p>
            <w:pPr>
              <w:ind w:left="440"/>
              <w:spacing w:after="0"/>
              <w:rPr>
                <w:sz w:val="20"/>
                <w:szCs w:val="20"/>
                <w:color w:val="auto"/>
              </w:rPr>
            </w:pPr>
            <w:r>
              <w:rPr>
                <w:rFonts w:ascii="Arial" w:cs="Arial" w:eastAsia="Arial" w:hAnsi="Arial"/>
                <w:sz w:val="18"/>
                <w:szCs w:val="18"/>
                <w:color w:val="auto"/>
              </w:rPr>
              <w:t>The contractual maturities of the Company’s investments were as follows (in thousands):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3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183"/>
        </w:trPr>
        <w:tc>
          <w:tcPr>
            <w:tcW w:w="3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Due in one year</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40"/>
              <w:spacing w:after="0" w:line="18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8,012</w:t>
            </w:r>
          </w:p>
        </w:tc>
        <w:tc>
          <w:tcPr>
            <w:tcW w:w="20" w:type="dxa"/>
            <w:vAlign w:val="bottom"/>
          </w:tcPr>
          <w:p>
            <w:pPr>
              <w:spacing w:after="0"/>
              <w:rPr>
                <w:sz w:val="15"/>
                <w:szCs w:val="15"/>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Due in one to two years</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3"/>
          </w:tcPr>
          <w:p>
            <w:pPr>
              <w:ind w:left="840"/>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183"/>
        </w:trPr>
        <w:tc>
          <w:tcPr>
            <w:tcW w:w="31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8,012</w:t>
            </w:r>
          </w:p>
        </w:tc>
        <w:tc>
          <w:tcPr>
            <w:tcW w:w="20" w:type="dxa"/>
            <w:vAlign w:val="bottom"/>
          </w:tcPr>
          <w:p>
            <w:pPr>
              <w:spacing w:after="0"/>
              <w:rPr>
                <w:sz w:val="15"/>
                <w:szCs w:val="15"/>
                <w:color w:val="auto"/>
              </w:rPr>
            </w:pPr>
          </w:p>
        </w:tc>
      </w:tr>
      <w:tr>
        <w:trPr>
          <w:trHeight w:val="20"/>
        </w:trPr>
        <w:tc>
          <w:tcPr>
            <w:tcW w:w="3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The Company determines the fair value of its financial instruments based on a fair value hierarchy that prioritizes the inputs to valuation techniques used to measure fair value into three levels:</w:t>
      </w:r>
    </w:p>
    <w:p>
      <w:pPr>
        <w:spacing w:after="0" w:line="14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i w:val="1"/>
          <w:iCs w:val="1"/>
          <w:color w:val="auto"/>
        </w:rPr>
        <w:t>–</w:t>
      </w:r>
      <w:r>
        <w:rPr>
          <w:rFonts w:ascii="Arial" w:cs="Arial" w:eastAsia="Arial" w:hAnsi="Arial"/>
          <w:sz w:val="18"/>
          <w:szCs w:val="18"/>
          <w:color w:val="auto"/>
        </w:rPr>
        <w:t xml:space="preserve">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4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i w:val="1"/>
          <w:iCs w:val="1"/>
          <w:color w:val="auto"/>
        </w:rPr>
        <w:t>–</w:t>
      </w:r>
      <w:r>
        <w:rPr>
          <w:rFonts w:ascii="Arial" w:cs="Arial" w:eastAsia="Arial" w:hAnsi="Arial"/>
          <w:sz w:val="18"/>
          <w:szCs w:val="18"/>
          <w:color w:val="auto"/>
        </w:rPr>
        <w:t xml:space="preserve">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i w:val="1"/>
          <w:iCs w:val="1"/>
          <w:color w:val="auto"/>
        </w:rPr>
        <w:t>–</w:t>
      </w:r>
      <w:r>
        <w:rPr>
          <w:rFonts w:ascii="Arial" w:cs="Arial" w:eastAsia="Arial" w:hAnsi="Arial"/>
          <w:sz w:val="18"/>
          <w:szCs w:val="18"/>
          <w:color w:val="auto"/>
        </w:rPr>
        <w:t xml:space="preserve"> Unobservable inputs in which there is little or no market data for the asset or liability which requires the reporting entity to develop its own assumptions. The Company did not classify any of its investments within Level 3 of the fair value hierarchy.</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fair value of the Company’s financial assets measured on a recurring basis (in thousands):</w:t>
      </w:r>
    </w:p>
    <w:p>
      <w:pPr>
        <w:sectPr>
          <w:pgSz w:w="11900" w:h="16838" w:orient="portrait"/>
          <w:cols w:equalWidth="0" w:num="1">
            <w:col w:w="11240"/>
          </w:cols>
          <w:pgMar w:left="320" w:top="108" w:right="339" w:bottom="1440" w:gutter="0" w:footer="0" w:header="0"/>
        </w:sect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w:t>
            </w:r>
          </w:p>
        </w:tc>
      </w:tr>
      <w:tr>
        <w:trPr>
          <w:trHeight w:val="150"/>
        </w:trPr>
        <w:tc>
          <w:tcPr>
            <w:tcW w:w="322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Money market funds</w:t>
            </w:r>
          </w:p>
        </w:tc>
        <w:tc>
          <w:tcPr>
            <w:tcW w:w="180" w:type="dxa"/>
            <w:vAlign w:val="bottom"/>
          </w:tcPr>
          <w:p>
            <w:pPr>
              <w:spacing w:after="0"/>
              <w:rPr>
                <w:sz w:val="13"/>
                <w:szCs w:val="13"/>
                <w:color w:val="auto"/>
              </w:rPr>
            </w:pPr>
          </w:p>
        </w:tc>
        <w:tc>
          <w:tcPr>
            <w:tcW w:w="22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w w:val="90"/>
              </w:rPr>
              <w:t>Cash and cash equivalents</w:t>
            </w:r>
          </w:p>
        </w:tc>
      </w:tr>
      <w:tr>
        <w:trPr>
          <w:trHeight w:val="182"/>
        </w:trPr>
        <w:tc>
          <w:tcPr>
            <w:tcW w:w="3400" w:type="dxa"/>
            <w:vAlign w:val="bottom"/>
            <w:gridSpan w:val="2"/>
          </w:tcPr>
          <w:p>
            <w:pPr>
              <w:spacing w:after="0"/>
              <w:rPr>
                <w:sz w:val="20"/>
                <w:szCs w:val="20"/>
                <w:color w:val="auto"/>
              </w:rPr>
            </w:pPr>
            <w:r>
              <w:rPr>
                <w:rFonts w:ascii="Arial" w:cs="Arial" w:eastAsia="Arial" w:hAnsi="Arial"/>
                <w:sz w:val="14"/>
                <w:szCs w:val="14"/>
                <w:color w:val="auto"/>
              </w:rPr>
              <w:t>Total assets measured at fair value</w:t>
            </w:r>
          </w:p>
        </w:tc>
        <w:tc>
          <w:tcPr>
            <w:tcW w:w="2220" w:type="dxa"/>
            <w:vAlign w:val="bottom"/>
          </w:tcPr>
          <w:p>
            <w:pPr>
              <w:spacing w:after="0"/>
              <w:rPr>
                <w:sz w:val="15"/>
                <w:szCs w:val="15"/>
                <w:color w:val="auto"/>
              </w:rPr>
            </w:pPr>
          </w:p>
        </w:tc>
      </w:tr>
      <w:tr>
        <w:trPr>
          <w:trHeight w:val="565"/>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w:t>
            </w:r>
          </w:p>
        </w:tc>
      </w:tr>
      <w:tr>
        <w:trPr>
          <w:trHeight w:val="123"/>
        </w:trPr>
        <w:tc>
          <w:tcPr>
            <w:tcW w:w="32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Money market funds</w:t>
            </w:r>
          </w:p>
        </w:tc>
        <w:tc>
          <w:tcPr>
            <w:tcW w:w="180" w:type="dxa"/>
            <w:vAlign w:val="bottom"/>
          </w:tcPr>
          <w:p>
            <w:pPr>
              <w:spacing w:after="0"/>
              <w:rPr>
                <w:sz w:val="10"/>
                <w:szCs w:val="10"/>
                <w:color w:val="auto"/>
              </w:rPr>
            </w:pPr>
          </w:p>
        </w:tc>
        <w:tc>
          <w:tcPr>
            <w:tcW w:w="22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Cash and cash equivalents</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U.S. Treasury securities</w:t>
            </w: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0"/>
              </w:rPr>
              <w:t>Cash and cash equivalents</w:t>
            </w:r>
          </w:p>
        </w:tc>
      </w:tr>
      <w:tr>
        <w:trPr>
          <w:trHeight w:val="175"/>
        </w:trPr>
        <w:tc>
          <w:tcPr>
            <w:tcW w:w="3400" w:type="dxa"/>
            <w:vAlign w:val="bottom"/>
            <w:gridSpan w:val="2"/>
          </w:tcPr>
          <w:p>
            <w:pPr>
              <w:spacing w:after="0"/>
              <w:rPr>
                <w:sz w:val="20"/>
                <w:szCs w:val="20"/>
                <w:color w:val="auto"/>
              </w:rPr>
            </w:pPr>
            <w:r>
              <w:rPr>
                <w:rFonts w:ascii="Arial" w:cs="Arial" w:eastAsia="Arial" w:hAnsi="Arial"/>
                <w:sz w:val="14"/>
                <w:szCs w:val="14"/>
                <w:color w:val="auto"/>
              </w:rPr>
              <w:t>U.S. Treasury securities</w:t>
            </w: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Investments</w:t>
            </w:r>
          </w:p>
        </w:tc>
      </w:tr>
      <w:tr>
        <w:trPr>
          <w:trHeight w:val="182"/>
        </w:trPr>
        <w:tc>
          <w:tcPr>
            <w:tcW w:w="3400" w:type="dxa"/>
            <w:vAlign w:val="bottom"/>
            <w:gridSpan w:val="2"/>
          </w:tcPr>
          <w:p>
            <w:pPr>
              <w:spacing w:after="0"/>
              <w:rPr>
                <w:sz w:val="20"/>
                <w:szCs w:val="20"/>
                <w:color w:val="auto"/>
              </w:rPr>
            </w:pPr>
            <w:r>
              <w:rPr>
                <w:rFonts w:ascii="Arial" w:cs="Arial" w:eastAsia="Arial" w:hAnsi="Arial"/>
                <w:sz w:val="14"/>
                <w:szCs w:val="14"/>
                <w:color w:val="auto"/>
              </w:rPr>
              <w:t>Total assets measured at fair value</w:t>
            </w:r>
          </w:p>
        </w:tc>
        <w:tc>
          <w:tcPr>
            <w:tcW w:w="22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-995045</wp:posOffset>
            </wp:positionV>
            <wp:extent cx="713232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12343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343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December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2</w:t>
            </w:r>
          </w:p>
        </w:tc>
        <w:tc>
          <w:tcPr>
            <w:tcW w:w="10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23,675</w:t>
            </w:r>
          </w:p>
        </w:tc>
        <w:tc>
          <w:tcPr>
            <w:tcW w:w="80" w:type="dxa"/>
            <w:vAlign w:val="bottom"/>
          </w:tcPr>
          <w:p>
            <w:pPr>
              <w:spacing w:after="0"/>
              <w:rPr>
                <w:sz w:val="12"/>
                <w:szCs w:val="12"/>
                <w:color w:val="auto"/>
              </w:rPr>
            </w:pPr>
          </w:p>
        </w:tc>
        <w:tc>
          <w:tcPr>
            <w:tcW w:w="360" w:type="dxa"/>
            <w:vAlign w:val="bottom"/>
            <w:gridSpan w:val="2"/>
          </w:tcPr>
          <w:p>
            <w:pPr>
              <w:jc w:val="right"/>
              <w:ind w:right="149"/>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48"/>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23,675</w:t>
            </w:r>
          </w:p>
        </w:tc>
      </w:tr>
      <w:tr>
        <w:trPr>
          <w:trHeight w:val="142"/>
        </w:trPr>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23,675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Borders>
              <w:top w:val="single" w:sz="8" w:color="auto"/>
            </w:tcBorders>
          </w:tcPr>
          <w:p>
            <w:pPr>
              <w:jc w:val="right"/>
              <w:ind w:right="84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300" w:type="dxa"/>
            <w:vAlign w:val="bottom"/>
            <w:tcBorders>
              <w:top w:val="single" w:sz="8" w:color="auto"/>
            </w:tcBorders>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23,675</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42"/>
        </w:trPr>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2</w:t>
            </w:r>
          </w:p>
        </w:tc>
        <w:tc>
          <w:tcPr>
            <w:tcW w:w="10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CCEEFF"/>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30" w:lineRule="exact"/>
              <w:rPr>
                <w:sz w:val="20"/>
                <w:szCs w:val="20"/>
                <w:color w:val="auto"/>
              </w:rPr>
            </w:pPr>
            <w:r>
              <w:rPr>
                <w:rFonts w:ascii="Arial" w:cs="Arial" w:eastAsia="Arial" w:hAnsi="Arial"/>
                <w:sz w:val="14"/>
                <w:szCs w:val="14"/>
                <w:color w:val="auto"/>
              </w:rPr>
              <w:t>7,176</w:t>
            </w:r>
          </w:p>
        </w:tc>
        <w:tc>
          <w:tcPr>
            <w:tcW w:w="80" w:type="dxa"/>
            <w:vAlign w:val="bottom"/>
          </w:tcPr>
          <w:p>
            <w:pPr>
              <w:spacing w:after="0"/>
              <w:rPr>
                <w:sz w:val="12"/>
                <w:szCs w:val="12"/>
                <w:color w:val="auto"/>
              </w:rPr>
            </w:pPr>
          </w:p>
        </w:tc>
        <w:tc>
          <w:tcPr>
            <w:tcW w:w="360" w:type="dxa"/>
            <w:vAlign w:val="bottom"/>
            <w:gridSpan w:val="2"/>
          </w:tcPr>
          <w:p>
            <w:pPr>
              <w:jc w:val="right"/>
              <w:ind w:right="149"/>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48"/>
              <w:spacing w:after="0" w:line="130" w:lineRule="exact"/>
              <w:rPr>
                <w:sz w:val="20"/>
                <w:szCs w:val="20"/>
                <w:color w:val="auto"/>
              </w:rPr>
            </w:pPr>
            <w:r>
              <w:rPr>
                <w:rFonts w:ascii="Arial" w:cs="Arial" w:eastAsia="Arial" w:hAnsi="Arial"/>
                <w:sz w:val="14"/>
                <w:szCs w:val="14"/>
                <w:color w:val="auto"/>
                <w:w w:val="76"/>
              </w:rPr>
              <w:t>$</w:t>
            </w:r>
          </w:p>
        </w:tc>
        <w:tc>
          <w:tcPr>
            <w:tcW w:w="4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tcPr>
          <w:p>
            <w:pPr>
              <w:jc w:val="right"/>
              <w:spacing w:after="0" w:line="130" w:lineRule="exact"/>
              <w:rPr>
                <w:sz w:val="20"/>
                <w:szCs w:val="20"/>
                <w:color w:val="auto"/>
              </w:rPr>
            </w:pPr>
            <w:r>
              <w:rPr>
                <w:rFonts w:ascii="Arial" w:cs="Arial" w:eastAsia="Arial" w:hAnsi="Arial"/>
                <w:sz w:val="14"/>
                <w:szCs w:val="14"/>
                <w:color w:val="auto"/>
              </w:rPr>
              <w:t>7,176</w:t>
            </w:r>
          </w:p>
        </w:tc>
      </w:tr>
      <w:tr>
        <w:trPr>
          <w:trHeight w:val="130"/>
        </w:trPr>
        <w:tc>
          <w:tcPr>
            <w:tcW w:w="280" w:type="dxa"/>
            <w:vAlign w:val="bottom"/>
          </w:tcPr>
          <w:p>
            <w:pPr>
              <w:spacing w:after="0"/>
              <w:rPr>
                <w:sz w:val="11"/>
                <w:szCs w:val="11"/>
                <w:color w:val="auto"/>
              </w:rPr>
            </w:pPr>
          </w:p>
        </w:tc>
        <w:tc>
          <w:tcPr>
            <w:tcW w:w="1040" w:type="dxa"/>
            <w:vAlign w:val="bottom"/>
            <w:gridSpan w:val="2"/>
          </w:tcPr>
          <w:p>
            <w:pPr>
              <w:ind w:left="8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Arial" w:cs="Arial" w:eastAsia="Arial" w:hAnsi="Arial"/>
                <w:sz w:val="14"/>
                <w:szCs w:val="14"/>
                <w:color w:val="auto"/>
              </w:rPr>
              <w:t>2,004</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2,004</w:t>
            </w:r>
          </w:p>
        </w:tc>
      </w:tr>
      <w:tr>
        <w:trPr>
          <w:trHeight w:val="167"/>
        </w:trPr>
        <w:tc>
          <w:tcPr>
            <w:tcW w:w="280" w:type="dxa"/>
            <w:vAlign w:val="bottom"/>
          </w:tcPr>
          <w:p>
            <w:pPr>
              <w:spacing w:after="0"/>
              <w:rPr>
                <w:sz w:val="14"/>
                <w:szCs w:val="14"/>
                <w:color w:val="auto"/>
              </w:rPr>
            </w:pPr>
          </w:p>
        </w:tc>
        <w:tc>
          <w:tcPr>
            <w:tcW w:w="10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8,012</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8,012</w:t>
            </w:r>
          </w:p>
        </w:tc>
      </w:tr>
      <w:tr>
        <w:trPr>
          <w:trHeight w:val="142"/>
        </w:trPr>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10,016</w:t>
            </w:r>
          </w:p>
        </w:tc>
        <w:tc>
          <w:tcPr>
            <w:tcW w:w="1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84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17,192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5620" w:space="200"/>
            <w:col w:w="5420"/>
          </w:cols>
          <w:pgMar w:left="320" w:top="108" w:right="339" w:bottom="1440" w:gutter="0" w:footer="0" w:header="0"/>
          <w:type w:val="continuous"/>
        </w:sectPr>
      </w:pPr>
    </w:p>
    <w:p>
      <w:pPr>
        <w:jc w:val="both"/>
        <w:ind w:firstLine="440"/>
        <w:spacing w:after="0" w:line="231" w:lineRule="auto"/>
        <w:rPr>
          <w:sz w:val="20"/>
          <w:szCs w:val="20"/>
          <w:color w:val="auto"/>
        </w:rPr>
      </w:pPr>
      <w:r>
        <w:rPr>
          <w:rFonts w:ascii="Arial" w:cs="Arial" w:eastAsia="Arial" w:hAnsi="Arial"/>
          <w:sz w:val="18"/>
          <w:szCs w:val="18"/>
          <w:color w:val="auto"/>
        </w:rPr>
        <w:t>During year ended December 31, 2021 and 2020, the Company did not record impairment charges related to its marketable investments. During the years ended December 31, 2021 and 2020, the Company did not have any transfers between Level 1, Level 2 or Level 3 of the fair value hierarchy. Additionally, the Company did not have any financial assets and liabilities measured at fair value on a non-recurring basis as of December 31, 2021 or 2020.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consisted of the following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Raw materials</w:t>
            </w: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1,371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Finished goods</w:t>
            </w: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2,443</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820" w:type="dxa"/>
            <w:vAlign w:val="bottom"/>
          </w:tcPr>
          <w:p>
            <w:pPr>
              <w:ind w:left="240"/>
              <w:spacing w:after="0" w:line="182" w:lineRule="exact"/>
              <w:rPr>
                <w:sz w:val="20"/>
                <w:szCs w:val="20"/>
                <w:color w:val="auto"/>
              </w:rPr>
            </w:pPr>
            <w:r>
              <w:rPr>
                <w:rFonts w:ascii="Arial" w:cs="Arial" w:eastAsia="Arial" w:hAnsi="Arial"/>
                <w:sz w:val="18"/>
                <w:szCs w:val="18"/>
                <w:color w:val="auto"/>
              </w:rPr>
              <w:t>Total inventory</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5,824</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Property and Equipment, net</w:t>
            </w: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2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Leasehold improvements</w:t>
            </w:r>
          </w:p>
        </w:tc>
        <w:tc>
          <w:tcPr>
            <w:tcW w:w="13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7"/>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2,519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Laboratory equipment</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1,019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Furniture, fixtures and equipment</w:t>
            </w: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Software</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202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Construction in progress</w:t>
            </w:r>
          </w:p>
        </w:tc>
        <w:tc>
          <w:tcPr>
            <w:tcW w:w="13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4,858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Less: Accumulated depreciation and amortization</w:t>
            </w: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(2,396)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Borders>
              <w:top w:val="single" w:sz="8" w:color="auto"/>
              <w:bottom w:val="single" w:sz="8" w:color="auto"/>
            </w:tcBorders>
            <w:gridSpan w:val="2"/>
          </w:tcPr>
          <w:p>
            <w:pPr>
              <w:jc w:val="right"/>
              <w:ind w:right="167"/>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2,462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bottom w:val="single" w:sz="8" w:color="auto"/>
            </w:tcBorders>
            <w:gridSpan w:val="2"/>
          </w:tcPr>
          <w:p>
            <w:pPr>
              <w:jc w:val="right"/>
              <w:ind w:right="3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The lease for the Company’s current premises in Hayward, California began in July 2017, per terms of the lease, the landlord provided $2.1 million in tenant improvement allowance which was capitalized.</w:t>
      </w:r>
    </w:p>
    <w:p>
      <w:pPr>
        <w:spacing w:after="0" w:line="143" w:lineRule="exact"/>
        <w:rPr>
          <w:sz w:val="20"/>
          <w:szCs w:val="20"/>
          <w:color w:val="auto"/>
        </w:rPr>
      </w:pPr>
    </w:p>
    <w:p>
      <w:pPr>
        <w:ind w:left="440" w:right="680"/>
        <w:spacing w:after="0" w:line="438" w:lineRule="auto"/>
        <w:rPr>
          <w:sz w:val="20"/>
          <w:szCs w:val="20"/>
          <w:color w:val="auto"/>
        </w:rPr>
      </w:pPr>
      <w:r>
        <w:rPr>
          <w:rFonts w:ascii="Arial" w:cs="Arial" w:eastAsia="Arial" w:hAnsi="Arial"/>
          <w:sz w:val="18"/>
          <w:szCs w:val="18"/>
          <w:color w:val="auto"/>
        </w:rPr>
        <w:t xml:space="preserve">Depreciation expense for the years ended December 31, 2021, 2020, and 2019 was $0.5 million, $0.4 million, and $0.5 million, respectively. </w:t>
      </w:r>
      <w:r>
        <w:rPr>
          <w:rFonts w:ascii="Arial" w:cs="Arial" w:eastAsia="Arial" w:hAnsi="Arial"/>
          <w:sz w:val="18"/>
          <w:szCs w:val="18"/>
          <w:b w:val="1"/>
          <w:bCs w:val="1"/>
          <w:color w:val="auto"/>
        </w:rPr>
        <w:t>Intangible Assets, net</w:t>
      </w:r>
    </w:p>
    <w:p>
      <w:pPr>
        <w:spacing w:after="0" w:line="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Intangible assets primarily consist of a license to utilize certain patents, know-how and technology relating to the Company’s NPS for biomedical applications acquired from Old Dominion University Research Foundation (ODURF), Eastern Virginia Medical School (EVMS), and the University of Southern California. In addition, the Company entered into a sponsored research agreement (“SRA”) with Old Dominion University’s Frank Reidy Research Center for Bioelectrics, a leading research organization in the field, which includes certain intellectual property rights arising from the research. The Company is amortizing the intangible assets over an estimated useful life of 12 years.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Acquired patents and licenses</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7,985</w:t>
            </w:r>
          </w:p>
        </w:tc>
        <w:tc>
          <w:tcPr>
            <w:tcW w:w="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189"/>
        </w:trPr>
        <w:tc>
          <w:tcPr>
            <w:tcW w:w="7140" w:type="dxa"/>
            <w:vAlign w:val="bottom"/>
          </w:tcPr>
          <w:p>
            <w:pPr>
              <w:spacing w:after="0" w:line="189" w:lineRule="exact"/>
              <w:rPr>
                <w:sz w:val="20"/>
                <w:szCs w:val="20"/>
                <w:color w:val="auto"/>
              </w:rPr>
            </w:pPr>
            <w:r>
              <w:rPr>
                <w:rFonts w:ascii="Arial" w:cs="Arial" w:eastAsia="Arial" w:hAnsi="Arial"/>
                <w:sz w:val="18"/>
                <w:szCs w:val="18"/>
                <w:color w:val="auto"/>
              </w:rPr>
              <w:t>Less: Accumulated amortization</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(4,769)</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183"/>
        </w:trPr>
        <w:tc>
          <w:tcPr>
            <w:tcW w:w="714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3,216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440"/>
              <w:spacing w:after="0"/>
              <w:rPr>
                <w:sz w:val="20"/>
                <w:szCs w:val="20"/>
                <w:color w:val="auto"/>
              </w:rPr>
            </w:pPr>
            <w:r>
              <w:rPr>
                <w:rFonts w:ascii="Arial" w:cs="Arial" w:eastAsia="Arial" w:hAnsi="Arial"/>
                <w:sz w:val="18"/>
                <w:szCs w:val="18"/>
                <w:color w:val="auto"/>
              </w:rPr>
              <w:t>A schedule of the amortization of intangible assets is as follows (in thousands):</w:t>
            </w:r>
          </w:p>
        </w:tc>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14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2022</w:t>
            </w: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89"/>
        </w:trPr>
        <w:tc>
          <w:tcPr>
            <w:tcW w:w="71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2024</w:t>
            </w: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89"/>
        </w:trPr>
        <w:tc>
          <w:tcPr>
            <w:tcW w:w="71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2026</w:t>
            </w: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83"/>
        </w:trPr>
        <w:tc>
          <w:tcPr>
            <w:tcW w:w="7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5540"/>
              <w:spacing w:after="0"/>
              <w:rPr>
                <w:sz w:val="20"/>
                <w:szCs w:val="20"/>
                <w:color w:val="auto"/>
              </w:rPr>
            </w:pPr>
            <w:r>
              <w:rPr>
                <w:rFonts w:ascii="Arial" w:cs="Arial" w:eastAsia="Arial" w:hAnsi="Arial"/>
                <w:sz w:val="18"/>
                <w:szCs w:val="18"/>
                <w:color w:val="auto"/>
              </w:rPr>
              <w:t>78</w:t>
            </w: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Accrued Expenses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r>
      <w:tr>
        <w:trPr>
          <w:trHeight w:val="142"/>
        </w:trPr>
        <w:tc>
          <w:tcPr>
            <w:tcW w:w="8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2020</w:t>
            </w:r>
          </w:p>
        </w:tc>
      </w:tr>
      <w:tr>
        <w:trPr>
          <w:trHeight w:val="182"/>
        </w:trPr>
        <w:tc>
          <w:tcPr>
            <w:tcW w:w="8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Compensation expense</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2,932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3,324</w:t>
            </w: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Controlled launch (Note 8)</w:t>
            </w:r>
          </w:p>
        </w:tc>
        <w:tc>
          <w:tcPr>
            <w:tcW w:w="9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534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Director and officer liability insurance (Note 12)</w:t>
            </w:r>
          </w:p>
        </w:tc>
        <w:tc>
          <w:tcPr>
            <w:tcW w:w="9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1,563</w:t>
            </w: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Clinical trial fees and costs</w:t>
            </w:r>
          </w:p>
        </w:tc>
        <w:tc>
          <w:tcPr>
            <w:tcW w:w="9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245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188</w:t>
            </w: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Professional fees</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8"/>
                <w:szCs w:val="18"/>
                <w:color w:val="auto"/>
              </w:rPr>
              <w:t>Warranty</w:t>
            </w:r>
          </w:p>
        </w:tc>
        <w:tc>
          <w:tcPr>
            <w:tcW w:w="9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80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164</w:t>
            </w:r>
          </w:p>
        </w:tc>
      </w:tr>
      <w:tr>
        <w:trPr>
          <w:trHeight w:val="183"/>
        </w:trPr>
        <w:tc>
          <w:tcPr>
            <w:tcW w:w="8140" w:type="dxa"/>
            <w:vAlign w:val="bottom"/>
          </w:tcPr>
          <w:p>
            <w:pPr>
              <w:spacing w:after="0"/>
              <w:rPr>
                <w:sz w:val="15"/>
                <w:szCs w:val="15"/>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4,389</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5,326</w:t>
            </w:r>
          </w:p>
        </w:tc>
      </w:tr>
      <w:tr>
        <w:trPr>
          <w:trHeight w:val="20"/>
        </w:trPr>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175"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 xml:space="preserve">In 2014, the Company acquired three companies (the acquisitions) for aggregate consideration of $5.5 million.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recorded goodwill of $2.8 million in connection with the acquisitions, which represents the excess of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over the fair value of net tangible and intangible assets acquired.</w:t>
      </w:r>
    </w:p>
    <w:p>
      <w:pPr>
        <w:spacing w:after="0" w:line="161" w:lineRule="exact"/>
        <w:rPr>
          <w:sz w:val="20"/>
          <w:szCs w:val="20"/>
          <w:color w:val="auto"/>
        </w:rPr>
      </w:pPr>
    </w:p>
    <w:p>
      <w:pPr>
        <w:jc w:val="both"/>
        <w:ind w:right="20" w:firstLine="440"/>
        <w:spacing w:after="0" w:line="307" w:lineRule="auto"/>
        <w:rPr>
          <w:sz w:val="20"/>
          <w:szCs w:val="20"/>
          <w:color w:val="auto"/>
        </w:rPr>
      </w:pPr>
      <w:r>
        <w:rPr>
          <w:rFonts w:ascii="Arial" w:cs="Arial" w:eastAsia="Arial" w:hAnsi="Arial"/>
          <w:sz w:val="16"/>
          <w:szCs w:val="16"/>
          <w:color w:val="auto"/>
        </w:rPr>
        <w:t>The Company reviews goodwill for impairment annually or whenever changes in circumstances indicate that the carrying amount of goodwill may not be recoverable. Based on the Company’s annual review as of December 31, 2021, the Company determined that its goodwill was not impaired.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 and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389"/>
        <w:spacing w:after="0" w:line="253" w:lineRule="auto"/>
        <w:rPr>
          <w:sz w:val="20"/>
          <w:szCs w:val="20"/>
          <w:color w:val="auto"/>
        </w:rPr>
      </w:pPr>
      <w:r>
        <w:rPr>
          <w:rFonts w:ascii="Arial" w:cs="Arial" w:eastAsia="Arial" w:hAnsi="Arial"/>
          <w:sz w:val="17"/>
          <w:szCs w:val="17"/>
          <w:color w:val="auto"/>
        </w:rPr>
        <w:t>The Company has authorized a total of 50,000,000 shares of preferred stock, par value $0.001 per share, none of which were outstanding at December 31, 2021 and 2020. The Company’s Board of Directors (the “Board”) has the authority to issue preferred stock and to determine the rights, preferences, privileges, and restrictions, including voting rights, without any further vote or action by the Company’s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authorized a total of 500,000,000 shares of common stock, par value $0.001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Securities Purchase Agreement</w:t>
      </w:r>
    </w:p>
    <w:p>
      <w:pPr>
        <w:spacing w:after="0" w:line="171"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On June 30, 2021, the Company entered into a Securities Purchase Agreement with Robert W. Duggan, the Company’s largest stockholder and Board Chairman, pursuant to which the Company issued and sold to Mr. Duggan 3,048,780 shares of the Company’s common stock, par value $0.001 per share, in a private placement (the “Private Placement”), at a price per share of $16.40, which was the market closing price on the date of the transaction. These shares were paid for through (i) the conversion of $41.0 million aggregate principal amount, together with all accrued and unpaid interest outstanding, owed to Mr. Duggan under the Loan Agreement by and between the Company and Mr. Duggan (Note 13),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 The cash proceeds of approximately $8.4 million were received by the Company in July 2021.</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Offering</w:t>
      </w:r>
    </w:p>
    <w:p>
      <w:pPr>
        <w:spacing w:after="0" w:line="171"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6"/>
          <w:szCs w:val="16"/>
          <w:color w:val="auto"/>
        </w:rPr>
        <w:t>On February 4, 2021, the Company entered into a sales agreement (the “Sales Agreement”) with Stifel, Nicolaus &amp; Company, Inc. (“Stifel”) as sales agent, pursuant to which the Company may offer and sell, from time to time, through Stifel, up to $60.0 million in shares of common stock, by any method permitted by law deemed to be an “at-the-market” offering as defined in Rule 415 promulgated under the Securities Act of 1933, as amended. The Company has no obligation to make any sales of its common stock pursuant to such Sales Agreement. During the year ended December 31, 2021, the Company issued and sold 288,490 shares of common stock under the Sales Agreement. The shares were sold at a weighted average price of $27.73 per share for aggregate net proceeds of approximately $7.4 million, after deducting sales commissions and offering costs payable by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Offering</w:t>
      </w:r>
    </w:p>
    <w:p>
      <w:pPr>
        <w:spacing w:after="0" w:line="17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During June 2020, the Company completed a rights offering to purchase up to $30.0 million of units, each unit consisting of one share of the Company’s common stock, par value $0.001 per share, and 0.15 warrants to purchase shares of common stock (the “Units”) at a price of $7.01 per Unit (the “Rights Offering”). The common stock and warrants comprising the Units separated upon the closing of the Rights Offering and were issued separately.</w:t>
      </w:r>
    </w:p>
    <w:p>
      <w:pPr>
        <w:spacing w:after="0" w:line="148"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A total of 4,279,600 shares of common stock and 641,571 warrants (the “Rights Offering Warrants”) were issued and sold in the Rights Offering for net proceeds of approximately $29.4 million. Each warrant was exercisable for one share of the Company’s common stock at an exercise price equal to $7.01, the subscription price for the Units. The Rights Offering Warrants were exercisable immediately and expired on the fifth anniversary of the completion of the Rights Offering, or June 16, 2025, subject to certain redemption rights by the Company. The Rights Offering Warrants were subject to redemption by the Company, on or after December 16, 2020, six months after the issuance date, for $0.01 per warrant, with not less than 30 days written notice, if the volume weighted average price of our common stock equaled or exceeded 200% of the exercise price for the Rights Offering Warrants for 10 consecutive trading days.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In connection with a private placement offering of the Company’s shares of common stock, par value $0.001 per share in 2014, the Company issued warrants as compensation to the placement agent to purchase a total of 299,625 shares of its common stock at a price of $2.67 per share (the “Private Placement Warrants”). The Private Placement Warrants were exercisable for a period of seven years. In March 2021, warrants to purchase 45,638 shares of common stock were net exercised, resulting in the issuance of 40,563 shares of common stock. As of December 31, 2021, there were no Private Placement Warrants outstanding.</w:t>
      </w:r>
    </w:p>
    <w:p>
      <w:pPr>
        <w:spacing w:after="0" w:line="151"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6"/>
          <w:szCs w:val="16"/>
          <w:color w:val="auto"/>
        </w:rPr>
        <w:t>In connection with the closing of the Company’s initial public offering in 2016, the Company issued warrants as compensation to its underwriters, as representatives of the underwriters of its initial public offering to purchase a total of 574,985 shares of its common stock at a price of $5.00 per share (the “IPO Warrants”). The IPO Warrants were exercisable for a period of five years. In March 2021, warrants to purchase 85,385 shares of common stock were net exercised, resulting in the issuance of 68,958 shares of common stock. As of December 31, 2021, there were no IPO Warrants outstanding.</w:t>
      </w:r>
    </w:p>
    <w:p>
      <w:pPr>
        <w:spacing w:after="0" w:line="129" w:lineRule="exact"/>
        <w:rPr>
          <w:sz w:val="20"/>
          <w:szCs w:val="20"/>
          <w:color w:val="auto"/>
        </w:rPr>
      </w:pPr>
    </w:p>
    <w:p>
      <w:pPr>
        <w:jc w:val="both"/>
        <w:ind w:firstLine="440"/>
        <w:spacing w:after="0" w:line="227" w:lineRule="auto"/>
        <w:rPr>
          <w:sz w:val="20"/>
          <w:szCs w:val="20"/>
          <w:color w:val="auto"/>
        </w:rPr>
      </w:pPr>
      <w:r>
        <w:rPr>
          <w:rFonts w:ascii="Arial" w:cs="Arial" w:eastAsia="Arial" w:hAnsi="Arial"/>
          <w:sz w:val="18"/>
          <w:szCs w:val="18"/>
          <w:color w:val="auto"/>
        </w:rPr>
        <w:t>In connection with the Rights Offering, the Company issued warrants (“Rights Offering Warrants”) to purchase a total of 641,571 shares of its common stock at an exercise price of $7.01. On December 31, 2020 the Company met the requirements for redemption of these warrants and delivered a notice of redemption to redeem all of the outstanding Rights Offering Warrants that remained unexercised at February 5, 2021, for the redemption price of $0.01 per warrant. Pursuant to the redemption, the Company redeemed 5,139 warrants. Prior to the February 5, 2021 redemption date, 636,432 warrants were exercised, generating approximately $4.5 million of total gross proceeds to the Company. As of December 31, 2021, there were no Rights Offering Warrants outstanding.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total warrants activity for the year ended December 31, 2021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1"/>
              </w:rPr>
              <w:t>Exercise Price</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Life (in Years)</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Warrants outstanding at December 31, 2020</w:t>
            </w:r>
          </w:p>
        </w:tc>
        <w:tc>
          <w:tcPr>
            <w:tcW w:w="16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612,310</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5"/>
              </w:rPr>
              <w:t>6.40</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189"/>
        </w:trPr>
        <w:tc>
          <w:tcPr>
            <w:tcW w:w="5980" w:type="dxa"/>
            <w:vAlign w:val="bottom"/>
          </w:tcPr>
          <w:p>
            <w:pPr>
              <w:ind w:left="240"/>
              <w:spacing w:after="0" w:line="189" w:lineRule="exact"/>
              <w:rPr>
                <w:sz w:val="20"/>
                <w:szCs w:val="20"/>
                <w:color w:val="auto"/>
              </w:rPr>
            </w:pPr>
            <w:r>
              <w:rPr>
                <w:rFonts w:ascii="Arial" w:cs="Arial" w:eastAsia="Arial" w:hAnsi="Arial"/>
                <w:sz w:val="18"/>
                <w:szCs w:val="18"/>
                <w:color w:val="auto"/>
              </w:rPr>
              <w:t>Issued</w:t>
            </w:r>
          </w:p>
        </w:tc>
        <w:tc>
          <w:tcPr>
            <w:tcW w:w="16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Exercised</w:t>
            </w:r>
          </w:p>
        </w:tc>
        <w:tc>
          <w:tcPr>
            <w:tcW w:w="1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(585,069)</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5"/>
              </w:rPr>
              <w:t>6.47</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Borders>
              <w:bottom w:val="single" w:sz="8" w:color="CCEEFF"/>
            </w:tcBorders>
          </w:tcPr>
          <w:p>
            <w:pPr>
              <w:ind w:left="240"/>
              <w:spacing w:after="0" w:line="189" w:lineRule="exact"/>
              <w:rPr>
                <w:sz w:val="20"/>
                <w:szCs w:val="20"/>
                <w:color w:val="auto"/>
              </w:rPr>
            </w:pPr>
            <w:r>
              <w:rPr>
                <w:rFonts w:ascii="Arial" w:cs="Arial" w:eastAsia="Arial" w:hAnsi="Arial"/>
                <w:sz w:val="18"/>
                <w:szCs w:val="18"/>
                <w:color w:val="auto"/>
              </w:rPr>
              <w:t>Expired/Redeemed</w:t>
            </w: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(27,241)</w:t>
            </w:r>
          </w:p>
        </w:tc>
        <w:tc>
          <w:tcPr>
            <w:tcW w:w="2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w w:val="85"/>
              </w:rPr>
              <w:t>3.56</w:t>
            </w:r>
          </w:p>
        </w:tc>
        <w:tc>
          <w:tcPr>
            <w:tcW w:w="18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Warrants outstanding and exercisable at December 31, 2021</w:t>
            </w:r>
          </w:p>
        </w:tc>
        <w:tc>
          <w:tcPr>
            <w:tcW w:w="1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1128"/>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Board previously adopted, and the Company’s stockholders approved, the Company’s 2017 Equity Incentive Plan (the “2017 Plan”).</w:t>
      </w:r>
    </w:p>
    <w:p>
      <w:pPr>
        <w:spacing w:after="0" w:line="183" w:lineRule="exact"/>
        <w:rPr>
          <w:sz w:val="20"/>
          <w:szCs w:val="20"/>
          <w:color w:val="auto"/>
        </w:rPr>
      </w:pPr>
    </w:p>
    <w:p>
      <w:pPr>
        <w:jc w:val="both"/>
        <w:ind w:firstLine="492"/>
        <w:spacing w:after="0" w:line="252" w:lineRule="auto"/>
        <w:rPr>
          <w:sz w:val="20"/>
          <w:szCs w:val="20"/>
          <w:color w:val="auto"/>
        </w:rPr>
      </w:pPr>
      <w:r>
        <w:rPr>
          <w:rFonts w:ascii="Arial" w:cs="Arial" w:eastAsia="Arial" w:hAnsi="Arial"/>
          <w:sz w:val="16"/>
          <w:szCs w:val="16"/>
          <w:color w:val="auto"/>
        </w:rPr>
        <w:t>The 2017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2021 and 2020, the number of shares of common stock available under the 2017 Plan increased by 1,022,002 and 833,018 shares, respectively, pursuant to the evergreen provision of the 2017 Plan. Under the evergreen provision of the 2017 Plan, the share increase is determined based on the least of (i) 1,200,000 shares, (ii) 4% of the Company’s common stock outstanding at December 31 of the immediately preceding year, or (iii) such number of shares as determined by the Board. As of December 31, 2021, 443,196 shares of common stock remained available for issuance under the 2017 Plan.</w:t>
      </w:r>
    </w:p>
    <w:p>
      <w:pPr>
        <w:spacing w:after="0" w:line="156" w:lineRule="exact"/>
        <w:rPr>
          <w:sz w:val="20"/>
          <w:szCs w:val="20"/>
          <w:color w:val="auto"/>
        </w:rPr>
      </w:pPr>
    </w:p>
    <w:p>
      <w:pPr>
        <w:jc w:val="both"/>
        <w:ind w:firstLine="492"/>
        <w:spacing w:after="0" w:line="235" w:lineRule="auto"/>
        <w:rPr>
          <w:sz w:val="20"/>
          <w:szCs w:val="20"/>
          <w:color w:val="auto"/>
        </w:rPr>
      </w:pPr>
      <w:r>
        <w:rPr>
          <w:rFonts w:ascii="Arial" w:cs="Arial" w:eastAsia="Arial" w:hAnsi="Arial"/>
          <w:sz w:val="18"/>
          <w:szCs w:val="18"/>
          <w:color w:val="auto"/>
        </w:rPr>
        <w:t>During November 2017, the Board of the Company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61" w:lineRule="exact"/>
        <w:rPr>
          <w:sz w:val="20"/>
          <w:szCs w:val="20"/>
          <w:color w:val="auto"/>
        </w:rPr>
      </w:pPr>
    </w:p>
    <w:p>
      <w:pPr>
        <w:jc w:val="both"/>
        <w:ind w:firstLine="492"/>
        <w:spacing w:after="0" w:line="238" w:lineRule="auto"/>
        <w:rPr>
          <w:sz w:val="20"/>
          <w:szCs w:val="20"/>
          <w:color w:val="auto"/>
        </w:rPr>
      </w:pPr>
      <w:r>
        <w:rPr>
          <w:rFonts w:ascii="Arial" w:cs="Arial" w:eastAsia="Arial" w:hAnsi="Arial"/>
          <w:sz w:val="17"/>
          <w:szCs w:val="17"/>
          <w:color w:val="auto"/>
        </w:rPr>
        <w:t>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non-employee directors of the Company prior to the Inducement Plan’s adoption date. In May 2021, the Board approved an amendment to the Inducement Plan to reserve an additional 1,000,000 shares of the Company’s common stock for issuance pursuant to the Inducement Plan. As of December 31, 2021, 1,044,513 shares of common stock were available for issuance under the Inducement Plan.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stock option activity under the 2015 Plan, 2017 Plan and Inducement Plan for the year ended December 31, 2021 is presented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7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1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14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jc w:val="center"/>
              <w:ind w:left="428"/>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Life (in Years)</w:t>
            </w:r>
          </w:p>
        </w:tc>
        <w:tc>
          <w:tcPr>
            <w:tcW w:w="0" w:type="dxa"/>
            <w:vAlign w:val="bottom"/>
          </w:tcPr>
          <w:p>
            <w:pPr>
              <w:spacing w:after="0"/>
              <w:rPr>
                <w:sz w:val="1"/>
                <w:szCs w:val="1"/>
                <w:color w:val="auto"/>
              </w:rPr>
            </w:pPr>
          </w:p>
        </w:tc>
      </w:tr>
      <w:tr>
        <w:trPr>
          <w:trHeight w:val="183"/>
        </w:trPr>
        <w:tc>
          <w:tcPr>
            <w:tcW w:w="6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Balances - December 31, 2020</w:t>
            </w:r>
          </w:p>
        </w:tc>
        <w:tc>
          <w:tcPr>
            <w:tcW w:w="15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5,039,194</w:t>
            </w: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9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14.26</w:t>
            </w:r>
          </w:p>
        </w:tc>
        <w:tc>
          <w:tcPr>
            <w:tcW w:w="1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89"/>
        </w:trPr>
        <w:tc>
          <w:tcPr>
            <w:tcW w:w="6100" w:type="dxa"/>
            <w:vAlign w:val="bottom"/>
          </w:tcPr>
          <w:p>
            <w:pPr>
              <w:ind w:left="240"/>
              <w:spacing w:after="0" w:line="189" w:lineRule="exact"/>
              <w:rPr>
                <w:sz w:val="20"/>
                <w:szCs w:val="20"/>
                <w:color w:val="auto"/>
              </w:rPr>
            </w:pPr>
            <w:r>
              <w:rPr>
                <w:rFonts w:ascii="Arial" w:cs="Arial" w:eastAsia="Arial" w:hAnsi="Arial"/>
                <w:sz w:val="18"/>
                <w:szCs w:val="18"/>
                <w:color w:val="auto"/>
              </w:rPr>
              <w:t>Options granted</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1,239,588</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w w:val="88"/>
              </w:rPr>
              <w:t>22.10</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Options exercised</w:t>
            </w:r>
          </w:p>
        </w:tc>
        <w:tc>
          <w:tcPr>
            <w:tcW w:w="17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(53,731)</w:t>
            </w:r>
          </w:p>
        </w:tc>
        <w:tc>
          <w:tcPr>
            <w:tcW w:w="1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11.47</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240"/>
              <w:spacing w:after="0" w:line="189" w:lineRule="exact"/>
              <w:rPr>
                <w:sz w:val="20"/>
                <w:szCs w:val="20"/>
                <w:color w:val="auto"/>
              </w:rPr>
            </w:pPr>
            <w:r>
              <w:rPr>
                <w:rFonts w:ascii="Arial" w:cs="Arial" w:eastAsia="Arial" w:hAnsi="Arial"/>
                <w:sz w:val="18"/>
                <w:szCs w:val="18"/>
                <w:color w:val="auto"/>
              </w:rPr>
              <w:t>Options canceled</w:t>
            </w:r>
          </w:p>
        </w:tc>
        <w:tc>
          <w:tcPr>
            <w:tcW w:w="17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(162,975)</w:t>
            </w:r>
          </w:p>
        </w:tc>
        <w:tc>
          <w:tcPr>
            <w:tcW w:w="114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w w:val="88"/>
              </w:rPr>
              <w:t>16.94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Options expired</w:t>
            </w:r>
          </w:p>
        </w:tc>
        <w:tc>
          <w:tcPr>
            <w:tcW w:w="17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(65,263)</w:t>
            </w:r>
          </w:p>
        </w:tc>
        <w:tc>
          <w:tcPr>
            <w:tcW w:w="1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19.92</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Balances - December 31, 2021</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5,996,813</w:t>
            </w:r>
          </w:p>
        </w:tc>
        <w:tc>
          <w:tcPr>
            <w:tcW w:w="2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8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15.77</w:t>
            </w:r>
          </w:p>
        </w:tc>
        <w:tc>
          <w:tcPr>
            <w:tcW w:w="1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169"/>
        </w:trPr>
        <w:tc>
          <w:tcPr>
            <w:tcW w:w="61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Stock options exercisable at December 31, 2021</w:t>
            </w:r>
          </w:p>
        </w:tc>
        <w:tc>
          <w:tcPr>
            <w:tcW w:w="1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3,312,074</w:t>
            </w: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88"/>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15.96</w:t>
            </w:r>
          </w:p>
        </w:tc>
        <w:tc>
          <w:tcPr>
            <w:tcW w:w="1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Time-based Options</w:t>
      </w:r>
    </w:p>
    <w:p>
      <w:pPr>
        <w:spacing w:after="0" w:line="17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A summary of the time-based stock option activity under the 2015 Plan, 2017 Plan and Inducement Plan for the year ended December 31, 2021 is presented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Stock Options Outstanding</w:t>
            </w: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5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life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500" w:type="dxa"/>
            <w:vAlign w:val="bottom"/>
            <w:gridSpan w:val="2"/>
          </w:tcPr>
          <w:p>
            <w:pPr>
              <w:ind w:left="500"/>
              <w:spacing w:after="0"/>
              <w:rPr>
                <w:sz w:val="20"/>
                <w:szCs w:val="20"/>
                <w:color w:val="auto"/>
              </w:rPr>
            </w:pPr>
            <w:r>
              <w:rPr>
                <w:rFonts w:ascii="Arial" w:cs="Arial" w:eastAsia="Arial" w:hAnsi="Arial"/>
                <w:sz w:val="14"/>
                <w:szCs w:val="14"/>
                <w:b w:val="1"/>
                <w:bCs w:val="1"/>
                <w:color w:val="auto"/>
              </w:rPr>
              <w:t>of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83"/>
        </w:trPr>
        <w:tc>
          <w:tcPr>
            <w:tcW w:w="6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Balances — December 31, 2020</w:t>
            </w:r>
          </w:p>
        </w:tc>
        <w:tc>
          <w:tcPr>
            <w:tcW w:w="1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4,055,352</w:t>
            </w: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124"/>
              <w:spacing w:after="0" w:line="182" w:lineRule="exact"/>
              <w:rPr>
                <w:sz w:val="20"/>
                <w:szCs w:val="20"/>
                <w:color w:val="auto"/>
              </w:rPr>
            </w:pPr>
            <w:r>
              <w:rPr>
                <w:rFonts w:ascii="Arial" w:cs="Arial" w:eastAsia="Arial" w:hAnsi="Arial"/>
                <w:sz w:val="18"/>
                <w:szCs w:val="18"/>
                <w:color w:val="auto"/>
              </w:rPr>
              <w:t>15.04</w:t>
            </w: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ind w:right="61"/>
              <w:spacing w:after="0" w:line="182" w:lineRule="exact"/>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189"/>
        </w:trPr>
        <w:tc>
          <w:tcPr>
            <w:tcW w:w="6280" w:type="dxa"/>
            <w:vAlign w:val="bottom"/>
          </w:tcPr>
          <w:p>
            <w:pPr>
              <w:ind w:left="240"/>
              <w:spacing w:after="0" w:line="189" w:lineRule="exact"/>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1,023,333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24"/>
              <w:spacing w:after="0" w:line="189" w:lineRule="exact"/>
              <w:rPr>
                <w:sz w:val="20"/>
                <w:szCs w:val="20"/>
                <w:color w:val="auto"/>
              </w:rPr>
            </w:pPr>
            <w:r>
              <w:rPr>
                <w:rFonts w:ascii="Arial" w:cs="Arial" w:eastAsia="Arial" w:hAnsi="Arial"/>
                <w:sz w:val="18"/>
                <w:szCs w:val="18"/>
                <w:color w:val="auto"/>
              </w:rPr>
              <w:t>22.04</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Options exercised</w:t>
            </w:r>
          </w:p>
        </w:tc>
        <w:tc>
          <w:tcPr>
            <w:tcW w:w="1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(53,731)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4"/>
              <w:spacing w:after="0" w:line="189" w:lineRule="exact"/>
              <w:rPr>
                <w:sz w:val="20"/>
                <w:szCs w:val="20"/>
                <w:color w:val="auto"/>
              </w:rPr>
            </w:pPr>
            <w:r>
              <w:rPr>
                <w:rFonts w:ascii="Arial" w:cs="Arial" w:eastAsia="Arial" w:hAnsi="Arial"/>
                <w:sz w:val="18"/>
                <w:szCs w:val="18"/>
                <w:color w:val="auto"/>
              </w:rPr>
              <w:t>11.47</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tcPr>
          <w:p>
            <w:pPr>
              <w:ind w:left="240"/>
              <w:spacing w:after="0" w:line="189" w:lineRule="exact"/>
              <w:rPr>
                <w:sz w:val="20"/>
                <w:szCs w:val="20"/>
                <w:color w:val="auto"/>
              </w:rPr>
            </w:pPr>
            <w:r>
              <w:rPr>
                <w:rFonts w:ascii="Arial" w:cs="Arial" w:eastAsia="Arial" w:hAnsi="Arial"/>
                <w:sz w:val="18"/>
                <w:szCs w:val="18"/>
                <w:color w:val="auto"/>
              </w:rPr>
              <w:t>Options canceled</w:t>
            </w:r>
          </w:p>
        </w:tc>
        <w:tc>
          <w:tcPr>
            <w:tcW w:w="15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(162,975)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24"/>
              <w:spacing w:after="0" w:line="189" w:lineRule="exact"/>
              <w:rPr>
                <w:sz w:val="20"/>
                <w:szCs w:val="20"/>
                <w:color w:val="auto"/>
              </w:rPr>
            </w:pPr>
            <w:r>
              <w:rPr>
                <w:rFonts w:ascii="Arial" w:cs="Arial" w:eastAsia="Arial" w:hAnsi="Arial"/>
                <w:sz w:val="18"/>
                <w:szCs w:val="18"/>
                <w:color w:val="auto"/>
              </w:rPr>
              <w:t>16.94</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Options expired</w:t>
            </w:r>
          </w:p>
        </w:tc>
        <w:tc>
          <w:tcPr>
            <w:tcW w:w="1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(65,263)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4"/>
              <w:spacing w:after="0" w:line="189" w:lineRule="exact"/>
              <w:rPr>
                <w:sz w:val="20"/>
                <w:szCs w:val="20"/>
                <w:color w:val="auto"/>
              </w:rPr>
            </w:pPr>
            <w:r>
              <w:rPr>
                <w:rFonts w:ascii="Arial" w:cs="Arial" w:eastAsia="Arial" w:hAnsi="Arial"/>
                <w:sz w:val="18"/>
                <w:szCs w:val="18"/>
                <w:color w:val="auto"/>
              </w:rPr>
              <w:t>19.92</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Balances — December 31, 2021</w:t>
            </w: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4,796,716</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tcPr>
          <w:p>
            <w:pPr>
              <w:jc w:val="right"/>
              <w:ind w:right="124"/>
              <w:spacing w:after="0" w:line="182" w:lineRule="exact"/>
              <w:rPr>
                <w:sz w:val="20"/>
                <w:szCs w:val="20"/>
                <w:color w:val="auto"/>
              </w:rPr>
            </w:pPr>
            <w:r>
              <w:rPr>
                <w:rFonts w:ascii="Arial" w:cs="Arial" w:eastAsia="Arial" w:hAnsi="Arial"/>
                <w:sz w:val="18"/>
                <w:szCs w:val="18"/>
                <w:color w:val="auto"/>
              </w:rPr>
              <w:t>16.44</w:t>
            </w: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61"/>
              <w:spacing w:after="0" w:line="182" w:lineRule="exact"/>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169"/>
        </w:trPr>
        <w:tc>
          <w:tcPr>
            <w:tcW w:w="62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Exercisable — December 31, 2021</w:t>
            </w:r>
          </w:p>
        </w:tc>
        <w:tc>
          <w:tcPr>
            <w:tcW w:w="14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3,018,902</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24"/>
              <w:spacing w:after="0" w:line="170" w:lineRule="exact"/>
              <w:rPr>
                <w:sz w:val="20"/>
                <w:szCs w:val="20"/>
                <w:color w:val="auto"/>
              </w:rPr>
            </w:pPr>
            <w:r>
              <w:rPr>
                <w:rFonts w:ascii="Arial" w:cs="Arial" w:eastAsia="Arial" w:hAnsi="Arial"/>
                <w:sz w:val="18"/>
                <w:szCs w:val="18"/>
                <w:color w:val="auto"/>
              </w:rPr>
              <w:t>16.38</w:t>
            </w:r>
          </w:p>
        </w:tc>
        <w:tc>
          <w:tcPr>
            <w:tcW w:w="2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jc w:val="right"/>
              <w:ind w:right="61"/>
              <w:spacing w:after="0" w:line="170"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intrinsic value of time-based options exercised during the year ended December 31, 2021, 2020 and 2019 was $0.8 million, $1.6 million, and $1.0 million, respectively.</w:t>
      </w:r>
    </w:p>
    <w:p>
      <w:pPr>
        <w:spacing w:after="0" w:line="14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fair value of the time-based options granted to employees and directors during the years ended December 31, 2021, 2020 and 2019 was $15.1 million, $6.7 million, and $8.4 million, respectively.</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Options</w:t>
      </w:r>
    </w:p>
    <w:p>
      <w:pPr>
        <w:spacing w:after="0" w:line="17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Certain stock options awarded to the Company’s executives and other key employees contain performance conditions related to certain financial measures and achievements of strategic/operational milestones. The options will vest and become exercisable once the specific performance condition is fulfilled.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the performance option activity under the 2017 Plan and Inducement Plan for the year ended December 31, 2021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Stock Options Outstanding</w:t>
            </w: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life</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ind w:left="500"/>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83"/>
        </w:trPr>
        <w:tc>
          <w:tcPr>
            <w:tcW w:w="6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Balances — December 31, 2020</w:t>
            </w:r>
          </w:p>
        </w:tc>
        <w:tc>
          <w:tcPr>
            <w:tcW w:w="24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983,842</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118"/>
              <w:spacing w:after="0" w:line="182" w:lineRule="exact"/>
              <w:rPr>
                <w:sz w:val="20"/>
                <w:szCs w:val="20"/>
                <w:color w:val="auto"/>
              </w:rPr>
            </w:pPr>
            <w:r>
              <w:rPr>
                <w:rFonts w:ascii="Arial" w:cs="Arial" w:eastAsia="Arial" w:hAnsi="Arial"/>
                <w:sz w:val="18"/>
                <w:szCs w:val="18"/>
                <w:color w:val="auto"/>
              </w:rPr>
              <w:t>11.06</w:t>
            </w: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ind w:right="61"/>
              <w:spacing w:after="0" w:line="182" w:lineRule="exact"/>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189"/>
        </w:trPr>
        <w:tc>
          <w:tcPr>
            <w:tcW w:w="6040" w:type="dxa"/>
            <w:vAlign w:val="bottom"/>
          </w:tcPr>
          <w:p>
            <w:pPr>
              <w:ind w:left="240"/>
              <w:spacing w:after="0" w:line="189" w:lineRule="exact"/>
              <w:rPr>
                <w:sz w:val="20"/>
                <w:szCs w:val="20"/>
                <w:color w:val="auto"/>
              </w:rPr>
            </w:pPr>
            <w:r>
              <w:rPr>
                <w:rFonts w:ascii="Arial" w:cs="Arial" w:eastAsia="Arial" w:hAnsi="Arial"/>
                <w:sz w:val="18"/>
                <w:szCs w:val="18"/>
                <w:color w:val="auto"/>
              </w:rPr>
              <w:t>Options granted</w:t>
            </w:r>
          </w:p>
        </w:tc>
        <w:tc>
          <w:tcPr>
            <w:tcW w:w="16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216,255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18"/>
              <w:spacing w:after="0" w:line="189" w:lineRule="exact"/>
              <w:rPr>
                <w:sz w:val="20"/>
                <w:szCs w:val="20"/>
                <w:color w:val="auto"/>
              </w:rPr>
            </w:pPr>
            <w:r>
              <w:rPr>
                <w:rFonts w:ascii="Arial" w:cs="Arial" w:eastAsia="Arial" w:hAnsi="Arial"/>
                <w:sz w:val="18"/>
                <w:szCs w:val="18"/>
                <w:color w:val="auto"/>
              </w:rPr>
              <w:t>22.41</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Options exercised</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tcPr>
          <w:p>
            <w:pPr>
              <w:ind w:left="240"/>
              <w:spacing w:after="0" w:line="189" w:lineRule="exact"/>
              <w:rPr>
                <w:sz w:val="20"/>
                <w:szCs w:val="20"/>
                <w:color w:val="auto"/>
              </w:rPr>
            </w:pPr>
            <w:r>
              <w:rPr>
                <w:rFonts w:ascii="Arial" w:cs="Arial" w:eastAsia="Arial" w:hAnsi="Arial"/>
                <w:sz w:val="18"/>
                <w:szCs w:val="18"/>
                <w:color w:val="auto"/>
              </w:rPr>
              <w:t>Options canceled</w:t>
            </w:r>
          </w:p>
        </w:tc>
        <w:tc>
          <w:tcPr>
            <w:tcW w:w="2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Options expired</w:t>
            </w:r>
          </w:p>
        </w:tc>
        <w:tc>
          <w:tcPr>
            <w:tcW w:w="2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Balances — December 31, 2021</w:t>
            </w:r>
          </w:p>
        </w:tc>
        <w:tc>
          <w:tcPr>
            <w:tcW w:w="16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1,200,097</w:t>
            </w:r>
          </w:p>
        </w:tc>
        <w:tc>
          <w:tcPr>
            <w:tcW w:w="200" w:type="dxa"/>
            <w:vAlign w:val="bottom"/>
            <w:tcBorders>
              <w:bottom w:val="single" w:sz="8" w:color="CCEEFF"/>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tcPr>
          <w:p>
            <w:pPr>
              <w:jc w:val="right"/>
              <w:ind w:right="118"/>
              <w:spacing w:after="0" w:line="182" w:lineRule="exact"/>
              <w:rPr>
                <w:sz w:val="20"/>
                <w:szCs w:val="20"/>
                <w:color w:val="auto"/>
              </w:rPr>
            </w:pPr>
            <w:r>
              <w:rPr>
                <w:rFonts w:ascii="Arial" w:cs="Arial" w:eastAsia="Arial" w:hAnsi="Arial"/>
                <w:sz w:val="18"/>
                <w:szCs w:val="18"/>
                <w:color w:val="auto"/>
              </w:rPr>
              <w:t>13.11</w:t>
            </w: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61"/>
              <w:spacing w:after="0" w:line="182" w:lineRule="exact"/>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Exercisable — December 31, 2021</w:t>
            </w:r>
          </w:p>
        </w:tc>
        <w:tc>
          <w:tcPr>
            <w:tcW w:w="168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293,172</w:t>
            </w:r>
          </w:p>
        </w:tc>
        <w:tc>
          <w:tcPr>
            <w:tcW w:w="20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18"/>
              <w:spacing w:after="0" w:line="170" w:lineRule="exact"/>
              <w:rPr>
                <w:sz w:val="20"/>
                <w:szCs w:val="20"/>
                <w:color w:val="auto"/>
              </w:rPr>
            </w:pPr>
            <w:r>
              <w:rPr>
                <w:rFonts w:ascii="Arial" w:cs="Arial" w:eastAsia="Arial" w:hAnsi="Arial"/>
                <w:sz w:val="18"/>
                <w:szCs w:val="18"/>
                <w:color w:val="auto"/>
              </w:rPr>
              <w:t>11.64</w:t>
            </w:r>
          </w:p>
        </w:tc>
        <w:tc>
          <w:tcPr>
            <w:tcW w:w="2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jc w:val="right"/>
              <w:ind w:right="61"/>
              <w:spacing w:after="0" w:line="170" w:lineRule="exact"/>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fair value of the performance options granted to employees during the years ended December 31, 2021, 2020 and 2019 was $2.5 million, $5.5 million, and $0.4 million, respectively.</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employee stock options was estimated using the Black-Scholes option-pricing model utilizing the following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1680" w:type="dxa"/>
            <w:vAlign w:val="bottom"/>
            <w:tcBorders>
              <w:bottom w:val="single" w:sz="8" w:color="auto"/>
            </w:tcBorders>
          </w:tcPr>
          <w:p>
            <w:pPr>
              <w:spacing w:after="0"/>
              <w:rPr>
                <w:sz w:val="14"/>
                <w:szCs w:val="14"/>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2019</w:t>
            </w:r>
          </w:p>
        </w:tc>
      </w:tr>
      <w:tr>
        <w:trPr>
          <w:trHeight w:val="183"/>
        </w:trPr>
        <w:tc>
          <w:tcPr>
            <w:tcW w:w="6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Expected term in years</w:t>
            </w:r>
          </w:p>
        </w:tc>
        <w:tc>
          <w:tcPr>
            <w:tcW w:w="1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5.3 - 6.1</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5.3 - 6.1</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0.4 - 6.1</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78%</w:t>
            </w:r>
          </w:p>
        </w:tc>
        <w:tc>
          <w:tcPr>
            <w:tcW w:w="17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70%</w:t>
            </w:r>
          </w:p>
        </w:tc>
        <w:tc>
          <w:tcPr>
            <w:tcW w:w="168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0.9 - 1.4%</w:t>
            </w:r>
          </w:p>
        </w:tc>
        <w:tc>
          <w:tcPr>
            <w:tcW w:w="1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0.3 - 0.5%</w:t>
            </w:r>
          </w:p>
        </w:tc>
        <w:tc>
          <w:tcPr>
            <w:tcW w:w="1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1.4 - 2.6%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previously adopted and the stockholders approved the Company’s 2017 Employee Stock Purchase Plan (the “2017 ESPP”).</w:t>
      </w:r>
    </w:p>
    <w:p>
      <w:pPr>
        <w:spacing w:after="0" w:line="171"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In 2020 the Board determined not to increase the number of shares of common stock available pursuant to the evergreen provision. Effective January 1, 2021, pursuant to the evergreen provision of the 2017 ESPP, the number of shares of common stock available under the 2017 ESPP was increased by 383,250 shares. During the years ended December 31, 2021 and 2020, the Company issued 91,378 and 82,971 shares of common stock under the 2017 ESPP, respectively. As of December 31, 2021, 649,096 shares of common stock remained available for issuance under the 2017 ESPP.</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ESPP was estimated using the Black-Scholes option-pricing model utilizing the following assumptions: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1680" w:type="dxa"/>
            <w:vAlign w:val="bottom"/>
            <w:tcBorders>
              <w:bottom w:val="single" w:sz="8" w:color="auto"/>
            </w:tcBorders>
          </w:tcPr>
          <w:p>
            <w:pPr>
              <w:spacing w:after="0"/>
              <w:rPr>
                <w:sz w:val="14"/>
                <w:szCs w:val="14"/>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2019</w:t>
            </w:r>
          </w:p>
        </w:tc>
      </w:tr>
      <w:tr>
        <w:trPr>
          <w:trHeight w:val="183"/>
        </w:trPr>
        <w:tc>
          <w:tcPr>
            <w:tcW w:w="6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Expected term in years</w:t>
            </w:r>
          </w:p>
        </w:tc>
        <w:tc>
          <w:tcPr>
            <w:tcW w:w="1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0.5 - 1.0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0.5 - 1.0</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0.5 - 1.0</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78%</w:t>
            </w:r>
          </w:p>
        </w:tc>
        <w:tc>
          <w:tcPr>
            <w:tcW w:w="17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70%</w:t>
            </w:r>
          </w:p>
        </w:tc>
        <w:tc>
          <w:tcPr>
            <w:tcW w:w="168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0.06% - 0.1%</w:t>
            </w:r>
          </w:p>
        </w:tc>
        <w:tc>
          <w:tcPr>
            <w:tcW w:w="1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0.1% - 1.0%</w:t>
            </w:r>
          </w:p>
        </w:tc>
        <w:tc>
          <w:tcPr>
            <w:tcW w:w="1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 - 2.6%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jc w:val="both"/>
        <w:ind w:firstLine="479"/>
        <w:spacing w:after="0" w:line="246" w:lineRule="auto"/>
        <w:rPr>
          <w:sz w:val="20"/>
          <w:szCs w:val="20"/>
          <w:color w:val="auto"/>
        </w:rPr>
      </w:pPr>
      <w:r>
        <w:rPr>
          <w:rFonts w:ascii="Arial" w:cs="Arial" w:eastAsia="Arial" w:hAnsi="Arial"/>
          <w:sz w:val="18"/>
          <w:szCs w:val="18"/>
          <w:color w:val="auto"/>
        </w:rPr>
        <w:t>The fair value of RSU awards is determined based on the number of units granted and the closing price of the Company’s common stock as of the grant date. The estimated fair value of RSUs is recognized on a straight-line basis over the requisite service period.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79"/>
        <w:spacing w:after="0" w:line="242" w:lineRule="auto"/>
        <w:rPr>
          <w:sz w:val="20"/>
          <w:szCs w:val="20"/>
          <w:color w:val="auto"/>
        </w:rPr>
      </w:pPr>
      <w:r>
        <w:rPr>
          <w:rFonts w:ascii="Arial" w:cs="Arial" w:eastAsia="Arial" w:hAnsi="Arial"/>
          <w:sz w:val="17"/>
          <w:szCs w:val="17"/>
          <w:color w:val="auto"/>
        </w:rPr>
        <w:t>During the year ended December 31, 2017, the Company granted 160,974 RSUs to the Chief Executive Officer, all of which vested in June 2018. These shares were partially released in 2019, resulting in a net issuance of shares. Additional paid in capital was reduced for tax payments related to shares withheld in connection with the release. The remaining shares under this grant were released in 2021, and at December 31, 2021 no shares were outstanding under this grant. There was no stock-based compensation expense related to these RSUs recorded in the years ended December 31, 2021, 2022 and 2019. As of December 31, 2021, there was no unrecognized compensation expense related to these RSUs.</w:t>
      </w:r>
    </w:p>
    <w:p>
      <w:pPr>
        <w:spacing w:after="0" w:line="148" w:lineRule="exact"/>
        <w:rPr>
          <w:sz w:val="20"/>
          <w:szCs w:val="20"/>
          <w:color w:val="auto"/>
        </w:rPr>
      </w:pPr>
    </w:p>
    <w:p>
      <w:pPr>
        <w:jc w:val="both"/>
        <w:ind w:firstLine="479"/>
        <w:spacing w:after="0" w:line="231" w:lineRule="auto"/>
        <w:rPr>
          <w:sz w:val="20"/>
          <w:szCs w:val="20"/>
          <w:color w:val="auto"/>
        </w:rPr>
      </w:pPr>
      <w:r>
        <w:rPr>
          <w:rFonts w:ascii="Arial" w:cs="Arial" w:eastAsia="Arial" w:hAnsi="Arial"/>
          <w:sz w:val="18"/>
          <w:szCs w:val="18"/>
          <w:color w:val="auto"/>
        </w:rPr>
        <w:t>During the year ended December 31, 2017, the Company granted 68,800 RSUs to certain employees, of which 50% vested on June 1, 2019 while the remaining 50% vested on June 1, 2021. The stock-based compensation expense recorded in the years ended December 31, 2021, 2020, and 2019 related to these RSUs was approximately $0.1 million, $0.3 million, and $0.4 million, respectively. As of December 31, 2021, there was no unrecognized compensation expense related to these RSUs.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stock-based compensation expense recorded in the consolidated statements of operations and comprehensive loss was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2019</w:t>
            </w:r>
          </w:p>
        </w:tc>
      </w:tr>
      <w:tr>
        <w:trPr>
          <w:trHeight w:val="183"/>
        </w:trPr>
        <w:tc>
          <w:tcPr>
            <w:tcW w:w="4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Cost of revenues</w:t>
            </w:r>
          </w:p>
        </w:tc>
        <w:tc>
          <w:tcPr>
            <w:tcW w:w="16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5,211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4,013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3,821</w:t>
            </w:r>
          </w:p>
        </w:tc>
      </w:tr>
      <w:tr>
        <w:trPr>
          <w:trHeight w:val="189"/>
        </w:trPr>
        <w:tc>
          <w:tcPr>
            <w:tcW w:w="4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Sales and marketing</w:t>
            </w:r>
          </w:p>
        </w:tc>
        <w:tc>
          <w:tcPr>
            <w:tcW w:w="1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883</w:t>
            </w:r>
          </w:p>
        </w:tc>
      </w:tr>
      <w:tr>
        <w:trPr>
          <w:trHeight w:val="189"/>
        </w:trPr>
        <w:tc>
          <w:tcPr>
            <w:tcW w:w="48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General and administrative</w:t>
            </w:r>
          </w:p>
        </w:tc>
        <w:tc>
          <w:tcPr>
            <w:tcW w:w="16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6,512</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4,875</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6,583</w:t>
            </w:r>
          </w:p>
        </w:tc>
      </w:tr>
      <w:tr>
        <w:trPr>
          <w:trHeight w:val="183"/>
        </w:trPr>
        <w:tc>
          <w:tcPr>
            <w:tcW w:w="482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stock-based compensation expense</w:t>
            </w:r>
          </w:p>
        </w:tc>
        <w:tc>
          <w:tcPr>
            <w:tcW w:w="16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14,601</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10,075</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11,287</w:t>
            </w:r>
          </w:p>
        </w:tc>
      </w:tr>
      <w:tr>
        <w:trPr>
          <w:trHeight w:val="20"/>
        </w:trPr>
        <w:tc>
          <w:tcPr>
            <w:tcW w:w="4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As of December 31, 2021, not all of the performance conditions of the performance options are probable to be achieved. Compensation expense has only been recognized for those conditions that are assumed to be probable.</w:t>
      </w:r>
    </w:p>
    <w:p>
      <w:pPr>
        <w:spacing w:after="0" w:line="143"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In February 2021, the Compensation Committee approved of a modification to certain vesting conditions of outstanding Performance Options. The Company had not recognized any compensation expense in relation to these Performance Options as the performance condition was previously deemed to be improbable. However, upon modification those specific performance conditions were deemed probable and fully vested. As such, during the year ended December 31, 2021, the full expense in relation to the amended performance conditions was recognized resulting in $4.1 million of additional stock-compensation expense.</w:t>
      </w:r>
    </w:p>
    <w:p>
      <w:pPr>
        <w:spacing w:after="0" w:line="15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In October 2021, the Board amended the outstanding option awards of Kenneth A. Clark upon his resignation from the Board. The requirement that Mr. Clark exercise his vested options within ninety days of his resignation was waived. Mr. Clark will have the ability to exercise his outstanding vested option awards at any time during their ten-year term from the date of each grant, subject to earlier termination as may occur under the 2017 Plan. This amendment resulted in $1.4 million of additional stock-compensation expense during the year ended December 31, 2021.</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by type was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183"/>
        </w:trPr>
        <w:tc>
          <w:tcPr>
            <w:tcW w:w="4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Time-based options</w:t>
            </w:r>
          </w:p>
        </w:tc>
        <w:tc>
          <w:tcPr>
            <w:tcW w:w="16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9,235</w:t>
            </w: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8,739</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10,895</w:t>
            </w: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8"/>
                <w:szCs w:val="18"/>
                <w:color w:val="auto"/>
              </w:rPr>
              <w:t>Performance options</w:t>
            </w:r>
          </w:p>
        </w:tc>
        <w:tc>
          <w:tcPr>
            <w:tcW w:w="1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4,840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133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r>
      <w:tr>
        <w:trPr>
          <w:trHeight w:val="189"/>
        </w:trPr>
        <w:tc>
          <w:tcPr>
            <w:tcW w:w="4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RSU</w:t>
            </w:r>
          </w:p>
        </w:tc>
        <w:tc>
          <w:tcPr>
            <w:tcW w:w="1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8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ESPP</w:t>
            </w:r>
          </w:p>
        </w:tc>
        <w:tc>
          <w:tcPr>
            <w:tcW w:w="16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526</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1,117</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292</w:t>
            </w:r>
          </w:p>
        </w:tc>
      </w:tr>
      <w:tr>
        <w:trPr>
          <w:trHeight w:val="183"/>
        </w:trPr>
        <w:tc>
          <w:tcPr>
            <w:tcW w:w="482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stock-based compensation expense</w:t>
            </w:r>
          </w:p>
        </w:tc>
        <w:tc>
          <w:tcPr>
            <w:tcW w:w="16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14,601</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10,075</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11,287</w:t>
            </w:r>
          </w:p>
        </w:tc>
      </w:tr>
      <w:tr>
        <w:trPr>
          <w:trHeight w:val="20"/>
        </w:trPr>
        <w:tc>
          <w:tcPr>
            <w:tcW w:w="4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At December 31, 2021, there was $15.8 million of unrecognized compensation cost related to unvested stock-based compensation arrangements, which is expected to be recognized over a weighted average period of 2.7 years.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Research Grants and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71"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The Company entered into a SRA with ODURF during 2014 pursuant to which the Company sponsors research activities performed by ODURF’s Frank Reidy Center. ODURF is compensated by the Company for its conduct of each study in accordance with the budget and payment terms set forth in the applicable task order. In August 2018, we agreed to sponsor a task order for research in the amount of $0.8 million and in September 2019, we agreed to sponsor an additional task order for research in the amount of $0.8 million each to be performed during their respective subsequent 12-month periods. In March 2021, we agreed to sponsor a task order for research in the amount of $0.3 million and in May 2021 we sponsored an additional task order for $0.3 million each to be performed during their respective subsequent 12-month periods. These sponsored researches are funded through monthly payments made upon ODURF certifying, to our reasonable satisfaction, that ODURF has met its obligations pursuant to the specified task order and statement of work. The principal investigator may transfer funds within the budget as needed with our approval so long as the obligations of ODURF under the task order and statement of work remain unchanged and unimpaired. During the years ended December 31, 2021, 2020, and 2019, we incurred costs relating to the SRA equal to $0.3 million, $0.6 million and $0.9 million, respectively. As of December 31, 2021, there is a $0.3 million balance payable under this research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Controlled Launch</w:t>
      </w:r>
    </w:p>
    <w:p>
      <w:pPr>
        <w:spacing w:after="0" w:line="175"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In February 2021, the Company received 510(k) clearance from the U.S. FDA for its proprietary CellFX System for dermatologic procedures requiring ablation and resurfacing of the skin. In January 2021, the Company received CE marking approval for the CellFX System, which allows for marketing of the system in the EU for treatment of general dermatologic conditions, including SH, SK, and cutaneous non-genital warts. Additionally, in June 2021 the Company received Health Canada approval for the CellFX System, which allows for marketing of the system in Canada for use in dermatological procedures requiring ablation and resurfacing of the skin for the reduction, removal, and/or clearance of cellular-based benign lesions. In February 2021, the Company commenced a controlled launch of the CellFX System in the United States and European Union via its CellFX Expectations Excelled Program (the “Controlled Launch”). Subsequent to receiving Health Canada approval in June 2021, the Company also commenced a its Controlled Launch in Canada.</w:t>
      </w:r>
    </w:p>
    <w:p>
      <w:pPr>
        <w:spacing w:after="0" w:line="149"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7"/>
          <w:szCs w:val="17"/>
          <w:color w:val="auto"/>
        </w:rPr>
        <w:t>As part of the Controlled Launch, the Company selected 70 physicians and their practices to be the first physician consultants to launch the CellFX System and the associated CellFX commercial procedures into their respective markets and geographies. According to the Controlled Launch program, the Company provides and sets up a CellFX System at each physician site and provides the physician with the necessary related products and components, free of charge, to complete the requirements of the Controlled Launch. Each CellFX System and any unused component products remain the property of the Company throughout the Controlled Launch. Each physician identifies and recruits up to 40 or 50 patients, depending on the contract, for participation in the Controlled Launch, performing a CellFX procedure on each of the appropriately selected patients. Under the Controlled Launch, the physician and their patients complete evaluation surveys about their experiences with the CellFX System and provide other information helpful to the Company. Upon completion of the procedures and the survey feedback, the physician earns either credits which can be used towards the future purchase of the CellFX System or, in some jurisdictions, fair payment for their time and effort completing the paperwork required under the Controlled Launch program. Credits earned and, if applicable, any other payments earned are limited to a maximum amount dependent on the number of surveys received by the Company. Upon completion of the Controlled Launch, each physician may choose to either enter into a purchase agreement with the Company, under which the physician may use the credits earned (or other payments earned, as applicable) towards the purchase of the already-delivered CellFX System, or the physician must return the CellFX System to the Company.</w:t>
      </w:r>
    </w:p>
    <w:p>
      <w:pPr>
        <w:spacing w:after="0" w:line="158"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As patient procedures and surveys are completed under the Controlled Launch, the Company accrues the value of the credits earned, which are recorded in accrued expenses on the balance sheet, with a corresponding charge to sales and marketing expense. During year ended December 31, 2021, the Company recorded $1.8 million of sales and marketing expense in relation to the Controlled Launch.</w:t>
      </w:r>
    </w:p>
    <w:p>
      <w:pPr>
        <w:spacing w:after="0" w:line="148"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During the year ended December 31, 2021, certain consultants completed the Controlled Launch and entered into purchase agreements with the Company, whereby they used their credits or other earned payments towards the purchase of a CellFX System. Accordingly, approximately $1.1 million of the accrued liability related to the Controlled Launch was relieved and recognized as revenue on a non-cash basis as a result of the purchase. See Note 9 for additional detail of revenue transactions.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175"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This consideration may include non-cash services performed, as is the case with revenue recognized in connection with the Controlled Launch. Total revenue recognized for the year ended December 31, 2021 was $1.4 million, of which approximately $1.1 million was driven by the redemption of non-cash credits earned as part of the Controlled Launch, with the balance of approximately $0.3 million driven by cash purchases of cycle units (“CUs”) and the first two CellFX commercial consoles sold.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contracts often involve the sale and delivery of multiple performance obligations in the contract.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Systems consist of the CellFX console and its embedded software, handpieces, and disposable tips. The console is a physical piece of hardware used by the customer to perform patient procedures. Individually the console and software are not distinct, therefore the Company combines the console and embedded software to form one distinct system performance obligation. Payment for systems is generally due prior to shipment, and the system performance obligation is satisfied upon shipment of the system to the customer.</w:t>
      </w:r>
    </w:p>
    <w:p>
      <w:pPr>
        <w:spacing w:after="0" w:line="135"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Handpieces are attached to the console and used in conjunction with tips to perform patient procedures. Generally, upon initial sale of a system to a customer, the Company will include two handpieces. The handpiece has a shorter expected useful life than the console, and a customer can purchase additional handpieces when needed, as they are available for sale on a stand-alone basis. Payment for handpieces is generally due prior to shipment, and handpieces represent a distinct performance obligation which is satisfied either upon shipment, or upon delivery of the handpiece to the customer, depending on the specific contract.</w:t>
      </w:r>
    </w:p>
    <w:p>
      <w:pPr>
        <w:spacing w:after="0" w:line="137"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7"/>
          <w:szCs w:val="17"/>
          <w:color w:val="auto"/>
        </w:rPr>
        <w:t>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are available for sale on a stand-alone basis and payment is generally due prior to shipment. Tips represent a distinct performance obligation which is satisfied either upon shipment, or upon delivery of the tips to the customer, depending on the specific contract.</w:t>
      </w:r>
    </w:p>
    <w:p>
      <w:pPr>
        <w:spacing w:after="0" w:line="144" w:lineRule="exact"/>
        <w:rPr>
          <w:sz w:val="20"/>
          <w:szCs w:val="20"/>
          <w:color w:val="auto"/>
        </w:rPr>
      </w:pPr>
    </w:p>
    <w:p>
      <w:pPr>
        <w:jc w:val="both"/>
        <w:ind w:firstLine="440"/>
        <w:spacing w:after="0"/>
        <w:rPr>
          <w:sz w:val="20"/>
          <w:szCs w:val="20"/>
          <w:color w:val="auto"/>
        </w:rPr>
      </w:pPr>
      <w:r>
        <w:rPr>
          <w:rFonts w:ascii="Arial" w:cs="Arial" w:eastAsia="Arial" w:hAnsi="Arial"/>
          <w:sz w:val="17"/>
          <w:szCs w:val="17"/>
          <w:color w:val="auto"/>
        </w:rPr>
        <w:t>CUs are credits that authorize the customer to perform a procedure, or cycle. Each procedure requires a specific number of CUs, dependent upon type of tip used and procedure level selected. As the procedure is performed, the applicable number of CUs are decremented. When the customer’s balance of CUs on a specific system is depleted, the system will no longer function until the customer purchases additional CUs. Customers can purchase additional CUs via the Company’s CellFX Marketplace which is an online marketplace accessible directly from the CellFX System. Payment for CUs is due upon order placement and the CUs are immediately available for download to the console via CellFX CloudConnect. CUs represent a distinct performance obligation which is satisfied upon delivery of the CUs to CellFX CloudConnect.</w:t>
      </w:r>
    </w:p>
    <w:p>
      <w:pPr>
        <w:spacing w:after="0" w:line="137"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Shipping and handling activities are not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Price</w:t>
      </w:r>
    </w:p>
    <w:p>
      <w:pPr>
        <w:spacing w:after="0" w:line="171"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no impact to revenue recognition timing, and the Company has determined allocations are not necessary. Should the customer purchase additional CUs, handpieces, or tips at a later time, those purchases will be made under separate purchase agreements, generally containing only one performance obligation each, therefore no price allocation is necessary in that scenario either.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Company evaluates the possible impact of variable consideration in determining the transaction price, in particular the possibility of future returns or credits.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Controlled Launch Agreements</w:t>
      </w:r>
    </w:p>
    <w:p>
      <w:pPr>
        <w:spacing w:after="0" w:line="158"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In August 2021 the Company began to recognize revenue in relation to the conversion of Controlled Launch Program participants into sales agreements (Note 8).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upon delivery of the CUs to CellFX CloudConnect.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175" w:lineRule="exact"/>
        <w:rPr>
          <w:sz w:val="20"/>
          <w:szCs w:val="20"/>
          <w:color w:val="auto"/>
        </w:rPr>
      </w:pPr>
    </w:p>
    <w:p>
      <w:pPr>
        <w:jc w:val="both"/>
        <w:ind w:firstLine="440"/>
        <w:spacing w:after="0" w:line="231" w:lineRule="auto"/>
        <w:rPr>
          <w:sz w:val="20"/>
          <w:szCs w:val="20"/>
          <w:color w:val="auto"/>
        </w:rPr>
      </w:pPr>
      <w:r>
        <w:rPr>
          <w:rFonts w:ascii="Arial" w:cs="Arial" w:eastAsia="Arial" w:hAnsi="Arial"/>
          <w:sz w:val="18"/>
          <w:szCs w:val="18"/>
          <w:color w:val="auto"/>
        </w:rPr>
        <w:t>The Company operates and manages the business as one reportable and operating segment. The Company’s Chief Executive Officer and Chief Financial Officer act as the chief operating decision makers (“CODM”) of the Company. The CODM reviews the results of the Company on a consolidated basis, however in making certain operating decisions and assessing performance, the CODM will additionally review the disaggregated revenue results by product and geography. All of the Company’s long-lived assets are based in the United States.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by product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Systems</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1,189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Arial" w:cs="Arial" w:eastAsia="Arial" w:hAnsi="Arial"/>
                <w:sz w:val="18"/>
                <w:szCs w:val="18"/>
                <w:color w:val="auto"/>
              </w:rPr>
              <w:t>Cycle units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229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340" w:type="dxa"/>
            <w:vAlign w:val="bottom"/>
            <w:tcBorders>
              <w:top w:val="single" w:sz="8" w:color="CCEEFF"/>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consolidated revenue</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gridSpan w:val="2"/>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1,418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98"/>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440"/>
              <w:spacing w:after="0"/>
              <w:rPr>
                <w:sz w:val="20"/>
                <w:szCs w:val="20"/>
                <w:color w:val="auto"/>
              </w:rPr>
            </w:pPr>
            <w:r>
              <w:rPr>
                <w:rFonts w:ascii="Arial" w:cs="Arial" w:eastAsia="Arial" w:hAnsi="Arial"/>
                <w:sz w:val="18"/>
                <w:szCs w:val="18"/>
                <w:color w:val="auto"/>
                <w:w w:val="94"/>
              </w:rPr>
              <w:t>Revenue by geography consisted of the following (in thousands):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right"/>
              <w:ind w:right="7"/>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3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North America</w:t>
            </w:r>
          </w:p>
        </w:tc>
        <w:tc>
          <w:tcPr>
            <w:tcW w:w="3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907"/>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left="10"/>
              <w:spacing w:after="0" w:line="182" w:lineRule="exact"/>
              <w:rPr>
                <w:sz w:val="20"/>
                <w:szCs w:val="20"/>
                <w:color w:val="auto"/>
              </w:rPr>
            </w:pPr>
            <w:r>
              <w:rPr>
                <w:rFonts w:ascii="Arial" w:cs="Arial" w:eastAsia="Arial" w:hAnsi="Arial"/>
                <w:sz w:val="18"/>
                <w:szCs w:val="18"/>
                <w:color w:val="auto"/>
                <w:w w:val="88"/>
              </w:rPr>
              <w:t>1,182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38"/>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236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340" w:type="dxa"/>
            <w:vAlign w:val="bottom"/>
            <w:tcBorders>
              <w:top w:val="single" w:sz="8" w:color="CCEEFF"/>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consolidated revenue</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gridSpan w:val="3"/>
            <w:shd w:val="clear" w:color="auto" w:fill="CCEEFF"/>
          </w:tcPr>
          <w:p>
            <w:pPr>
              <w:jc w:val="right"/>
              <w:ind w:right="907"/>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center"/>
              <w:ind w:left="10"/>
              <w:spacing w:after="0" w:line="182" w:lineRule="exact"/>
              <w:rPr>
                <w:sz w:val="20"/>
                <w:szCs w:val="20"/>
                <w:color w:val="auto"/>
              </w:rPr>
            </w:pPr>
            <w:r>
              <w:rPr>
                <w:rFonts w:ascii="Arial" w:cs="Arial" w:eastAsia="Arial" w:hAnsi="Arial"/>
                <w:sz w:val="18"/>
                <w:szCs w:val="18"/>
                <w:color w:val="auto"/>
                <w:w w:val="88"/>
              </w:rPr>
              <w:t>1,418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gridSpan w:val="2"/>
            <w:shd w:val="clear" w:color="auto" w:fill="CCEEFF"/>
          </w:tcPr>
          <w:p>
            <w:pPr>
              <w:jc w:val="right"/>
              <w:ind w:right="238"/>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gridSpan w:val="2"/>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40" w:type="dxa"/>
            <w:vAlign w:val="bottom"/>
          </w:tcPr>
          <w:p>
            <w:pPr>
              <w:ind w:left="440"/>
              <w:spacing w:after="0"/>
              <w:rPr>
                <w:sz w:val="20"/>
                <w:szCs w:val="20"/>
                <w:color w:val="auto"/>
              </w:rPr>
            </w:pPr>
            <w:r>
              <w:rPr>
                <w:rFonts w:ascii="Arial" w:cs="Arial" w:eastAsia="Arial" w:hAnsi="Arial"/>
                <w:sz w:val="18"/>
                <w:szCs w:val="18"/>
                <w:color w:val="auto"/>
              </w:rPr>
              <w:t>Income (loss) before income taxes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gridSpan w:val="3"/>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Domestic</w:t>
            </w:r>
          </w:p>
        </w:tc>
        <w:tc>
          <w:tcPr>
            <w:tcW w:w="400" w:type="dxa"/>
            <w:vAlign w:val="bottom"/>
            <w:gridSpan w:val="3"/>
            <w:shd w:val="clear" w:color="auto" w:fill="CCEEFF"/>
          </w:tcPr>
          <w:p>
            <w:pPr>
              <w:spacing w:after="0"/>
              <w:rPr>
                <w:sz w:val="15"/>
                <w:szCs w:val="15"/>
                <w:color w:val="auto"/>
              </w:rPr>
            </w:pPr>
          </w:p>
        </w:tc>
        <w:tc>
          <w:tcPr>
            <w:tcW w:w="1040" w:type="dxa"/>
            <w:vAlign w:val="bottom"/>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(63,660)</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rPr>
                <w:sz w:val="15"/>
                <w:szCs w:val="15"/>
                <w:color w:val="auto"/>
              </w:rPr>
            </w:pPr>
          </w:p>
        </w:tc>
        <w:tc>
          <w:tcPr>
            <w:tcW w:w="380" w:type="dxa"/>
            <w:vAlign w:val="bottom"/>
            <w:shd w:val="clear" w:color="auto" w:fill="CCEEFF"/>
          </w:tcPr>
          <w:p>
            <w:pPr>
              <w:jc w:val="right"/>
              <w:ind w:right="198"/>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rPr>
              <w:t>(49,851)</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(46,971)</w:t>
            </w: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gridSpan w:val="3"/>
          </w:tcPr>
          <w:p>
            <w:pPr>
              <w:ind w:left="42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3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(63,660)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98"/>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rPr>
              <w:t>(49,851)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(46,971)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340" w:type="dxa"/>
            <w:vAlign w:val="bottom"/>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provision for income taxes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Current</w:t>
            </w:r>
          </w:p>
        </w:tc>
        <w:tc>
          <w:tcPr>
            <w:tcW w:w="122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Federal</w:t>
            </w:r>
          </w:p>
        </w:tc>
        <w:tc>
          <w:tcPr>
            <w:tcW w:w="1220" w:type="dxa"/>
            <w:vAlign w:val="bottom"/>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99"/>
              <w:spacing w:after="0" w:line="189"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7"/>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8"/>
                <w:szCs w:val="18"/>
                <w:color w:val="auto"/>
              </w:rPr>
              <w:t>State</w:t>
            </w:r>
          </w:p>
        </w:tc>
        <w:tc>
          <w:tcPr>
            <w:tcW w:w="122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w:t>
            </w:r>
          </w:p>
        </w:tc>
        <w:tc>
          <w:tcPr>
            <w:tcW w:w="1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740" w:type="dxa"/>
            <w:vAlign w:val="bottom"/>
          </w:tcPr>
          <w:p>
            <w:pPr>
              <w:spacing w:after="0"/>
              <w:rPr>
                <w:sz w:val="20"/>
                <w:szCs w:val="20"/>
                <w:color w:val="auto"/>
              </w:rPr>
            </w:pPr>
            <w:r>
              <w:rPr>
                <w:rFonts w:ascii="Arial" w:cs="Arial" w:eastAsia="Arial" w:hAnsi="Arial"/>
                <w:sz w:val="18"/>
                <w:szCs w:val="18"/>
                <w:color w:val="auto"/>
              </w:rPr>
              <w:t>Total current</w:t>
            </w:r>
          </w:p>
        </w:tc>
        <w:tc>
          <w:tcPr>
            <w:tcW w:w="1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7"/>
        </w:trPr>
        <w:tc>
          <w:tcPr>
            <w:tcW w:w="574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Federal</w:t>
            </w:r>
          </w:p>
        </w:tc>
        <w:tc>
          <w:tcPr>
            <w:tcW w:w="1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8"/>
                <w:szCs w:val="18"/>
                <w:color w:val="auto"/>
              </w:rPr>
              <w:t>State</w:t>
            </w:r>
          </w:p>
        </w:tc>
        <w:tc>
          <w:tcPr>
            <w:tcW w:w="1220" w:type="dxa"/>
            <w:vAlign w:val="bottom"/>
          </w:tcPr>
          <w:p>
            <w:pPr>
              <w:spacing w:after="0"/>
              <w:rPr>
                <w:sz w:val="16"/>
                <w:szCs w:val="16"/>
                <w:color w:val="auto"/>
              </w:rPr>
            </w:pPr>
          </w:p>
        </w:tc>
        <w:tc>
          <w:tcPr>
            <w:tcW w:w="6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w:t>
            </w:r>
          </w:p>
        </w:tc>
        <w:tc>
          <w:tcPr>
            <w:tcW w:w="1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740" w:type="dxa"/>
            <w:vAlign w:val="bottom"/>
          </w:tcPr>
          <w:p>
            <w:pPr>
              <w:spacing w:after="0"/>
              <w:rPr>
                <w:sz w:val="20"/>
                <w:szCs w:val="20"/>
                <w:color w:val="auto"/>
              </w:rPr>
            </w:pPr>
            <w:r>
              <w:rPr>
                <w:rFonts w:ascii="Arial" w:cs="Arial" w:eastAsia="Arial" w:hAnsi="Arial"/>
                <w:sz w:val="18"/>
                <w:szCs w:val="18"/>
                <w:color w:val="auto"/>
              </w:rPr>
              <w:t>Total deferred</w:t>
            </w:r>
          </w:p>
        </w:tc>
        <w:tc>
          <w:tcPr>
            <w:tcW w:w="1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57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provision for income taxes</w:t>
            </w:r>
          </w:p>
        </w:tc>
        <w:tc>
          <w:tcPr>
            <w:tcW w:w="1220" w:type="dxa"/>
            <w:vAlign w:val="bottom"/>
            <w:tcBorders>
              <w:bottom w:val="single" w:sz="8" w:color="auto"/>
            </w:tcBorders>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99"/>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40"/>
        <w:spacing w:after="0" w:line="243" w:lineRule="auto"/>
        <w:rPr>
          <w:sz w:val="20"/>
          <w:szCs w:val="20"/>
          <w:color w:val="auto"/>
        </w:rPr>
      </w:pPr>
      <w:r>
        <w:rPr>
          <w:rFonts w:ascii="Arial" w:cs="Arial" w:eastAsia="Arial" w:hAnsi="Arial"/>
          <w:sz w:val="18"/>
          <w:szCs w:val="18"/>
          <w:color w:val="auto"/>
        </w:rPr>
        <w:t>The provision for income taxes differs from the amount estimated by applying the statutory federal income tax rate to income (loss) before taxes as follows:</w:t>
      </w:r>
    </w:p>
    <w:p>
      <w:pPr>
        <w:ind w:left="7640"/>
        <w:spacing w:after="0"/>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4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r>
      <w:tr>
        <w:trPr>
          <w:trHeight w:val="183"/>
        </w:trPr>
        <w:tc>
          <w:tcPr>
            <w:tcW w:w="5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Federal tax at statutory rate</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r>
      <w:tr>
        <w:trPr>
          <w:trHeight w:val="189"/>
        </w:trPr>
        <w:tc>
          <w:tcPr>
            <w:tcW w:w="6720" w:type="dxa"/>
            <w:vAlign w:val="bottom"/>
            <w:gridSpan w:val="2"/>
          </w:tcPr>
          <w:p>
            <w:pPr>
              <w:spacing w:after="0" w:line="189" w:lineRule="exact"/>
              <w:rPr>
                <w:sz w:val="20"/>
                <w:szCs w:val="20"/>
                <w:color w:val="auto"/>
              </w:rPr>
            </w:pPr>
            <w:r>
              <w:rPr>
                <w:rFonts w:ascii="Arial" w:cs="Arial" w:eastAsia="Arial" w:hAnsi="Arial"/>
                <w:sz w:val="18"/>
                <w:szCs w:val="18"/>
                <w:color w:val="auto"/>
              </w:rPr>
              <w:t>State tax (benefit) at statutory rate</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8.4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8.4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(5.0)</w:t>
            </w:r>
          </w:p>
        </w:tc>
        <w:tc>
          <w:tcPr>
            <w:tcW w:w="16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 and development credits</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6"/>
                <w:szCs w:val="16"/>
                <w:color w:val="auto"/>
              </w:rPr>
            </w:pPr>
          </w:p>
        </w:tc>
      </w:tr>
      <w:tr>
        <w:trPr>
          <w:trHeight w:val="189"/>
        </w:trPr>
        <w:tc>
          <w:tcPr>
            <w:tcW w:w="6720" w:type="dxa"/>
            <w:vAlign w:val="bottom"/>
            <w:gridSpan w:val="2"/>
          </w:tcPr>
          <w:p>
            <w:pPr>
              <w:spacing w:after="0" w:line="189" w:lineRule="exact"/>
              <w:rPr>
                <w:sz w:val="20"/>
                <w:szCs w:val="20"/>
                <w:color w:val="auto"/>
              </w:rPr>
            </w:pPr>
            <w:r>
              <w:rPr>
                <w:rFonts w:ascii="Arial" w:cs="Arial" w:eastAsia="Arial" w:hAnsi="Arial"/>
                <w:sz w:val="18"/>
                <w:szCs w:val="18"/>
                <w:color w:val="auto"/>
              </w:rPr>
              <w:t>Change in valuation allowance</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(26.8)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(43.3)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(18.0)</w:t>
            </w:r>
          </w:p>
        </w:tc>
        <w:tc>
          <w:tcPr>
            <w:tcW w:w="16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adjustment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r>
      <w:tr>
        <w:trPr>
          <w:trHeight w:val="189"/>
        </w:trPr>
        <w:tc>
          <w:tcPr>
            <w:tcW w:w="6720" w:type="dxa"/>
            <w:vAlign w:val="bottom"/>
            <w:gridSpan w:val="2"/>
          </w:tcPr>
          <w:p>
            <w:pPr>
              <w:spacing w:after="0" w:line="189" w:lineRule="exact"/>
              <w:rPr>
                <w:sz w:val="20"/>
                <w:szCs w:val="20"/>
                <w:color w:val="auto"/>
              </w:rPr>
            </w:pPr>
            <w:r>
              <w:rPr>
                <w:rFonts w:ascii="Arial" w:cs="Arial" w:eastAsia="Arial" w:hAnsi="Arial"/>
                <w:sz w:val="18"/>
                <w:szCs w:val="18"/>
                <w:color w:val="auto"/>
              </w:rPr>
              <w:t>Change in tax rate</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r>
      <w:tr>
        <w:trPr>
          <w:trHeight w:val="189"/>
        </w:trPr>
        <w:tc>
          <w:tcPr>
            <w:tcW w:w="6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Uncertain Tax Position</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r>
      <w:tr>
        <w:trPr>
          <w:trHeight w:val="189"/>
        </w:trPr>
        <w:tc>
          <w:tcPr>
            <w:tcW w:w="6720" w:type="dxa"/>
            <w:vAlign w:val="bottom"/>
            <w:gridSpan w:val="2"/>
          </w:tcPr>
          <w:p>
            <w:pPr>
              <w:spacing w:after="0" w:line="189" w:lineRule="exact"/>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(0.8)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r>
      <w:tr>
        <w:trPr>
          <w:trHeight w:val="183"/>
        </w:trPr>
        <w:tc>
          <w:tcPr>
            <w:tcW w:w="56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Provision for income taxes</w:t>
            </w: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74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 %</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74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 %</w:t>
            </w:r>
          </w:p>
        </w:tc>
      </w:tr>
      <w:tr>
        <w:trPr>
          <w:trHeight w:val="20"/>
        </w:trPr>
        <w:tc>
          <w:tcPr>
            <w:tcW w:w="5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Note that for presentation purposes, the 2019 percentages have been changed to present the opposite value from what was previously disclosed to allow for proper comparability to current year percentages.</w:t>
      </w:r>
    </w:p>
    <w:p>
      <w:pPr>
        <w:spacing w:after="0" w:line="14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Deferred income taxes reflect the impact of carryforwards and temporary differences between the amounts of assets and liabilities for financial reporting purposes and such amounts as measured by tax laws. The carryforwards and temporary differences, which give rise to a significant portion of the Company’s deferred tax asset (liability) as of December 31, 2021 and 2020, are as follows (in thousands):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28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300" w:type="dxa"/>
            <w:vAlign w:val="bottom"/>
            <w:vMerge w:val="continue"/>
          </w:tcPr>
          <w:p>
            <w:pPr>
              <w:spacing w:after="0"/>
              <w:rPr>
                <w:sz w:val="14"/>
                <w:szCs w:val="14"/>
                <w:color w:val="auto"/>
              </w:rPr>
            </w:pPr>
          </w:p>
        </w:tc>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Accruals</w:t>
            </w:r>
          </w:p>
        </w:tc>
        <w:tc>
          <w:tcPr>
            <w:tcW w:w="31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1,034</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Net operating loss carryforwards</w:t>
            </w:r>
          </w:p>
        </w:tc>
        <w:tc>
          <w:tcPr>
            <w:tcW w:w="2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49,246</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36,531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Tax credit carryforwards</w:t>
            </w:r>
          </w:p>
        </w:tc>
        <w:tc>
          <w:tcPr>
            <w:tcW w:w="2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6,611</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Stock-based compensation</w:t>
            </w:r>
          </w:p>
        </w:tc>
        <w:tc>
          <w:tcPr>
            <w:tcW w:w="2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12,188</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9,391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Lease liability under ASC 842</w:t>
            </w:r>
          </w:p>
        </w:tc>
        <w:tc>
          <w:tcPr>
            <w:tcW w:w="28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3,182</w:t>
            </w:r>
          </w:p>
        </w:tc>
        <w:tc>
          <w:tcPr>
            <w:tcW w:w="1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Pr>
          <w:p>
            <w:pPr>
              <w:spacing w:after="0" w:line="182" w:lineRule="exact"/>
              <w:rPr>
                <w:sz w:val="20"/>
                <w:szCs w:val="20"/>
                <w:color w:val="auto"/>
              </w:rPr>
            </w:pPr>
            <w:r>
              <w:rPr>
                <w:rFonts w:ascii="Arial" w:cs="Arial" w:eastAsia="Arial" w:hAnsi="Arial"/>
                <w:sz w:val="18"/>
                <w:szCs w:val="18"/>
                <w:color w:val="auto"/>
              </w:rPr>
              <w:t>Gross deferred tax assets</w:t>
            </w:r>
          </w:p>
        </w:tc>
        <w:tc>
          <w:tcPr>
            <w:tcW w:w="2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72,261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55,586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Valuation allowance</w:t>
            </w:r>
          </w:p>
        </w:tc>
        <w:tc>
          <w:tcPr>
            <w:tcW w:w="2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(69,006)</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(51,973)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53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Intangibles</w:t>
            </w:r>
          </w:p>
        </w:tc>
        <w:tc>
          <w:tcPr>
            <w:tcW w:w="2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(365)</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ROU asset under ASC 842</w:t>
            </w:r>
          </w:p>
        </w:tc>
        <w:tc>
          <w:tcPr>
            <w:tcW w:w="2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(2,862)</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(3,096)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Fixed assets</w:t>
            </w:r>
          </w:p>
        </w:tc>
        <w:tc>
          <w:tcPr>
            <w:tcW w:w="2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Pr>
          <w:p>
            <w:pPr>
              <w:spacing w:after="0" w:line="182" w:lineRule="exact"/>
              <w:rPr>
                <w:sz w:val="20"/>
                <w:szCs w:val="20"/>
                <w:color w:val="auto"/>
              </w:rPr>
            </w:pPr>
            <w:r>
              <w:rPr>
                <w:rFonts w:ascii="Arial" w:cs="Arial" w:eastAsia="Arial" w:hAnsi="Arial"/>
                <w:sz w:val="18"/>
                <w:szCs w:val="18"/>
                <w:color w:val="auto"/>
              </w:rPr>
              <w:t>Total deferred tax liabilities</w:t>
            </w:r>
          </w:p>
        </w:tc>
        <w:tc>
          <w:tcPr>
            <w:tcW w:w="28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(3,255)</w:t>
            </w:r>
          </w:p>
        </w:tc>
        <w:tc>
          <w:tcPr>
            <w:tcW w:w="1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(3,613)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Net deferred tax assets/(liabilities)</w:t>
            </w:r>
          </w:p>
        </w:tc>
        <w:tc>
          <w:tcPr>
            <w:tcW w:w="31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Company’s unrecognized tax benefits as of December 31, 2021, 2020, and 2019 were $5.1 million, $2.5 million, and $1.5 million, respectively. If recognized, none of the unrecognized tax benefits would impact income tax expense to the extent that the Company continues to maintain a full valuation allowance against its deferred tax assets.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amounts of unrecognized tax benefit is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2019</w:t>
            </w:r>
          </w:p>
        </w:tc>
      </w:tr>
      <w:tr>
        <w:trPr>
          <w:trHeight w:val="183"/>
        </w:trPr>
        <w:tc>
          <w:tcPr>
            <w:tcW w:w="7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Unrecognized tax benefits at beginning of year</w:t>
            </w:r>
          </w:p>
        </w:tc>
        <w:tc>
          <w:tcPr>
            <w:tcW w:w="800" w:type="dxa"/>
            <w:vAlign w:val="bottom"/>
            <w:shd w:val="clear" w:color="auto" w:fill="CCEEFF"/>
          </w:tcPr>
          <w:p>
            <w:pPr>
              <w:jc w:val="right"/>
              <w:ind w:right="616"/>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2,491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877</w:t>
            </w:r>
          </w:p>
        </w:tc>
      </w:tr>
      <w:tr>
        <w:trPr>
          <w:trHeight w:val="189"/>
        </w:trPr>
        <w:tc>
          <w:tcPr>
            <w:tcW w:w="71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Increases related to current year tax positions</w:t>
            </w: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88"/>
              </w:rPr>
              <w:t>2,649</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1,021</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593</w:t>
            </w:r>
          </w:p>
        </w:tc>
      </w:tr>
      <w:tr>
        <w:trPr>
          <w:trHeight w:val="183"/>
        </w:trPr>
        <w:tc>
          <w:tcPr>
            <w:tcW w:w="71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Unrecognized tax benefits at end of year</w:t>
            </w:r>
          </w:p>
        </w:tc>
        <w:tc>
          <w:tcPr>
            <w:tcW w:w="800" w:type="dxa"/>
            <w:vAlign w:val="bottom"/>
            <w:tcBorders>
              <w:bottom w:val="single" w:sz="8" w:color="auto"/>
            </w:tcBorders>
            <w:shd w:val="clear" w:color="auto" w:fill="CCEEFF"/>
          </w:tcPr>
          <w:p>
            <w:pPr>
              <w:jc w:val="right"/>
              <w:ind w:right="616"/>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5,140</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2,491</w:t>
            </w: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1,470</w:t>
            </w:r>
          </w:p>
        </w:tc>
      </w:tr>
      <w:tr>
        <w:trPr>
          <w:trHeight w:val="20"/>
        </w:trPr>
        <w:tc>
          <w:tcPr>
            <w:tcW w:w="7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Company’s policy is to recognize interest and penalties related to income taxes as components of interest expense and other expense, respectively. The Company did not accrue interest and penalties related to unrecognized tax benefits as of December 31, 2021 and does not anticipate any significant change within twelve months of this reporting date.</w:t>
      </w:r>
    </w:p>
    <w:p>
      <w:pPr>
        <w:spacing w:after="0" w:line="148"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Company’s valuation allowance increased by $17.0 million in the year ended December 31, 2021 and increased by $21.6 million in the year ended December 31, 2020.</w:t>
      </w:r>
    </w:p>
    <w:p>
      <w:pPr>
        <w:spacing w:after="0" w:line="143"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As of December 31, 2021, the Company had federal and state net operating loss (“NOL”) carryforwards of $173.7 million and $163.4 million, respectively, which begin to expire in 2034. Of the total federal NOL carryforward of $173.7 million, approximately $148.0 million is carried forward indefinitely but is limited to 80% of the taxable income.</w:t>
      </w:r>
    </w:p>
    <w:p>
      <w:pPr>
        <w:spacing w:after="0" w:line="148" w:lineRule="exact"/>
        <w:rPr>
          <w:sz w:val="20"/>
          <w:szCs w:val="20"/>
          <w:color w:val="auto"/>
        </w:rPr>
      </w:pPr>
    </w:p>
    <w:p>
      <w:pPr>
        <w:jc w:val="both"/>
        <w:ind w:firstLine="440"/>
        <w:spacing w:after="0" w:line="307" w:lineRule="auto"/>
        <w:rPr>
          <w:sz w:val="20"/>
          <w:szCs w:val="20"/>
          <w:color w:val="auto"/>
        </w:rPr>
      </w:pPr>
      <w:r>
        <w:rPr>
          <w:rFonts w:ascii="Arial" w:cs="Arial" w:eastAsia="Arial" w:hAnsi="Arial"/>
          <w:sz w:val="16"/>
          <w:szCs w:val="16"/>
          <w:color w:val="auto"/>
        </w:rPr>
        <w:t>As of December 31, 2021, the Company had approximately $5.3 million and $5.0 million of U.S. federal and California research and development (“R&amp;D”) credits, respectively. The federal R&amp;D credits begin to expire in 2035 and the California R&amp;D credits have an indefinite carryforward period.</w:t>
      </w:r>
    </w:p>
    <w:p>
      <w:pPr>
        <w:spacing w:after="0" w:line="96" w:lineRule="exact"/>
        <w:rPr>
          <w:sz w:val="20"/>
          <w:szCs w:val="20"/>
          <w:color w:val="auto"/>
        </w:rPr>
      </w:pPr>
    </w:p>
    <w:p>
      <w:pPr>
        <w:jc w:val="both"/>
        <w:ind w:firstLine="440"/>
        <w:spacing w:after="0" w:line="235" w:lineRule="auto"/>
        <w:rPr>
          <w:sz w:val="20"/>
          <w:szCs w:val="20"/>
          <w:color w:val="auto"/>
        </w:rPr>
      </w:pPr>
      <w:r>
        <w:rPr>
          <w:rFonts w:ascii="Arial" w:cs="Arial" w:eastAsia="Arial" w:hAnsi="Arial"/>
          <w:sz w:val="18"/>
          <w:szCs w:val="18"/>
          <w:color w:val="auto"/>
        </w:rPr>
        <w:t>The Company is subject to taxation in the United States for Federal and for State, within various states in which the Company operates. All jurisdictions and tax years currently remain open for IRS and state taxing authorities’ examination. As of December 31, 2021, the Company was not under examination by the Internal Revenue Service or any state tax jurisdiction.</w:t>
      </w:r>
    </w:p>
    <w:p>
      <w:pPr>
        <w:spacing w:after="0" w:line="161" w:lineRule="exact"/>
        <w:rPr>
          <w:sz w:val="20"/>
          <w:szCs w:val="20"/>
          <w:color w:val="auto"/>
        </w:rPr>
      </w:pPr>
    </w:p>
    <w:p>
      <w:pPr>
        <w:jc w:val="both"/>
        <w:ind w:firstLine="440"/>
        <w:spacing w:after="0" w:line="276" w:lineRule="auto"/>
        <w:rPr>
          <w:sz w:val="20"/>
          <w:szCs w:val="20"/>
          <w:color w:val="auto"/>
        </w:rPr>
      </w:pPr>
      <w:r>
        <w:rPr>
          <w:rFonts w:ascii="Arial" w:cs="Arial" w:eastAsia="Arial" w:hAnsi="Arial"/>
          <w:sz w:val="16"/>
          <w:szCs w:val="16"/>
          <w:color w:val="auto"/>
        </w:rPr>
        <w:t>Internal Revenue Code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The Company is not aware of any ownership changes in this financial period ending on December 31, 2021.</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62"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7"/>
          <w:szCs w:val="17"/>
          <w:color w:val="auto"/>
        </w:rPr>
        <w:t>Kenneth A. Clark, a director of the Company from November 2017 to October 2021, is a member of the law firm of Wilson Sonsini Goodrich and Rosati (“WSGR”), which also served as the outside corporate counsel to the Company until November 18, 2021. During the years ended December 31, 2021, 2020 and 2019, the Company incurred expenses reported in general and administrative expenses in the consolidated statement of operations for legal services rendered by WSGR totaling approximately $0.6 million, $0.8 million and $0.5 million, respectively. During the year ended December 31, 2021, the Company capitalized approximately $0.2 million for legal expenses incurred in connection with the Sales Agreement. During the year ended December 31, 2020, the Company capitalized approximately $0.4 million for legal expenses incurred in connection with the 2020 rights offering. In October 2021, Mr. Clark resigned from the Company’s Board of Directors, and in November 2021, the Board terminated the engagement of WSGR and appointed Baker &amp; Hostetler LLP as the Company’s outside corporate counsel.</w:t>
      </w:r>
    </w:p>
    <w:p>
      <w:pPr>
        <w:spacing w:after="0" w:line="150" w:lineRule="exact"/>
        <w:rPr>
          <w:sz w:val="20"/>
          <w:szCs w:val="20"/>
          <w:color w:val="auto"/>
        </w:rPr>
      </w:pPr>
    </w:p>
    <w:p>
      <w:pPr>
        <w:jc w:val="both"/>
        <w:ind w:firstLine="440"/>
        <w:spacing w:after="0" w:line="225" w:lineRule="auto"/>
        <w:rPr>
          <w:sz w:val="20"/>
          <w:szCs w:val="20"/>
          <w:color w:val="auto"/>
        </w:rPr>
      </w:pPr>
      <w:r>
        <w:rPr>
          <w:rFonts w:ascii="Arial" w:cs="Arial" w:eastAsia="Arial" w:hAnsi="Arial"/>
          <w:sz w:val="18"/>
          <w:szCs w:val="18"/>
          <w:color w:val="auto"/>
        </w:rPr>
        <w:t>In May 2020, the Company determined not to renew its director and officer liability insurance policies due to disproportionately high premiums quoted by insurance companies. Instead, Robert W. Duggan, majority stockholder and Board Chairman, and the Company entered into a letter agreement, dated May 12, 2020 (the “Letter Agreement”), pursuant to which Mr. Duggan agreed with the Company to personally provide indemnity coverage on substantially the same terms as the Company’s prior coverage program for a one-year period, and has deposited security for such obligations. On May 13, 2021, in accordance with terms of the Letter Agreement, the Company paid Mr. Duggan the amount of $2.5 million. The Company did not enter into a new Letter Agreement with Mr. Duggan for the subsequent policy period, and in May 2021 secured its director and officer liability insurance through third-party insurance carriers.</w:t>
      </w:r>
    </w:p>
    <w:p>
      <w:pPr>
        <w:spacing w:after="0" w:line="154"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In June 2020, the Company completed the Rights Offering (Note 6). Mr. Duggan participated in the Rights Offering and purchased an aggregate of 2,561,873 Units.</w:t>
      </w:r>
    </w:p>
    <w:p>
      <w:pPr>
        <w:spacing w:after="0" w:line="14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On March 11, 2021, the Company and Mr. Duggan entered into a Loan Agreement in connection with Mr. Duggan lending the principal sum of $41.0 million to the Company (Note 13).</w:t>
      </w:r>
    </w:p>
    <w:p>
      <w:pPr>
        <w:spacing w:after="0" w:line="129"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On June 30, 2021, the Company and Mr. Duggan entered into a Securities Purchase Agreement (Note 6), pursuant to which the Company issued and sold to Mr. Duggan 3,048,780 shares of the Company’s common stock, par value $0.001 per share, in a Private Placement, at a price per share of $16.40, for an aggregate investment in the amount of $50.0 million. The shares were paid for through (i) the conversion of the $41 million aggregate principal amount under the Loan Agreement, together with all accrued and unpaid interest outstanding, owed to Mr. Duggan under the Loan Agreement by and between the Company and Mr. Duggan (Note 13),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w:t>
      </w:r>
    </w:p>
    <w:p>
      <w:pPr>
        <w:spacing w:after="0" w:line="145" w:lineRule="exact"/>
        <w:rPr>
          <w:sz w:val="20"/>
          <w:szCs w:val="20"/>
          <w:color w:val="auto"/>
        </w:rPr>
      </w:pPr>
    </w:p>
    <w:p>
      <w:pPr>
        <w:ind w:left="440" w:right="8360" w:hanging="432"/>
        <w:spacing w:after="0" w:line="513" w:lineRule="auto"/>
        <w:tabs>
          <w:tab w:leader="none" w:pos="314"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Loan Agreement</w:t>
      </w:r>
    </w:p>
    <w:p>
      <w:pPr>
        <w:jc w:val="both"/>
        <w:ind w:firstLine="440"/>
        <w:spacing w:after="0" w:line="227" w:lineRule="auto"/>
        <w:rPr>
          <w:sz w:val="20"/>
          <w:szCs w:val="20"/>
          <w:color w:val="auto"/>
        </w:rPr>
      </w:pPr>
      <w:r>
        <w:rPr>
          <w:rFonts w:ascii="Arial" w:cs="Arial" w:eastAsia="Arial" w:hAnsi="Arial"/>
          <w:sz w:val="18"/>
          <w:szCs w:val="18"/>
          <w:color w:val="auto"/>
        </w:rPr>
        <w:t>On March 11, 2021, the Company and Robert W. Duggan, the Board Chairman, entered into a Loan Agreement in connection with Mr. Duggan lending the principal sum of $41.0 million to the Company. The Loan Agreement bore interest at a rate per annum equal to 5.0%, payable quarterly commencing on July 1, 2021. During the year ended December 31, 2021, the Company recorded $0.6 million of interest expense in relation to this Loan Agreement. In June 2021, the Loan Agreement was terminated and $41.0 million principal, together with approximately $0.6 million of accrued and unpaid interest, was fully settled via issuance of the Company’s common stock at a price per share of $16.40. Refer to Note 6 for additional details of the private placement sale.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Insurance Loan Agreement</w:t>
      </w:r>
    </w:p>
    <w:p>
      <w:pPr>
        <w:spacing w:after="0" w:line="198"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On May 13, 2021, the Company secured its annual director and officer liability insurance policy. The total premiums for the policy are approximately $2.6 million, of which the Company made a down payment of $0.7 million and financed the balance of $1.9 million via an Insurance Loan Agreement. The Insurance Loan Agreement has an annual interest rate of 3.69% and requires monthly payments through February 2022, upon which the Insurance Loan Agreement will be paid in full. The outstanding principal portion of the Insurance Loan Agreement, together with any accrued and unpaid interest, is recorded as a note payable in the balance sheet.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In January 2017, the Company entered into a five-year lease (the “Existing Lease”) for approximately 15,700 square feet for its corporate headquarters located in Hayward, California. The lease commenced during July 2017.</w:t>
      </w:r>
    </w:p>
    <w:p>
      <w:pPr>
        <w:spacing w:after="0" w:line="143"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7"/>
          <w:szCs w:val="17"/>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138"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7"/>
          <w:szCs w:val="17"/>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148"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Upon commencement of each lease component, the Company reassessed and calculated the lease liability and right-of-use asset for the respective component. As a result, at the modification date, the Company remeasured its existing lease liability and recorded an additional right-of-use asset and lease liability of $2.0 million. The Company also recorded an additional right-of-use asset and lease liability of $3.0 million and $4.8 million at the commencement of Expansion Premises 1 in November 2019 and Expansion Premises 2 in May 2020, respectively. At December 31, 2021, total right-of-use assets and lease lability was approximately $8.8 million and $10.8 million, respectively.</w:t>
      </w:r>
    </w:p>
    <w:p>
      <w:pPr>
        <w:spacing w:after="0" w:line="151" w:lineRule="exact"/>
        <w:rPr>
          <w:sz w:val="20"/>
          <w:szCs w:val="20"/>
          <w:color w:val="auto"/>
        </w:rPr>
      </w:pPr>
    </w:p>
    <w:p>
      <w:pPr>
        <w:jc w:val="both"/>
        <w:ind w:right="20" w:firstLine="440"/>
        <w:spacing w:after="0" w:line="246" w:lineRule="auto"/>
        <w:rPr>
          <w:sz w:val="20"/>
          <w:szCs w:val="20"/>
          <w:color w:val="auto"/>
        </w:rPr>
      </w:pPr>
      <w:r>
        <w:rPr>
          <w:rFonts w:ascii="Arial" w:cs="Arial" w:eastAsia="Arial" w:hAnsi="Arial"/>
          <w:sz w:val="18"/>
          <w:szCs w:val="18"/>
          <w:color w:val="auto"/>
        </w:rPr>
        <w:t>During the years ended December 31, 2021, 2020 and 2019, rent expense, including common area maintenance charges, was $1.9 million, $1.7 million and $0.5 million, respectively.</w:t>
      </w:r>
    </w:p>
    <w:p>
      <w:pPr>
        <w:spacing w:after="0" w:line="143"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Information related to the Company’s right-of-use assets and related lease liabilities were as follows (in thousands except for remaining lease term and discount rate):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2022</w:t>
            </w:r>
          </w:p>
        </w:tc>
        <w:tc>
          <w:tcPr>
            <w:tcW w:w="720" w:type="dxa"/>
            <w:vAlign w:val="bottom"/>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189"/>
        </w:trPr>
        <w:tc>
          <w:tcPr>
            <w:tcW w:w="93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7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189"/>
        </w:trPr>
        <w:tc>
          <w:tcPr>
            <w:tcW w:w="9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2024</w:t>
            </w:r>
          </w:p>
        </w:tc>
        <w:tc>
          <w:tcPr>
            <w:tcW w:w="7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189"/>
        </w:trPr>
        <w:tc>
          <w:tcPr>
            <w:tcW w:w="93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7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189"/>
        </w:trPr>
        <w:tc>
          <w:tcPr>
            <w:tcW w:w="9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2026</w:t>
            </w:r>
          </w:p>
        </w:tc>
        <w:tc>
          <w:tcPr>
            <w:tcW w:w="7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189"/>
        </w:trPr>
        <w:tc>
          <w:tcPr>
            <w:tcW w:w="93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183"/>
        </w:trPr>
        <w:tc>
          <w:tcPr>
            <w:tcW w:w="9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payments</w:t>
            </w:r>
          </w:p>
        </w:tc>
        <w:tc>
          <w:tcPr>
            <w:tcW w:w="7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15,775</w:t>
            </w:r>
          </w:p>
        </w:tc>
        <w:tc>
          <w:tcPr>
            <w:tcW w:w="0" w:type="dxa"/>
            <w:vAlign w:val="bottom"/>
          </w:tcPr>
          <w:p>
            <w:pPr>
              <w:spacing w:after="0"/>
              <w:rPr>
                <w:sz w:val="1"/>
                <w:szCs w:val="1"/>
                <w:color w:val="auto"/>
              </w:rPr>
            </w:pPr>
          </w:p>
        </w:tc>
      </w:tr>
      <w:tr>
        <w:trPr>
          <w:trHeight w:val="189"/>
        </w:trPr>
        <w:tc>
          <w:tcPr>
            <w:tcW w:w="93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imputed interest</w:t>
            </w: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183"/>
        </w:trPr>
        <w:tc>
          <w:tcPr>
            <w:tcW w:w="93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 liabilities</w:t>
            </w:r>
          </w:p>
        </w:tc>
        <w:tc>
          <w:tcPr>
            <w:tcW w:w="720" w:type="dxa"/>
            <w:vAlign w:val="bottom"/>
            <w:tcBorders>
              <w:bottom w:val="single" w:sz="8" w:color="auto"/>
            </w:tcBorders>
            <w:shd w:val="clear" w:color="auto" w:fill="CCEEFF"/>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b w:val="1"/>
                <w:bCs w:val="1"/>
                <w:color w:val="auto"/>
              </w:rPr>
              <w:t>Other supplemental information:</w:t>
            </w: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paid for operating lease liabilities</w:t>
            </w:r>
          </w:p>
        </w:tc>
        <w:tc>
          <w:tcPr>
            <w:tcW w:w="720" w:type="dxa"/>
            <w:vAlign w:val="bottom"/>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189"/>
        </w:trPr>
        <w:tc>
          <w:tcPr>
            <w:tcW w:w="9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operating lease liabilities</w:t>
            </w:r>
          </w:p>
        </w:tc>
        <w:tc>
          <w:tcPr>
            <w:tcW w:w="7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189"/>
        </w:trPr>
        <w:tc>
          <w:tcPr>
            <w:tcW w:w="93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Non-current operating lease liabilities</w:t>
            </w: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183"/>
        </w:trPr>
        <w:tc>
          <w:tcPr>
            <w:tcW w:w="9340" w:type="dxa"/>
            <w:vAlign w:val="bottom"/>
            <w:tcBorders>
              <w:bottom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lease liabilities</w:t>
            </w:r>
          </w:p>
        </w:tc>
        <w:tc>
          <w:tcPr>
            <w:tcW w:w="720" w:type="dxa"/>
            <w:vAlign w:val="bottom"/>
            <w:tcBorders>
              <w:bottom w:val="single" w:sz="8" w:color="auto"/>
            </w:tcBorders>
            <w:shd w:val="clear" w:color="auto" w:fill="CCEEFF"/>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Weighted-average remaining lease term</w:t>
            </w:r>
          </w:p>
        </w:tc>
        <w:tc>
          <w:tcPr>
            <w:tcW w:w="7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firstLine="440"/>
        <w:spacing w:after="0" w:line="228" w:lineRule="auto"/>
        <w:rPr>
          <w:sz w:val="20"/>
          <w:szCs w:val="20"/>
          <w:color w:val="auto"/>
        </w:rPr>
      </w:pPr>
      <w:r>
        <w:rPr>
          <w:rFonts w:ascii="Arial" w:cs="Arial" w:eastAsia="Arial" w:hAnsi="Arial"/>
          <w:sz w:val="18"/>
          <w:szCs w:val="18"/>
          <w:color w:val="auto"/>
        </w:rPr>
        <w:t>From time to time, the Company may be involved in a variety of claims, lawsuits, investigations, and proceedings relating to securities laws, corporate governance, product liability and promotion, patent infringement, contract disputes, employment disputes, and other matters relating to various claims that arise in the normal course of the Company’s business, such as demands to inspect Company records and correspondence from the SEC and other government officials. The Company currently believes that these ordinary course matters are not material to the consolidated financial statements of the business; however, the results of litigation and claims are inherently unpredictable.</w:t>
      </w:r>
    </w:p>
    <w:p>
      <w:pPr>
        <w:spacing w:after="0" w:line="151"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6"/>
          <w:szCs w:val="16"/>
          <w:color w:val="auto"/>
        </w:rPr>
        <w:t>In February 2022, a civil securities lawsuit was filed in the U.S. District Court for the Northern District of California against the Company and certain of its executive officers, following the Company’s announcement on February 8, 2022 that it had received an Additional Information letter from the FDA indicating that the FDA did not believe the Company provided sufficient clinical evidence to support its 510(k) submission to add the treatment of sebaceous hyperplasia to the CellFX System’s current U.S. labeling, and the subsequent decline of the market price of the Company’s common stock. The Company is currently evaluating the case and its allegations. The lawsuit seeks class certification, unspecified damages, fees, costs, and expenses. The Company expects to file a motion to dismiss the case later this year, and an estimate of possible loss or range of loss, if any, cannot be made.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 Company sponsors a defined contribution plan under which it may make discretionary contributions. The Company did not make any employer matching contributions to this plan during the years ended December 31, 2021, 2020 and 2019.</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Supplementary Financial Information</w:t>
      </w:r>
    </w:p>
    <w:p>
      <w:pPr>
        <w:spacing w:after="0" w:line="175" w:lineRule="exact"/>
        <w:rPr>
          <w:sz w:val="20"/>
          <w:szCs w:val="20"/>
          <w:color w:val="auto"/>
        </w:rPr>
      </w:pPr>
    </w:p>
    <w:p>
      <w:pPr>
        <w:ind w:right="380" w:firstLine="415"/>
        <w:spacing w:after="0" w:line="246" w:lineRule="auto"/>
        <w:rPr>
          <w:sz w:val="20"/>
          <w:szCs w:val="20"/>
          <w:color w:val="auto"/>
        </w:rPr>
      </w:pPr>
      <w:r>
        <w:rPr>
          <w:rFonts w:ascii="Arial" w:cs="Arial" w:eastAsia="Arial" w:hAnsi="Arial"/>
          <w:sz w:val="18"/>
          <w:szCs w:val="18"/>
          <w:color w:val="auto"/>
        </w:rPr>
        <w:t>There are no retrospective changes to the statements of comprehensive income for any of the quarters within the two most recent fiscal years that individually or in the aggregate are material.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40"/>
        <w:spacing w:after="0" w:line="237"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Annual Report on Form 10-K. Based on this evaluation, our Chief Executive Officer and our Chief Financial Officer have concluded that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and Chief Financial Officer, we evaluated the effectiveness of our internal control over financial reporting based on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Based on the evaluation under that</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and applicable SEC rules, our management concluded that our internal control over financial reporting was effective as of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40"/>
        <w:spacing w:after="0" w:line="246" w:lineRule="auto"/>
        <w:rPr>
          <w:sz w:val="20"/>
          <w:szCs w:val="20"/>
          <w:color w:val="auto"/>
        </w:rPr>
      </w:pPr>
      <w:r>
        <w:rPr>
          <w:rFonts w:ascii="Arial" w:cs="Arial" w:eastAsia="Arial" w:hAnsi="Arial"/>
          <w:sz w:val="18"/>
          <w:szCs w:val="18"/>
          <w:color w:val="auto"/>
        </w:rPr>
        <w:t>There were no changes in our internal controls over financial reporting during the year ended December 31, 2021,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jc w:val="both"/>
        <w:ind w:firstLine="440"/>
        <w:spacing w:after="0" w:line="236"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2022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5"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71" w:lineRule="exact"/>
        <w:rPr>
          <w:rFonts w:ascii="Arial" w:cs="Arial" w:eastAsia="Arial" w:hAnsi="Arial"/>
          <w:sz w:val="18"/>
          <w:szCs w:val="18"/>
          <w:color w:val="auto"/>
        </w:rPr>
      </w:pPr>
    </w:p>
    <w:p>
      <w:pPr>
        <w:ind w:left="840" w:hanging="184"/>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Item 8 of this Annual Report on Form 10-K.</w:t>
      </w:r>
    </w:p>
    <w:p>
      <w:pPr>
        <w:spacing w:after="0" w:line="171" w:lineRule="exact"/>
        <w:rPr>
          <w:rFonts w:ascii="Arial" w:cs="Arial" w:eastAsia="Arial" w:hAnsi="Arial"/>
          <w:sz w:val="18"/>
          <w:szCs w:val="18"/>
          <w:color w:val="auto"/>
        </w:rPr>
      </w:pPr>
    </w:p>
    <w:p>
      <w:pPr>
        <w:ind w:left="660" w:hanging="4"/>
        <w:spacing w:after="0" w:line="246"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All schedules are omitted because they are not required, are not applicable or the information is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or notes thereto.</w:t>
      </w:r>
    </w:p>
    <w:p>
      <w:pPr>
        <w:spacing w:after="0" w:line="142" w:lineRule="exact"/>
        <w:rPr>
          <w:rFonts w:ascii="Arial" w:cs="Arial" w:eastAsia="Arial" w:hAnsi="Arial"/>
          <w:sz w:val="18"/>
          <w:szCs w:val="18"/>
          <w:color w:val="auto"/>
        </w:rPr>
      </w:pP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exhibits are filed as part of, or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rFonts w:ascii="Arial" w:cs="Arial" w:eastAsia="Arial" w:hAnsi="Arial"/>
          <w:sz w:val="16"/>
          <w:szCs w:val="16"/>
          <w:b w:val="1"/>
          <w:bCs w:val="1"/>
          <w:u w:val="single" w:color="auto"/>
          <w:color w:val="0563C1"/>
        </w:rPr>
      </w:pPr>
      <w:hyperlink w:anchor="page2">
        <w:r>
          <w:rPr>
            <w:rFonts w:ascii="Arial" w:cs="Arial" w:eastAsia="Arial" w:hAnsi="Arial"/>
            <w:sz w:val="16"/>
            <w:szCs w:val="16"/>
            <w:b w:val="1"/>
            <w:bCs w:val="1"/>
            <w:u w:val="single" w:color="auto"/>
            <w:color w:val="0563C1"/>
          </w:rPr>
          <w:t>Table of Contents</w:t>
        </w:r>
      </w:hyperlink>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Exhibit</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Number</w:t>
      </w:r>
    </w:p>
    <w:p>
      <w:pPr>
        <w:spacing w:after="0" w:line="12" w:lineRule="exact"/>
        <w:rPr>
          <w:sz w:val="20"/>
          <w:szCs w:val="20"/>
          <w:color w:val="auto"/>
        </w:rPr>
      </w:pPr>
    </w:p>
    <w:p>
      <w:pPr>
        <w:ind w:left="320"/>
        <w:spacing w:after="0"/>
        <w:rPr>
          <w:rFonts w:ascii="Arial" w:cs="Arial" w:eastAsia="Arial" w:hAnsi="Arial"/>
          <w:sz w:val="18"/>
          <w:szCs w:val="18"/>
          <w:u w:val="single" w:color="auto"/>
          <w:color w:val="0563C1"/>
        </w:rPr>
      </w:pPr>
      <w:hyperlink r:id="rId129">
        <w:r>
          <w:rPr>
            <w:rFonts w:ascii="Arial" w:cs="Arial" w:eastAsia="Arial" w:hAnsi="Arial"/>
            <w:sz w:val="18"/>
            <w:szCs w:val="18"/>
            <w:u w:val="single" w:color="auto"/>
            <w:color w:val="0563C1"/>
          </w:rPr>
          <w:t>2.1</w:t>
        </w:r>
      </w:hyperlink>
    </w:p>
    <w:p>
      <w:pPr>
        <w:ind w:left="320"/>
        <w:spacing w:after="0" w:line="219" w:lineRule="auto"/>
        <w:rPr>
          <w:rFonts w:ascii="Arial" w:cs="Arial" w:eastAsia="Arial" w:hAnsi="Arial"/>
          <w:sz w:val="18"/>
          <w:szCs w:val="18"/>
          <w:u w:val="single" w:color="auto"/>
          <w:color w:val="0563C1"/>
        </w:rPr>
      </w:pPr>
      <w:hyperlink r:id="rId130">
        <w:r>
          <w:rPr>
            <w:rFonts w:ascii="Arial" w:cs="Arial" w:eastAsia="Arial" w:hAnsi="Arial"/>
            <w:sz w:val="18"/>
            <w:szCs w:val="18"/>
            <w:u w:val="single" w:color="auto"/>
            <w:color w:val="0563C1"/>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-8890</wp:posOffset>
            </wp:positionV>
            <wp:extent cx="1428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ind w:left="320"/>
        <w:spacing w:after="0" w:line="219" w:lineRule="auto"/>
        <w:rPr>
          <w:rFonts w:ascii="Arial" w:cs="Arial" w:eastAsia="Arial" w:hAnsi="Arial"/>
          <w:sz w:val="18"/>
          <w:szCs w:val="18"/>
          <w:u w:val="single" w:color="auto"/>
          <w:color w:val="0563C1"/>
        </w:rPr>
      </w:pPr>
      <w:hyperlink r:id="rId132">
        <w:r>
          <w:rPr>
            <w:rFonts w:ascii="Arial" w:cs="Arial" w:eastAsia="Arial" w:hAnsi="Arial"/>
            <w:sz w:val="18"/>
            <w:szCs w:val="18"/>
            <w:u w:val="single" w:color="auto"/>
            <w:color w:val="0563C1"/>
          </w:rPr>
          <w:t>3.2</w:t>
        </w:r>
      </w:hyperlink>
    </w:p>
    <w:p>
      <w:pPr>
        <w:ind w:left="320"/>
        <w:spacing w:after="0" w:line="219" w:lineRule="auto"/>
        <w:rPr>
          <w:rFonts w:ascii="Arial" w:cs="Arial" w:eastAsia="Arial" w:hAnsi="Arial"/>
          <w:sz w:val="18"/>
          <w:szCs w:val="18"/>
          <w:u w:val="single" w:color="auto"/>
          <w:color w:val="0563C1"/>
        </w:rPr>
      </w:pPr>
      <w:hyperlink r:id="rId133">
        <w:r>
          <w:rPr>
            <w:rFonts w:ascii="Arial" w:cs="Arial" w:eastAsia="Arial" w:hAnsi="Arial"/>
            <w:sz w:val="18"/>
            <w:szCs w:val="18"/>
            <w:u w:val="single" w:color="auto"/>
            <w:color w:val="0563C1"/>
          </w:rPr>
          <w:t>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-8890</wp:posOffset>
            </wp:positionV>
            <wp:extent cx="1428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ind w:left="320"/>
        <w:spacing w:after="0" w:line="219" w:lineRule="auto"/>
        <w:rPr>
          <w:rFonts w:ascii="Arial" w:cs="Arial" w:eastAsia="Arial" w:hAnsi="Arial"/>
          <w:sz w:val="18"/>
          <w:szCs w:val="18"/>
          <w:u w:val="single" w:color="auto"/>
          <w:color w:val="0563C1"/>
        </w:rPr>
      </w:pPr>
      <w:hyperlink r:id="rId135">
        <w:r>
          <w:rPr>
            <w:rFonts w:ascii="Arial" w:cs="Arial" w:eastAsia="Arial" w:hAnsi="Arial"/>
            <w:sz w:val="18"/>
            <w:szCs w:val="18"/>
            <w:u w:val="single" w:color="auto"/>
            <w:color w:val="0563C1"/>
          </w:rPr>
          <w:t>3.4</w:t>
        </w:r>
      </w:hyperlink>
    </w:p>
    <w:p>
      <w:pPr>
        <w:ind w:left="320"/>
        <w:spacing w:after="0" w:line="219" w:lineRule="auto"/>
        <w:rPr>
          <w:rFonts w:ascii="Arial" w:cs="Arial" w:eastAsia="Arial" w:hAnsi="Arial"/>
          <w:sz w:val="18"/>
          <w:szCs w:val="18"/>
          <w:u w:val="single" w:color="auto"/>
          <w:color w:val="0563C1"/>
        </w:rPr>
      </w:pPr>
      <w:hyperlink r:id="rId136">
        <w:r>
          <w:rPr>
            <w:rFonts w:ascii="Arial" w:cs="Arial" w:eastAsia="Arial" w:hAnsi="Arial"/>
            <w:sz w:val="18"/>
            <w:szCs w:val="18"/>
            <w:u w:val="single" w:color="auto"/>
            <w:color w:val="0563C1"/>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-8890</wp:posOffset>
            </wp:positionV>
            <wp:extent cx="1428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ind w:left="320"/>
        <w:spacing w:after="0" w:line="219" w:lineRule="auto"/>
        <w:rPr>
          <w:rFonts w:ascii="Arial" w:cs="Arial" w:eastAsia="Arial" w:hAnsi="Arial"/>
          <w:sz w:val="18"/>
          <w:szCs w:val="18"/>
          <w:u w:val="single" w:color="auto"/>
          <w:color w:val="0563C1"/>
        </w:rPr>
      </w:pPr>
      <w:hyperlink r:id="rId138">
        <w:r>
          <w:rPr>
            <w:rFonts w:ascii="Arial" w:cs="Arial" w:eastAsia="Arial" w:hAnsi="Arial"/>
            <w:sz w:val="18"/>
            <w:szCs w:val="18"/>
            <w:u w:val="single" w:color="auto"/>
            <w:color w:val="0563C1"/>
          </w:rPr>
          <w:t>4.2</w:t>
        </w:r>
      </w:hyperlink>
    </w:p>
    <w:p>
      <w:pPr>
        <w:spacing w:after="0" w:line="1" w:lineRule="exact"/>
        <w:rPr>
          <w:sz w:val="20"/>
          <w:szCs w:val="20"/>
          <w:color w:val="auto"/>
        </w:rPr>
      </w:pPr>
    </w:p>
    <w:p>
      <w:pPr>
        <w:ind w:left="320"/>
        <w:spacing w:after="0"/>
        <w:rPr>
          <w:rFonts w:ascii="Arial" w:cs="Arial" w:eastAsia="Arial" w:hAnsi="Arial"/>
          <w:sz w:val="18"/>
          <w:szCs w:val="18"/>
          <w:u w:val="single" w:color="auto"/>
          <w:color w:val="0563C1"/>
        </w:rPr>
      </w:pPr>
      <w:hyperlink r:id="rId139">
        <w:r>
          <w:rPr>
            <w:rFonts w:ascii="Arial" w:cs="Arial" w:eastAsia="Arial" w:hAnsi="Arial"/>
            <w:sz w:val="18"/>
            <w:szCs w:val="18"/>
            <w:u w:val="single" w:color="auto"/>
            <w:color w:val="0563C1"/>
          </w:rPr>
          <w:t>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-20320</wp:posOffset>
            </wp:positionV>
            <wp:extent cx="1428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41" w:lineRule="exact"/>
        <w:rPr>
          <w:sz w:val="20"/>
          <w:szCs w:val="20"/>
          <w:color w:val="auto"/>
        </w:rPr>
      </w:pPr>
    </w:p>
    <w:p>
      <w:pPr>
        <w:ind w:left="260"/>
        <w:spacing w:after="0"/>
        <w:rPr>
          <w:rFonts w:ascii="Arial" w:cs="Arial" w:eastAsia="Arial" w:hAnsi="Arial"/>
          <w:sz w:val="18"/>
          <w:szCs w:val="18"/>
          <w:u w:val="single" w:color="auto"/>
          <w:color w:val="0563C1"/>
        </w:rPr>
      </w:pPr>
      <w:hyperlink r:id="rId141">
        <w:r>
          <w:rPr>
            <w:rFonts w:ascii="Arial" w:cs="Arial" w:eastAsia="Arial" w:hAnsi="Arial"/>
            <w:sz w:val="18"/>
            <w:szCs w:val="18"/>
            <w:u w:val="single" w:color="auto"/>
            <w:color w:val="0563C1"/>
          </w:rPr>
          <w:t>10.1</w:t>
        </w:r>
      </w:hyperlink>
    </w:p>
    <w:p>
      <w:pPr>
        <w:spacing w:after="0" w:line="171" w:lineRule="exact"/>
        <w:rPr>
          <w:sz w:val="20"/>
          <w:szCs w:val="20"/>
          <w:color w:val="auto"/>
        </w:rPr>
      </w:pPr>
    </w:p>
    <w:p>
      <w:pPr>
        <w:ind w:left="220"/>
        <w:spacing w:after="0"/>
        <w:rPr>
          <w:rFonts w:ascii="Arial" w:cs="Arial" w:eastAsia="Arial" w:hAnsi="Arial"/>
          <w:sz w:val="18"/>
          <w:szCs w:val="18"/>
          <w:color w:val="0563C1"/>
        </w:rPr>
      </w:pPr>
      <w:hyperlink r:id="rId142">
        <w:r>
          <w:rPr>
            <w:rFonts w:ascii="Arial" w:cs="Arial" w:eastAsia="Arial" w:hAnsi="Arial"/>
            <w:sz w:val="18"/>
            <w:szCs w:val="18"/>
            <w:u w:val="single" w:color="auto"/>
            <w:color w:val="0563C1"/>
          </w:rPr>
          <w:t>10.2</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-10160</wp:posOffset>
            </wp:positionV>
            <wp:extent cx="2000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51" w:lineRule="exact"/>
        <w:rPr>
          <w:sz w:val="20"/>
          <w:szCs w:val="20"/>
          <w:color w:val="auto"/>
        </w:rPr>
      </w:pPr>
    </w:p>
    <w:p>
      <w:pPr>
        <w:ind w:left="260"/>
        <w:spacing w:after="0"/>
        <w:rPr>
          <w:rFonts w:ascii="Arial" w:cs="Arial" w:eastAsia="Arial" w:hAnsi="Arial"/>
          <w:sz w:val="18"/>
          <w:szCs w:val="18"/>
          <w:u w:val="single" w:color="auto"/>
          <w:color w:val="0563C1"/>
        </w:rPr>
      </w:pPr>
      <w:hyperlink r:id="rId144">
        <w:r>
          <w:rPr>
            <w:rFonts w:ascii="Arial" w:cs="Arial" w:eastAsia="Arial" w:hAnsi="Arial"/>
            <w:sz w:val="18"/>
            <w:szCs w:val="18"/>
            <w:u w:val="single" w:color="auto"/>
            <w:color w:val="0563C1"/>
          </w:rPr>
          <w:t>10.3</w:t>
        </w:r>
      </w:hyperlink>
    </w:p>
    <w:p>
      <w:pPr>
        <w:spacing w:after="0" w:line="77" w:lineRule="exact"/>
        <w:rPr>
          <w:sz w:val="20"/>
          <w:szCs w:val="20"/>
          <w:color w:val="auto"/>
        </w:rPr>
      </w:pPr>
    </w:p>
    <w:p>
      <w:pPr>
        <w:ind w:left="180"/>
        <w:spacing w:after="0"/>
        <w:rPr>
          <w:rFonts w:ascii="Arial" w:cs="Arial" w:eastAsia="Arial" w:hAnsi="Arial"/>
          <w:sz w:val="17"/>
          <w:szCs w:val="17"/>
          <w:color w:val="0563C1"/>
        </w:rPr>
      </w:pPr>
      <w:hyperlink w:anchor="page101">
        <w:r>
          <w:rPr>
            <w:rFonts w:ascii="Arial" w:cs="Arial" w:eastAsia="Arial" w:hAnsi="Arial"/>
            <w:sz w:val="17"/>
            <w:szCs w:val="17"/>
            <w:u w:val="single" w:color="auto"/>
            <w:color w:val="0563C1"/>
          </w:rPr>
          <w:t>10.4</w:t>
        </w:r>
      </w:hyperlink>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-3175</wp:posOffset>
            </wp:positionV>
            <wp:extent cx="2000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ind w:left="180"/>
        <w:spacing w:after="0"/>
        <w:rPr>
          <w:rFonts w:ascii="Arial" w:cs="Arial" w:eastAsia="Arial" w:hAnsi="Arial"/>
          <w:sz w:val="17"/>
          <w:szCs w:val="17"/>
          <w:color w:val="0563C1"/>
        </w:rPr>
      </w:pPr>
      <w:hyperlink w:anchor="page113">
        <w:r>
          <w:rPr>
            <w:rFonts w:ascii="Arial" w:cs="Arial" w:eastAsia="Arial" w:hAnsi="Arial"/>
            <w:sz w:val="17"/>
            <w:szCs w:val="17"/>
            <w:u w:val="single" w:color="auto"/>
            <w:color w:val="0563C1"/>
          </w:rPr>
          <w:t>10.5</w:t>
        </w:r>
      </w:hyperlink>
      <w:r>
        <w:rPr>
          <w:rFonts w:ascii="Arial" w:cs="Arial" w:eastAsia="Arial" w:hAnsi="Arial"/>
          <w:sz w:val="17"/>
          <w:szCs w:val="17"/>
          <w:color w:val="000000"/>
        </w:rPr>
        <w:t>+*</w:t>
      </w:r>
    </w:p>
    <w:p>
      <w:pPr>
        <w:spacing w:after="0" w:line="72" w:lineRule="exact"/>
        <w:rPr>
          <w:sz w:val="20"/>
          <w:szCs w:val="20"/>
          <w:color w:val="auto"/>
        </w:rPr>
      </w:pPr>
    </w:p>
    <w:p>
      <w:pPr>
        <w:ind w:left="260"/>
        <w:spacing w:after="0"/>
        <w:rPr>
          <w:rFonts w:ascii="Arial" w:cs="Arial" w:eastAsia="Arial" w:hAnsi="Arial"/>
          <w:sz w:val="18"/>
          <w:szCs w:val="18"/>
          <w:u w:val="single" w:color="auto"/>
          <w:color w:val="0563C1"/>
        </w:rPr>
      </w:pPr>
      <w:hyperlink r:id="rId146">
        <w:r>
          <w:rPr>
            <w:rFonts w:ascii="Arial" w:cs="Arial" w:eastAsia="Arial" w:hAnsi="Arial"/>
            <w:sz w:val="18"/>
            <w:szCs w:val="18"/>
            <w:u w:val="single" w:color="auto"/>
            <w:color w:val="0563C1"/>
          </w:rPr>
          <w:t>10.6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-10160</wp:posOffset>
            </wp:positionV>
            <wp:extent cx="2000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51" w:lineRule="exact"/>
        <w:rPr>
          <w:sz w:val="20"/>
          <w:szCs w:val="20"/>
          <w:color w:val="auto"/>
        </w:rPr>
      </w:pPr>
    </w:p>
    <w:p>
      <w:pPr>
        <w:ind w:left="260"/>
        <w:spacing w:after="0"/>
        <w:rPr>
          <w:rFonts w:ascii="Arial" w:cs="Arial" w:eastAsia="Arial" w:hAnsi="Arial"/>
          <w:sz w:val="18"/>
          <w:szCs w:val="18"/>
          <w:u w:val="single" w:color="auto"/>
          <w:color w:val="0563C1"/>
        </w:rPr>
      </w:pPr>
      <w:hyperlink r:id="rId148">
        <w:r>
          <w:rPr>
            <w:rFonts w:ascii="Arial" w:cs="Arial" w:eastAsia="Arial" w:hAnsi="Arial"/>
            <w:sz w:val="18"/>
            <w:szCs w:val="18"/>
            <w:u w:val="single" w:color="auto"/>
            <w:color w:val="0563C1"/>
          </w:rPr>
          <w:t>10.7</w:t>
        </w:r>
      </w:hyperlink>
    </w:p>
    <w:p>
      <w:pPr>
        <w:spacing w:after="0" w:line="75" w:lineRule="exact"/>
        <w:rPr>
          <w:sz w:val="20"/>
          <w:szCs w:val="20"/>
          <w:color w:val="auto"/>
        </w:rPr>
      </w:pPr>
    </w:p>
    <w:p>
      <w:pPr>
        <w:ind w:left="220"/>
        <w:spacing w:after="0"/>
        <w:rPr>
          <w:rFonts w:ascii="Arial" w:cs="Arial" w:eastAsia="Arial" w:hAnsi="Arial"/>
          <w:sz w:val="18"/>
          <w:szCs w:val="18"/>
          <w:color w:val="0563C1"/>
        </w:rPr>
      </w:pPr>
      <w:hyperlink r:id="rId149">
        <w:r>
          <w:rPr>
            <w:rFonts w:ascii="Arial" w:cs="Arial" w:eastAsia="Arial" w:hAnsi="Arial"/>
            <w:sz w:val="18"/>
            <w:szCs w:val="18"/>
            <w:u w:val="single" w:color="auto"/>
            <w:color w:val="0563C1"/>
          </w:rPr>
          <w:t>10.8</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-8890</wp:posOffset>
            </wp:positionV>
            <wp:extent cx="2000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ind w:left="220"/>
        <w:spacing w:after="0" w:line="219" w:lineRule="auto"/>
        <w:rPr>
          <w:rFonts w:ascii="Arial" w:cs="Arial" w:eastAsia="Arial" w:hAnsi="Arial"/>
          <w:sz w:val="18"/>
          <w:szCs w:val="18"/>
          <w:color w:val="0563C1"/>
        </w:rPr>
      </w:pPr>
      <w:hyperlink r:id="rId151">
        <w:r>
          <w:rPr>
            <w:rFonts w:ascii="Arial" w:cs="Arial" w:eastAsia="Arial" w:hAnsi="Arial"/>
            <w:sz w:val="18"/>
            <w:szCs w:val="18"/>
            <w:u w:val="single" w:color="auto"/>
            <w:color w:val="0563C1"/>
          </w:rPr>
          <w:t>10.9</w:t>
        </w:r>
      </w:hyperlink>
      <w:r>
        <w:rPr>
          <w:rFonts w:ascii="Arial" w:cs="Arial" w:eastAsia="Arial" w:hAnsi="Arial"/>
          <w:sz w:val="18"/>
          <w:szCs w:val="18"/>
          <w:color w:val="000000"/>
        </w:rPr>
        <w:t>+</w:t>
      </w:r>
    </w:p>
    <w:p>
      <w:pPr>
        <w:ind w:left="180"/>
        <w:spacing w:after="0"/>
        <w:rPr>
          <w:rFonts w:ascii="Arial" w:cs="Arial" w:eastAsia="Arial" w:hAnsi="Arial"/>
          <w:sz w:val="16"/>
          <w:szCs w:val="16"/>
          <w:color w:val="0563C1"/>
        </w:rPr>
      </w:pPr>
      <w:hyperlink r:id="rId152">
        <w:r>
          <w:rPr>
            <w:rFonts w:ascii="Arial" w:cs="Arial" w:eastAsia="Arial" w:hAnsi="Arial"/>
            <w:sz w:val="16"/>
            <w:szCs w:val="16"/>
            <w:u w:val="single" w:color="auto"/>
            <w:color w:val="0563C1"/>
          </w:rPr>
          <w:t>10.10</w:t>
        </w:r>
      </w:hyperlink>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2571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180"/>
        <w:spacing w:after="0"/>
        <w:rPr>
          <w:rFonts w:ascii="Arial" w:cs="Arial" w:eastAsia="Arial" w:hAnsi="Arial"/>
          <w:sz w:val="16"/>
          <w:szCs w:val="16"/>
          <w:color w:val="0563C1"/>
        </w:rPr>
      </w:pPr>
      <w:hyperlink r:id="rId154">
        <w:r>
          <w:rPr>
            <w:rFonts w:ascii="Arial" w:cs="Arial" w:eastAsia="Arial" w:hAnsi="Arial"/>
            <w:sz w:val="16"/>
            <w:szCs w:val="16"/>
            <w:u w:val="single" w:color="auto"/>
            <w:color w:val="0563C1"/>
          </w:rPr>
          <w:t>10.11</w:t>
        </w:r>
      </w:hyperlink>
      <w:r>
        <w:rPr>
          <w:rFonts w:ascii="Arial" w:cs="Arial" w:eastAsia="Arial" w:hAnsi="Arial"/>
          <w:sz w:val="16"/>
          <w:szCs w:val="16"/>
          <w:color w:val="000000"/>
        </w:rPr>
        <w:t>+</w:t>
      </w:r>
    </w:p>
    <w:p>
      <w:pPr>
        <w:spacing w:after="0" w:line="84" w:lineRule="exact"/>
        <w:rPr>
          <w:sz w:val="20"/>
          <w:szCs w:val="20"/>
          <w:color w:val="auto"/>
        </w:rPr>
      </w:pPr>
    </w:p>
    <w:p>
      <w:pPr>
        <w:ind w:left="180"/>
        <w:spacing w:after="0"/>
        <w:rPr>
          <w:rFonts w:ascii="Arial" w:cs="Arial" w:eastAsia="Arial" w:hAnsi="Arial"/>
          <w:sz w:val="16"/>
          <w:szCs w:val="16"/>
          <w:color w:val="0563C1"/>
        </w:rPr>
      </w:pPr>
      <w:hyperlink r:id="rId155">
        <w:r>
          <w:rPr>
            <w:rFonts w:ascii="Arial" w:cs="Arial" w:eastAsia="Arial" w:hAnsi="Arial"/>
            <w:sz w:val="16"/>
            <w:szCs w:val="16"/>
            <w:u w:val="single" w:color="auto"/>
            <w:color w:val="0563C1"/>
          </w:rPr>
          <w:t>10.12</w:t>
        </w:r>
      </w:hyperlink>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3810</wp:posOffset>
            </wp:positionV>
            <wp:extent cx="2571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80" w:lineRule="exact"/>
        <w:rPr>
          <w:sz w:val="20"/>
          <w:szCs w:val="20"/>
          <w:color w:val="auto"/>
        </w:rPr>
      </w:pPr>
    </w:p>
    <w:p>
      <w:pPr>
        <w:ind w:left="180"/>
        <w:spacing w:after="0"/>
        <w:rPr>
          <w:rFonts w:ascii="Arial" w:cs="Arial" w:eastAsia="Arial" w:hAnsi="Arial"/>
          <w:sz w:val="16"/>
          <w:szCs w:val="16"/>
          <w:color w:val="0563C1"/>
        </w:rPr>
      </w:pPr>
      <w:hyperlink r:id="rId157">
        <w:r>
          <w:rPr>
            <w:rFonts w:ascii="Arial" w:cs="Arial" w:eastAsia="Arial" w:hAnsi="Arial"/>
            <w:sz w:val="16"/>
            <w:szCs w:val="16"/>
            <w:u w:val="single" w:color="auto"/>
            <w:color w:val="0563C1"/>
          </w:rPr>
          <w:t>10.13</w:t>
        </w:r>
      </w:hyperlink>
      <w:r>
        <w:rPr>
          <w:rFonts w:ascii="Arial" w:cs="Arial" w:eastAsia="Arial" w:hAnsi="Arial"/>
          <w:sz w:val="16"/>
          <w:szCs w:val="16"/>
          <w:color w:val="000000"/>
        </w:rPr>
        <w:t>+</w:t>
      </w:r>
    </w:p>
    <w:p>
      <w:pPr>
        <w:spacing w:after="0" w:line="100" w:lineRule="exact"/>
        <w:rPr>
          <w:sz w:val="20"/>
          <w:szCs w:val="20"/>
          <w:color w:val="auto"/>
        </w:rPr>
      </w:pPr>
    </w:p>
    <w:p>
      <w:pPr>
        <w:ind w:left="180"/>
        <w:spacing w:after="0"/>
        <w:rPr>
          <w:rFonts w:ascii="Arial" w:cs="Arial" w:eastAsia="Arial" w:hAnsi="Arial"/>
          <w:sz w:val="16"/>
          <w:szCs w:val="16"/>
          <w:color w:val="0563C1"/>
        </w:rPr>
      </w:pPr>
      <w:hyperlink r:id="rId158">
        <w:r>
          <w:rPr>
            <w:rFonts w:ascii="Arial" w:cs="Arial" w:eastAsia="Arial" w:hAnsi="Arial"/>
            <w:sz w:val="16"/>
            <w:szCs w:val="16"/>
            <w:u w:val="single" w:color="auto"/>
            <w:color w:val="0563C1"/>
          </w:rPr>
          <w:t>10.14</w:t>
        </w:r>
      </w:hyperlink>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3810</wp:posOffset>
            </wp:positionV>
            <wp:extent cx="2571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74" w:lineRule="exact"/>
        <w:rPr>
          <w:sz w:val="20"/>
          <w:szCs w:val="20"/>
          <w:color w:val="auto"/>
        </w:rPr>
      </w:pPr>
    </w:p>
    <w:p>
      <w:pPr>
        <w:ind w:left="180"/>
        <w:spacing w:after="0"/>
        <w:rPr>
          <w:rFonts w:ascii="Arial" w:cs="Arial" w:eastAsia="Arial" w:hAnsi="Arial"/>
          <w:sz w:val="16"/>
          <w:szCs w:val="16"/>
          <w:color w:val="0563C1"/>
        </w:rPr>
      </w:pPr>
      <w:hyperlink r:id="rId160">
        <w:r>
          <w:rPr>
            <w:rFonts w:ascii="Arial" w:cs="Arial" w:eastAsia="Arial" w:hAnsi="Arial"/>
            <w:sz w:val="16"/>
            <w:szCs w:val="16"/>
            <w:u w:val="single" w:color="auto"/>
            <w:color w:val="0563C1"/>
          </w:rPr>
          <w:t>10.15</w:t>
        </w:r>
      </w:hyperlink>
      <w:r>
        <w:rPr>
          <w:rFonts w:ascii="Arial" w:cs="Arial" w:eastAsia="Arial" w:hAnsi="Arial"/>
          <w:sz w:val="16"/>
          <w:szCs w:val="16"/>
          <w:color w:val="000000"/>
        </w:rPr>
        <w:t>+</w:t>
      </w:r>
    </w:p>
    <w:p>
      <w:pPr>
        <w:spacing w:after="0" w:line="100" w:lineRule="exact"/>
        <w:rPr>
          <w:sz w:val="20"/>
          <w:szCs w:val="20"/>
          <w:color w:val="auto"/>
        </w:rPr>
      </w:pPr>
    </w:p>
    <w:p>
      <w:pPr>
        <w:ind w:left="180"/>
        <w:spacing w:after="0"/>
        <w:rPr>
          <w:rFonts w:ascii="Arial" w:cs="Arial" w:eastAsia="Arial" w:hAnsi="Arial"/>
          <w:sz w:val="16"/>
          <w:szCs w:val="16"/>
          <w:u w:val="single" w:color="auto"/>
          <w:color w:val="0563C1"/>
        </w:rPr>
      </w:pPr>
      <w:hyperlink r:id="rId161">
        <w:r>
          <w:rPr>
            <w:rFonts w:ascii="Arial" w:cs="Arial" w:eastAsia="Arial" w:hAnsi="Arial"/>
            <w:sz w:val="16"/>
            <w:szCs w:val="16"/>
            <w:u w:val="single" w:color="auto"/>
            <w:color w:val="0563C1"/>
          </w:rPr>
          <w:t>10.</w:t>
        </w:r>
      </w:hyperlink>
      <w:r>
        <w:rPr>
          <w:rFonts w:ascii="Arial" w:cs="Arial" w:eastAsia="Arial" w:hAnsi="Arial"/>
          <w:sz w:val="16"/>
          <w:szCs w:val="16"/>
          <w:u w:val="single" w:color="auto"/>
          <w:color w:val="0563C1"/>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3810</wp:posOffset>
            </wp:positionV>
            <wp:extent cx="257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80" w:lineRule="exact"/>
        <w:rPr>
          <w:sz w:val="20"/>
          <w:szCs w:val="20"/>
          <w:color w:val="auto"/>
        </w:rPr>
      </w:pPr>
    </w:p>
    <w:p>
      <w:pPr>
        <w:ind w:left="180"/>
        <w:spacing w:after="0"/>
        <w:rPr>
          <w:rFonts w:ascii="Arial" w:cs="Arial" w:eastAsia="Arial" w:hAnsi="Arial"/>
          <w:sz w:val="16"/>
          <w:szCs w:val="16"/>
          <w:u w:val="single" w:color="auto"/>
          <w:color w:val="0563C1"/>
        </w:rPr>
      </w:pPr>
      <w:hyperlink r:id="rId163">
        <w:r>
          <w:rPr>
            <w:rFonts w:ascii="Arial" w:cs="Arial" w:eastAsia="Arial" w:hAnsi="Arial"/>
            <w:sz w:val="16"/>
            <w:szCs w:val="16"/>
            <w:u w:val="single" w:color="auto"/>
            <w:color w:val="0563C1"/>
          </w:rPr>
          <w:t>10.</w:t>
        </w:r>
      </w:hyperlink>
      <w:r>
        <w:rPr>
          <w:rFonts w:ascii="Arial" w:cs="Arial" w:eastAsia="Arial" w:hAnsi="Arial"/>
          <w:sz w:val="16"/>
          <w:szCs w:val="16"/>
          <w:u w:val="single" w:color="auto"/>
          <w:color w:val="0563C1"/>
        </w:rPr>
        <w:t>17+</w:t>
      </w:r>
    </w:p>
    <w:p>
      <w:pPr>
        <w:spacing w:after="0" w:line="194" w:lineRule="exact"/>
        <w:rPr>
          <w:sz w:val="20"/>
          <w:szCs w:val="20"/>
          <w:color w:val="auto"/>
        </w:rPr>
      </w:pPr>
    </w:p>
    <w:p>
      <w:pPr>
        <w:ind w:left="220"/>
        <w:spacing w:after="0"/>
        <w:rPr>
          <w:rFonts w:ascii="Arial" w:cs="Arial" w:eastAsia="Arial" w:hAnsi="Arial"/>
          <w:sz w:val="18"/>
          <w:szCs w:val="18"/>
          <w:u w:val="single" w:color="auto"/>
          <w:color w:val="0563C1"/>
        </w:rPr>
      </w:pPr>
      <w:hyperlink r:id="rId164">
        <w:r>
          <w:rPr>
            <w:rFonts w:ascii="Arial" w:cs="Arial" w:eastAsia="Arial" w:hAnsi="Arial"/>
            <w:sz w:val="18"/>
            <w:szCs w:val="18"/>
            <w:u w:val="single" w:color="auto"/>
            <w:color w:val="0563C1"/>
          </w:rPr>
          <w:t>10.18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-10160</wp:posOffset>
            </wp:positionV>
            <wp:extent cx="2571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57" w:lineRule="exact"/>
        <w:rPr>
          <w:sz w:val="20"/>
          <w:szCs w:val="20"/>
          <w:color w:val="auto"/>
        </w:rPr>
      </w:pPr>
    </w:p>
    <w:p>
      <w:pPr>
        <w:ind w:left="180"/>
        <w:spacing w:after="0"/>
        <w:rPr>
          <w:rFonts w:ascii="Arial" w:cs="Arial" w:eastAsia="Arial" w:hAnsi="Arial"/>
          <w:sz w:val="16"/>
          <w:szCs w:val="16"/>
          <w:color w:val="0563C1"/>
        </w:rPr>
      </w:pPr>
      <w:hyperlink r:id="rId166">
        <w:r>
          <w:rPr>
            <w:rFonts w:ascii="Arial" w:cs="Arial" w:eastAsia="Arial" w:hAnsi="Arial"/>
            <w:sz w:val="16"/>
            <w:szCs w:val="16"/>
            <w:u w:val="single" w:color="auto"/>
            <w:color w:val="0563C1"/>
          </w:rPr>
          <w:t>10.19</w:t>
        </w:r>
      </w:hyperlink>
      <w:r>
        <w:rPr>
          <w:rFonts w:ascii="Arial" w:cs="Arial" w:eastAsia="Arial" w:hAnsi="Arial"/>
          <w:sz w:val="16"/>
          <w:szCs w:val="16"/>
          <w:color w:val="000000"/>
        </w:rPr>
        <w:t>+</w:t>
      </w:r>
    </w:p>
    <w:p>
      <w:pPr>
        <w:spacing w:after="0" w:line="21" w:lineRule="exact"/>
        <w:rPr>
          <w:sz w:val="20"/>
          <w:szCs w:val="20"/>
          <w:color w:val="auto"/>
        </w:rPr>
      </w:pPr>
    </w:p>
    <w:p>
      <w:pPr>
        <w:ind w:left="220"/>
        <w:spacing w:after="0"/>
        <w:rPr>
          <w:rFonts w:ascii="Arial" w:cs="Arial" w:eastAsia="Arial" w:hAnsi="Arial"/>
          <w:sz w:val="18"/>
          <w:szCs w:val="18"/>
          <w:u w:val="single" w:color="auto"/>
          <w:color w:val="0563C1"/>
        </w:rPr>
      </w:pPr>
      <w:hyperlink r:id="rId167">
        <w:r>
          <w:rPr>
            <w:rFonts w:ascii="Arial" w:cs="Arial" w:eastAsia="Arial" w:hAnsi="Arial"/>
            <w:sz w:val="18"/>
            <w:szCs w:val="18"/>
            <w:u w:val="single" w:color="auto"/>
            <w:color w:val="0563C1"/>
          </w:rPr>
          <w:t>10.20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-20320</wp:posOffset>
            </wp:positionV>
            <wp:extent cx="2571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41" w:lineRule="exact"/>
        <w:rPr>
          <w:sz w:val="20"/>
          <w:szCs w:val="20"/>
          <w:color w:val="auto"/>
        </w:rPr>
      </w:pPr>
    </w:p>
    <w:p>
      <w:pPr>
        <w:ind w:left="180"/>
        <w:spacing w:after="0"/>
        <w:rPr>
          <w:rFonts w:ascii="Arial" w:cs="Arial" w:eastAsia="Arial" w:hAnsi="Arial"/>
          <w:sz w:val="16"/>
          <w:szCs w:val="16"/>
          <w:color w:val="0563C1"/>
        </w:rPr>
      </w:pPr>
      <w:hyperlink r:id="rId169">
        <w:r>
          <w:rPr>
            <w:rFonts w:ascii="Arial" w:cs="Arial" w:eastAsia="Arial" w:hAnsi="Arial"/>
            <w:sz w:val="16"/>
            <w:szCs w:val="16"/>
            <w:u w:val="single" w:color="auto"/>
            <w:color w:val="0563C1"/>
          </w:rPr>
          <w:t>10.21</w:t>
        </w:r>
      </w:hyperlink>
      <w:r>
        <w:rPr>
          <w:rFonts w:ascii="Arial" w:cs="Arial" w:eastAsia="Arial" w:hAnsi="Arial"/>
          <w:sz w:val="16"/>
          <w:szCs w:val="16"/>
          <w:color w:val="000000"/>
        </w:rPr>
        <w:t>+</w:t>
      </w:r>
    </w:p>
    <w:p>
      <w:pPr>
        <w:spacing w:after="0" w:line="194" w:lineRule="exact"/>
        <w:rPr>
          <w:sz w:val="20"/>
          <w:szCs w:val="20"/>
          <w:color w:val="auto"/>
        </w:rPr>
      </w:pPr>
    </w:p>
    <w:p>
      <w:pPr>
        <w:ind w:left="220"/>
        <w:spacing w:after="0"/>
        <w:rPr>
          <w:rFonts w:ascii="Arial" w:cs="Arial" w:eastAsia="Arial" w:hAnsi="Arial"/>
          <w:sz w:val="18"/>
          <w:szCs w:val="18"/>
          <w:u w:val="single" w:color="auto"/>
          <w:color w:val="0563C1"/>
        </w:rPr>
      </w:pPr>
      <w:hyperlink r:id="rId170">
        <w:r>
          <w:rPr>
            <w:rFonts w:ascii="Arial" w:cs="Arial" w:eastAsia="Arial" w:hAnsi="Arial"/>
            <w:sz w:val="18"/>
            <w:szCs w:val="18"/>
            <w:u w:val="single" w:color="auto"/>
            <w:color w:val="0563C1"/>
          </w:rPr>
          <w:t>10.22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-10160</wp:posOffset>
            </wp:positionV>
            <wp:extent cx="257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55" w:lineRule="exact"/>
        <w:rPr>
          <w:sz w:val="20"/>
          <w:szCs w:val="20"/>
          <w:color w:val="auto"/>
        </w:rPr>
      </w:pPr>
    </w:p>
    <w:p>
      <w:pPr>
        <w:ind w:left="220"/>
        <w:spacing w:after="0"/>
        <w:rPr>
          <w:rFonts w:ascii="Arial" w:cs="Arial" w:eastAsia="Arial" w:hAnsi="Arial"/>
          <w:sz w:val="18"/>
          <w:szCs w:val="18"/>
          <w:color w:val="0563C1"/>
        </w:rPr>
      </w:pPr>
      <w:hyperlink w:anchor="page125">
        <w:r>
          <w:rPr>
            <w:rFonts w:ascii="Arial" w:cs="Arial" w:eastAsia="Arial" w:hAnsi="Arial"/>
            <w:sz w:val="18"/>
            <w:szCs w:val="18"/>
            <w:u w:val="single" w:color="auto"/>
            <w:color w:val="0563C1"/>
          </w:rPr>
          <w:t>21.1</w:t>
        </w:r>
      </w:hyperlink>
      <w:r>
        <w:rPr>
          <w:rFonts w:ascii="Arial" w:cs="Arial" w:eastAsia="Arial" w:hAnsi="Arial"/>
          <w:sz w:val="18"/>
          <w:szCs w:val="18"/>
          <w:color w:val="000000"/>
        </w:rPr>
        <w:t>*</w:t>
      </w:r>
    </w:p>
    <w:p>
      <w:pPr>
        <w:ind w:left="220"/>
        <w:spacing w:after="0"/>
        <w:rPr>
          <w:rFonts w:ascii="Arial" w:cs="Arial" w:eastAsia="Arial" w:hAnsi="Arial"/>
          <w:sz w:val="18"/>
          <w:szCs w:val="18"/>
          <w:color w:val="0563C1"/>
        </w:rPr>
      </w:pPr>
      <w:hyperlink w:anchor="page126">
        <w:r>
          <w:rPr>
            <w:rFonts w:ascii="Arial" w:cs="Arial" w:eastAsia="Arial" w:hAnsi="Arial"/>
            <w:sz w:val="18"/>
            <w:szCs w:val="18"/>
            <w:u w:val="single" w:color="auto"/>
            <w:color w:val="0563C1"/>
          </w:rPr>
          <w:t>23.1</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-20320</wp:posOffset>
            </wp:positionV>
            <wp:extent cx="2000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41" w:lineRule="exact"/>
        <w:rPr>
          <w:sz w:val="20"/>
          <w:szCs w:val="20"/>
          <w:color w:val="auto"/>
        </w:rPr>
      </w:pPr>
    </w:p>
    <w:p>
      <w:pPr>
        <w:ind w:left="220"/>
        <w:spacing w:after="0"/>
        <w:rPr>
          <w:rFonts w:ascii="Arial" w:cs="Arial" w:eastAsia="Arial" w:hAnsi="Arial"/>
          <w:sz w:val="18"/>
          <w:szCs w:val="18"/>
          <w:color w:val="0563C1"/>
        </w:rPr>
      </w:pPr>
      <w:hyperlink w:anchor="page127">
        <w:r>
          <w:rPr>
            <w:rFonts w:ascii="Arial" w:cs="Arial" w:eastAsia="Arial" w:hAnsi="Arial"/>
            <w:sz w:val="18"/>
            <w:szCs w:val="18"/>
            <w:u w:val="single" w:color="auto"/>
            <w:color w:val="0563C1"/>
          </w:rPr>
          <w:t>31.1</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0"/>
        </w:trPr>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0" w:type="dxa"/>
            <w:vAlign w:val="bottom"/>
            <w:gridSpan w:val="33"/>
            <w:vMerge w:val="restart"/>
          </w:tcPr>
          <w:p>
            <w:pPr>
              <w:ind w:left="140"/>
              <w:spacing w:after="0"/>
              <w:rPr>
                <w:sz w:val="20"/>
                <w:szCs w:val="20"/>
                <w:color w:val="auto"/>
              </w:rPr>
            </w:pPr>
            <w:r>
              <w:rPr>
                <w:rFonts w:ascii="Arial" w:cs="Arial" w:eastAsia="Arial" w:hAnsi="Arial"/>
                <w:sz w:val="13"/>
                <w:szCs w:val="13"/>
                <w:b w:val="1"/>
                <w:bCs w:val="1"/>
                <w:color w:val="auto"/>
              </w:rPr>
              <w:t>Exhibit Description</w:t>
            </w: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Incorporation by Reference</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0" w:type="dxa"/>
            <w:vAlign w:val="bottom"/>
            <w:gridSpan w:val="33"/>
            <w:vMerge w:val="continue"/>
          </w:tcPr>
          <w:p>
            <w:pPr>
              <w:spacing w:after="0"/>
              <w:rPr>
                <w:sz w:val="12"/>
                <w:szCs w:val="12"/>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Form</w:t>
            </w:r>
          </w:p>
        </w:tc>
        <w:tc>
          <w:tcPr>
            <w:tcW w:w="110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auto"/>
              </w:rPr>
              <w:t>File No.</w:t>
            </w: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Exhibit(s)</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Filing Date</w:t>
            </w:r>
          </w:p>
        </w:tc>
        <w:tc>
          <w:tcPr>
            <w:tcW w:w="0" w:type="dxa"/>
            <w:vAlign w:val="bottom"/>
          </w:tcPr>
          <w:p>
            <w:pPr>
              <w:spacing w:after="0"/>
              <w:rPr>
                <w:sz w:val="1"/>
                <w:szCs w:val="1"/>
                <w:color w:val="auto"/>
              </w:rPr>
            </w:pPr>
          </w:p>
        </w:tc>
      </w:tr>
      <w:tr>
        <w:trPr>
          <w:trHeight w:val="162"/>
        </w:trPr>
        <w:tc>
          <w:tcPr>
            <w:tcW w:w="6040" w:type="dxa"/>
            <w:vAlign w:val="bottom"/>
            <w:tcBorders>
              <w:top w:val="single" w:sz="8" w:color="auto"/>
            </w:tcBorders>
            <w:gridSpan w:val="42"/>
          </w:tcPr>
          <w:p>
            <w:pPr>
              <w:spacing w:after="0" w:line="162" w:lineRule="exact"/>
              <w:rPr>
                <w:rFonts w:ascii="Arial" w:cs="Arial" w:eastAsia="Arial" w:hAnsi="Arial"/>
                <w:sz w:val="18"/>
                <w:szCs w:val="18"/>
                <w:color w:val="0563C1"/>
              </w:rPr>
            </w:pPr>
            <w:hyperlink r:id="rId129">
              <w:r>
                <w:rPr>
                  <w:rFonts w:ascii="Arial" w:cs="Arial" w:eastAsia="Arial" w:hAnsi="Arial"/>
                  <w:sz w:val="18"/>
                  <w:szCs w:val="18"/>
                  <w:color w:val="0563C1"/>
                </w:rPr>
                <w:t>Plan of Conversion of Pulse Biosciences, Inc.</w:t>
              </w:r>
            </w:hyperlink>
          </w:p>
        </w:tc>
        <w:tc>
          <w:tcPr>
            <w:tcW w:w="20" w:type="dxa"/>
            <w:vAlign w:val="bottom"/>
          </w:tcPr>
          <w:p>
            <w:pPr>
              <w:spacing w:after="0"/>
              <w:rPr>
                <w:sz w:val="14"/>
                <w:szCs w:val="14"/>
                <w:color w:val="auto"/>
              </w:rPr>
            </w:pPr>
          </w:p>
        </w:tc>
        <w:tc>
          <w:tcPr>
            <w:tcW w:w="8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96"/>
              </w:rPr>
              <w:t>8-K12B</w:t>
            </w:r>
          </w:p>
        </w:tc>
        <w:tc>
          <w:tcPr>
            <w:tcW w:w="100" w:type="dxa"/>
            <w:vAlign w:val="bottom"/>
          </w:tcPr>
          <w:p>
            <w:pPr>
              <w:spacing w:after="0"/>
              <w:rPr>
                <w:sz w:val="14"/>
                <w:szCs w:val="14"/>
                <w:color w:val="auto"/>
              </w:rPr>
            </w:pPr>
          </w:p>
        </w:tc>
        <w:tc>
          <w:tcPr>
            <w:tcW w:w="108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14"/>
                <w:szCs w:val="14"/>
                <w:color w:val="auto"/>
              </w:rPr>
            </w:pPr>
          </w:p>
        </w:tc>
        <w:tc>
          <w:tcPr>
            <w:tcW w:w="148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6"/>
              </w:rPr>
              <w:t>8-K12B</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3.1</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line="20" w:lineRule="exact"/>
              <w:rPr>
                <w:sz w:val="1"/>
                <w:szCs w:val="1"/>
                <w:color w:val="auto"/>
              </w:rPr>
            </w:pPr>
          </w:p>
        </w:tc>
      </w:tr>
      <w:tr>
        <w:trPr>
          <w:trHeight w:val="169"/>
        </w:trPr>
        <w:tc>
          <w:tcPr>
            <w:tcW w:w="3280" w:type="dxa"/>
            <w:vAlign w:val="bottom"/>
            <w:gridSpan w:val="20"/>
          </w:tcPr>
          <w:p>
            <w:pPr>
              <w:spacing w:after="0" w:line="169" w:lineRule="exact"/>
              <w:rPr>
                <w:rFonts w:ascii="Arial" w:cs="Arial" w:eastAsia="Arial" w:hAnsi="Arial"/>
                <w:sz w:val="18"/>
                <w:szCs w:val="18"/>
                <w:color w:val="0563C1"/>
              </w:rPr>
            </w:pPr>
            <w:hyperlink r:id="rId130">
              <w:r>
                <w:rPr>
                  <w:rFonts w:ascii="Arial" w:cs="Arial" w:eastAsia="Arial" w:hAnsi="Arial"/>
                  <w:sz w:val="18"/>
                  <w:szCs w:val="18"/>
                  <w:color w:val="0563C1"/>
                </w:rPr>
                <w:t>Articles of Conversion</w:t>
              </w:r>
            </w:hyperlink>
          </w:p>
        </w:tc>
        <w:tc>
          <w:tcPr>
            <w:tcW w:w="2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6"/>
              </w:rPr>
              <w:t>8-K12B</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3.2</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line="20" w:lineRule="exact"/>
              <w:rPr>
                <w:sz w:val="1"/>
                <w:szCs w:val="1"/>
                <w:color w:val="auto"/>
              </w:rPr>
            </w:pPr>
          </w:p>
        </w:tc>
      </w:tr>
      <w:tr>
        <w:trPr>
          <w:trHeight w:val="169"/>
        </w:trPr>
        <w:tc>
          <w:tcPr>
            <w:tcW w:w="1640" w:type="dxa"/>
            <w:vAlign w:val="bottom"/>
            <w:gridSpan w:val="7"/>
          </w:tcPr>
          <w:p>
            <w:pPr>
              <w:spacing w:after="0" w:line="169" w:lineRule="exact"/>
              <w:rPr>
                <w:rFonts w:ascii="Arial" w:cs="Arial" w:eastAsia="Arial" w:hAnsi="Arial"/>
                <w:sz w:val="18"/>
                <w:szCs w:val="18"/>
                <w:color w:val="0563C1"/>
                <w:w w:val="82"/>
              </w:rPr>
            </w:pPr>
            <w:hyperlink r:id="rId132">
              <w:r>
                <w:rPr>
                  <w:rFonts w:ascii="Arial" w:cs="Arial" w:eastAsia="Arial" w:hAnsi="Arial"/>
                  <w:sz w:val="18"/>
                  <w:szCs w:val="18"/>
                  <w:color w:val="0563C1"/>
                  <w:w w:val="82"/>
                </w:rPr>
                <w:t>Certificate of Conversion</w:t>
              </w:r>
            </w:hyperlink>
          </w:p>
        </w:tc>
        <w:tc>
          <w:tcPr>
            <w:tcW w:w="1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180" w:type="dxa"/>
            <w:vAlign w:val="bottom"/>
            <w:gridSpan w:val="34"/>
            <w:vMerge w:val="restart"/>
          </w:tcPr>
          <w:p>
            <w:pPr>
              <w:ind w:left="140"/>
              <w:spacing w:after="0" w:line="189" w:lineRule="exact"/>
              <w:rPr>
                <w:rFonts w:ascii="Arial" w:cs="Arial" w:eastAsia="Arial" w:hAnsi="Arial"/>
                <w:sz w:val="18"/>
                <w:szCs w:val="18"/>
                <w:color w:val="0563C1"/>
              </w:rPr>
            </w:pPr>
            <w:hyperlink r:id="rId133">
              <w:r>
                <w:rPr>
                  <w:rFonts w:ascii="Arial" w:cs="Arial" w:eastAsia="Arial" w:hAnsi="Arial"/>
                  <w:sz w:val="18"/>
                  <w:szCs w:val="18"/>
                  <w:color w:val="0563C1"/>
                </w:rPr>
                <w:t>of Pulse Biosciences, Inc.</w:t>
              </w:r>
            </w:hyperlink>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6"/>
              </w:rPr>
              <w:t>8-K12B</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3.3</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line="20" w:lineRule="exact"/>
              <w:rPr>
                <w:sz w:val="1"/>
                <w:szCs w:val="1"/>
                <w:color w:val="auto"/>
              </w:rPr>
            </w:pPr>
          </w:p>
        </w:tc>
      </w:tr>
      <w:tr>
        <w:trPr>
          <w:trHeight w:val="169"/>
        </w:trPr>
        <w:tc>
          <w:tcPr>
            <w:tcW w:w="1820" w:type="dxa"/>
            <w:vAlign w:val="bottom"/>
            <w:gridSpan w:val="8"/>
          </w:tcPr>
          <w:p>
            <w:pPr>
              <w:spacing w:after="0" w:line="169" w:lineRule="exact"/>
              <w:rPr>
                <w:rFonts w:ascii="Arial" w:cs="Arial" w:eastAsia="Arial" w:hAnsi="Arial"/>
                <w:sz w:val="18"/>
                <w:szCs w:val="18"/>
                <w:color w:val="0563C1"/>
                <w:w w:val="85"/>
              </w:rPr>
            </w:pPr>
            <w:hyperlink r:id="rId133">
              <w:r>
                <w:rPr>
                  <w:rFonts w:ascii="Arial" w:cs="Arial" w:eastAsia="Arial" w:hAnsi="Arial"/>
                  <w:sz w:val="18"/>
                  <w:szCs w:val="18"/>
                  <w:color w:val="0563C1"/>
                  <w:w w:val="85"/>
                </w:rPr>
                <w:t>Certificate of Incorporation</w:t>
              </w:r>
            </w:hyperlink>
          </w:p>
        </w:tc>
        <w:tc>
          <w:tcPr>
            <w:tcW w:w="60" w:type="dxa"/>
            <w:vAlign w:val="bottom"/>
            <w:vMerge w:val="continue"/>
          </w:tcPr>
          <w:p>
            <w:pPr>
              <w:spacing w:after="0"/>
              <w:rPr>
                <w:sz w:val="14"/>
                <w:szCs w:val="14"/>
                <w:color w:val="auto"/>
              </w:rPr>
            </w:pPr>
          </w:p>
        </w:tc>
        <w:tc>
          <w:tcPr>
            <w:tcW w:w="4180" w:type="dxa"/>
            <w:vAlign w:val="bottom"/>
            <w:gridSpan w:val="3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6"/>
              </w:rPr>
              <w:t>8-K12B</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3.4</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line="20" w:lineRule="exact"/>
              <w:rPr>
                <w:sz w:val="1"/>
                <w:szCs w:val="1"/>
                <w:color w:val="auto"/>
              </w:rPr>
            </w:pPr>
          </w:p>
        </w:tc>
      </w:tr>
      <w:tr>
        <w:trPr>
          <w:trHeight w:val="169"/>
        </w:trPr>
        <w:tc>
          <w:tcPr>
            <w:tcW w:w="3860" w:type="dxa"/>
            <w:vAlign w:val="bottom"/>
            <w:gridSpan w:val="23"/>
          </w:tcPr>
          <w:p>
            <w:pPr>
              <w:spacing w:after="0" w:line="169" w:lineRule="exact"/>
              <w:rPr>
                <w:rFonts w:ascii="Arial" w:cs="Arial" w:eastAsia="Arial" w:hAnsi="Arial"/>
                <w:sz w:val="18"/>
                <w:szCs w:val="18"/>
                <w:color w:val="0563C1"/>
              </w:rPr>
            </w:pPr>
            <w:hyperlink r:id="rId135">
              <w:r>
                <w:rPr>
                  <w:rFonts w:ascii="Arial" w:cs="Arial" w:eastAsia="Arial" w:hAnsi="Arial"/>
                  <w:sz w:val="18"/>
                  <w:szCs w:val="18"/>
                  <w:color w:val="0563C1"/>
                </w:rPr>
                <w:t>Bylaws of Pulse Biosciences, Inc.</w:t>
              </w:r>
            </w:hyperlink>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6"/>
              </w:rPr>
              <w:t>8-K12B</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4.1</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rPr>
            </w:pPr>
            <w:hyperlink r:id="rId136">
              <w:r>
                <w:rPr>
                  <w:rFonts w:ascii="Arial" w:cs="Arial" w:eastAsia="Arial" w:hAnsi="Arial"/>
                  <w:sz w:val="18"/>
                  <w:szCs w:val="18"/>
                  <w:color w:val="0563C1"/>
                </w:rPr>
                <w:t>Specimen Common Stock Certificate</w:t>
              </w:r>
            </w:hyperlink>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3"/>
              </w:rPr>
              <w:t>S-3/A</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333-237577</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4.3</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May 1, 2020</w:t>
            </w:r>
          </w:p>
        </w:tc>
        <w:tc>
          <w:tcPr>
            <w:tcW w:w="0" w:type="dxa"/>
            <w:vAlign w:val="bottom"/>
          </w:tcPr>
          <w:p>
            <w:pPr>
              <w:spacing w:after="0" w:line="20" w:lineRule="exact"/>
              <w:rPr>
                <w:sz w:val="1"/>
                <w:szCs w:val="1"/>
                <w:color w:val="auto"/>
              </w:rPr>
            </w:pPr>
          </w:p>
        </w:tc>
      </w:tr>
      <w:tr>
        <w:trPr>
          <w:trHeight w:val="169"/>
        </w:trPr>
        <w:tc>
          <w:tcPr>
            <w:tcW w:w="2680" w:type="dxa"/>
            <w:vAlign w:val="bottom"/>
            <w:gridSpan w:val="14"/>
          </w:tcPr>
          <w:p>
            <w:pPr>
              <w:spacing w:after="0" w:line="169" w:lineRule="exact"/>
              <w:rPr>
                <w:rFonts w:ascii="Arial" w:cs="Arial" w:eastAsia="Arial" w:hAnsi="Arial"/>
                <w:sz w:val="18"/>
                <w:szCs w:val="18"/>
                <w:color w:val="0563C1"/>
              </w:rPr>
            </w:pPr>
            <w:hyperlink r:id="rId138">
              <w:r>
                <w:rPr>
                  <w:rFonts w:ascii="Arial" w:cs="Arial" w:eastAsia="Arial" w:hAnsi="Arial"/>
                  <w:sz w:val="18"/>
                  <w:szCs w:val="18"/>
                  <w:color w:val="0563C1"/>
                </w:rPr>
                <w:t>Form of Warrant</w:t>
              </w:r>
            </w:hyperlink>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860" w:type="dxa"/>
            <w:vAlign w:val="bottom"/>
            <w:gridSpan w:val="38"/>
            <w:vMerge w:val="restart"/>
          </w:tcPr>
          <w:p>
            <w:pPr>
              <w:ind w:left="40"/>
              <w:spacing w:after="0" w:line="189" w:lineRule="exact"/>
              <w:rPr>
                <w:rFonts w:ascii="Arial" w:cs="Arial" w:eastAsia="Arial" w:hAnsi="Arial"/>
                <w:sz w:val="18"/>
                <w:szCs w:val="18"/>
                <w:color w:val="0563C1"/>
              </w:rPr>
            </w:pPr>
            <w:hyperlink r:id="rId139">
              <w:r>
                <w:rPr>
                  <w:rFonts w:ascii="Arial" w:cs="Arial" w:eastAsia="Arial" w:hAnsi="Arial"/>
                  <w:sz w:val="18"/>
                  <w:szCs w:val="18"/>
                  <w:color w:val="0563C1"/>
                </w:rPr>
                <w:t>Agent Agreement</w:t>
              </w:r>
            </w:hyperlink>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3"/>
              </w:rPr>
              <w:t>S-3/A</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333-237577</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4.4</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May 1, 2020</w:t>
            </w:r>
          </w:p>
        </w:tc>
        <w:tc>
          <w:tcPr>
            <w:tcW w:w="0" w:type="dxa"/>
            <w:vAlign w:val="bottom"/>
          </w:tcPr>
          <w:p>
            <w:pPr>
              <w:spacing w:after="0" w:line="20" w:lineRule="exact"/>
              <w:rPr>
                <w:sz w:val="1"/>
                <w:szCs w:val="1"/>
                <w:color w:val="auto"/>
              </w:rPr>
            </w:pPr>
          </w:p>
        </w:tc>
      </w:tr>
      <w:tr>
        <w:trPr>
          <w:trHeight w:val="169"/>
        </w:trPr>
        <w:tc>
          <w:tcPr>
            <w:tcW w:w="1200" w:type="dxa"/>
            <w:vAlign w:val="bottom"/>
            <w:gridSpan w:val="5"/>
          </w:tcPr>
          <w:p>
            <w:pPr>
              <w:spacing w:after="0" w:line="169" w:lineRule="exact"/>
              <w:rPr>
                <w:rFonts w:ascii="Arial" w:cs="Arial" w:eastAsia="Arial" w:hAnsi="Arial"/>
                <w:sz w:val="18"/>
                <w:szCs w:val="18"/>
                <w:color w:val="0563C1"/>
                <w:w w:val="90"/>
              </w:rPr>
            </w:pPr>
            <w:hyperlink r:id="rId139">
              <w:r>
                <w:rPr>
                  <w:rFonts w:ascii="Arial" w:cs="Arial" w:eastAsia="Arial" w:hAnsi="Arial"/>
                  <w:sz w:val="18"/>
                  <w:szCs w:val="18"/>
                  <w:color w:val="0563C1"/>
                  <w:w w:val="90"/>
                </w:rPr>
                <w:t>Form of Warrant</w:t>
              </w:r>
            </w:hyperlink>
          </w:p>
        </w:tc>
        <w:tc>
          <w:tcPr>
            <w:tcW w:w="4860" w:type="dxa"/>
            <w:vAlign w:val="bottom"/>
            <w:gridSpan w:val="38"/>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w w:val="95"/>
              </w:rPr>
            </w:pPr>
            <w:hyperlink r:id="rId141">
              <w:r>
                <w:rPr>
                  <w:rFonts w:ascii="Arial" w:cs="Arial" w:eastAsia="Arial" w:hAnsi="Arial"/>
                  <w:sz w:val="18"/>
                  <w:szCs w:val="18"/>
                  <w:color w:val="0563C1"/>
                  <w:w w:val="95"/>
                </w:rPr>
                <w:t>Lease for facilities at 3955 Point Eden Way, Hayward, California, dated January</w:t>
              </w:r>
            </w:hyperlink>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9"/>
              </w:rPr>
              <w:t>10-K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1"/>
              </w:rPr>
              <w:t>March 20, 2017</w:t>
            </w: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60" w:type="dxa"/>
            <w:vAlign w:val="bottom"/>
            <w:tcBorders>
              <w:right w:val="single" w:sz="8" w:color="0563C1"/>
            </w:tcBorders>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gridSpan w:val="3"/>
          </w:tcPr>
          <w:p>
            <w:pPr>
              <w:spacing w:after="0" w:line="169" w:lineRule="exact"/>
              <w:rPr>
                <w:rFonts w:ascii="Arial" w:cs="Arial" w:eastAsia="Arial" w:hAnsi="Arial"/>
                <w:sz w:val="18"/>
                <w:szCs w:val="18"/>
                <w:color w:val="0563C1"/>
              </w:rPr>
            </w:pPr>
            <w:hyperlink r:id="rId141">
              <w:r>
                <w:rPr>
                  <w:rFonts w:ascii="Arial" w:cs="Arial" w:eastAsia="Arial" w:hAnsi="Arial"/>
                  <w:sz w:val="18"/>
                  <w:szCs w:val="18"/>
                  <w:color w:val="0563C1"/>
                </w:rPr>
                <w:t>26, 2017</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5440" w:type="dxa"/>
            <w:vAlign w:val="bottom"/>
            <w:gridSpan w:val="41"/>
            <w:vMerge w:val="restart"/>
          </w:tcPr>
          <w:p>
            <w:pPr>
              <w:jc w:val="right"/>
              <w:ind w:right="200"/>
              <w:spacing w:after="0" w:line="189" w:lineRule="exact"/>
              <w:rPr>
                <w:rFonts w:ascii="Arial" w:cs="Arial" w:eastAsia="Arial" w:hAnsi="Arial"/>
                <w:sz w:val="18"/>
                <w:szCs w:val="18"/>
                <w:color w:val="0563C1"/>
                <w:w w:val="98"/>
              </w:rPr>
            </w:pPr>
            <w:hyperlink r:id="rId142">
              <w:r>
                <w:rPr>
                  <w:rFonts w:ascii="Arial" w:cs="Arial" w:eastAsia="Arial" w:hAnsi="Arial"/>
                  <w:sz w:val="18"/>
                  <w:szCs w:val="18"/>
                  <w:color w:val="0563C1"/>
                  <w:w w:val="98"/>
                </w:rPr>
                <w:t>Agreement among Old Dominion University Research Foundation,</w:t>
              </w:r>
            </w:hyperlink>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gridSpan w:val="2"/>
          </w:tcPr>
          <w:p>
            <w:pPr>
              <w:spacing w:after="0" w:line="169" w:lineRule="exact"/>
              <w:rPr>
                <w:rFonts w:ascii="Arial" w:cs="Arial" w:eastAsia="Arial" w:hAnsi="Arial"/>
                <w:sz w:val="18"/>
                <w:szCs w:val="18"/>
                <w:color w:val="0563C1"/>
                <w:w w:val="96"/>
              </w:rPr>
            </w:pPr>
            <w:hyperlink r:id="rId142">
              <w:r>
                <w:rPr>
                  <w:rFonts w:ascii="Arial" w:cs="Arial" w:eastAsia="Arial" w:hAnsi="Arial"/>
                  <w:sz w:val="18"/>
                  <w:szCs w:val="18"/>
                  <w:color w:val="0563C1"/>
                  <w:w w:val="96"/>
                </w:rPr>
                <w:t>License</w:t>
              </w:r>
            </w:hyperlink>
          </w:p>
        </w:tc>
        <w:tc>
          <w:tcPr>
            <w:tcW w:w="5440" w:type="dxa"/>
            <w:vAlign w:val="bottom"/>
            <w:gridSpan w:val="41"/>
            <w:vMerge w:val="continue"/>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3"/>
              </w:rPr>
              <w:t>S-1/A</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10.12</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2"/>
              </w:rPr>
              <w:t>May 3, 2016</w:t>
            </w: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620" w:type="dxa"/>
            <w:vAlign w:val="bottom"/>
            <w:tcBorders>
              <w:right w:val="single" w:sz="8" w:color="0563C1"/>
            </w:tcBorders>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60" w:type="dxa"/>
            <w:vAlign w:val="bottom"/>
            <w:gridSpan w:val="38"/>
          </w:tcPr>
          <w:p>
            <w:pPr>
              <w:spacing w:after="0" w:line="169" w:lineRule="exact"/>
              <w:rPr>
                <w:rFonts w:ascii="Arial" w:cs="Arial" w:eastAsia="Arial" w:hAnsi="Arial"/>
                <w:sz w:val="18"/>
                <w:szCs w:val="18"/>
                <w:color w:val="0563C1"/>
              </w:rPr>
            </w:pPr>
            <w:hyperlink r:id="rId142">
              <w:r>
                <w:rPr>
                  <w:rFonts w:ascii="Arial" w:cs="Arial" w:eastAsia="Arial" w:hAnsi="Arial"/>
                  <w:sz w:val="18"/>
                  <w:szCs w:val="18"/>
                  <w:color w:val="0563C1"/>
                </w:rPr>
                <w:t>Eastern Virginia Medical School and the Registrant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rPr>
            </w:pPr>
            <w:hyperlink r:id="rId144">
              <w:r>
                <w:rPr>
                  <w:rFonts w:ascii="Arial" w:cs="Arial" w:eastAsia="Arial" w:hAnsi="Arial"/>
                  <w:sz w:val="18"/>
                  <w:szCs w:val="18"/>
                  <w:color w:val="0563C1"/>
                </w:rPr>
                <w:t>Amendments No. 1 to License Agreement among Old Dominion University</w:t>
              </w:r>
            </w:hyperlink>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3"/>
              </w:rPr>
              <w:t>S-1/A</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10.13</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2"/>
              </w:rPr>
              <w:t>March 7, 2016</w:t>
            </w: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gridSpan w:val="41"/>
          </w:tcPr>
          <w:p>
            <w:pPr>
              <w:spacing w:after="0" w:line="169" w:lineRule="exact"/>
              <w:rPr>
                <w:rFonts w:ascii="Arial" w:cs="Arial" w:eastAsia="Arial" w:hAnsi="Arial"/>
                <w:sz w:val="18"/>
                <w:szCs w:val="18"/>
                <w:color w:val="0563C1"/>
              </w:rPr>
            </w:pPr>
            <w:hyperlink r:id="rId144">
              <w:r>
                <w:rPr>
                  <w:rFonts w:ascii="Arial" w:cs="Arial" w:eastAsia="Arial" w:hAnsi="Arial"/>
                  <w:sz w:val="18"/>
                  <w:szCs w:val="18"/>
                  <w:color w:val="0563C1"/>
                </w:rPr>
                <w:t>Research Foundation, Eastern Virginia Medical School and the Registrant</w:t>
              </w:r>
            </w:hyperlink>
          </w:p>
        </w:tc>
        <w:tc>
          <w:tcPr>
            <w:tcW w:w="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20" w:type="dxa"/>
            <w:vAlign w:val="bottom"/>
            <w:gridSpan w:val="29"/>
          </w:tcPr>
          <w:p>
            <w:pPr>
              <w:spacing w:after="0" w:line="169" w:lineRule="exact"/>
              <w:rPr>
                <w:rFonts w:ascii="Arial" w:cs="Arial" w:eastAsia="Arial" w:hAnsi="Arial"/>
                <w:sz w:val="18"/>
                <w:szCs w:val="18"/>
                <w:color w:val="0563C1"/>
                <w:w w:val="90"/>
              </w:rPr>
            </w:pPr>
            <w:hyperlink w:anchor="page101">
              <w:r>
                <w:rPr>
                  <w:rFonts w:ascii="Arial" w:cs="Arial" w:eastAsia="Arial" w:hAnsi="Arial"/>
                  <w:sz w:val="18"/>
                  <w:szCs w:val="18"/>
                  <w:color w:val="0563C1"/>
                  <w:w w:val="90"/>
                </w:rPr>
                <w:t>Employment Agreement between Mitchell E. Levinson and the Registrant</w:t>
              </w:r>
            </w:hyperlink>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gridSpan w:val="2"/>
            <w:shd w:val="clear" w:color="auto" w:fill="0563C1"/>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30"/>
          </w:tcPr>
          <w:p>
            <w:pPr>
              <w:spacing w:after="0" w:line="169" w:lineRule="exact"/>
              <w:rPr>
                <w:rFonts w:ascii="Arial" w:cs="Arial" w:eastAsia="Arial" w:hAnsi="Arial"/>
                <w:sz w:val="18"/>
                <w:szCs w:val="18"/>
                <w:color w:val="0563C1"/>
                <w:w w:val="99"/>
              </w:rPr>
            </w:pPr>
            <w:hyperlink w:anchor="page113">
              <w:r>
                <w:rPr>
                  <w:rFonts w:ascii="Arial" w:cs="Arial" w:eastAsia="Arial" w:hAnsi="Arial"/>
                  <w:sz w:val="18"/>
                  <w:szCs w:val="18"/>
                  <w:color w:val="0563C1"/>
                  <w:w w:val="99"/>
                </w:rPr>
                <w:t>Employment Agreement between Kevin Danahy and the Registrant</w:t>
              </w:r>
            </w:hyperlink>
          </w:p>
        </w:tc>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200" w:type="dxa"/>
            <w:vAlign w:val="bottom"/>
            <w:gridSpan w:val="17"/>
            <w:vMerge w:val="restart"/>
          </w:tcPr>
          <w:p>
            <w:pPr>
              <w:jc w:val="right"/>
              <w:ind w:right="200"/>
              <w:spacing w:after="0" w:line="189" w:lineRule="exact"/>
              <w:rPr>
                <w:rFonts w:ascii="Arial" w:cs="Arial" w:eastAsia="Arial" w:hAnsi="Arial"/>
                <w:sz w:val="18"/>
                <w:szCs w:val="18"/>
                <w:color w:val="0563C1"/>
                <w:w w:val="82"/>
              </w:rPr>
            </w:pPr>
            <w:hyperlink r:id="rId146">
              <w:r>
                <w:rPr>
                  <w:rFonts w:ascii="Arial" w:cs="Arial" w:eastAsia="Arial" w:hAnsi="Arial"/>
                  <w:sz w:val="18"/>
                  <w:szCs w:val="18"/>
                  <w:color w:val="0563C1"/>
                  <w:w w:val="82"/>
                </w:rPr>
                <w:t>between Pulse</w:t>
              </w:r>
            </w:hyperlink>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60" w:type="dxa"/>
            <w:vAlign w:val="bottom"/>
            <w:gridSpan w:val="26"/>
          </w:tcPr>
          <w:p>
            <w:pPr>
              <w:spacing w:after="0" w:line="169" w:lineRule="exact"/>
              <w:rPr>
                <w:rFonts w:ascii="Arial" w:cs="Arial" w:eastAsia="Arial" w:hAnsi="Arial"/>
                <w:sz w:val="18"/>
                <w:szCs w:val="18"/>
                <w:color w:val="0563C1"/>
                <w:w w:val="94"/>
              </w:rPr>
            </w:pPr>
            <w:hyperlink r:id="rId146">
              <w:r>
                <w:rPr>
                  <w:rFonts w:ascii="Arial" w:cs="Arial" w:eastAsia="Arial" w:hAnsi="Arial"/>
                  <w:sz w:val="18"/>
                  <w:szCs w:val="18"/>
                  <w:color w:val="0563C1"/>
                  <w:w w:val="94"/>
                </w:rPr>
                <w:t>Securities Purchase Agreement, dated February 7, 2017, by and</w:t>
              </w:r>
            </w:hyperlink>
          </w:p>
        </w:tc>
        <w:tc>
          <w:tcPr>
            <w:tcW w:w="1200" w:type="dxa"/>
            <w:vAlign w:val="bottom"/>
            <w:gridSpan w:val="17"/>
            <w:vMerge w:val="continue"/>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10, 2017</w:t>
            </w: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40" w:type="dxa"/>
            <w:vAlign w:val="bottom"/>
            <w:gridSpan w:val="37"/>
          </w:tcPr>
          <w:p>
            <w:pPr>
              <w:spacing w:after="0" w:line="169" w:lineRule="exact"/>
              <w:rPr>
                <w:rFonts w:ascii="Arial" w:cs="Arial" w:eastAsia="Arial" w:hAnsi="Arial"/>
                <w:sz w:val="18"/>
                <w:szCs w:val="18"/>
                <w:color w:val="0563C1"/>
              </w:rPr>
            </w:pPr>
            <w:hyperlink r:id="rId146">
              <w:r>
                <w:rPr>
                  <w:rFonts w:ascii="Arial" w:cs="Arial" w:eastAsia="Arial" w:hAnsi="Arial"/>
                  <w:sz w:val="18"/>
                  <w:szCs w:val="18"/>
                  <w:color w:val="0563C1"/>
                </w:rPr>
                <w:t>Biosciences, Inc. and certain purchasers</w:t>
              </w:r>
            </w:hyperlink>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60" w:type="dxa"/>
            <w:vAlign w:val="bottom"/>
            <w:gridSpan w:val="26"/>
            <w:vMerge w:val="restart"/>
          </w:tcPr>
          <w:p>
            <w:pPr>
              <w:jc w:val="right"/>
              <w:ind w:right="200"/>
              <w:spacing w:after="0" w:line="189" w:lineRule="exact"/>
              <w:rPr>
                <w:rFonts w:ascii="Arial" w:cs="Arial" w:eastAsia="Arial" w:hAnsi="Arial"/>
                <w:sz w:val="18"/>
                <w:szCs w:val="18"/>
                <w:color w:val="0563C1"/>
                <w:w w:val="83"/>
              </w:rPr>
            </w:pPr>
            <w:hyperlink r:id="rId148">
              <w:r>
                <w:rPr>
                  <w:rFonts w:ascii="Arial" w:cs="Arial" w:eastAsia="Arial" w:hAnsi="Arial"/>
                  <w:sz w:val="18"/>
                  <w:szCs w:val="18"/>
                  <w:color w:val="0563C1"/>
                  <w:w w:val="83"/>
                </w:rPr>
                <w:t>September 24, 2017, by and between Pulse</w:t>
              </w:r>
            </w:hyperlink>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00" w:type="dxa"/>
            <w:vAlign w:val="bottom"/>
            <w:gridSpan w:val="17"/>
          </w:tcPr>
          <w:p>
            <w:pPr>
              <w:spacing w:after="0" w:line="169" w:lineRule="exact"/>
              <w:rPr>
                <w:rFonts w:ascii="Arial" w:cs="Arial" w:eastAsia="Arial" w:hAnsi="Arial"/>
                <w:sz w:val="18"/>
                <w:szCs w:val="18"/>
                <w:color w:val="0563C1"/>
                <w:w w:val="93"/>
              </w:rPr>
            </w:pPr>
            <w:hyperlink r:id="rId148">
              <w:r>
                <w:rPr>
                  <w:rFonts w:ascii="Arial" w:cs="Arial" w:eastAsia="Arial" w:hAnsi="Arial"/>
                  <w:sz w:val="18"/>
                  <w:szCs w:val="18"/>
                  <w:color w:val="0563C1"/>
                  <w:w w:val="93"/>
                </w:rPr>
                <w:t>Securities Purchase Agreement, dated</w:t>
              </w:r>
            </w:hyperlink>
          </w:p>
        </w:tc>
        <w:tc>
          <w:tcPr>
            <w:tcW w:w="3160" w:type="dxa"/>
            <w:vAlign w:val="bottom"/>
            <w:gridSpan w:val="26"/>
            <w:vMerge w:val="continue"/>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8"/>
              </w:rPr>
              <w:t>September 25, 2017</w:t>
            </w: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gridSpan w:val="40"/>
          </w:tcPr>
          <w:p>
            <w:pPr>
              <w:spacing w:after="0" w:line="169" w:lineRule="exact"/>
              <w:rPr>
                <w:rFonts w:ascii="Arial" w:cs="Arial" w:eastAsia="Arial" w:hAnsi="Arial"/>
                <w:sz w:val="18"/>
                <w:szCs w:val="18"/>
                <w:color w:val="0563C1"/>
              </w:rPr>
            </w:pPr>
            <w:hyperlink r:id="rId148">
              <w:r>
                <w:rPr>
                  <w:rFonts w:ascii="Arial" w:cs="Arial" w:eastAsia="Arial" w:hAnsi="Arial"/>
                  <w:sz w:val="18"/>
                  <w:szCs w:val="18"/>
                  <w:color w:val="0563C1"/>
                </w:rPr>
                <w:t>Biosciences, Inc. and certain purchasers</w:t>
              </w:r>
            </w:hyperlink>
          </w:p>
        </w:tc>
        <w:tc>
          <w:tcPr>
            <w:tcW w:w="6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84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gridSpan w:val="3"/>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2"/>
              </w:rPr>
              <w:t>S-1</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333-208694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10.2</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December 22, 2015</w:t>
            </w:r>
          </w:p>
        </w:tc>
        <w:tc>
          <w:tcPr>
            <w:tcW w:w="0" w:type="dxa"/>
            <w:vAlign w:val="bottom"/>
          </w:tcPr>
          <w:p>
            <w:pPr>
              <w:spacing w:after="0" w:line="20" w:lineRule="exact"/>
              <w:rPr>
                <w:sz w:val="1"/>
                <w:szCs w:val="1"/>
                <w:color w:val="auto"/>
              </w:rPr>
            </w:pPr>
          </w:p>
        </w:tc>
      </w:tr>
      <w:tr>
        <w:trPr>
          <w:trHeight w:val="169"/>
        </w:trPr>
        <w:tc>
          <w:tcPr>
            <w:tcW w:w="2880" w:type="dxa"/>
            <w:vAlign w:val="bottom"/>
            <w:gridSpan w:val="16"/>
          </w:tcPr>
          <w:p>
            <w:pPr>
              <w:spacing w:after="0" w:line="169" w:lineRule="exact"/>
              <w:rPr>
                <w:rFonts w:ascii="Arial" w:cs="Arial" w:eastAsia="Arial" w:hAnsi="Arial"/>
                <w:sz w:val="18"/>
                <w:szCs w:val="18"/>
                <w:color w:val="0563C1"/>
              </w:rPr>
            </w:pPr>
            <w:hyperlink r:id="rId149">
              <w:r>
                <w:rPr>
                  <w:rFonts w:ascii="Arial" w:cs="Arial" w:eastAsia="Arial" w:hAnsi="Arial"/>
                  <w:sz w:val="18"/>
                  <w:szCs w:val="18"/>
                  <w:color w:val="0563C1"/>
                </w:rPr>
                <w:t>2015 Stock Incentive Plan</w:t>
              </w:r>
            </w:hyperlink>
          </w:p>
        </w:tc>
        <w:tc>
          <w:tcPr>
            <w:tcW w:w="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80" w:type="dxa"/>
            <w:vAlign w:val="bottom"/>
            <w:gridSpan w:val="3"/>
            <w:shd w:val="clear" w:color="auto" w:fill="0563C1"/>
          </w:tcPr>
          <w:p>
            <w:pPr>
              <w:spacing w:after="0" w:line="20" w:lineRule="exact"/>
              <w:rPr>
                <w:sz w:val="1"/>
                <w:szCs w:val="1"/>
                <w:color w:val="auto"/>
              </w:rPr>
            </w:pPr>
          </w:p>
        </w:tc>
        <w:tc>
          <w:tcPr>
            <w:tcW w:w="4180" w:type="dxa"/>
            <w:vAlign w:val="bottom"/>
            <w:gridSpan w:val="34"/>
            <w:vMerge w:val="restart"/>
          </w:tcPr>
          <w:p>
            <w:pPr>
              <w:spacing w:after="0" w:line="189" w:lineRule="exact"/>
              <w:rPr>
                <w:rFonts w:ascii="Arial" w:cs="Arial" w:eastAsia="Arial" w:hAnsi="Arial"/>
                <w:sz w:val="18"/>
                <w:szCs w:val="18"/>
                <w:color w:val="0563C1"/>
              </w:rPr>
            </w:pPr>
            <w:hyperlink r:id="rId151">
              <w:r>
                <w:rPr>
                  <w:rFonts w:ascii="Arial" w:cs="Arial" w:eastAsia="Arial" w:hAnsi="Arial"/>
                  <w:sz w:val="18"/>
                  <w:szCs w:val="18"/>
                  <w:color w:val="0563C1"/>
                </w:rPr>
                <w:t>Incentive Plan and forms of agreements thereunder</w:t>
              </w:r>
            </w:hyperlink>
          </w:p>
        </w:tc>
        <w:tc>
          <w:tcPr>
            <w:tcW w:w="920" w:type="dxa"/>
            <w:vAlign w:val="bottom"/>
            <w:gridSpan w:val="2"/>
            <w:vMerge w:val="restart"/>
          </w:tcPr>
          <w:p>
            <w:pPr>
              <w:jc w:val="center"/>
              <w:ind w:right="200"/>
              <w:spacing w:after="0" w:line="189" w:lineRule="exact"/>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November 28, 2017</w:t>
            </w:r>
          </w:p>
        </w:tc>
        <w:tc>
          <w:tcPr>
            <w:tcW w:w="0" w:type="dxa"/>
            <w:vAlign w:val="bottom"/>
          </w:tcPr>
          <w:p>
            <w:pPr>
              <w:spacing w:after="0" w:line="20" w:lineRule="exact"/>
              <w:rPr>
                <w:sz w:val="1"/>
                <w:szCs w:val="1"/>
                <w:color w:val="auto"/>
              </w:rPr>
            </w:pPr>
          </w:p>
        </w:tc>
      </w:tr>
      <w:tr>
        <w:trPr>
          <w:trHeight w:val="169"/>
        </w:trPr>
        <w:tc>
          <w:tcPr>
            <w:tcW w:w="1880" w:type="dxa"/>
            <w:vAlign w:val="bottom"/>
            <w:gridSpan w:val="9"/>
          </w:tcPr>
          <w:p>
            <w:pPr>
              <w:spacing w:after="0" w:line="169" w:lineRule="exact"/>
              <w:rPr>
                <w:rFonts w:ascii="Arial" w:cs="Arial" w:eastAsia="Arial" w:hAnsi="Arial"/>
                <w:sz w:val="18"/>
                <w:szCs w:val="18"/>
                <w:color w:val="0563C1"/>
                <w:w w:val="95"/>
              </w:rPr>
            </w:pPr>
            <w:hyperlink r:id="rId151">
              <w:r>
                <w:rPr>
                  <w:rFonts w:ascii="Arial" w:cs="Arial" w:eastAsia="Arial" w:hAnsi="Arial"/>
                  <w:sz w:val="18"/>
                  <w:szCs w:val="18"/>
                  <w:color w:val="0563C1"/>
                  <w:w w:val="95"/>
                </w:rPr>
                <w:t>2017 Inducement Equity</w:t>
              </w:r>
            </w:hyperlink>
          </w:p>
        </w:tc>
        <w:tc>
          <w:tcPr>
            <w:tcW w:w="4180" w:type="dxa"/>
            <w:vAlign w:val="bottom"/>
            <w:gridSpan w:val="3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9"/>
              </w:rPr>
              <w:t>10-K</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10.10</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March 12, 2021</w:t>
            </w:r>
          </w:p>
        </w:tc>
        <w:tc>
          <w:tcPr>
            <w:tcW w:w="0" w:type="dxa"/>
            <w:vAlign w:val="bottom"/>
          </w:tcPr>
          <w:p>
            <w:pPr>
              <w:spacing w:after="0" w:line="20" w:lineRule="exact"/>
              <w:rPr>
                <w:sz w:val="1"/>
                <w:szCs w:val="1"/>
                <w:color w:val="auto"/>
              </w:rPr>
            </w:pPr>
          </w:p>
        </w:tc>
      </w:tr>
      <w:tr>
        <w:trPr>
          <w:trHeight w:val="169"/>
        </w:trPr>
        <w:tc>
          <w:tcPr>
            <w:tcW w:w="5500" w:type="dxa"/>
            <w:vAlign w:val="bottom"/>
            <w:gridSpan w:val="31"/>
          </w:tcPr>
          <w:p>
            <w:pPr>
              <w:spacing w:after="0" w:line="169" w:lineRule="exact"/>
              <w:rPr>
                <w:rFonts w:ascii="Arial" w:cs="Arial" w:eastAsia="Arial" w:hAnsi="Arial"/>
                <w:sz w:val="18"/>
                <w:szCs w:val="18"/>
                <w:color w:val="0563C1"/>
              </w:rPr>
            </w:pPr>
            <w:hyperlink r:id="rId152">
              <w:r>
                <w:rPr>
                  <w:rFonts w:ascii="Arial" w:cs="Arial" w:eastAsia="Arial" w:hAnsi="Arial"/>
                  <w:sz w:val="18"/>
                  <w:szCs w:val="18"/>
                  <w:color w:val="0563C1"/>
                </w:rPr>
                <w:t>2017 Equity Incentive Plan and forms of agreements thereunder</w:t>
              </w:r>
            </w:hyperlink>
          </w:p>
        </w:tc>
        <w:tc>
          <w:tcPr>
            <w:tcW w:w="3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460" w:type="dxa"/>
            <w:vAlign w:val="bottom"/>
            <w:gridSpan w:val="18"/>
            <w:vMerge w:val="restart"/>
          </w:tcPr>
          <w:p>
            <w:pPr>
              <w:spacing w:after="0" w:line="189" w:lineRule="exact"/>
              <w:rPr>
                <w:rFonts w:ascii="Arial" w:cs="Arial" w:eastAsia="Arial" w:hAnsi="Arial"/>
                <w:sz w:val="18"/>
                <w:szCs w:val="18"/>
                <w:color w:val="0563C1"/>
              </w:rPr>
            </w:pPr>
            <w:hyperlink r:id="rId154">
              <w:r>
                <w:rPr>
                  <w:rFonts w:ascii="Arial" w:cs="Arial" w:eastAsia="Arial" w:hAnsi="Arial"/>
                  <w:sz w:val="18"/>
                  <w:szCs w:val="18"/>
                  <w:color w:val="0563C1"/>
                </w:rPr>
                <w:t>thereunder</w:t>
              </w:r>
            </w:hyperlink>
          </w:p>
        </w:tc>
        <w:tc>
          <w:tcPr>
            <w:tcW w:w="920" w:type="dxa"/>
            <w:vAlign w:val="bottom"/>
            <w:gridSpan w:val="2"/>
            <w:vMerge w:val="restart"/>
          </w:tcPr>
          <w:p>
            <w:pPr>
              <w:jc w:val="center"/>
              <w:ind w:right="200"/>
              <w:spacing w:after="0" w:line="189" w:lineRule="exact"/>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10.2</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May 19, 2017</w:t>
            </w:r>
          </w:p>
        </w:tc>
        <w:tc>
          <w:tcPr>
            <w:tcW w:w="0" w:type="dxa"/>
            <w:vAlign w:val="bottom"/>
          </w:tcPr>
          <w:p>
            <w:pPr>
              <w:spacing w:after="0" w:line="20" w:lineRule="exact"/>
              <w:rPr>
                <w:sz w:val="1"/>
                <w:szCs w:val="1"/>
                <w:color w:val="auto"/>
              </w:rPr>
            </w:pPr>
          </w:p>
        </w:tc>
      </w:tr>
      <w:tr>
        <w:trPr>
          <w:trHeight w:val="169"/>
        </w:trPr>
        <w:tc>
          <w:tcPr>
            <w:tcW w:w="4600" w:type="dxa"/>
            <w:vAlign w:val="bottom"/>
            <w:gridSpan w:val="25"/>
          </w:tcPr>
          <w:p>
            <w:pPr>
              <w:spacing w:after="0" w:line="169" w:lineRule="exact"/>
              <w:rPr>
                <w:rFonts w:ascii="Arial" w:cs="Arial" w:eastAsia="Arial" w:hAnsi="Arial"/>
                <w:sz w:val="18"/>
                <w:szCs w:val="18"/>
                <w:color w:val="0563C1"/>
                <w:w w:val="91"/>
              </w:rPr>
            </w:pPr>
            <w:hyperlink r:id="rId154">
              <w:r>
                <w:rPr>
                  <w:rFonts w:ascii="Arial" w:cs="Arial" w:eastAsia="Arial" w:hAnsi="Arial"/>
                  <w:sz w:val="18"/>
                  <w:szCs w:val="18"/>
                  <w:color w:val="0563C1"/>
                  <w:w w:val="91"/>
                </w:rPr>
                <w:t>2017 Employee Stock Purchase Plan and forms of agreements</w:t>
              </w:r>
            </w:hyperlink>
          </w:p>
        </w:tc>
        <w:tc>
          <w:tcPr>
            <w:tcW w:w="1460" w:type="dxa"/>
            <w:vAlign w:val="bottom"/>
            <w:gridSpan w:val="18"/>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780" w:type="dxa"/>
            <w:vAlign w:val="bottom"/>
            <w:gridSpan w:val="15"/>
            <w:vMerge w:val="restart"/>
          </w:tcPr>
          <w:p>
            <w:pPr>
              <w:jc w:val="right"/>
              <w:ind w:right="200"/>
              <w:spacing w:after="0" w:line="189" w:lineRule="exact"/>
              <w:rPr>
                <w:rFonts w:ascii="Arial" w:cs="Arial" w:eastAsia="Arial" w:hAnsi="Arial"/>
                <w:sz w:val="18"/>
                <w:szCs w:val="18"/>
                <w:color w:val="0563C1"/>
                <w:w w:val="77"/>
              </w:rPr>
            </w:pPr>
            <w:hyperlink r:id="rId155">
              <w:r>
                <w:rPr>
                  <w:rFonts w:ascii="Arial" w:cs="Arial" w:eastAsia="Arial" w:hAnsi="Arial"/>
                  <w:sz w:val="18"/>
                  <w:szCs w:val="18"/>
                  <w:color w:val="0563C1"/>
                  <w:w w:val="77"/>
                </w:rPr>
                <w:t>Incentive</w:t>
              </w:r>
            </w:hyperlink>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80" w:type="dxa"/>
            <w:vAlign w:val="bottom"/>
            <w:gridSpan w:val="28"/>
          </w:tcPr>
          <w:p>
            <w:pPr>
              <w:spacing w:after="0" w:line="169" w:lineRule="exact"/>
              <w:rPr>
                <w:rFonts w:ascii="Arial" w:cs="Arial" w:eastAsia="Arial" w:hAnsi="Arial"/>
                <w:sz w:val="18"/>
                <w:szCs w:val="18"/>
                <w:color w:val="0563C1"/>
                <w:w w:val="95"/>
              </w:rPr>
            </w:pPr>
            <w:hyperlink r:id="rId155">
              <w:r>
                <w:rPr>
                  <w:rFonts w:ascii="Arial" w:cs="Arial" w:eastAsia="Arial" w:hAnsi="Arial"/>
                  <w:sz w:val="18"/>
                  <w:szCs w:val="18"/>
                  <w:color w:val="0563C1"/>
                  <w:w w:val="95"/>
                </w:rPr>
                <w:t>Form of Director Option Agreement, not issued under the 2015 Stock</w:t>
              </w:r>
            </w:hyperlink>
          </w:p>
        </w:tc>
        <w:tc>
          <w:tcPr>
            <w:tcW w:w="780" w:type="dxa"/>
            <w:vAlign w:val="bottom"/>
            <w:gridSpan w:val="15"/>
            <w:vMerge w:val="continue"/>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S-1</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22, 2015</w:t>
            </w: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820" w:type="dxa"/>
            <w:vAlign w:val="bottom"/>
            <w:gridSpan w:val="5"/>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80" w:type="dxa"/>
            <w:vAlign w:val="bottom"/>
            <w:gridSpan w:val="34"/>
          </w:tcPr>
          <w:p>
            <w:pPr>
              <w:spacing w:after="0" w:line="169" w:lineRule="exact"/>
              <w:rPr>
                <w:rFonts w:ascii="Arial" w:cs="Arial" w:eastAsia="Arial" w:hAnsi="Arial"/>
                <w:sz w:val="18"/>
                <w:szCs w:val="18"/>
                <w:color w:val="0563C1"/>
              </w:rPr>
            </w:pPr>
            <w:hyperlink r:id="rId155">
              <w:r>
                <w:rPr>
                  <w:rFonts w:ascii="Arial" w:cs="Arial" w:eastAsia="Arial" w:hAnsi="Arial"/>
                  <w:sz w:val="18"/>
                  <w:szCs w:val="18"/>
                  <w:color w:val="0563C1"/>
                </w:rPr>
                <w:t>Plan</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2"/>
              </w:rPr>
              <w:t>S-1</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1"/>
              </w:rPr>
              <w:t>333-208694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10.9</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December 22, 2015</w:t>
            </w: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w w:val="94"/>
              </w:rPr>
            </w:pPr>
            <w:hyperlink r:id="rId157">
              <w:r>
                <w:rPr>
                  <w:rFonts w:ascii="Arial" w:cs="Arial" w:eastAsia="Arial" w:hAnsi="Arial"/>
                  <w:sz w:val="18"/>
                  <w:szCs w:val="18"/>
                  <w:color w:val="0563C1"/>
                  <w:w w:val="94"/>
                </w:rPr>
                <w:t>Executive Employment Agreement between Darrin R. Uecker and the Registrant</w:t>
              </w:r>
            </w:hyperlink>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820" w:type="dxa"/>
            <w:vAlign w:val="bottom"/>
            <w:gridSpan w:val="5"/>
            <w:shd w:val="clear" w:color="auto" w:fill="0563C1"/>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gridSpan w:val="32"/>
          </w:tcPr>
          <w:p>
            <w:pPr>
              <w:spacing w:after="0" w:line="169" w:lineRule="exact"/>
              <w:rPr>
                <w:rFonts w:ascii="Arial" w:cs="Arial" w:eastAsia="Arial" w:hAnsi="Arial"/>
                <w:sz w:val="18"/>
                <w:szCs w:val="18"/>
                <w:color w:val="0563C1"/>
                <w:w w:val="94"/>
              </w:rPr>
            </w:pPr>
            <w:hyperlink r:id="rId158">
              <w:r>
                <w:rPr>
                  <w:rFonts w:ascii="Arial" w:cs="Arial" w:eastAsia="Arial" w:hAnsi="Arial"/>
                  <w:sz w:val="18"/>
                  <w:szCs w:val="18"/>
                  <w:color w:val="0563C1"/>
                  <w:w w:val="94"/>
                </w:rPr>
                <w:t>Amendment to Employment Agreement between Darrin R. Uecker and Pulse</w:t>
              </w:r>
            </w:hyperlink>
          </w:p>
        </w:tc>
        <w:tc>
          <w:tcPr>
            <w:tcW w:w="4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11, 2016</w:t>
            </w: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gridSpan w:val="35"/>
          </w:tcPr>
          <w:p>
            <w:pPr>
              <w:spacing w:after="0" w:line="169" w:lineRule="exact"/>
              <w:rPr>
                <w:rFonts w:ascii="Arial" w:cs="Arial" w:eastAsia="Arial" w:hAnsi="Arial"/>
                <w:sz w:val="18"/>
                <w:szCs w:val="18"/>
                <w:color w:val="0563C1"/>
              </w:rPr>
            </w:pPr>
            <w:hyperlink r:id="rId158">
              <w:r>
                <w:rPr>
                  <w:rFonts w:ascii="Arial" w:cs="Arial" w:eastAsia="Arial" w:hAnsi="Arial"/>
                  <w:sz w:val="18"/>
                  <w:szCs w:val="18"/>
                  <w:color w:val="0563C1"/>
                </w:rPr>
                <w:t>Biosciences, Inc. dated October 5, 2016</w:t>
              </w:r>
            </w:hyperlink>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w w:val="98"/>
              </w:rPr>
            </w:pPr>
            <w:hyperlink r:id="rId160">
              <w:r>
                <w:rPr>
                  <w:rFonts w:ascii="Arial" w:cs="Arial" w:eastAsia="Arial" w:hAnsi="Arial"/>
                  <w:sz w:val="18"/>
                  <w:szCs w:val="18"/>
                  <w:color w:val="0563C1"/>
                  <w:w w:val="98"/>
                </w:rPr>
                <w:t>Form of At-Will Employment, Confidential Information, Invention Assignment,</w:t>
              </w:r>
            </w:hyperlink>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S-1</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10.10</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22, 2015</w:t>
            </w: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300" w:type="dxa"/>
            <w:vAlign w:val="bottom"/>
            <w:gridSpan w:val="5"/>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gridSpan w:val="33"/>
          </w:tcPr>
          <w:p>
            <w:pPr>
              <w:spacing w:after="0" w:line="169" w:lineRule="exact"/>
              <w:rPr>
                <w:rFonts w:ascii="Arial" w:cs="Arial" w:eastAsia="Arial" w:hAnsi="Arial"/>
                <w:sz w:val="18"/>
                <w:szCs w:val="18"/>
                <w:color w:val="0563C1"/>
              </w:rPr>
            </w:pPr>
            <w:hyperlink r:id="rId160">
              <w:r>
                <w:rPr>
                  <w:rFonts w:ascii="Arial" w:cs="Arial" w:eastAsia="Arial" w:hAnsi="Arial"/>
                  <w:sz w:val="18"/>
                  <w:szCs w:val="18"/>
                  <w:color w:val="0563C1"/>
                </w:rPr>
                <w:t>and Arbitration Agreement for Employees</w:t>
              </w:r>
            </w:hyperlink>
          </w:p>
        </w:tc>
        <w:tc>
          <w:tcPr>
            <w:tcW w:w="60" w:type="dxa"/>
            <w:vAlign w:val="bottom"/>
            <w:gridSpan w:val="3"/>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300" w:type="dxa"/>
            <w:vAlign w:val="bottom"/>
            <w:gridSpan w:val="5"/>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840" w:type="dxa"/>
            <w:vAlign w:val="bottom"/>
            <w:gridSpan w:val="3"/>
            <w:vMerge w:val="restart"/>
          </w:tcPr>
          <w:p>
            <w:pPr>
              <w:spacing w:after="0" w:line="20" w:lineRule="exact"/>
              <w:rPr>
                <w:sz w:val="1"/>
                <w:szCs w:val="1"/>
                <w:color w:val="auto"/>
              </w:rPr>
            </w:pPr>
          </w:p>
        </w:tc>
        <w:tc>
          <w:tcPr>
            <w:tcW w:w="680" w:type="dxa"/>
            <w:vAlign w:val="bottom"/>
            <w:gridSpan w:val="3"/>
            <w:vMerge w:val="restart"/>
          </w:tcPr>
          <w:p>
            <w:pPr>
              <w:spacing w:after="0" w:line="20" w:lineRule="exact"/>
              <w:rPr>
                <w:sz w:val="1"/>
                <w:szCs w:val="1"/>
                <w:color w:val="auto"/>
              </w:rPr>
            </w:pPr>
          </w:p>
        </w:tc>
        <w:tc>
          <w:tcPr>
            <w:tcW w:w="920" w:type="dxa"/>
            <w:vAlign w:val="bottom"/>
            <w:gridSpan w:val="9"/>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920" w:type="dxa"/>
            <w:vAlign w:val="bottom"/>
            <w:gridSpan w:val="2"/>
            <w:vMerge w:val="restart"/>
          </w:tcPr>
          <w:p>
            <w:pPr>
              <w:jc w:val="center"/>
              <w:ind w:right="180"/>
              <w:spacing w:after="0" w:line="189" w:lineRule="exact"/>
              <w:rPr>
                <w:sz w:val="20"/>
                <w:szCs w:val="20"/>
                <w:color w:val="auto"/>
              </w:rPr>
            </w:pPr>
            <w:r>
              <w:rPr>
                <w:rFonts w:ascii="Arial" w:cs="Arial" w:eastAsia="Arial" w:hAnsi="Arial"/>
                <w:sz w:val="18"/>
                <w:szCs w:val="18"/>
                <w:color w:val="auto"/>
                <w:w w:val="96"/>
              </w:rPr>
              <w:t>8-K12B</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line="20" w:lineRule="exact"/>
              <w:rPr>
                <w:sz w:val="1"/>
                <w:szCs w:val="1"/>
                <w:color w:val="auto"/>
              </w:rPr>
            </w:pPr>
          </w:p>
        </w:tc>
      </w:tr>
      <w:tr>
        <w:trPr>
          <w:trHeight w:val="169"/>
        </w:trPr>
        <w:tc>
          <w:tcPr>
            <w:tcW w:w="3040" w:type="dxa"/>
            <w:vAlign w:val="bottom"/>
            <w:gridSpan w:val="19"/>
          </w:tcPr>
          <w:p>
            <w:pPr>
              <w:spacing w:after="0" w:line="169" w:lineRule="exact"/>
              <w:rPr>
                <w:rFonts w:ascii="Arial" w:cs="Arial" w:eastAsia="Arial" w:hAnsi="Arial"/>
                <w:sz w:val="18"/>
                <w:szCs w:val="18"/>
                <w:color w:val="0563C1"/>
              </w:rPr>
            </w:pPr>
            <w:hyperlink r:id="rId161">
              <w:r>
                <w:rPr>
                  <w:rFonts w:ascii="Arial" w:cs="Arial" w:eastAsia="Arial" w:hAnsi="Arial"/>
                  <w:sz w:val="18"/>
                  <w:szCs w:val="18"/>
                  <w:color w:val="0563C1"/>
                </w:rPr>
                <w:t>Form of Indemnification Agreement</w:t>
              </w:r>
            </w:hyperlink>
          </w:p>
        </w:tc>
        <w:tc>
          <w:tcPr>
            <w:tcW w:w="44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20" w:type="dxa"/>
            <w:vAlign w:val="bottom"/>
            <w:gridSpan w:val="9"/>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360" w:type="dxa"/>
            <w:vAlign w:val="bottom"/>
            <w:gridSpan w:val="3"/>
            <w:shd w:val="clear" w:color="auto" w:fill="0563C1"/>
          </w:tcPr>
          <w:p>
            <w:pPr>
              <w:spacing w:after="0" w:line="20" w:lineRule="exact"/>
              <w:rPr>
                <w:sz w:val="1"/>
                <w:szCs w:val="1"/>
                <w:color w:val="auto"/>
              </w:rPr>
            </w:pPr>
          </w:p>
        </w:tc>
        <w:tc>
          <w:tcPr>
            <w:tcW w:w="3440" w:type="dxa"/>
            <w:vAlign w:val="bottom"/>
            <w:gridSpan w:val="30"/>
            <w:vMerge w:val="restart"/>
          </w:tcPr>
          <w:p>
            <w:pPr>
              <w:jc w:val="right"/>
              <w:ind w:right="200"/>
              <w:spacing w:after="0" w:line="189" w:lineRule="exact"/>
              <w:rPr>
                <w:rFonts w:ascii="Arial" w:cs="Arial" w:eastAsia="Arial" w:hAnsi="Arial"/>
                <w:sz w:val="18"/>
                <w:szCs w:val="18"/>
                <w:color w:val="0563C1"/>
                <w:w w:val="84"/>
              </w:rPr>
            </w:pPr>
            <w:hyperlink r:id="rId163">
              <w:r>
                <w:rPr>
                  <w:rFonts w:ascii="Arial" w:cs="Arial" w:eastAsia="Arial" w:hAnsi="Arial"/>
                  <w:sz w:val="18"/>
                  <w:szCs w:val="18"/>
                  <w:color w:val="0563C1"/>
                  <w:w w:val="84"/>
                </w:rPr>
                <w:t>Biosciences, Inc. and Robert W. Duggan, dated</w:t>
              </w:r>
            </w:hyperlink>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gridSpan w:val="13"/>
          </w:tcPr>
          <w:p>
            <w:pPr>
              <w:spacing w:after="0" w:line="169" w:lineRule="exact"/>
              <w:rPr>
                <w:rFonts w:ascii="Arial" w:cs="Arial" w:eastAsia="Arial" w:hAnsi="Arial"/>
                <w:sz w:val="18"/>
                <w:szCs w:val="18"/>
                <w:color w:val="0563C1"/>
                <w:w w:val="99"/>
              </w:rPr>
            </w:pPr>
            <w:hyperlink r:id="rId163">
              <w:r>
                <w:rPr>
                  <w:rFonts w:ascii="Arial" w:cs="Arial" w:eastAsia="Arial" w:hAnsi="Arial"/>
                  <w:sz w:val="18"/>
                  <w:szCs w:val="18"/>
                  <w:color w:val="0563C1"/>
                  <w:w w:val="99"/>
                </w:rPr>
                <w:t>Letter Agreement between Pulse</w:t>
              </w:r>
            </w:hyperlink>
          </w:p>
        </w:tc>
        <w:tc>
          <w:tcPr>
            <w:tcW w:w="3440" w:type="dxa"/>
            <w:vAlign w:val="bottom"/>
            <w:gridSpan w:val="30"/>
            <w:vMerge w:val="continue"/>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4"/>
              </w:rPr>
              <w:t>10-Q</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1"/>
              </w:rPr>
              <w:t>August 10, 2020</w:t>
            </w: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660" w:type="dxa"/>
            <w:vAlign w:val="bottom"/>
            <w:gridSpan w:val="8"/>
            <w:shd w:val="clear" w:color="auto" w:fill="0563C1"/>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920" w:type="dxa"/>
            <w:vAlign w:val="bottom"/>
            <w:gridSpan w:val="9"/>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80" w:type="dxa"/>
            <w:vAlign w:val="bottom"/>
            <w:gridSpan w:val="39"/>
          </w:tcPr>
          <w:p>
            <w:pPr>
              <w:spacing w:after="0" w:line="169" w:lineRule="exact"/>
              <w:rPr>
                <w:rFonts w:ascii="Arial" w:cs="Arial" w:eastAsia="Arial" w:hAnsi="Arial"/>
                <w:sz w:val="18"/>
                <w:szCs w:val="18"/>
                <w:color w:val="0563C1"/>
              </w:rPr>
            </w:pPr>
            <w:hyperlink r:id="rId163">
              <w:r>
                <w:rPr>
                  <w:rFonts w:ascii="Arial" w:cs="Arial" w:eastAsia="Arial" w:hAnsi="Arial"/>
                  <w:sz w:val="18"/>
                  <w:szCs w:val="18"/>
                  <w:color w:val="0563C1"/>
                </w:rPr>
                <w:t>May 12, 2020.</w:t>
              </w:r>
            </w:hyperlink>
          </w:p>
        </w:tc>
        <w:tc>
          <w:tcPr>
            <w:tcW w:w="8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tcBorders>
            <w:gridSpan w:val="3"/>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w w:val="98"/>
              </w:rPr>
            </w:pPr>
            <w:hyperlink r:id="rId164">
              <w:r>
                <w:rPr>
                  <w:rFonts w:ascii="Arial" w:cs="Arial" w:eastAsia="Arial" w:hAnsi="Arial"/>
                  <w:sz w:val="18"/>
                  <w:szCs w:val="18"/>
                  <w:color w:val="0563C1"/>
                  <w:w w:val="98"/>
                </w:rPr>
                <w:t>First Amendment to the lease for facilities at 3955 Point Eden Way, Hayward,</w:t>
              </w:r>
            </w:hyperlink>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10.19</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1"/>
              </w:rPr>
              <w:t>May 31, 2019</w:t>
            </w:r>
          </w:p>
        </w:tc>
        <w:tc>
          <w:tcPr>
            <w:tcW w:w="0" w:type="dxa"/>
            <w:vAlign w:val="bottom"/>
          </w:tcPr>
          <w:p>
            <w:pPr>
              <w:spacing w:after="0"/>
              <w:rPr>
                <w:sz w:val="1"/>
                <w:szCs w:val="1"/>
                <w:color w:val="auto"/>
              </w:rPr>
            </w:pPr>
          </w:p>
        </w:tc>
      </w:tr>
      <w:tr>
        <w:trPr>
          <w:trHeight w:val="20"/>
        </w:trPr>
        <w:tc>
          <w:tcPr>
            <w:tcW w:w="1140" w:type="dxa"/>
            <w:vAlign w:val="bottom"/>
            <w:tcBorders>
              <w:left w:val="single" w:sz="8" w:color="0000EE"/>
            </w:tcBorders>
            <w:gridSpan w:val="4"/>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660" w:type="dxa"/>
            <w:vAlign w:val="bottom"/>
            <w:gridSpan w:val="8"/>
            <w:shd w:val="clear" w:color="auto" w:fill="0563C1"/>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920" w:type="dxa"/>
            <w:vAlign w:val="bottom"/>
            <w:gridSpan w:val="9"/>
            <w:shd w:val="clear" w:color="auto" w:fill="0563C1"/>
          </w:tcPr>
          <w:p>
            <w:pPr>
              <w:spacing w:after="0" w:line="20" w:lineRule="exact"/>
              <w:rPr>
                <w:sz w:val="1"/>
                <w:szCs w:val="1"/>
                <w:color w:val="auto"/>
              </w:rPr>
            </w:pPr>
          </w:p>
        </w:tc>
        <w:tc>
          <w:tcPr>
            <w:tcW w:w="60" w:type="dxa"/>
            <w:vAlign w:val="bottom"/>
            <w:gridSpan w:val="3"/>
            <w:shd w:val="clear" w:color="auto" w:fill="0563C1"/>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80" w:type="dxa"/>
            <w:vAlign w:val="bottom"/>
            <w:gridSpan w:val="39"/>
          </w:tcPr>
          <w:p>
            <w:pPr>
              <w:spacing w:after="0" w:line="169" w:lineRule="exact"/>
              <w:rPr>
                <w:rFonts w:ascii="Arial" w:cs="Arial" w:eastAsia="Arial" w:hAnsi="Arial"/>
                <w:sz w:val="18"/>
                <w:szCs w:val="18"/>
                <w:color w:val="0563C1"/>
              </w:rPr>
            </w:pPr>
            <w:hyperlink r:id="rId164">
              <w:r>
                <w:rPr>
                  <w:rFonts w:ascii="Arial" w:cs="Arial" w:eastAsia="Arial" w:hAnsi="Arial"/>
                  <w:sz w:val="18"/>
                  <w:szCs w:val="18"/>
                  <w:color w:val="0563C1"/>
                </w:rPr>
                <w:t>California, dated May 28, 2019</w:t>
              </w:r>
            </w:hyperlink>
          </w:p>
        </w:tc>
        <w:tc>
          <w:tcPr>
            <w:tcW w:w="8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0000EE"/>
            </w:tcBorders>
            <w:gridSpan w:val="4"/>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60" w:type="dxa"/>
            <w:vAlign w:val="bottom"/>
            <w:gridSpan w:val="4"/>
            <w:shd w:val="clear" w:color="auto" w:fill="0563C1"/>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20" w:type="dxa"/>
            <w:vAlign w:val="bottom"/>
            <w:gridSpan w:val="2"/>
            <w:vMerge w:val="restart"/>
          </w:tcPr>
          <w:p>
            <w:pPr>
              <w:jc w:val="center"/>
              <w:ind w:right="200"/>
              <w:spacing w:after="0" w:line="189" w:lineRule="exact"/>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November 7, 2019</w:t>
            </w: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rPr>
            </w:pPr>
            <w:hyperlink r:id="rId166">
              <w:r>
                <w:rPr>
                  <w:rFonts w:ascii="Arial" w:cs="Arial" w:eastAsia="Arial" w:hAnsi="Arial"/>
                  <w:sz w:val="18"/>
                  <w:szCs w:val="18"/>
                  <w:color w:val="0563C1"/>
                </w:rPr>
                <w:t>Employment Agreement between Sandra Gardiner and the Registrant</w:t>
              </w:r>
            </w:hyperlink>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0000EE"/>
            </w:tcBorders>
            <w:gridSpan w:val="4"/>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520" w:type="dxa"/>
            <w:vAlign w:val="bottom"/>
            <w:gridSpan w:val="12"/>
            <w:shd w:val="clear" w:color="auto" w:fill="0563C1"/>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840" w:type="dxa"/>
            <w:vAlign w:val="bottom"/>
            <w:tcBorders>
              <w:right w:val="single" w:sz="8" w:color="0563C1"/>
            </w:tcBorders>
            <w:gridSpan w:val="3"/>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920" w:type="dxa"/>
            <w:vAlign w:val="bottom"/>
            <w:gridSpan w:val="9"/>
            <w:vMerge w:val="restart"/>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920" w:type="dxa"/>
            <w:vAlign w:val="bottom"/>
            <w:gridSpan w:val="2"/>
            <w:vMerge w:val="restart"/>
          </w:tcPr>
          <w:p>
            <w:pPr>
              <w:jc w:val="center"/>
              <w:ind w:right="200"/>
              <w:spacing w:after="0" w:line="189" w:lineRule="exact"/>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001-37744</w:t>
            </w:r>
          </w:p>
        </w:tc>
        <w:tc>
          <w:tcPr>
            <w:tcW w:w="20" w:type="dxa"/>
            <w:vAlign w:val="bottom"/>
          </w:tcPr>
          <w:p>
            <w:pPr>
              <w:spacing w:after="0" w:line="20" w:lineRule="exact"/>
              <w:rPr>
                <w:sz w:val="1"/>
                <w:szCs w:val="1"/>
                <w:color w:val="auto"/>
              </w:rPr>
            </w:pPr>
          </w:p>
        </w:tc>
        <w:tc>
          <w:tcPr>
            <w:tcW w:w="6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1.1</w:t>
            </w:r>
          </w:p>
        </w:tc>
        <w:tc>
          <w:tcPr>
            <w:tcW w:w="80" w:type="dxa"/>
            <w:vAlign w:val="bottom"/>
          </w:tcPr>
          <w:p>
            <w:pPr>
              <w:spacing w:after="0" w:line="20" w:lineRule="exact"/>
              <w:rPr>
                <w:sz w:val="1"/>
                <w:szCs w:val="1"/>
                <w:color w:val="auto"/>
              </w:rPr>
            </w:pPr>
          </w:p>
        </w:tc>
        <w:tc>
          <w:tcPr>
            <w:tcW w:w="14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February 4, 2021</w:t>
            </w:r>
          </w:p>
        </w:tc>
        <w:tc>
          <w:tcPr>
            <w:tcW w:w="0" w:type="dxa"/>
            <w:vAlign w:val="bottom"/>
          </w:tcPr>
          <w:p>
            <w:pPr>
              <w:spacing w:after="0" w:line="20" w:lineRule="exact"/>
              <w:rPr>
                <w:sz w:val="1"/>
                <w:szCs w:val="1"/>
                <w:color w:val="auto"/>
              </w:rPr>
            </w:pPr>
          </w:p>
        </w:tc>
      </w:tr>
      <w:tr>
        <w:trPr>
          <w:trHeight w:val="169"/>
        </w:trPr>
        <w:tc>
          <w:tcPr>
            <w:tcW w:w="5000" w:type="dxa"/>
            <w:vAlign w:val="bottom"/>
            <w:gridSpan w:val="27"/>
          </w:tcPr>
          <w:p>
            <w:pPr>
              <w:spacing w:after="0" w:line="169" w:lineRule="exact"/>
              <w:rPr>
                <w:rFonts w:ascii="Arial" w:cs="Arial" w:eastAsia="Arial" w:hAnsi="Arial"/>
                <w:sz w:val="18"/>
                <w:szCs w:val="18"/>
                <w:color w:val="0563C1"/>
              </w:rPr>
            </w:pPr>
            <w:hyperlink r:id="rId167">
              <w:r>
                <w:rPr>
                  <w:rFonts w:ascii="Arial" w:cs="Arial" w:eastAsia="Arial" w:hAnsi="Arial"/>
                  <w:sz w:val="18"/>
                  <w:szCs w:val="18"/>
                  <w:color w:val="0563C1"/>
                </w:rPr>
                <w:t>At-the-Market Equity Offering Sales Agreement</w:t>
              </w:r>
            </w:hyperlink>
          </w:p>
        </w:tc>
        <w:tc>
          <w:tcPr>
            <w:tcW w:w="920" w:type="dxa"/>
            <w:vAlign w:val="bottom"/>
            <w:gridSpan w:val="9"/>
            <w:vMerge w:val="continue"/>
          </w:tcPr>
          <w:p>
            <w:pPr>
              <w:spacing w:after="0"/>
              <w:rPr>
                <w:sz w:val="14"/>
                <w:szCs w:val="14"/>
                <w:color w:val="auto"/>
              </w:rPr>
            </w:pPr>
          </w:p>
        </w:tc>
        <w:tc>
          <w:tcPr>
            <w:tcW w:w="140" w:type="dxa"/>
            <w:vAlign w:val="bottom"/>
            <w:gridSpan w:val="7"/>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0000EE"/>
            </w:tcBorders>
            <w:gridSpan w:val="4"/>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520" w:type="dxa"/>
            <w:vAlign w:val="bottom"/>
            <w:gridSpan w:val="12"/>
            <w:shd w:val="clear" w:color="auto" w:fill="0563C1"/>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0" w:type="dxa"/>
            <w:vAlign w:val="bottom"/>
            <w:gridSpan w:val="1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w w:val="94"/>
              </w:rPr>
            </w:pPr>
            <w:hyperlink r:id="rId169">
              <w:r>
                <w:rPr>
                  <w:rFonts w:ascii="Arial" w:cs="Arial" w:eastAsia="Arial" w:hAnsi="Arial"/>
                  <w:sz w:val="18"/>
                  <w:szCs w:val="18"/>
                  <w:color w:val="0563C1"/>
                  <w:w w:val="94"/>
                </w:rPr>
                <w:t>Loan Agreement between Pulse Biosciences, Inc. and Robert W. Duggan, dated</w:t>
              </w:r>
            </w:hyperlink>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r>
        <w:trPr>
          <w:trHeight w:val="20"/>
        </w:trPr>
        <w:tc>
          <w:tcPr>
            <w:tcW w:w="1140" w:type="dxa"/>
            <w:vAlign w:val="bottom"/>
            <w:tcBorders>
              <w:left w:val="single" w:sz="8" w:color="0000EE"/>
            </w:tcBorders>
            <w:gridSpan w:val="4"/>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520" w:type="dxa"/>
            <w:vAlign w:val="bottom"/>
            <w:gridSpan w:val="12"/>
            <w:shd w:val="clear" w:color="auto" w:fill="0563C1"/>
          </w:tcPr>
          <w:p>
            <w:pPr>
              <w:spacing w:after="0" w:line="20" w:lineRule="exact"/>
              <w:rPr>
                <w:sz w:val="1"/>
                <w:szCs w:val="1"/>
                <w:color w:val="auto"/>
              </w:rPr>
            </w:pPr>
          </w:p>
        </w:tc>
        <w:tc>
          <w:tcPr>
            <w:tcW w:w="1400" w:type="dxa"/>
            <w:vAlign w:val="bottom"/>
            <w:tcBorders>
              <w:right w:val="single" w:sz="8" w:color="0563C1"/>
            </w:tcBorders>
            <w:gridSpan w:val="6"/>
            <w:shd w:val="clear" w:color="auto" w:fill="0563C1"/>
          </w:tcPr>
          <w:p>
            <w:pPr>
              <w:spacing w:after="0" w:line="20" w:lineRule="exact"/>
              <w:rPr>
                <w:sz w:val="1"/>
                <w:szCs w:val="1"/>
                <w:color w:val="auto"/>
              </w:rPr>
            </w:pPr>
          </w:p>
        </w:tc>
        <w:tc>
          <w:tcPr>
            <w:tcW w:w="1540" w:type="dxa"/>
            <w:vAlign w:val="bottom"/>
            <w:gridSpan w:val="9"/>
            <w:shd w:val="clear" w:color="auto" w:fill="0563C1"/>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gridSpan w:val="33"/>
          </w:tcPr>
          <w:p>
            <w:pPr>
              <w:spacing w:after="0" w:line="169" w:lineRule="exact"/>
              <w:rPr>
                <w:rFonts w:ascii="Arial" w:cs="Arial" w:eastAsia="Arial" w:hAnsi="Arial"/>
                <w:sz w:val="18"/>
                <w:szCs w:val="18"/>
                <w:color w:val="0563C1"/>
              </w:rPr>
            </w:pPr>
            <w:hyperlink r:id="rId169">
              <w:r>
                <w:rPr>
                  <w:rFonts w:ascii="Arial" w:cs="Arial" w:eastAsia="Arial" w:hAnsi="Arial"/>
                  <w:sz w:val="18"/>
                  <w:szCs w:val="18"/>
                  <w:color w:val="0563C1"/>
                </w:rPr>
                <w:t>March 11, 2021</w:t>
              </w:r>
            </w:hyperlink>
          </w:p>
        </w:tc>
        <w:tc>
          <w:tcPr>
            <w:tcW w:w="60" w:type="dxa"/>
            <w:vAlign w:val="bottom"/>
            <w:gridSpan w:val="3"/>
            <w:vMerge w:val="continue"/>
          </w:tcPr>
          <w:p>
            <w:pPr>
              <w:spacing w:after="0"/>
              <w:rPr>
                <w:sz w:val="14"/>
                <w:szCs w:val="14"/>
                <w:color w:val="auto"/>
              </w:rPr>
            </w:pPr>
          </w:p>
        </w:tc>
        <w:tc>
          <w:tcPr>
            <w:tcW w:w="140" w:type="dxa"/>
            <w:vAlign w:val="bottom"/>
            <w:gridSpan w:val="7"/>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0000EE"/>
            </w:tcBorders>
            <w:gridSpan w:val="4"/>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600" w:type="dxa"/>
            <w:vAlign w:val="bottom"/>
            <w:gridSpan w:val="1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w w:val="98"/>
              </w:rPr>
            </w:pPr>
            <w:hyperlink r:id="rId170">
              <w:r>
                <w:rPr>
                  <w:rFonts w:ascii="Arial" w:cs="Arial" w:eastAsia="Arial" w:hAnsi="Arial"/>
                  <w:sz w:val="18"/>
                  <w:szCs w:val="18"/>
                  <w:color w:val="0563C1"/>
                  <w:w w:val="98"/>
                </w:rPr>
                <w:t>Securities Purchase Agreement, dated June 30, 2021, by and between Pulse</w:t>
              </w:r>
            </w:hyperlink>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0"/>
              </w:rPr>
              <w:t>July 1, 2021</w:t>
            </w:r>
          </w:p>
        </w:tc>
        <w:tc>
          <w:tcPr>
            <w:tcW w:w="0" w:type="dxa"/>
            <w:vAlign w:val="bottom"/>
          </w:tcPr>
          <w:p>
            <w:pPr>
              <w:spacing w:after="0"/>
              <w:rPr>
                <w:sz w:val="1"/>
                <w:szCs w:val="1"/>
                <w:color w:val="auto"/>
              </w:rPr>
            </w:pPr>
          </w:p>
        </w:tc>
      </w:tr>
      <w:tr>
        <w:trPr>
          <w:trHeight w:val="20"/>
        </w:trPr>
        <w:tc>
          <w:tcPr>
            <w:tcW w:w="1400" w:type="dxa"/>
            <w:vAlign w:val="bottom"/>
            <w:tcBorders>
              <w:left w:val="single" w:sz="8" w:color="0000EE"/>
            </w:tcBorders>
            <w:gridSpan w:val="6"/>
            <w:shd w:val="clear" w:color="auto" w:fill="0563C1"/>
          </w:tcPr>
          <w:p>
            <w:pPr>
              <w:spacing w:after="0" w:line="20" w:lineRule="exact"/>
              <w:rPr>
                <w:sz w:val="1"/>
                <w:szCs w:val="1"/>
                <w:color w:val="auto"/>
              </w:rPr>
            </w:pPr>
          </w:p>
        </w:tc>
        <w:tc>
          <w:tcPr>
            <w:tcW w:w="1520" w:type="dxa"/>
            <w:vAlign w:val="bottom"/>
            <w:gridSpan w:val="12"/>
            <w:shd w:val="clear" w:color="auto" w:fill="0563C1"/>
          </w:tcPr>
          <w:p>
            <w:pPr>
              <w:spacing w:after="0" w:line="20" w:lineRule="exact"/>
              <w:rPr>
                <w:sz w:val="1"/>
                <w:szCs w:val="1"/>
                <w:color w:val="auto"/>
              </w:rPr>
            </w:pPr>
          </w:p>
        </w:tc>
        <w:tc>
          <w:tcPr>
            <w:tcW w:w="1400" w:type="dxa"/>
            <w:vAlign w:val="bottom"/>
            <w:tcBorders>
              <w:right w:val="single" w:sz="8" w:color="0563C1"/>
            </w:tcBorders>
            <w:gridSpan w:val="6"/>
            <w:shd w:val="clear" w:color="auto" w:fill="0563C1"/>
          </w:tcPr>
          <w:p>
            <w:pPr>
              <w:spacing w:after="0" w:line="20" w:lineRule="exact"/>
              <w:rPr>
                <w:sz w:val="1"/>
                <w:szCs w:val="1"/>
                <w:color w:val="auto"/>
              </w:rPr>
            </w:pPr>
          </w:p>
        </w:tc>
        <w:tc>
          <w:tcPr>
            <w:tcW w:w="1600" w:type="dxa"/>
            <w:vAlign w:val="bottom"/>
            <w:gridSpan w:val="12"/>
            <w:shd w:val="clear" w:color="auto" w:fill="0563C1"/>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20" w:type="dxa"/>
            <w:vAlign w:val="bottom"/>
            <w:gridSpan w:val="36"/>
          </w:tcPr>
          <w:p>
            <w:pPr>
              <w:spacing w:after="0" w:line="169" w:lineRule="exact"/>
              <w:rPr>
                <w:rFonts w:ascii="Arial" w:cs="Arial" w:eastAsia="Arial" w:hAnsi="Arial"/>
                <w:sz w:val="18"/>
                <w:szCs w:val="18"/>
                <w:color w:val="0563C1"/>
              </w:rPr>
            </w:pPr>
            <w:hyperlink r:id="rId170">
              <w:r>
                <w:rPr>
                  <w:rFonts w:ascii="Arial" w:cs="Arial" w:eastAsia="Arial" w:hAnsi="Arial"/>
                  <w:sz w:val="18"/>
                  <w:szCs w:val="18"/>
                  <w:color w:val="0563C1"/>
                </w:rPr>
                <w:t>Biosciences, Inc. and Robert W. Duggan</w:t>
              </w:r>
            </w:hyperlink>
          </w:p>
        </w:tc>
        <w:tc>
          <w:tcPr>
            <w:tcW w:w="140" w:type="dxa"/>
            <w:vAlign w:val="bottom"/>
            <w:gridSpan w:val="7"/>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Borders>
              <w:left w:val="single" w:sz="8" w:color="0000EE"/>
            </w:tcBorders>
            <w:gridSpan w:val="6"/>
            <w:shd w:val="clear" w:color="auto" w:fill="0563C1"/>
          </w:tcPr>
          <w:p>
            <w:pPr>
              <w:spacing w:after="0" w:line="20" w:lineRule="exact"/>
              <w:rPr>
                <w:sz w:val="1"/>
                <w:szCs w:val="1"/>
                <w:color w:val="auto"/>
              </w:rPr>
            </w:pPr>
          </w:p>
        </w:tc>
        <w:tc>
          <w:tcPr>
            <w:tcW w:w="1520" w:type="dxa"/>
            <w:vAlign w:val="bottom"/>
            <w:gridSpan w:val="12"/>
            <w:shd w:val="clear" w:color="auto" w:fill="0563C1"/>
          </w:tcPr>
          <w:p>
            <w:pPr>
              <w:spacing w:after="0" w:line="20" w:lineRule="exact"/>
              <w:rPr>
                <w:sz w:val="1"/>
                <w:szCs w:val="1"/>
                <w:color w:val="auto"/>
              </w:rPr>
            </w:pPr>
          </w:p>
        </w:tc>
        <w:tc>
          <w:tcPr>
            <w:tcW w:w="1400" w:type="dxa"/>
            <w:vAlign w:val="bottom"/>
            <w:gridSpan w:val="6"/>
            <w:vMerge w:val="restart"/>
          </w:tcPr>
          <w:p>
            <w:pPr>
              <w:spacing w:after="0" w:line="20" w:lineRule="exact"/>
              <w:rPr>
                <w:sz w:val="1"/>
                <w:szCs w:val="1"/>
                <w:color w:val="auto"/>
              </w:rPr>
            </w:pPr>
          </w:p>
        </w:tc>
        <w:tc>
          <w:tcPr>
            <w:tcW w:w="1740" w:type="dxa"/>
            <w:vAlign w:val="bottom"/>
            <w:gridSpan w:val="19"/>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gridSpan w:val="18"/>
          </w:tcPr>
          <w:p>
            <w:pPr>
              <w:spacing w:after="0" w:line="169" w:lineRule="exact"/>
              <w:rPr>
                <w:rFonts w:ascii="Arial" w:cs="Arial" w:eastAsia="Arial" w:hAnsi="Arial"/>
                <w:sz w:val="18"/>
                <w:szCs w:val="18"/>
                <w:color w:val="0563C1"/>
              </w:rPr>
            </w:pPr>
            <w:hyperlink w:anchor="page125">
              <w:r>
                <w:rPr>
                  <w:rFonts w:ascii="Arial" w:cs="Arial" w:eastAsia="Arial" w:hAnsi="Arial"/>
                  <w:sz w:val="18"/>
                  <w:szCs w:val="18"/>
                  <w:color w:val="0563C1"/>
                </w:rPr>
                <w:t>List of Subsidiaries</w:t>
              </w:r>
            </w:hyperlink>
          </w:p>
        </w:tc>
        <w:tc>
          <w:tcPr>
            <w:tcW w:w="1400" w:type="dxa"/>
            <w:vAlign w:val="bottom"/>
            <w:gridSpan w:val="6"/>
            <w:vMerge w:val="continue"/>
          </w:tcPr>
          <w:p>
            <w:pPr>
              <w:spacing w:after="0"/>
              <w:rPr>
                <w:sz w:val="14"/>
                <w:szCs w:val="14"/>
                <w:color w:val="auto"/>
              </w:rPr>
            </w:pPr>
          </w:p>
        </w:tc>
        <w:tc>
          <w:tcPr>
            <w:tcW w:w="1740" w:type="dxa"/>
            <w:vAlign w:val="bottom"/>
            <w:gridSpan w:val="19"/>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Borders>
              <w:left w:val="single" w:sz="8" w:color="0000EE"/>
            </w:tcBorders>
            <w:gridSpan w:val="6"/>
            <w:shd w:val="clear" w:color="auto" w:fill="0563C1"/>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174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60" w:type="dxa"/>
            <w:vAlign w:val="bottom"/>
            <w:gridSpan w:val="43"/>
          </w:tcPr>
          <w:p>
            <w:pPr>
              <w:spacing w:after="0" w:line="169" w:lineRule="exact"/>
              <w:rPr>
                <w:rFonts w:ascii="Arial" w:cs="Arial" w:eastAsia="Arial" w:hAnsi="Arial"/>
                <w:sz w:val="18"/>
                <w:szCs w:val="18"/>
                <w:color w:val="0563C1"/>
              </w:rPr>
            </w:pPr>
            <w:hyperlink w:anchor="page126">
              <w:r>
                <w:rPr>
                  <w:rFonts w:ascii="Arial" w:cs="Arial" w:eastAsia="Arial" w:hAnsi="Arial"/>
                  <w:sz w:val="18"/>
                  <w:szCs w:val="18"/>
                  <w:color w:val="0563C1"/>
                </w:rPr>
                <w:t>Consent of Independent Registered Public Accounting Firm</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60" w:type="dxa"/>
            <w:vAlign w:val="bottom"/>
            <w:tcBorders>
              <w:right w:val="single" w:sz="8" w:color="0000EE"/>
            </w:tcBorders>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-5288280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-5031105</wp:posOffset>
            </wp:positionV>
            <wp:extent cx="713232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-4791075</wp:posOffset>
            </wp:positionV>
            <wp:extent cx="713232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-4551045</wp:posOffset>
            </wp:positionV>
            <wp:extent cx="713232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-4311015</wp:posOffset>
            </wp:positionV>
            <wp:extent cx="7132320"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-3830955</wp:posOffset>
            </wp:positionV>
            <wp:extent cx="7132320"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-3471545</wp:posOffset>
            </wp:positionV>
            <wp:extent cx="713232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-3110865</wp:posOffset>
            </wp:positionV>
            <wp:extent cx="7132320"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-2750820</wp:posOffset>
            </wp:positionV>
            <wp:extent cx="713232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-2510790</wp:posOffset>
            </wp:positionV>
            <wp:extent cx="713232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-2150745</wp:posOffset>
            </wp:positionV>
            <wp:extent cx="713232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-1790700</wp:posOffset>
            </wp:positionV>
            <wp:extent cx="7132320"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-1430655</wp:posOffset>
            </wp:positionV>
            <wp:extent cx="713232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-950595</wp:posOffset>
            </wp:positionV>
            <wp:extent cx="713232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-710565</wp:posOffset>
            </wp:positionV>
            <wp:extent cx="713232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-231140</wp:posOffset>
            </wp:positionV>
            <wp:extent cx="713232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right="4480"/>
        <w:spacing w:after="0" w:line="234" w:lineRule="auto"/>
        <w:rPr>
          <w:rFonts w:ascii="Arial" w:cs="Arial" w:eastAsia="Arial" w:hAnsi="Arial"/>
          <w:sz w:val="18"/>
          <w:szCs w:val="18"/>
          <w:u w:val="single" w:color="auto"/>
          <w:color w:val="0563C1"/>
        </w:rPr>
      </w:pPr>
      <w:hyperlink w:anchor="page127">
        <w:r>
          <w:rPr>
            <w:rFonts w:ascii="Arial" w:cs="Arial" w:eastAsia="Arial" w:hAnsi="Arial"/>
            <w:sz w:val="18"/>
            <w:szCs w:val="18"/>
            <w:u w:val="single" w:color="auto"/>
            <w:color w:val="0563C1"/>
          </w:rPr>
          <w:t>Certification of Chief Executive Officer pursuant to Section 302 of the Sarbanes-</w:t>
        </w:r>
      </w:hyperlink>
      <w:hyperlink w:anchor="page127">
        <w:r>
          <w:rPr>
            <w:rFonts w:ascii="Arial" w:cs="Arial" w:eastAsia="Arial" w:hAnsi="Arial"/>
            <w:sz w:val="18"/>
            <w:szCs w:val="18"/>
            <w:u w:val="single" w:color="auto"/>
            <w:color w:val="0563C1"/>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-247015</wp:posOffset>
            </wp:positionV>
            <wp:extent cx="713232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199390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80" w:space="240"/>
            <w:col w:w="10320"/>
          </w:cols>
          <w:pgMar w:left="320" w:top="108" w:right="339" w:bottom="1440" w:gutter="0" w:footer="0" w:header="0"/>
          <w:type w:val="continuous"/>
        </w:sectPr>
      </w:pPr>
    </w:p>
    <w:bookmarkStart w:id="96" w:name="page97"/>
    <w:bookmarkEnd w:id="96"/>
    <w:p>
      <w:pPr>
        <w:spacing w:after="0"/>
        <w:rPr>
          <w:rFonts w:ascii="Arial" w:cs="Arial" w:eastAsia="Arial" w:hAnsi="Arial"/>
          <w:sz w:val="16"/>
          <w:szCs w:val="16"/>
          <w:b w:val="1"/>
          <w:bCs w:val="1"/>
          <w:u w:val="single" w:color="auto"/>
          <w:color w:val="0563C1"/>
        </w:rPr>
      </w:pPr>
      <w:hyperlink w:anchor="page2">
        <w:r>
          <w:rPr>
            <w:rFonts w:ascii="Arial" w:cs="Arial" w:eastAsia="Arial" w:hAnsi="Arial"/>
            <w:sz w:val="16"/>
            <w:szCs w:val="16"/>
            <w:b w:val="1"/>
            <w:bCs w:val="1"/>
            <w:u w:val="single" w:color="auto"/>
            <w:color w:val="0563C1"/>
          </w:rPr>
          <w:t>Table of Contents</w:t>
        </w:r>
      </w:hyperlink>
    </w:p>
    <w:p>
      <w:pPr>
        <w:sectPr>
          <w:pgSz w:w="11900" w:h="16838" w:orient="portrait"/>
          <w:cols w:equalWidth="0" w:num="1">
            <w:col w:w="10139"/>
          </w:cols>
          <w:pgMar w:left="320" w:top="108" w:right="1440" w:bottom="1440" w:gutter="0" w:footer="0" w:header="0"/>
        </w:sectPr>
      </w:pPr>
    </w:p>
    <w:p>
      <w:pPr>
        <w:spacing w:after="0" w:line="347" w:lineRule="exact"/>
        <w:rPr>
          <w:sz w:val="20"/>
          <w:szCs w:val="20"/>
          <w:color w:val="auto"/>
        </w:rPr>
      </w:pPr>
    </w:p>
    <w:p>
      <w:pPr>
        <w:ind w:left="220"/>
        <w:spacing w:after="0"/>
        <w:rPr>
          <w:rFonts w:ascii="Arial" w:cs="Arial" w:eastAsia="Arial" w:hAnsi="Arial"/>
          <w:sz w:val="18"/>
          <w:szCs w:val="18"/>
          <w:color w:val="0563C1"/>
        </w:rPr>
      </w:pPr>
      <w:hyperlink w:anchor="page128">
        <w:r>
          <w:rPr>
            <w:rFonts w:ascii="Arial" w:cs="Arial" w:eastAsia="Arial" w:hAnsi="Arial"/>
            <w:sz w:val="18"/>
            <w:szCs w:val="18"/>
            <w:u w:val="single" w:color="auto"/>
            <w:color w:val="0563C1"/>
          </w:rPr>
          <w:t>31.2</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-10160</wp:posOffset>
            </wp:positionV>
            <wp:extent cx="2000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57" w:lineRule="exact"/>
        <w:rPr>
          <w:sz w:val="20"/>
          <w:szCs w:val="20"/>
          <w:color w:val="auto"/>
        </w:rPr>
      </w:pPr>
    </w:p>
    <w:p>
      <w:pPr>
        <w:ind w:left="220"/>
        <w:spacing w:after="0"/>
        <w:rPr>
          <w:rFonts w:ascii="Arial" w:cs="Arial" w:eastAsia="Arial" w:hAnsi="Arial"/>
          <w:sz w:val="18"/>
          <w:szCs w:val="18"/>
          <w:color w:val="0563C1"/>
        </w:rPr>
      </w:pPr>
      <w:hyperlink w:anchor="page129">
        <w:r>
          <w:rPr>
            <w:rFonts w:ascii="Arial" w:cs="Arial" w:eastAsia="Arial" w:hAnsi="Arial"/>
            <w:sz w:val="18"/>
            <w:szCs w:val="18"/>
            <w:u w:val="single" w:color="auto"/>
            <w:color w:val="0563C1"/>
          </w:rPr>
          <w:t>32.1</w:t>
        </w:r>
      </w:hyperlink>
      <w:r>
        <w:rPr>
          <w:rFonts w:ascii="Arial" w:cs="Arial" w:eastAsia="Arial" w:hAnsi="Arial"/>
          <w:sz w:val="18"/>
          <w:szCs w:val="18"/>
          <w:color w:val="000000"/>
        </w:rPr>
        <w:t>*</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101.INS</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101.SCH</w:t>
      </w:r>
    </w:p>
    <w:p>
      <w:pPr>
        <w:ind w:left="80"/>
        <w:spacing w:after="0" w:line="238" w:lineRule="auto"/>
        <w:rPr>
          <w:sz w:val="20"/>
          <w:szCs w:val="20"/>
          <w:color w:val="auto"/>
        </w:rPr>
      </w:pPr>
      <w:r>
        <w:rPr>
          <w:rFonts w:ascii="Arial" w:cs="Arial" w:eastAsia="Arial" w:hAnsi="Arial"/>
          <w:sz w:val="17"/>
          <w:szCs w:val="17"/>
          <w:color w:val="auto"/>
        </w:rPr>
        <w:t>101.CAL</w:t>
      </w:r>
    </w:p>
    <w:p>
      <w:pPr>
        <w:ind w:left="100"/>
        <w:spacing w:after="0"/>
        <w:rPr>
          <w:sz w:val="20"/>
          <w:szCs w:val="20"/>
          <w:color w:val="auto"/>
        </w:rPr>
      </w:pPr>
      <w:r>
        <w:rPr>
          <w:rFonts w:ascii="Arial" w:cs="Arial" w:eastAsia="Arial" w:hAnsi="Arial"/>
          <w:sz w:val="16"/>
          <w:szCs w:val="16"/>
          <w:color w:val="auto"/>
        </w:rPr>
        <w:t>101.DEF</w:t>
      </w:r>
    </w:p>
    <w:p>
      <w:pPr>
        <w:ind w:left="80"/>
        <w:spacing w:after="0" w:line="238" w:lineRule="auto"/>
        <w:rPr>
          <w:sz w:val="20"/>
          <w:szCs w:val="20"/>
          <w:color w:val="auto"/>
        </w:rPr>
      </w:pPr>
      <w:r>
        <w:rPr>
          <w:rFonts w:ascii="Arial" w:cs="Arial" w:eastAsia="Arial" w:hAnsi="Arial"/>
          <w:sz w:val="17"/>
          <w:szCs w:val="17"/>
          <w:color w:val="auto"/>
        </w:rPr>
        <w:t>101.LAB</w:t>
      </w:r>
    </w:p>
    <w:p>
      <w:pPr>
        <w:ind w:left="100"/>
        <w:spacing w:after="0"/>
        <w:rPr>
          <w:sz w:val="20"/>
          <w:szCs w:val="20"/>
          <w:color w:val="auto"/>
        </w:rPr>
      </w:pPr>
      <w:r>
        <w:rPr>
          <w:rFonts w:ascii="Arial" w:cs="Arial" w:eastAsia="Arial" w:hAnsi="Arial"/>
          <w:sz w:val="16"/>
          <w:szCs w:val="16"/>
          <w:color w:val="auto"/>
        </w:rPr>
        <w:t>101.PRE</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8" w:right="3439"/>
        <w:spacing w:after="0" w:line="228" w:lineRule="auto"/>
        <w:rPr>
          <w:rFonts w:ascii="Arial" w:cs="Arial" w:eastAsia="Arial" w:hAnsi="Arial"/>
          <w:sz w:val="18"/>
          <w:szCs w:val="18"/>
          <w:u w:val="single" w:color="auto"/>
          <w:color w:val="0563C1"/>
        </w:rPr>
      </w:pPr>
      <w:hyperlink w:anchor="page128">
        <w:r>
          <w:rPr>
            <w:rFonts w:ascii="Arial" w:cs="Arial" w:eastAsia="Arial" w:hAnsi="Arial"/>
            <w:sz w:val="18"/>
            <w:szCs w:val="18"/>
            <w:u w:val="single" w:color="auto"/>
            <w:color w:val="0563C1"/>
          </w:rPr>
          <w:t>Certification of Chief Financial Officer pursuant to Section 302 of the Sarbanes-</w:t>
        </w:r>
      </w:hyperlink>
      <w:hyperlink w:anchor="page128">
        <w:r>
          <w:rPr>
            <w:rFonts w:ascii="Arial" w:cs="Arial" w:eastAsia="Arial" w:hAnsi="Arial"/>
            <w:sz w:val="18"/>
            <w:szCs w:val="18"/>
            <w:u w:val="single" w:color="auto"/>
            <w:color w:val="0563C1"/>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36753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36753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wp:posOffset>
            </wp:positionV>
            <wp:extent cx="882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ind w:left="8" w:right="3699"/>
        <w:spacing w:after="0" w:line="219" w:lineRule="auto"/>
        <w:rPr>
          <w:rFonts w:ascii="Arial" w:cs="Arial" w:eastAsia="Arial" w:hAnsi="Arial"/>
          <w:sz w:val="18"/>
          <w:szCs w:val="18"/>
          <w:u w:val="single" w:color="auto"/>
          <w:color w:val="0563C1"/>
        </w:rPr>
      </w:pPr>
      <w:hyperlink w:anchor="page129">
        <w:r>
          <w:rPr>
            <w:rFonts w:ascii="Arial" w:cs="Arial" w:eastAsia="Arial" w:hAnsi="Arial"/>
            <w:sz w:val="18"/>
            <w:szCs w:val="18"/>
            <w:u w:val="single" w:color="auto"/>
            <w:color w:val="0563C1"/>
          </w:rPr>
          <w:t>Certification of the Chief Executive and Chief Financial Officers pursuant to</w:t>
        </w:r>
      </w:hyperlink>
      <w:r>
        <w:rPr>
          <w:rFonts w:ascii="Arial" w:cs="Arial" w:eastAsia="Arial" w:hAnsi="Arial"/>
          <w:sz w:val="18"/>
          <w:szCs w:val="18"/>
          <w:u w:val="single" w:color="auto"/>
          <w:color w:val="0563C1"/>
        </w:rPr>
        <w:t xml:space="preserve"> </w:t>
      </w:r>
      <w:hyperlink w:anchor="page129">
        <w:r>
          <w:rPr>
            <w:rFonts w:ascii="Arial" w:cs="Arial" w:eastAsia="Arial" w:hAnsi="Arial"/>
            <w:sz w:val="18"/>
            <w:szCs w:val="18"/>
            <w:u w:val="single" w:color="auto"/>
            <w:color w:val="0563C1"/>
          </w:rPr>
          <w:t>Section 906 of the Sarbanes-Oxley Act of 2002 (18 U.S.C. Section 1350).</w:t>
        </w:r>
      </w:hyperlink>
      <w:r>
        <w:rPr>
          <w:rFonts w:ascii="Arial" w:cs="Arial" w:eastAsia="Arial" w:hAnsi="Arial"/>
          <w:sz w:val="18"/>
          <w:szCs w:val="18"/>
          <w:u w:val="single" w:color="auto"/>
          <w:color w:val="0563C1"/>
        </w:rPr>
        <w:t xml:space="preserve"> </w:t>
      </w:r>
      <w:r>
        <w:rPr>
          <w:rFonts w:ascii="Arial" w:cs="Arial" w:eastAsia="Arial" w:hAnsi="Arial"/>
          <w:sz w:val="18"/>
          <w:szCs w:val="18"/>
          <w:color w:val="000000"/>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-351790</wp:posOffset>
            </wp:positionV>
            <wp:extent cx="713232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
        <w:spacing w:after="0" w:line="219" w:lineRule="auto"/>
        <w:rPr>
          <w:sz w:val="20"/>
          <w:szCs w:val="20"/>
          <w:color w:val="auto"/>
        </w:rPr>
      </w:pPr>
      <w:r>
        <w:rPr>
          <w:rFonts w:ascii="Arial" w:cs="Arial" w:eastAsia="Arial" w:hAnsi="Arial"/>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-111760</wp:posOffset>
            </wp:positionV>
            <wp:extent cx="7132320"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8" w:right="4279"/>
        <w:spacing w:after="0" w:line="246" w:lineRule="auto"/>
        <w:rPr>
          <w:sz w:val="20"/>
          <w:szCs w:val="20"/>
          <w:color w:val="auto"/>
        </w:rPr>
      </w:pPr>
      <w:r>
        <w:rPr>
          <w:rFonts w:ascii="Arial" w:cs="Arial" w:eastAsia="Arial" w:hAnsi="Arial"/>
          <w:sz w:val="16"/>
          <w:szCs w:val="16"/>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-350520</wp:posOffset>
            </wp:positionV>
            <wp:extent cx="7132320" cy="120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-111125</wp:posOffset>
            </wp:positionV>
            <wp:extent cx="713232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8" w:right="3639"/>
        <w:spacing w:after="0" w:line="233" w:lineRule="auto"/>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8"/>
          <w:szCs w:val="18"/>
          <w:color w:val="auto"/>
        </w:rPr>
        <w:t>* Filed herewith</w:t>
      </w:r>
    </w:p>
    <w:p>
      <w:pPr>
        <w:ind w:left="8"/>
        <w:spacing w:after="0" w:line="232" w:lineRule="auto"/>
        <w:rPr>
          <w:sz w:val="20"/>
          <w:szCs w:val="20"/>
          <w:color w:val="auto"/>
        </w:rPr>
      </w:pPr>
      <w:r>
        <w:rPr>
          <w:rFonts w:ascii="Arial" w:cs="Arial" w:eastAsia="Arial" w:hAnsi="Arial"/>
          <w:sz w:val="17"/>
          <w:szCs w:val="17"/>
          <w:color w:val="auto"/>
        </w:rPr>
        <w:t>+ Indicates a management contract or compensatory plan or arrangement.</w:t>
      </w:r>
    </w:p>
    <w:p>
      <w:pPr>
        <w:ind w:left="8" w:right="3399" w:hanging="8"/>
        <w:spacing w:after="0" w:line="233" w:lineRule="auto"/>
        <w:tabs>
          <w:tab w:leader="none" w:pos="1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grant of confidential treatment.</w:t>
      </w:r>
    </w:p>
    <w:p>
      <w:pPr>
        <w:spacing w:after="0" w:line="200" w:lineRule="exact"/>
        <w:rPr>
          <w:sz w:val="20"/>
          <w:szCs w:val="20"/>
          <w:color w:val="auto"/>
        </w:rPr>
      </w:pPr>
    </w:p>
    <w:p>
      <w:pPr>
        <w:sectPr>
          <w:pgSz w:w="11900" w:h="16838" w:orient="portrait"/>
          <w:cols w:equalWidth="0" w:num="2">
            <w:col w:w="760" w:space="152"/>
            <w:col w:w="9227"/>
          </w:cols>
          <w:pgMar w:left="320" w:top="108" w:right="1440"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Pursuant to the requirements of the Section 13 or 15(d) of the Securities Exchange Act of 1934, the registrant has duly caused this report to be signed on its behalf by the undersigned, thereunto duly authorized.</w:t>
      </w:r>
    </w:p>
    <w:p>
      <w:pPr>
        <w:spacing w:after="0" w:line="34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PULSE BIOSCIENCES, INC.</w:t>
      </w:r>
    </w:p>
    <w:p>
      <w:pPr>
        <w:spacing w:after="0" w:line="175" w:lineRule="exact"/>
        <w:rPr>
          <w:sz w:val="20"/>
          <w:szCs w:val="20"/>
          <w:color w:val="auto"/>
        </w:rPr>
      </w:pPr>
    </w:p>
    <w:p>
      <w:pPr>
        <w:spacing w:after="0"/>
        <w:tabs>
          <w:tab w:leader="none" w:pos="5720" w:val="left"/>
          <w:tab w:leader="none" w:pos="7600" w:val="left"/>
          <w:tab w:leader="none" w:pos="7960" w:val="left"/>
        </w:tabs>
        <w:rPr>
          <w:sz w:val="20"/>
          <w:szCs w:val="20"/>
          <w:color w:val="auto"/>
        </w:rPr>
      </w:pPr>
      <w:r>
        <w:rPr>
          <w:rFonts w:ascii="Arial" w:cs="Arial" w:eastAsia="Arial" w:hAnsi="Arial"/>
          <w:sz w:val="18"/>
          <w:szCs w:val="18"/>
          <w:color w:val="auto"/>
        </w:rPr>
        <w:t>Date: 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6350</wp:posOffset>
            </wp:positionV>
            <wp:extent cx="28632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jc w:val="center"/>
        <w:ind w:left="5740"/>
        <w:spacing w:after="0" w:line="238" w:lineRule="auto"/>
        <w:rPr>
          <w:sz w:val="20"/>
          <w:szCs w:val="20"/>
          <w:color w:val="auto"/>
        </w:rPr>
      </w:pPr>
      <w:r>
        <w:rPr>
          <w:rFonts w:ascii="Arial" w:cs="Arial" w:eastAsia="Arial" w:hAnsi="Arial"/>
          <w:sz w:val="18"/>
          <w:szCs w:val="18"/>
          <w:b w:val="1"/>
          <w:bCs w:val="1"/>
          <w:color w:val="auto"/>
        </w:rPr>
        <w:t>Sandra A. Gardiner</w:t>
      </w:r>
    </w:p>
    <w:p>
      <w:pPr>
        <w:jc w:val="center"/>
        <w:ind w:left="5700"/>
        <w:spacing w:after="0" w:line="221" w:lineRule="auto"/>
        <w:rPr>
          <w:sz w:val="20"/>
          <w:szCs w:val="20"/>
          <w:color w:val="auto"/>
        </w:rPr>
      </w:pPr>
      <w:r>
        <w:rPr>
          <w:rFonts w:ascii="Arial" w:cs="Arial" w:eastAsia="Arial" w:hAnsi="Arial"/>
          <w:sz w:val="14"/>
          <w:szCs w:val="14"/>
          <w:b w:val="1"/>
          <w:bCs w:val="1"/>
          <w:color w:val="auto"/>
        </w:rPr>
        <w:t>Chief Financial Officer, Executive Vice President of Finance and</w:t>
      </w:r>
    </w:p>
    <w:p>
      <w:pPr>
        <w:jc w:val="center"/>
        <w:ind w:left="5700"/>
        <w:spacing w:after="0" w:line="222" w:lineRule="auto"/>
        <w:rPr>
          <w:sz w:val="20"/>
          <w:szCs w:val="20"/>
          <w:color w:val="auto"/>
        </w:rPr>
      </w:pPr>
      <w:r>
        <w:rPr>
          <w:rFonts w:ascii="Arial" w:cs="Arial" w:eastAsia="Arial" w:hAnsi="Arial"/>
          <w:sz w:val="14"/>
          <w:szCs w:val="14"/>
          <w:b w:val="1"/>
          <w:bCs w:val="1"/>
          <w:color w:val="auto"/>
        </w:rPr>
        <w:t>Administration, and Treasurer</w:t>
      </w:r>
    </w:p>
    <w:p>
      <w:pPr>
        <w:jc w:val="center"/>
        <w:ind w:left="5740"/>
        <w:spacing w:after="0"/>
        <w:rPr>
          <w:sz w:val="20"/>
          <w:szCs w:val="20"/>
          <w:color w:val="auto"/>
        </w:rPr>
      </w:pPr>
      <w:r>
        <w:rPr>
          <w:rFonts w:ascii="Arial" w:cs="Arial" w:eastAsia="Arial" w:hAnsi="Arial"/>
          <w:sz w:val="14"/>
          <w:szCs w:val="14"/>
          <w:b w:val="1"/>
          <w:bCs w:val="1"/>
          <w:i w:val="1"/>
          <w:iCs w:val="1"/>
          <w:color w:val="auto"/>
        </w:rPr>
        <w:t>(Principal Financial and Accounting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Darrin R. Uecker and Sandra A. Gardiner, jointly and severally, as his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center"/>
              <w:ind w:right="1390"/>
              <w:spacing w:after="0"/>
              <w:rPr>
                <w:sz w:val="20"/>
                <w:szCs w:val="20"/>
                <w:color w:val="auto"/>
              </w:rPr>
            </w:pPr>
            <w:r>
              <w:rPr>
                <w:rFonts w:ascii="Arial" w:cs="Arial" w:eastAsia="Arial" w:hAnsi="Arial"/>
                <w:sz w:val="18"/>
                <w:szCs w:val="18"/>
                <w:b w:val="1"/>
                <w:bCs w:val="1"/>
                <w:color w:val="auto"/>
                <w:w w:val="91"/>
              </w:rPr>
              <w:t>Signature</w:t>
            </w:r>
          </w:p>
        </w:tc>
        <w:tc>
          <w:tcPr>
            <w:tcW w:w="20" w:type="dxa"/>
            <w:vAlign w:val="bottom"/>
          </w:tcPr>
          <w:p>
            <w:pPr>
              <w:spacing w:after="0"/>
              <w:rPr>
                <w:sz w:val="19"/>
                <w:szCs w:val="19"/>
                <w:color w:val="auto"/>
              </w:rPr>
            </w:pPr>
          </w:p>
        </w:tc>
        <w:tc>
          <w:tcPr>
            <w:tcW w:w="4880" w:type="dxa"/>
            <w:vAlign w:val="bottom"/>
            <w:tcBorders>
              <w:bottom w:val="single" w:sz="8" w:color="auto"/>
            </w:tcBorders>
          </w:tcPr>
          <w:p>
            <w:pPr>
              <w:jc w:val="right"/>
              <w:ind w:right="2170"/>
              <w:spacing w:after="0"/>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9"/>
                <w:szCs w:val="19"/>
                <w:color w:val="auto"/>
              </w:rPr>
            </w:pPr>
          </w:p>
        </w:tc>
        <w:tc>
          <w:tcPr>
            <w:tcW w:w="20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1300"/>
              <w:spacing w:after="0" w:line="161" w:lineRule="exact"/>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CCEEFF"/>
            </w:tcBorders>
            <w:shd w:val="clear" w:color="auto" w:fill="CCEEFF"/>
          </w:tcPr>
          <w:p>
            <w:pPr>
              <w:jc w:val="center"/>
              <w:ind w:right="1030"/>
              <w:spacing w:after="0" w:line="161" w:lineRule="exact"/>
              <w:rPr>
                <w:sz w:val="20"/>
                <w:szCs w:val="20"/>
                <w:color w:val="auto"/>
              </w:rPr>
            </w:pPr>
            <w:r>
              <w:rPr>
                <w:rFonts w:ascii="Arial" w:cs="Arial" w:eastAsia="Arial" w:hAnsi="Arial"/>
                <w:sz w:val="18"/>
                <w:szCs w:val="18"/>
                <w:color w:val="auto"/>
                <w:w w:val="92"/>
              </w:rPr>
              <w:t>Darrin R. Uecker</w:t>
            </w:r>
          </w:p>
        </w:tc>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8"/>
                <w:szCs w:val="18"/>
                <w:color w:val="auto"/>
                <w:w w:val="92"/>
              </w:rPr>
              <w:t>President, Chief Executive Officer and Director (</w:t>
            </w:r>
            <w:r>
              <w:rPr>
                <w:rFonts w:ascii="Arial" w:cs="Arial" w:eastAsia="Arial" w:hAnsi="Arial"/>
                <w:sz w:val="18"/>
                <w:szCs w:val="18"/>
                <w:i w:val="1"/>
                <w:iCs w:val="1"/>
                <w:color w:val="auto"/>
                <w:w w:val="92"/>
              </w:rPr>
              <w:t>Principal</w:t>
            </w:r>
          </w:p>
        </w:tc>
        <w:tc>
          <w:tcPr>
            <w:tcW w:w="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ind w:left="540"/>
              <w:spacing w:after="0" w:line="161" w:lineRule="exact"/>
              <w:rPr>
                <w:sz w:val="20"/>
                <w:szCs w:val="20"/>
                <w:color w:val="auto"/>
              </w:rPr>
            </w:pPr>
            <w:r>
              <w:rPr>
                <w:rFonts w:ascii="Arial" w:cs="Arial" w:eastAsia="Arial" w:hAnsi="Arial"/>
                <w:sz w:val="18"/>
                <w:szCs w:val="18"/>
                <w:color w:val="auto"/>
              </w:rPr>
              <w:t>March 31, 2022</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200" w:type="dxa"/>
            <w:vAlign w:val="bottom"/>
            <w:tcBorders>
              <w:top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Darrin R. Uecker</w:t>
            </w:r>
          </w:p>
        </w:tc>
        <w:tc>
          <w:tcPr>
            <w:tcW w:w="20" w:type="dxa"/>
            <w:vAlign w:val="bottom"/>
            <w:tcBorders>
              <w:top w:val="single" w:sz="8" w:color="CCEEFF"/>
            </w:tcBorders>
            <w:shd w:val="clear" w:color="auto" w:fill="CCEEFF"/>
          </w:tcPr>
          <w:p>
            <w:pPr>
              <w:spacing w:after="0"/>
              <w:rPr>
                <w:sz w:val="15"/>
                <w:szCs w:val="15"/>
                <w:color w:val="auto"/>
              </w:rPr>
            </w:pPr>
          </w:p>
        </w:tc>
        <w:tc>
          <w:tcPr>
            <w:tcW w:w="4880" w:type="dxa"/>
            <w:vAlign w:val="bottom"/>
            <w:tcBorders>
              <w:top w:val="single" w:sz="8" w:color="CCEEFF"/>
            </w:tcBorders>
            <w:shd w:val="clear" w:color="auto" w:fill="CCEEFF"/>
          </w:tcPr>
          <w:p>
            <w:pPr>
              <w:jc w:val="center"/>
              <w:ind w:left="30"/>
              <w:spacing w:after="0" w:line="182" w:lineRule="exact"/>
              <w:rPr>
                <w:sz w:val="20"/>
                <w:szCs w:val="20"/>
                <w:color w:val="auto"/>
              </w:rPr>
            </w:pPr>
            <w:r>
              <w:rPr>
                <w:rFonts w:ascii="Arial" w:cs="Arial" w:eastAsia="Arial" w:hAnsi="Arial"/>
                <w:sz w:val="18"/>
                <w:szCs w:val="18"/>
                <w:i w:val="1"/>
                <w:iCs w:val="1"/>
                <w:color w:val="auto"/>
                <w:w w:val="92"/>
              </w:rPr>
              <w:t>Executive Officer)</w:t>
            </w:r>
          </w:p>
        </w:tc>
        <w:tc>
          <w:tcPr>
            <w:tcW w:w="2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tcBorders>
              <w:bottom w:val="single" w:sz="8" w:color="auto"/>
            </w:tcBorders>
          </w:tcPr>
          <w:p>
            <w:pPr>
              <w:ind w:left="1260"/>
              <w:spacing w:after="0" w:line="189" w:lineRule="exact"/>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050"/>
              <w:spacing w:after="0" w:line="189" w:lineRule="exact"/>
              <w:rPr>
                <w:sz w:val="20"/>
                <w:szCs w:val="20"/>
                <w:color w:val="auto"/>
              </w:rPr>
            </w:pPr>
            <w:r>
              <w:rPr>
                <w:rFonts w:ascii="Arial" w:cs="Arial" w:eastAsia="Arial" w:hAnsi="Arial"/>
                <w:sz w:val="18"/>
                <w:szCs w:val="18"/>
                <w:color w:val="auto"/>
                <w:w w:val="89"/>
              </w:rPr>
              <w:t>Robert W. Duggan</w:t>
            </w:r>
          </w:p>
        </w:tc>
        <w:tc>
          <w:tcPr>
            <w:tcW w:w="20" w:type="dxa"/>
            <w:vAlign w:val="bottom"/>
          </w:tcPr>
          <w:p>
            <w:pPr>
              <w:spacing w:after="0"/>
              <w:rPr>
                <w:sz w:val="16"/>
                <w:szCs w:val="16"/>
                <w:color w:val="auto"/>
              </w:rPr>
            </w:pPr>
          </w:p>
        </w:tc>
        <w:tc>
          <w:tcPr>
            <w:tcW w:w="488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2"/>
              </w:rPr>
              <w:t>Chairman of the Board of Directors</w:t>
            </w:r>
          </w:p>
        </w:tc>
        <w:tc>
          <w:tcPr>
            <w:tcW w:w="20" w:type="dxa"/>
            <w:vAlign w:val="bottom"/>
          </w:tcPr>
          <w:p>
            <w:pPr>
              <w:spacing w:after="0"/>
              <w:rPr>
                <w:sz w:val="16"/>
                <w:szCs w:val="16"/>
                <w:color w:val="auto"/>
              </w:rPr>
            </w:pPr>
          </w:p>
        </w:tc>
        <w:tc>
          <w:tcPr>
            <w:tcW w:w="2080" w:type="dxa"/>
            <w:vAlign w:val="bottom"/>
          </w:tcPr>
          <w:p>
            <w:pPr>
              <w:ind w:left="540"/>
              <w:spacing w:after="0" w:line="189" w:lineRule="exact"/>
              <w:rPr>
                <w:sz w:val="20"/>
                <w:szCs w:val="20"/>
                <w:color w:val="auto"/>
              </w:rPr>
            </w:pPr>
            <w:r>
              <w:rPr>
                <w:rFonts w:ascii="Arial" w:cs="Arial" w:eastAsia="Arial" w:hAnsi="Arial"/>
                <w:sz w:val="18"/>
                <w:szCs w:val="18"/>
                <w:color w:val="auto"/>
              </w:rPr>
              <w:t>March 31,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color w:val="auto"/>
                <w:w w:val="91"/>
              </w:rPr>
              <w:t>Robert W. Duggan</w:t>
            </w:r>
          </w:p>
        </w:tc>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1220"/>
              <w:spacing w:after="0" w:line="161" w:lineRule="exact"/>
              <w:rPr>
                <w:sz w:val="20"/>
                <w:szCs w:val="20"/>
                <w:color w:val="auto"/>
              </w:rPr>
            </w:pPr>
            <w:r>
              <w:rPr>
                <w:rFonts w:ascii="Arial" w:cs="Arial" w:eastAsia="Arial" w:hAnsi="Arial"/>
                <w:sz w:val="18"/>
                <w:szCs w:val="18"/>
                <w:color w:val="auto"/>
              </w:rPr>
              <w:t>/s/</w:t>
            </w:r>
          </w:p>
        </w:tc>
        <w:tc>
          <w:tcPr>
            <w:tcW w:w="2720" w:type="dxa"/>
            <w:vAlign w:val="bottom"/>
            <w:tcBorders>
              <w:bottom w:val="single" w:sz="8" w:color="CCEEFF"/>
            </w:tcBorders>
            <w:shd w:val="clear" w:color="auto" w:fill="CCEEFF"/>
          </w:tcPr>
          <w:p>
            <w:pPr>
              <w:jc w:val="center"/>
              <w:ind w:right="1030"/>
              <w:spacing w:after="0" w:line="161" w:lineRule="exact"/>
              <w:rPr>
                <w:sz w:val="20"/>
                <w:szCs w:val="20"/>
                <w:color w:val="auto"/>
              </w:rPr>
            </w:pPr>
            <w:r>
              <w:rPr>
                <w:rFonts w:ascii="Arial" w:cs="Arial" w:eastAsia="Arial" w:hAnsi="Arial"/>
                <w:sz w:val="18"/>
                <w:szCs w:val="18"/>
                <w:color w:val="auto"/>
                <w:w w:val="90"/>
              </w:rPr>
              <w:t>Sandra A. Gardiner</w:t>
            </w:r>
          </w:p>
        </w:tc>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shd w:val="clear" w:color="auto" w:fill="CCEEFF"/>
          </w:tcPr>
          <w:p>
            <w:pPr>
              <w:jc w:val="center"/>
              <w:ind w:left="30"/>
              <w:spacing w:after="0" w:line="161" w:lineRule="exact"/>
              <w:rPr>
                <w:sz w:val="20"/>
                <w:szCs w:val="20"/>
                <w:color w:val="auto"/>
              </w:rPr>
            </w:pPr>
            <w:r>
              <w:rPr>
                <w:rFonts w:ascii="Arial" w:cs="Arial" w:eastAsia="Arial" w:hAnsi="Arial"/>
                <w:sz w:val="18"/>
                <w:szCs w:val="18"/>
                <w:color w:val="auto"/>
                <w:w w:val="91"/>
              </w:rPr>
              <w:t>Chief Financial Officer, Executive Vice President, and Treasurer</w:t>
            </w:r>
          </w:p>
        </w:tc>
        <w:tc>
          <w:tcPr>
            <w:tcW w:w="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ind w:left="540"/>
              <w:spacing w:after="0" w:line="161" w:lineRule="exact"/>
              <w:rPr>
                <w:sz w:val="20"/>
                <w:szCs w:val="20"/>
                <w:color w:val="auto"/>
              </w:rPr>
            </w:pPr>
            <w:r>
              <w:rPr>
                <w:rFonts w:ascii="Arial" w:cs="Arial" w:eastAsia="Arial" w:hAnsi="Arial"/>
                <w:sz w:val="18"/>
                <w:szCs w:val="18"/>
                <w:color w:val="auto"/>
              </w:rPr>
              <w:t>March 31, 2022</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200" w:type="dxa"/>
            <w:vAlign w:val="bottom"/>
            <w:tcBorders>
              <w:top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Sandra A. Gardiner</w:t>
            </w:r>
          </w:p>
        </w:tc>
        <w:tc>
          <w:tcPr>
            <w:tcW w:w="20" w:type="dxa"/>
            <w:vAlign w:val="bottom"/>
            <w:tcBorders>
              <w:top w:val="single" w:sz="8" w:color="CCEEFF"/>
            </w:tcBorders>
            <w:shd w:val="clear" w:color="auto" w:fill="CCEEFF"/>
          </w:tcPr>
          <w:p>
            <w:pPr>
              <w:spacing w:after="0"/>
              <w:rPr>
                <w:sz w:val="15"/>
                <w:szCs w:val="15"/>
                <w:color w:val="auto"/>
              </w:rPr>
            </w:pPr>
          </w:p>
        </w:tc>
        <w:tc>
          <w:tcPr>
            <w:tcW w:w="4880" w:type="dxa"/>
            <w:vAlign w:val="bottom"/>
            <w:tcBorders>
              <w:top w:val="single" w:sz="8" w:color="CCEEFF"/>
            </w:tcBorders>
            <w:shd w:val="clear" w:color="auto" w:fill="CCEEFF"/>
          </w:tcPr>
          <w:p>
            <w:pPr>
              <w:jc w:val="right"/>
              <w:ind w:right="630"/>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p>
        </w:tc>
        <w:tc>
          <w:tcPr>
            <w:tcW w:w="2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tcBorders>
              <w:bottom w:val="single" w:sz="8" w:color="auto"/>
            </w:tcBorders>
          </w:tcPr>
          <w:p>
            <w:pPr>
              <w:ind w:left="1140"/>
              <w:spacing w:after="0" w:line="189" w:lineRule="exact"/>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070"/>
              <w:spacing w:after="0" w:line="189" w:lineRule="exact"/>
              <w:rPr>
                <w:sz w:val="20"/>
                <w:szCs w:val="20"/>
                <w:color w:val="auto"/>
              </w:rPr>
            </w:pPr>
            <w:r>
              <w:rPr>
                <w:rFonts w:ascii="Arial" w:cs="Arial" w:eastAsia="Arial" w:hAnsi="Arial"/>
                <w:sz w:val="18"/>
                <w:szCs w:val="18"/>
                <w:color w:val="auto"/>
                <w:w w:val="94"/>
              </w:rPr>
              <w:t>Mitchell E. Levinson</w:t>
            </w:r>
          </w:p>
        </w:tc>
        <w:tc>
          <w:tcPr>
            <w:tcW w:w="20" w:type="dxa"/>
            <w:vAlign w:val="bottom"/>
          </w:tcPr>
          <w:p>
            <w:pPr>
              <w:spacing w:after="0"/>
              <w:rPr>
                <w:sz w:val="16"/>
                <w:szCs w:val="16"/>
                <w:color w:val="auto"/>
              </w:rPr>
            </w:pPr>
          </w:p>
        </w:tc>
        <w:tc>
          <w:tcPr>
            <w:tcW w:w="488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3"/>
              </w:rPr>
              <w:t>Chief Strategy Officer and Director</w:t>
            </w:r>
          </w:p>
        </w:tc>
        <w:tc>
          <w:tcPr>
            <w:tcW w:w="20" w:type="dxa"/>
            <w:vAlign w:val="bottom"/>
          </w:tcPr>
          <w:p>
            <w:pPr>
              <w:spacing w:after="0"/>
              <w:rPr>
                <w:sz w:val="16"/>
                <w:szCs w:val="16"/>
                <w:color w:val="auto"/>
              </w:rPr>
            </w:pPr>
          </w:p>
        </w:tc>
        <w:tc>
          <w:tcPr>
            <w:tcW w:w="2080" w:type="dxa"/>
            <w:vAlign w:val="bottom"/>
          </w:tcPr>
          <w:p>
            <w:pPr>
              <w:ind w:left="540"/>
              <w:spacing w:after="0" w:line="189" w:lineRule="exact"/>
              <w:rPr>
                <w:sz w:val="20"/>
                <w:szCs w:val="20"/>
                <w:color w:val="auto"/>
              </w:rPr>
            </w:pPr>
            <w:r>
              <w:rPr>
                <w:rFonts w:ascii="Arial" w:cs="Arial" w:eastAsia="Arial" w:hAnsi="Arial"/>
                <w:sz w:val="18"/>
                <w:szCs w:val="18"/>
                <w:color w:val="auto"/>
              </w:rPr>
              <w:t>March 31,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color w:val="auto"/>
                <w:w w:val="94"/>
              </w:rPr>
              <w:t>Mitchell E. Levinson</w:t>
            </w:r>
          </w:p>
        </w:tc>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ind w:left="1320"/>
              <w:spacing w:after="0" w:line="189" w:lineRule="exact"/>
              <w:rPr>
                <w:sz w:val="20"/>
                <w:szCs w:val="20"/>
                <w:color w:val="auto"/>
              </w:rPr>
            </w:pPr>
            <w:r>
              <w:rPr>
                <w:rFonts w:ascii="Arial" w:cs="Arial" w:eastAsia="Arial" w:hAnsi="Arial"/>
                <w:sz w:val="18"/>
                <w:szCs w:val="18"/>
                <w:color w:val="auto"/>
                <w:w w:val="73"/>
              </w:rPr>
              <w:t>/s/</w:t>
            </w:r>
          </w:p>
        </w:tc>
        <w:tc>
          <w:tcPr>
            <w:tcW w:w="2720" w:type="dxa"/>
            <w:vAlign w:val="bottom"/>
            <w:tcBorders>
              <w:bottom w:val="single" w:sz="8" w:color="auto"/>
            </w:tcBorders>
            <w:shd w:val="clear" w:color="auto" w:fill="CCEEFF"/>
          </w:tcPr>
          <w:p>
            <w:pPr>
              <w:jc w:val="center"/>
              <w:ind w:right="1050"/>
              <w:spacing w:after="0" w:line="189" w:lineRule="exact"/>
              <w:rPr>
                <w:sz w:val="20"/>
                <w:szCs w:val="20"/>
                <w:color w:val="auto"/>
              </w:rPr>
            </w:pPr>
            <w:r>
              <w:rPr>
                <w:rFonts w:ascii="Arial" w:cs="Arial" w:eastAsia="Arial" w:hAnsi="Arial"/>
                <w:sz w:val="18"/>
                <w:szCs w:val="18"/>
                <w:color w:val="auto"/>
                <w:w w:val="90"/>
              </w:rPr>
              <w:t>Shelley D. Spray</w:t>
            </w:r>
          </w:p>
        </w:tc>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5"/>
              </w:rPr>
              <w:t>Director</w:t>
            </w:r>
          </w:p>
        </w:tc>
        <w:tc>
          <w:tcPr>
            <w:tcW w:w="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ind w:left="540"/>
              <w:spacing w:after="0" w:line="189" w:lineRule="exact"/>
              <w:rPr>
                <w:sz w:val="20"/>
                <w:szCs w:val="20"/>
                <w:color w:val="auto"/>
              </w:rPr>
            </w:pPr>
            <w:r>
              <w:rPr>
                <w:rFonts w:ascii="Arial" w:cs="Arial" w:eastAsia="Arial" w:hAnsi="Arial"/>
                <w:sz w:val="18"/>
                <w:szCs w:val="18"/>
                <w:color w:val="auto"/>
              </w:rPr>
              <w:t>March 31, 2022</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720" w:type="dxa"/>
            <w:vAlign w:val="bottom"/>
            <w:shd w:val="clear" w:color="auto" w:fill="CCEEFF"/>
          </w:tcPr>
          <w:p>
            <w:pPr>
              <w:jc w:val="center"/>
              <w:ind w:right="1390"/>
              <w:spacing w:after="0"/>
              <w:rPr>
                <w:sz w:val="20"/>
                <w:szCs w:val="20"/>
                <w:color w:val="auto"/>
              </w:rPr>
            </w:pPr>
            <w:r>
              <w:rPr>
                <w:rFonts w:ascii="Arial" w:cs="Arial" w:eastAsia="Arial" w:hAnsi="Arial"/>
                <w:sz w:val="18"/>
                <w:szCs w:val="18"/>
                <w:color w:val="auto"/>
                <w:w w:val="92"/>
              </w:rPr>
              <w:t>Shelley D. Spray</w:t>
            </w:r>
          </w:p>
        </w:tc>
        <w:tc>
          <w:tcPr>
            <w:tcW w:w="20" w:type="dxa"/>
            <w:vAlign w:val="bottom"/>
            <w:shd w:val="clear" w:color="auto" w:fill="CCEEFF"/>
          </w:tcPr>
          <w:p>
            <w:pPr>
              <w:spacing w:after="0"/>
              <w:rPr>
                <w:sz w:val="24"/>
                <w:szCs w:val="24"/>
                <w:color w:val="auto"/>
              </w:rPr>
            </w:pPr>
          </w:p>
        </w:tc>
        <w:tc>
          <w:tcPr>
            <w:tcW w:w="4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tcBorders>
              <w:bottom w:val="single" w:sz="8" w:color="auto"/>
            </w:tcBorders>
          </w:tcPr>
          <w:p>
            <w:pPr>
              <w:ind w:left="1280"/>
              <w:spacing w:after="0" w:line="189" w:lineRule="exact"/>
              <w:rPr>
                <w:sz w:val="20"/>
                <w:szCs w:val="20"/>
                <w:color w:val="auto"/>
              </w:rPr>
            </w:pPr>
            <w:r>
              <w:rPr>
                <w:rFonts w:ascii="Arial" w:cs="Arial" w:eastAsia="Arial" w:hAnsi="Arial"/>
                <w:sz w:val="18"/>
                <w:szCs w:val="18"/>
                <w:color w:val="auto"/>
                <w:w w:val="94"/>
              </w:rPr>
              <w:t>/s/</w:t>
            </w:r>
          </w:p>
        </w:tc>
        <w:tc>
          <w:tcPr>
            <w:tcW w:w="2720" w:type="dxa"/>
            <w:vAlign w:val="bottom"/>
            <w:tcBorders>
              <w:bottom w:val="single" w:sz="8" w:color="auto"/>
            </w:tcBorders>
          </w:tcPr>
          <w:p>
            <w:pPr>
              <w:jc w:val="center"/>
              <w:ind w:right="1070"/>
              <w:spacing w:after="0" w:line="189" w:lineRule="exact"/>
              <w:rPr>
                <w:sz w:val="20"/>
                <w:szCs w:val="20"/>
                <w:color w:val="auto"/>
              </w:rPr>
            </w:pPr>
            <w:r>
              <w:rPr>
                <w:rFonts w:ascii="Arial" w:cs="Arial" w:eastAsia="Arial" w:hAnsi="Arial"/>
                <w:sz w:val="18"/>
                <w:szCs w:val="18"/>
                <w:color w:val="auto"/>
                <w:w w:val="89"/>
              </w:rPr>
              <w:t>Manmeet S. Soni</w:t>
            </w:r>
          </w:p>
        </w:tc>
        <w:tc>
          <w:tcPr>
            <w:tcW w:w="20" w:type="dxa"/>
            <w:vAlign w:val="bottom"/>
          </w:tcPr>
          <w:p>
            <w:pPr>
              <w:spacing w:after="0"/>
              <w:rPr>
                <w:sz w:val="16"/>
                <w:szCs w:val="16"/>
                <w:color w:val="auto"/>
              </w:rPr>
            </w:pPr>
          </w:p>
        </w:tc>
        <w:tc>
          <w:tcPr>
            <w:tcW w:w="488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16"/>
                <w:szCs w:val="16"/>
                <w:color w:val="auto"/>
              </w:rPr>
            </w:pPr>
          </w:p>
        </w:tc>
        <w:tc>
          <w:tcPr>
            <w:tcW w:w="2080" w:type="dxa"/>
            <w:vAlign w:val="bottom"/>
          </w:tcPr>
          <w:p>
            <w:pPr>
              <w:ind w:left="540"/>
              <w:spacing w:after="0" w:line="189" w:lineRule="exact"/>
              <w:rPr>
                <w:sz w:val="20"/>
                <w:szCs w:val="20"/>
                <w:color w:val="auto"/>
              </w:rPr>
            </w:pPr>
            <w:r>
              <w:rPr>
                <w:rFonts w:ascii="Arial" w:cs="Arial" w:eastAsia="Arial" w:hAnsi="Arial"/>
                <w:sz w:val="18"/>
                <w:szCs w:val="18"/>
                <w:color w:val="auto"/>
              </w:rPr>
              <w:t>March 31,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color w:val="auto"/>
                <w:w w:val="89"/>
              </w:rPr>
              <w:t>Manmeet S. Soni</w:t>
            </w:r>
          </w:p>
        </w:tc>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ind w:left="1220"/>
              <w:spacing w:after="0" w:line="189" w:lineRule="exact"/>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Mahkam Zanganeh</w:t>
            </w:r>
          </w:p>
        </w:tc>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5"/>
              </w:rPr>
              <w:t>Director</w:t>
            </w:r>
          </w:p>
        </w:tc>
        <w:tc>
          <w:tcPr>
            <w:tcW w:w="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ind w:left="540"/>
              <w:spacing w:after="0" w:line="189" w:lineRule="exact"/>
              <w:rPr>
                <w:sz w:val="20"/>
                <w:szCs w:val="20"/>
                <w:color w:val="auto"/>
              </w:rPr>
            </w:pPr>
            <w:r>
              <w:rPr>
                <w:rFonts w:ascii="Arial" w:cs="Arial" w:eastAsia="Arial" w:hAnsi="Arial"/>
                <w:sz w:val="18"/>
                <w:szCs w:val="18"/>
                <w:color w:val="auto"/>
              </w:rPr>
              <w:t>March 31, 2022</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Mahkam Zanganeh</w:t>
            </w:r>
          </w:p>
        </w:tc>
        <w:tc>
          <w:tcPr>
            <w:tcW w:w="20" w:type="dxa"/>
            <w:vAlign w:val="bottom"/>
            <w:shd w:val="clear" w:color="auto" w:fill="CCEEFF"/>
          </w:tcPr>
          <w:p>
            <w:pPr>
              <w:spacing w:after="0"/>
              <w:rPr>
                <w:sz w:val="24"/>
                <w:szCs w:val="24"/>
                <w:color w:val="auto"/>
              </w:rPr>
            </w:pPr>
          </w:p>
        </w:tc>
        <w:tc>
          <w:tcPr>
            <w:tcW w:w="4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5"/>
              </w:rPr>
              <w:t>/s/  Richard A. van den Broek</w:t>
            </w:r>
          </w:p>
        </w:tc>
        <w:tc>
          <w:tcPr>
            <w:tcW w:w="20" w:type="dxa"/>
            <w:vAlign w:val="bottom"/>
          </w:tcPr>
          <w:p>
            <w:pPr>
              <w:spacing w:after="0"/>
              <w:rPr>
                <w:sz w:val="16"/>
                <w:szCs w:val="16"/>
                <w:color w:val="auto"/>
              </w:rPr>
            </w:pPr>
          </w:p>
        </w:tc>
        <w:tc>
          <w:tcPr>
            <w:tcW w:w="488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16"/>
                <w:szCs w:val="16"/>
                <w:color w:val="auto"/>
              </w:rPr>
            </w:pPr>
          </w:p>
        </w:tc>
        <w:tc>
          <w:tcPr>
            <w:tcW w:w="2080" w:type="dxa"/>
            <w:vAlign w:val="bottom"/>
          </w:tcPr>
          <w:p>
            <w:pPr>
              <w:ind w:left="540"/>
              <w:spacing w:after="0" w:line="189" w:lineRule="exact"/>
              <w:rPr>
                <w:sz w:val="20"/>
                <w:szCs w:val="20"/>
                <w:color w:val="auto"/>
              </w:rPr>
            </w:pPr>
            <w:r>
              <w:rPr>
                <w:rFonts w:ascii="Arial" w:cs="Arial" w:eastAsia="Arial" w:hAnsi="Arial"/>
                <w:sz w:val="18"/>
                <w:szCs w:val="18"/>
                <w:color w:val="auto"/>
              </w:rPr>
              <w:t>March 31,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color w:val="auto"/>
                <w:w w:val="91"/>
              </w:rPr>
              <w:t>Richard A. van den Broek</w:t>
            </w:r>
          </w:p>
        </w:tc>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900" w:type="dxa"/>
            <w:vAlign w:val="bottom"/>
            <w:gridSpan w:val="2"/>
          </w:tcPr>
          <w:p>
            <w:pPr>
              <w:jc w:val="right"/>
              <w:ind w:right="327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00" w:name="page101"/>
    <w:bookmarkEnd w:id="100"/>
    <w:p>
      <w:pPr>
        <w:ind w:left="1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2668270</wp:posOffset>
            </wp:positionH>
            <wp:positionV relativeFrom="page">
              <wp:posOffset>88900</wp:posOffset>
            </wp:positionV>
            <wp:extent cx="2417445" cy="6343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2417445" cy="634365"/>
                    </a:xfrm>
                    <a:prstGeom prst="rect">
                      <a:avLst/>
                    </a:prstGeom>
                    <a:noFill/>
                  </pic:spPr>
                </pic:pic>
              </a:graphicData>
            </a:graphic>
          </wp:anchor>
        </w:drawing>
        <w:t>PULSE BIOSCIENCES, INC.</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EMPLOYMENT AGREEMENT</w:t>
      </w:r>
    </w:p>
    <w:p>
      <w:pPr>
        <w:spacing w:after="0" w:line="206" w:lineRule="exact"/>
        <w:rPr>
          <w:sz w:val="20"/>
          <w:szCs w:val="20"/>
          <w:color w:val="auto"/>
        </w:rPr>
      </w:pPr>
    </w:p>
    <w:p>
      <w:pPr>
        <w:ind w:left="180" w:firstLine="648"/>
        <w:spacing w:after="0" w:line="334"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and entered into by and between </w:t>
      </w:r>
      <w:r>
        <w:rPr>
          <w:rFonts w:ascii="Arial" w:cs="Arial" w:eastAsia="Arial" w:hAnsi="Arial"/>
          <w:sz w:val="19"/>
          <w:szCs w:val="19"/>
          <w:b w:val="1"/>
          <w:bCs w:val="1"/>
          <w:color w:val="auto"/>
        </w:rPr>
        <w:t xml:space="preserve">Mitch Levinson </w:t>
      </w:r>
      <w:r>
        <w:rPr>
          <w:rFonts w:ascii="Arial" w:cs="Arial" w:eastAsia="Arial" w:hAnsi="Arial"/>
          <w:sz w:val="19"/>
          <w:szCs w:val="19"/>
          <w:color w:val="auto"/>
        </w:rPr>
        <w:t>(“</w:t>
      </w:r>
      <w:r>
        <w:rPr>
          <w:rFonts w:ascii="Arial" w:cs="Arial" w:eastAsia="Arial" w:hAnsi="Arial"/>
          <w:sz w:val="19"/>
          <w:szCs w:val="19"/>
          <w:b w:val="1"/>
          <w:bCs w:val="1"/>
          <w:color w:val="auto"/>
        </w:rPr>
        <w:t>Executive</w:t>
      </w:r>
      <w:r>
        <w:rPr>
          <w:rFonts w:ascii="Arial" w:cs="Arial" w:eastAsia="Arial" w:hAnsi="Arial"/>
          <w:sz w:val="19"/>
          <w:szCs w:val="19"/>
          <w:color w:val="auto"/>
        </w:rPr>
        <w:t>”) and Pulse Biosciences, Inc. (the “</w:t>
      </w:r>
      <w:r>
        <w:rPr>
          <w:rFonts w:ascii="Arial" w:cs="Arial" w:eastAsia="Arial" w:hAnsi="Arial"/>
          <w:sz w:val="19"/>
          <w:szCs w:val="19"/>
          <w:b w:val="1"/>
          <w:bCs w:val="1"/>
          <w:color w:val="auto"/>
        </w:rPr>
        <w:t>Company</w:t>
      </w:r>
      <w:r>
        <w:rPr>
          <w:rFonts w:ascii="Arial" w:cs="Arial" w:eastAsia="Arial" w:hAnsi="Arial"/>
          <w:sz w:val="19"/>
          <w:szCs w:val="19"/>
          <w:color w:val="auto"/>
        </w:rPr>
        <w:t>”), as of</w:t>
      </w:r>
      <w:r>
        <w:rPr>
          <w:rFonts w:ascii="Arial" w:cs="Arial" w:eastAsia="Arial" w:hAnsi="Arial"/>
          <w:sz w:val="19"/>
          <w:szCs w:val="19"/>
          <w:b w:val="1"/>
          <w:bCs w:val="1"/>
          <w:color w:val="auto"/>
        </w:rPr>
        <w:t xml:space="preserve"> August 17, 2021</w:t>
      </w:r>
      <w:r>
        <w:rPr>
          <w:rFonts w:ascii="Arial" w:cs="Arial" w:eastAsia="Arial" w:hAnsi="Arial"/>
          <w:sz w:val="19"/>
          <w:szCs w:val="19"/>
          <w:color w:val="auto"/>
        </w:rPr>
        <w:t>.</w:t>
      </w:r>
    </w:p>
    <w:p>
      <w:pPr>
        <w:spacing w:after="0" w:line="100" w:lineRule="exact"/>
        <w:rPr>
          <w:sz w:val="20"/>
          <w:szCs w:val="20"/>
          <w:color w:val="auto"/>
        </w:rPr>
      </w:pPr>
    </w:p>
    <w:p>
      <w:pPr>
        <w:ind w:left="1180" w:hanging="348"/>
        <w:spacing w:after="0"/>
        <w:tabs>
          <w:tab w:leader="none" w:pos="11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Duties and Scope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left="180" w:firstLine="1300"/>
        <w:spacing w:after="0" w:line="246" w:lineRule="auto"/>
        <w:tabs>
          <w:tab w:leader="none" w:pos="1891"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xml:space="preserve">. As of </w:t>
      </w:r>
      <w:r>
        <w:rPr>
          <w:rFonts w:ascii="Arial" w:cs="Arial" w:eastAsia="Arial" w:hAnsi="Arial"/>
          <w:sz w:val="21"/>
          <w:szCs w:val="21"/>
          <w:b w:val="1"/>
          <w:bCs w:val="1"/>
          <w:color w:val="auto"/>
        </w:rPr>
        <w:t>August 19, 2021</w:t>
      </w:r>
      <w:r>
        <w:rPr>
          <w:rFonts w:ascii="Arial" w:cs="Arial" w:eastAsia="Arial" w:hAnsi="Arial"/>
          <w:sz w:val="21"/>
          <w:szCs w:val="21"/>
          <w:color w:val="auto"/>
        </w:rPr>
        <w:t xml:space="preserve"> (the “</w:t>
      </w:r>
      <w:r>
        <w:rPr>
          <w:rFonts w:ascii="Arial" w:cs="Arial" w:eastAsia="Arial" w:hAnsi="Arial"/>
          <w:sz w:val="21"/>
          <w:szCs w:val="21"/>
          <w:b w:val="1"/>
          <w:bCs w:val="1"/>
          <w:color w:val="auto"/>
        </w:rPr>
        <w:t>Start Date</w:t>
      </w:r>
      <w:r>
        <w:rPr>
          <w:rFonts w:ascii="Arial" w:cs="Arial" w:eastAsia="Arial" w:hAnsi="Arial"/>
          <w:sz w:val="21"/>
          <w:szCs w:val="21"/>
          <w:color w:val="auto"/>
        </w:rPr>
        <w:t xml:space="preserve">”), Executive will serve as the Company’s </w:t>
      </w:r>
      <w:r>
        <w:rPr>
          <w:rFonts w:ascii="Arial" w:cs="Arial" w:eastAsia="Arial" w:hAnsi="Arial"/>
          <w:sz w:val="21"/>
          <w:szCs w:val="21"/>
          <w:b w:val="1"/>
          <w:bCs w:val="1"/>
          <w:color w:val="auto"/>
        </w:rPr>
        <w:t>Chief Strategy Officer</w:t>
      </w:r>
      <w:r>
        <w:rPr>
          <w:rFonts w:ascii="Arial" w:cs="Arial" w:eastAsia="Arial" w:hAnsi="Arial"/>
          <w:sz w:val="21"/>
          <w:szCs w:val="21"/>
          <w:color w:val="auto"/>
        </w:rPr>
        <w:t xml:space="preserve"> operating from the Company’s offices located in Hayward, California. Executive will render such business and professional services in the performance of his duties, consistent with Executive’s position within the Company. Executive also will serve the Company in such other or alternative positions as may reasonably be assigned to him by the Company’s Chief Executive Officer (“</w:t>
      </w:r>
      <w:r>
        <w:rPr>
          <w:rFonts w:ascii="Arial" w:cs="Arial" w:eastAsia="Arial" w:hAnsi="Arial"/>
          <w:sz w:val="21"/>
          <w:szCs w:val="21"/>
          <w:b w:val="1"/>
          <w:bCs w:val="1"/>
          <w:color w:val="auto"/>
        </w:rPr>
        <w:t>CEO</w:t>
      </w:r>
      <w:r>
        <w:rPr>
          <w:rFonts w:ascii="Arial" w:cs="Arial" w:eastAsia="Arial" w:hAnsi="Arial"/>
          <w:sz w:val="21"/>
          <w:szCs w:val="21"/>
          <w:color w:val="auto"/>
        </w:rPr>
        <w:t>”) and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which positions may include director and additional or other officer positions of the Company and subsidiaries of the Company. The period of Executive’s rendering of employment services under this Agreement is referred to herein as the “</w:t>
      </w:r>
      <w:r>
        <w:rPr>
          <w:rFonts w:ascii="Arial" w:cs="Arial" w:eastAsia="Arial" w:hAnsi="Arial"/>
          <w:sz w:val="21"/>
          <w:szCs w:val="21"/>
          <w:b w:val="1"/>
          <w:bCs w:val="1"/>
          <w:color w:val="auto"/>
        </w:rPr>
        <w:t>Employment Term</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jc w:val="both"/>
        <w:ind w:left="180" w:firstLine="1300"/>
        <w:spacing w:after="0" w:line="236" w:lineRule="auto"/>
        <w:tabs>
          <w:tab w:leader="none" w:pos="1917"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Obligations</w:t>
      </w:r>
      <w:r>
        <w:rPr>
          <w:rFonts w:ascii="Arial" w:cs="Arial" w:eastAsia="Arial" w:hAnsi="Arial"/>
          <w:sz w:val="22"/>
          <w:szCs w:val="22"/>
          <w:color w:val="auto"/>
        </w:rPr>
        <w:t>. During the Employment Term, Executive will perform his duties faithfully and to the best of his ability and will devote his full business efforts and time to the Company. For the duration of the Employment Term, Executive agrees not to actively engage in any other employment, occupation or consulting activity for any direct or indirect remuneration without the prior approval of the Board.</w:t>
      </w:r>
    </w:p>
    <w:p>
      <w:pPr>
        <w:spacing w:after="0" w:line="187" w:lineRule="exact"/>
        <w:rPr>
          <w:rFonts w:ascii="Arial" w:cs="Arial" w:eastAsia="Arial" w:hAnsi="Arial"/>
          <w:sz w:val="22"/>
          <w:szCs w:val="22"/>
          <w:color w:val="auto"/>
        </w:rPr>
      </w:pPr>
    </w:p>
    <w:p>
      <w:pPr>
        <w:jc w:val="both"/>
        <w:ind w:left="180" w:firstLine="1300"/>
        <w:spacing w:after="0" w:line="249" w:lineRule="auto"/>
        <w:tabs>
          <w:tab w:leader="none" w:pos="1878"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Automatic Resignation</w:t>
      </w:r>
      <w:r>
        <w:rPr>
          <w:rFonts w:ascii="Arial" w:cs="Arial" w:eastAsia="Arial" w:hAnsi="Arial"/>
          <w:sz w:val="21"/>
          <w:szCs w:val="21"/>
          <w:color w:val="auto"/>
        </w:rPr>
        <w:t>. At the end of the Employment Term, including upon any termination of employment for any reason, such ending or termination will be deemed to be an automatic resignation from all director and officer positions of the Company and any of its subsidiaries, unless the continuation of such appointments is specifically approved by a resolution of the Board of the respective corporation or its shareholders.</w:t>
      </w:r>
    </w:p>
    <w:p>
      <w:pPr>
        <w:spacing w:after="0" w:line="205" w:lineRule="exact"/>
        <w:rPr>
          <w:sz w:val="20"/>
          <w:szCs w:val="20"/>
          <w:color w:val="auto"/>
        </w:rPr>
      </w:pPr>
    </w:p>
    <w:p>
      <w:pPr>
        <w:jc w:val="both"/>
        <w:ind w:left="180" w:firstLine="652"/>
        <w:spacing w:after="0" w:line="277" w:lineRule="auto"/>
        <w:tabs>
          <w:tab w:leader="none" w:pos="119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parties agree that Executive’s employment with the Company will be “at-will” employment and may be terminated at any time with or without cause or notice. Executive understands and agrees that neither his job performance nor promotions, commendations, bonuses or the like from the Company give rise to or in any way serve as the basis for modification, amendment, or extension, by implication or otherwise, of his employment with the Company. However, as described in this Agreement, Executive may be entitled to severance benefits depending on the circumstances of Executive’s termination of employment with the Company.</w:t>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59690</wp:posOffset>
            </wp:positionV>
            <wp:extent cx="5734685"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327" w:right="1319" w:bottom="1440" w:gutter="0" w:footer="0" w:header="0"/>
        </w:sectPr>
      </w:pPr>
    </w:p>
    <w:bookmarkStart w:id="101" w:name="page102"/>
    <w:bookmarkEnd w:id="101"/>
    <w:p>
      <w:pPr>
        <w:ind w:left="1180" w:hanging="348"/>
        <w:spacing w:after="0"/>
        <w:tabs>
          <w:tab w:leader="none" w:pos="118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35" w:lineRule="auto"/>
        <w:tabs>
          <w:tab w:leader="none" w:pos="1878"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During the Employment Term, the Company will pay Executive an annual salary of </w:t>
      </w:r>
      <w:r>
        <w:rPr>
          <w:rFonts w:ascii="Arial" w:cs="Arial" w:eastAsia="Arial" w:hAnsi="Arial"/>
          <w:sz w:val="22"/>
          <w:szCs w:val="22"/>
          <w:b w:val="1"/>
          <w:bCs w:val="1"/>
          <w:color w:val="auto"/>
        </w:rPr>
        <w:t>$360,000.00</w:t>
      </w:r>
      <w:r>
        <w:rPr>
          <w:rFonts w:ascii="Arial" w:cs="Arial" w:eastAsia="Arial" w:hAnsi="Arial"/>
          <w:sz w:val="22"/>
          <w:szCs w:val="22"/>
          <w:color w:val="auto"/>
        </w:rPr>
        <w:t xml:space="preserve"> as compensation for Executive’s services (the “Base Salary”). The Base Salary will be paid periodically (but not less frequently than bi-monthly) in accordance with the Company’s normal payroll practices and be subject to the usual required withholdings. Executive’s salary will be subject to review and adjustments will be made based upon the Company’s normal performance review practices.</w:t>
      </w:r>
    </w:p>
    <w:p>
      <w:pPr>
        <w:spacing w:after="0" w:line="181" w:lineRule="exact"/>
        <w:rPr>
          <w:rFonts w:ascii="Arial" w:cs="Arial" w:eastAsia="Arial" w:hAnsi="Arial"/>
          <w:sz w:val="22"/>
          <w:szCs w:val="22"/>
          <w:color w:val="auto"/>
        </w:rPr>
      </w:pPr>
    </w:p>
    <w:p>
      <w:pPr>
        <w:jc w:val="both"/>
        <w:ind w:left="180" w:firstLine="1300"/>
        <w:spacing w:after="0" w:line="245" w:lineRule="auto"/>
        <w:tabs>
          <w:tab w:leader="none" w:pos="1876"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xml:space="preserve">. Executive will be eligible to receive an annual bonus of up to </w:t>
      </w:r>
      <w:r>
        <w:rPr>
          <w:rFonts w:ascii="Arial" w:cs="Arial" w:eastAsia="Arial" w:hAnsi="Arial"/>
          <w:sz w:val="21"/>
          <w:szCs w:val="21"/>
          <w:b w:val="1"/>
          <w:bCs w:val="1"/>
          <w:color w:val="auto"/>
        </w:rPr>
        <w:t>50%</w:t>
      </w:r>
      <w:r>
        <w:rPr>
          <w:rFonts w:ascii="Arial" w:cs="Arial" w:eastAsia="Arial" w:hAnsi="Arial"/>
          <w:sz w:val="21"/>
          <w:szCs w:val="21"/>
          <w:color w:val="auto"/>
        </w:rPr>
        <w:t xml:space="preserve"> of his base salary (the “</w:t>
      </w:r>
      <w:r>
        <w:rPr>
          <w:rFonts w:ascii="Arial" w:cs="Arial" w:eastAsia="Arial" w:hAnsi="Arial"/>
          <w:sz w:val="21"/>
          <w:szCs w:val="21"/>
          <w:b w:val="1"/>
          <w:bCs w:val="1"/>
          <w:color w:val="auto"/>
        </w:rPr>
        <w:t>Target Bonus</w:t>
      </w:r>
      <w:r>
        <w:rPr>
          <w:rFonts w:ascii="Arial" w:cs="Arial" w:eastAsia="Arial" w:hAnsi="Arial"/>
          <w:sz w:val="21"/>
          <w:szCs w:val="21"/>
          <w:color w:val="auto"/>
        </w:rPr>
        <w:t>”) less applicable withholdings, prorated for the year of hire, upon the attainment of annual designated corporate goals and milestones, in each case set and measured in the good faith discretion of the Board at a time consistent with the other executives of the Company. Executive’s eligibility, and the terms and conditions, for the Target Bonus will be documented and issued to Executive if and when approved by the Board. If awarded, the Target Bonus will be paid prior to the later of (i) the fifteenth (15th) day of the third (3rd) month following the close of the Company’s fiscal year in which the Target Bonus is earned or (ii) March 15 following the calendar year in which the Target Bonus is earned, provided that the Employment Term extends through the date of payment.</w:t>
      </w:r>
    </w:p>
    <w:p>
      <w:pPr>
        <w:spacing w:after="0" w:line="186" w:lineRule="exact"/>
        <w:rPr>
          <w:rFonts w:ascii="Arial" w:cs="Arial" w:eastAsia="Arial" w:hAnsi="Arial"/>
          <w:sz w:val="21"/>
          <w:szCs w:val="21"/>
          <w:color w:val="auto"/>
        </w:rPr>
      </w:pPr>
    </w:p>
    <w:p>
      <w:pPr>
        <w:ind w:left="180" w:firstLine="1300"/>
        <w:spacing w:after="0" w:line="272" w:lineRule="auto"/>
        <w:tabs>
          <w:tab w:leader="none" w:pos="1918"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Start Date Option</w:t>
      </w:r>
      <w:r>
        <w:rPr>
          <w:rFonts w:ascii="Arial" w:cs="Arial" w:eastAsia="Arial" w:hAnsi="Arial"/>
          <w:sz w:val="19"/>
          <w:szCs w:val="19"/>
          <w:color w:val="auto"/>
        </w:rPr>
        <w:t>. Subject to the approval of the Board, Executive will be granted an option (the “</w:t>
      </w:r>
      <w:r>
        <w:rPr>
          <w:rFonts w:ascii="Arial" w:cs="Arial" w:eastAsia="Arial" w:hAnsi="Arial"/>
          <w:sz w:val="19"/>
          <w:szCs w:val="19"/>
          <w:b w:val="1"/>
          <w:bCs w:val="1"/>
          <w:color w:val="auto"/>
        </w:rPr>
        <w:t>Start Date Option</w:t>
      </w:r>
      <w:r>
        <w:rPr>
          <w:rFonts w:ascii="Arial" w:cs="Arial" w:eastAsia="Arial" w:hAnsi="Arial"/>
          <w:sz w:val="19"/>
          <w:szCs w:val="19"/>
          <w:color w:val="auto"/>
        </w:rPr>
        <w:t>”) under the 2017 Equity Incentive Plan (“</w:t>
      </w:r>
      <w:r>
        <w:rPr>
          <w:rFonts w:ascii="Arial" w:cs="Arial" w:eastAsia="Arial" w:hAnsi="Arial"/>
          <w:sz w:val="19"/>
          <w:szCs w:val="19"/>
          <w:b w:val="1"/>
          <w:bCs w:val="1"/>
          <w:color w:val="auto"/>
        </w:rPr>
        <w:t>Plan</w:t>
      </w:r>
      <w:r>
        <w:rPr>
          <w:rFonts w:ascii="Arial" w:cs="Arial" w:eastAsia="Arial" w:hAnsi="Arial"/>
          <w:sz w:val="19"/>
          <w:szCs w:val="19"/>
          <w:color w:val="auto"/>
        </w:rPr>
        <w:t xml:space="preserve">”), to acquire </w:t>
      </w:r>
      <w:r>
        <w:rPr>
          <w:rFonts w:ascii="Arial" w:cs="Arial" w:eastAsia="Arial" w:hAnsi="Arial"/>
          <w:sz w:val="19"/>
          <w:szCs w:val="19"/>
          <w:b w:val="1"/>
          <w:bCs w:val="1"/>
          <w:color w:val="auto"/>
        </w:rPr>
        <w:t>65,510</w:t>
      </w:r>
      <w:r>
        <w:rPr>
          <w:rFonts w:ascii="Arial" w:cs="Arial" w:eastAsia="Arial" w:hAnsi="Arial"/>
          <w:sz w:val="19"/>
          <w:szCs w:val="19"/>
          <w:color w:val="auto"/>
        </w:rPr>
        <w:t xml:space="preserve"> shares of common stock of the Company. The stock options provided by the Start Date Option will have an exercise price per share equal to the closing price of a share of the Company’s common stock at the date of grant. Subject to certain accelerated vesting provisions as described herein, the options provided by the Start Date Option will vest a) 50% of the option shares granted (32,755 option shares) will vest in three equal installments (10,918 option shares) on the second, third and fourth Anniversary of the Start Date and b) 50% of the option shares (32,755 option shares) will vest upon the achievement of performance objectives established in good faith by the Compensation Committee of the board of directors, with vesting targets set at 25% (8,188 option shares) on each annual Anniversary of the Start Date. All vesting subject to the Executive continuing to be a Service Provider (as defined in the Plan) through each applicable vesting date and vesting target achievement determination date.</w:t>
      </w:r>
    </w:p>
    <w:p>
      <w:pPr>
        <w:spacing w:after="0" w:line="160" w:lineRule="exact"/>
        <w:rPr>
          <w:rFonts w:ascii="Arial" w:cs="Arial" w:eastAsia="Arial" w:hAnsi="Arial"/>
          <w:sz w:val="19"/>
          <w:szCs w:val="19"/>
          <w:color w:val="auto"/>
        </w:rPr>
      </w:pPr>
    </w:p>
    <w:p>
      <w:pPr>
        <w:jc w:val="both"/>
        <w:ind w:left="180" w:firstLine="652"/>
        <w:spacing w:after="0" w:line="236" w:lineRule="auto"/>
        <w:tabs>
          <w:tab w:leader="none" w:pos="117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 During the Employment Term, Executive will be entitled to participate in the employee benefit plans currently and hereafter maintained by the Company of general applicability to other senior executives of the Company, subject to the eligibility requirements of such plans. The Company reserves the right to cancel or change the benefit plans and programs it offers to its employees at any time.</w:t>
      </w:r>
    </w:p>
    <w:p>
      <w:pPr>
        <w:spacing w:after="0" w:line="187" w:lineRule="exact"/>
        <w:rPr>
          <w:rFonts w:ascii="Arial" w:cs="Arial" w:eastAsia="Arial" w:hAnsi="Arial"/>
          <w:sz w:val="22"/>
          <w:szCs w:val="22"/>
          <w:color w:val="auto"/>
        </w:rPr>
      </w:pPr>
    </w:p>
    <w:p>
      <w:pPr>
        <w:jc w:val="both"/>
        <w:ind w:left="180" w:firstLine="652"/>
        <w:spacing w:after="0" w:line="297" w:lineRule="auto"/>
        <w:tabs>
          <w:tab w:leader="none" w:pos="1179"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Paid Time Off</w:t>
      </w:r>
      <w:r>
        <w:rPr>
          <w:rFonts w:ascii="Arial" w:cs="Arial" w:eastAsia="Arial" w:hAnsi="Arial"/>
          <w:sz w:val="19"/>
          <w:szCs w:val="19"/>
          <w:color w:val="auto"/>
        </w:rPr>
        <w:t>. During the Employment Term, Executive will be entitled to accrue PTO of not less than three (3) weeks per year, in accordance with the Company’s vacation policy, with the timing and duration of specific vacations mutually and reasonably agreed to by the parties hereto.</w:t>
      </w:r>
    </w:p>
    <w:p>
      <w:pPr>
        <w:spacing w:after="0" w:line="133" w:lineRule="exact"/>
        <w:rPr>
          <w:rFonts w:ascii="Arial" w:cs="Arial" w:eastAsia="Arial" w:hAnsi="Arial"/>
          <w:sz w:val="19"/>
          <w:szCs w:val="19"/>
          <w:color w:val="auto"/>
        </w:rPr>
      </w:pPr>
    </w:p>
    <w:p>
      <w:pPr>
        <w:jc w:val="both"/>
        <w:ind w:left="180" w:firstLine="652"/>
        <w:spacing w:after="0" w:line="236" w:lineRule="auto"/>
        <w:tabs>
          <w:tab w:leader="none" w:pos="119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will reimburse Executive for reasonable travel, entertainment or other expenses incurred by Executive in the furtherance of or in connection with the performance of Executive’s duties hereunder within 30 days of his submission of an expense report documenting said expenses, in accordance with the Company’s expense reimbursement policy as in effect from time to time.</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wp:posOffset>
            </wp:positionV>
            <wp:extent cx="5734685"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063" w:right="1319" w:bottom="1440" w:gutter="0" w:footer="0" w:header="0"/>
        </w:sectPr>
      </w:pPr>
    </w:p>
    <w:bookmarkStart w:id="102" w:name="page103"/>
    <w:bookmarkEnd w:id="102"/>
    <w:p>
      <w:pPr>
        <w:ind w:left="1180" w:hanging="348"/>
        <w:spacing w:after="0"/>
        <w:tabs>
          <w:tab w:leader="none" w:pos="118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Severance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73" w:lineRule="auto"/>
        <w:tabs>
          <w:tab w:leader="none" w:pos="1905" w:val="left"/>
        </w:tabs>
        <w:numPr>
          <w:ilvl w:val="2"/>
          <w:numId w:val="19"/>
        </w:numPr>
        <w:rPr>
          <w:rFonts w:ascii="Arial" w:cs="Arial" w:eastAsia="Arial" w:hAnsi="Arial"/>
          <w:sz w:val="19"/>
          <w:szCs w:val="19"/>
          <w:color w:val="auto"/>
        </w:rPr>
      </w:pPr>
      <w:r>
        <w:rPr>
          <w:rFonts w:ascii="Arial" w:cs="Arial" w:eastAsia="Arial" w:hAnsi="Arial"/>
          <w:sz w:val="19"/>
          <w:szCs w:val="19"/>
          <w:u w:val="single" w:color="auto"/>
          <w:color w:val="auto"/>
        </w:rPr>
        <w:t>Termination other than for Cause, Death or Disability or Resignation for Good Reason</w:t>
      </w:r>
      <w:r>
        <w:rPr>
          <w:rFonts w:ascii="Arial" w:cs="Arial" w:eastAsia="Arial" w:hAnsi="Arial"/>
          <w:sz w:val="19"/>
          <w:szCs w:val="19"/>
          <w:color w:val="auto"/>
        </w:rPr>
        <w:t>. During the Employment Term, if (i) the Company (or any parent or subsidiary or successor of the Company) terminates Executive’s employment for reasons other than Cause death, or Disability, or</w:t>
      </w:r>
    </w:p>
    <w:p>
      <w:pPr>
        <w:spacing w:after="0" w:line="1" w:lineRule="exact"/>
        <w:rPr>
          <w:rFonts w:ascii="Arial" w:cs="Arial" w:eastAsia="Arial" w:hAnsi="Arial"/>
          <w:sz w:val="19"/>
          <w:szCs w:val="19"/>
          <w:color w:val="auto"/>
        </w:rPr>
      </w:pPr>
    </w:p>
    <w:p>
      <w:pPr>
        <w:jc w:val="both"/>
        <w:ind w:left="180" w:firstLine="4"/>
        <w:spacing w:after="0" w:line="244" w:lineRule="auto"/>
        <w:tabs>
          <w:tab w:leader="none" w:pos="5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upon Executive’s resignation from the Company (or any parent or subsidiary or successor of the Company) for Good Reason (each such termination, an “</w:t>
      </w:r>
      <w:r>
        <w:rPr>
          <w:rFonts w:ascii="Arial" w:cs="Arial" w:eastAsia="Arial" w:hAnsi="Arial"/>
          <w:sz w:val="21"/>
          <w:szCs w:val="21"/>
          <w:b w:val="1"/>
          <w:bCs w:val="1"/>
          <w:color w:val="auto"/>
        </w:rPr>
        <w:t>Involuntary Termination</w:t>
      </w:r>
      <w:r>
        <w:rPr>
          <w:rFonts w:ascii="Arial" w:cs="Arial" w:eastAsia="Arial" w:hAnsi="Arial"/>
          <w:sz w:val="21"/>
          <w:szCs w:val="21"/>
          <w:color w:val="auto"/>
        </w:rPr>
        <w:t>”), then, subject to the continued observance by Executive of Sections 8 (severance conditions), 11 (assignment), 12 (notices), 13 (confidential information agreement), 15 (litigation cooperation), and 17 (miscellaneous) below after the termination of the rendering of employment services, Executive will receive the following severance from the Company:</w:t>
      </w:r>
    </w:p>
    <w:p>
      <w:pPr>
        <w:spacing w:after="0" w:line="182" w:lineRule="exact"/>
        <w:rPr>
          <w:rFonts w:ascii="Arial" w:cs="Arial" w:eastAsia="Arial" w:hAnsi="Arial"/>
          <w:sz w:val="21"/>
          <w:szCs w:val="21"/>
          <w:color w:val="auto"/>
        </w:rPr>
      </w:pPr>
    </w:p>
    <w:p>
      <w:pPr>
        <w:ind w:left="2860" w:hanging="588"/>
        <w:spacing w:after="0"/>
        <w:tabs>
          <w:tab w:leader="none" w:pos="2860" w:val="left"/>
        </w:tabs>
        <w:numPr>
          <w:ilvl w:val="3"/>
          <w:numId w:val="20"/>
        </w:numPr>
        <w:rPr>
          <w:rFonts w:ascii="Arial" w:cs="Arial" w:eastAsia="Arial" w:hAnsi="Arial"/>
          <w:sz w:val="22"/>
          <w:szCs w:val="22"/>
          <w:color w:val="auto"/>
        </w:rPr>
      </w:pPr>
      <w:r>
        <w:rPr>
          <w:rFonts w:ascii="Arial" w:cs="Arial" w:eastAsia="Arial" w:hAnsi="Arial"/>
          <w:sz w:val="22"/>
          <w:szCs w:val="22"/>
          <w:u w:val="single" w:color="auto"/>
          <w:color w:val="auto"/>
        </w:rPr>
        <w:t>Severance Payment</w:t>
      </w:r>
    </w:p>
    <w:p>
      <w:pPr>
        <w:spacing w:after="0" w:line="206" w:lineRule="exact"/>
        <w:rPr>
          <w:sz w:val="20"/>
          <w:szCs w:val="20"/>
          <w:color w:val="auto"/>
        </w:rPr>
      </w:pPr>
    </w:p>
    <w:p>
      <w:pPr>
        <w:jc w:val="both"/>
        <w:ind w:left="180" w:firstLine="2592"/>
        <w:spacing w:after="0" w:line="239" w:lineRule="auto"/>
        <w:rPr>
          <w:sz w:val="20"/>
          <w:szCs w:val="20"/>
          <w:color w:val="auto"/>
        </w:rPr>
      </w:pPr>
      <w:r>
        <w:rPr>
          <w:rFonts w:ascii="Arial" w:cs="Arial" w:eastAsia="Arial" w:hAnsi="Arial"/>
          <w:sz w:val="22"/>
          <w:szCs w:val="22"/>
          <w:color w:val="auto"/>
        </w:rPr>
        <w:t>(1) If Executive has been employed for an Employment Term hereunder of less than one year from the Start Date, then Executive will receive the</w:t>
      </w:r>
    </w:p>
    <w:p>
      <w:pPr>
        <w:jc w:val="both"/>
        <w:ind w:left="180"/>
        <w:spacing w:after="0" w:line="231" w:lineRule="auto"/>
        <w:rPr>
          <w:sz w:val="20"/>
          <w:szCs w:val="20"/>
          <w:color w:val="auto"/>
        </w:rPr>
      </w:pPr>
      <w:r>
        <w:rPr>
          <w:rFonts w:ascii="Arial" w:cs="Arial" w:eastAsia="Arial" w:hAnsi="Arial"/>
          <w:sz w:val="22"/>
          <w:szCs w:val="22"/>
          <w:color w:val="auto"/>
        </w:rPr>
        <w:t>continuing payment of the Executive’s Base Salary (as in effect immediately prior to the Executive’s termination) equal to three (3) months. If Executive has been employed for an Employment Term hereunder of one year or more from the Start Date, then Executive will receive six (6) months of continuing payments of Executive’s Base Salary (as in effect immediately prior to Executive’s termination). The Executive will also receive a Target Bonus (if applicable) for the year of termination, prorated for the portion of the year served assuming 100% achievement, payable with the first severance payment. The payment of any severance pursuant to this Section 7(a)(i) will be paid in accordance with the Company’s normal payroll practices and be subject to the usual required withholdings.</w:t>
      </w:r>
    </w:p>
    <w:p>
      <w:pPr>
        <w:spacing w:after="0" w:line="194" w:lineRule="exact"/>
        <w:rPr>
          <w:sz w:val="20"/>
          <w:szCs w:val="20"/>
          <w:color w:val="auto"/>
        </w:rPr>
      </w:pPr>
    </w:p>
    <w:p>
      <w:pPr>
        <w:ind w:left="2880" w:hanging="644"/>
        <w:spacing w:after="0"/>
        <w:tabs>
          <w:tab w:leader="none" w:pos="28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Accelerated Vesting</w:t>
      </w:r>
      <w:r>
        <w:rPr>
          <w:rFonts w:ascii="Arial" w:cs="Arial" w:eastAsia="Arial" w:hAnsi="Arial"/>
          <w:sz w:val="22"/>
          <w:szCs w:val="22"/>
          <w:color w:val="auto"/>
        </w:rPr>
        <w:t>.</w:t>
      </w:r>
    </w:p>
    <w:p>
      <w:pPr>
        <w:spacing w:after="0" w:line="206" w:lineRule="exact"/>
        <w:rPr>
          <w:sz w:val="20"/>
          <w:szCs w:val="20"/>
          <w:color w:val="auto"/>
        </w:rPr>
      </w:pPr>
    </w:p>
    <w:p>
      <w:pPr>
        <w:jc w:val="both"/>
        <w:ind w:left="180" w:firstLine="2592"/>
        <w:spacing w:after="0" w:line="235" w:lineRule="auto"/>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i w:val="1"/>
          <w:iCs w:val="1"/>
          <w:color w:val="auto"/>
        </w:rPr>
        <w:t>Involuntary Termination not in connection with a Change</w:t>
      </w:r>
      <w:r>
        <w:rPr>
          <w:rFonts w:ascii="Arial" w:cs="Arial" w:eastAsia="Arial" w:hAnsi="Arial"/>
          <w:sz w:val="22"/>
          <w:szCs w:val="22"/>
          <w:color w:val="auto"/>
        </w:rPr>
        <w:t xml:space="preserve"> </w:t>
      </w:r>
      <w:r>
        <w:rPr>
          <w:rFonts w:ascii="Arial" w:cs="Arial" w:eastAsia="Arial" w:hAnsi="Arial"/>
          <w:sz w:val="22"/>
          <w:szCs w:val="22"/>
          <w:i w:val="1"/>
          <w:iCs w:val="1"/>
          <w:color w:val="auto"/>
        </w:rPr>
        <w:t>of Control</w:t>
      </w:r>
      <w:r>
        <w:rPr>
          <w:rFonts w:ascii="Arial" w:cs="Arial" w:eastAsia="Arial" w:hAnsi="Arial"/>
          <w:sz w:val="22"/>
          <w:szCs w:val="22"/>
          <w:color w:val="auto"/>
        </w:rPr>
        <w:t>. If the Involuntary Termination occurs prior to or more than twelve (12) months following</w:t>
      </w:r>
      <w:r>
        <w:rPr>
          <w:rFonts w:ascii="Arial" w:cs="Arial" w:eastAsia="Arial" w:hAnsi="Arial"/>
          <w:sz w:val="22"/>
          <w:szCs w:val="22"/>
          <w:i w:val="1"/>
          <w:iCs w:val="1"/>
          <w:color w:val="auto"/>
        </w:rPr>
        <w:t xml:space="preserve"> </w:t>
      </w:r>
      <w:r>
        <w:rPr>
          <w:rFonts w:ascii="Arial" w:cs="Arial" w:eastAsia="Arial" w:hAnsi="Arial"/>
          <w:sz w:val="22"/>
          <w:szCs w:val="22"/>
          <w:color w:val="auto"/>
        </w:rPr>
        <w:t>Start Date, the unvested portion of Executive’s outstanding Equity Awards that would normally vest over the following twelve (12) months from the date of Executive’s termination had Executive remained an employee through such period will immediately accelerate and fully vest prior to Executive’s termination.</w:t>
      </w:r>
    </w:p>
    <w:p>
      <w:pPr>
        <w:spacing w:after="0" w:line="188" w:lineRule="exact"/>
        <w:rPr>
          <w:sz w:val="20"/>
          <w:szCs w:val="20"/>
          <w:color w:val="auto"/>
        </w:rPr>
      </w:pPr>
    </w:p>
    <w:p>
      <w:pPr>
        <w:ind w:left="3160" w:hanging="384"/>
        <w:spacing w:after="0"/>
        <w:tabs>
          <w:tab w:leader="none" w:pos="316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Involuntary Termination in connection with a Change of Control</w:t>
      </w:r>
      <w:r>
        <w:rPr>
          <w:rFonts w:ascii="Arial" w:cs="Arial" w:eastAsia="Arial" w:hAnsi="Arial"/>
          <w:sz w:val="19"/>
          <w:szCs w:val="19"/>
          <w:color w:val="auto"/>
        </w:rPr>
        <w:t>.  If</w:t>
      </w:r>
    </w:p>
    <w:p>
      <w:pPr>
        <w:spacing w:after="0" w:line="42" w:lineRule="exact"/>
        <w:rPr>
          <w:rFonts w:ascii="Arial" w:cs="Arial" w:eastAsia="Arial" w:hAnsi="Arial"/>
          <w:sz w:val="19"/>
          <w:szCs w:val="19"/>
          <w:color w:val="auto"/>
        </w:rPr>
      </w:pPr>
    </w:p>
    <w:p>
      <w:pPr>
        <w:ind w:left="180" w:right="60"/>
        <w:spacing w:after="0" w:line="271" w:lineRule="auto"/>
        <w:rPr>
          <w:rFonts w:ascii="Arial" w:cs="Arial" w:eastAsia="Arial" w:hAnsi="Arial"/>
          <w:sz w:val="19"/>
          <w:szCs w:val="19"/>
          <w:color w:val="auto"/>
        </w:rPr>
      </w:pPr>
      <w:r>
        <w:rPr>
          <w:rFonts w:ascii="Arial" w:cs="Arial" w:eastAsia="Arial" w:hAnsi="Arial"/>
          <w:sz w:val="19"/>
          <w:szCs w:val="19"/>
          <w:color w:val="auto"/>
        </w:rPr>
        <w:t>the Involuntary Termination occurs within the twelve (12) month period following a Change of Control, then (i) if the Employment Term as of the date of such termination is less than one year from the Start Date, then 50% of the unvested portion of Executive’s then outstanding Equity Awards will immediately vest prior to Executive’s termination, and (ii) if the Employment Term as of the date of such termination is one year or more from the Start Date, then the unvested portion of Executive’s then outstanding Equity Awards will immediately vest prior to Executive’s termination. If Executive elects continuation coverage pursuant to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for Executive and Executive’s eligible dependents within the time period prescribed pursuant to COBRA, the Company will reimburse Executive for the monthly premiums under COBRA necessary to continue group health insurance benefits for Executive and Executive’s eligible dependents (at the coverage levels in effect</w:t>
      </w:r>
    </w:p>
    <w:p>
      <w:pPr>
        <w:spacing w:after="0" w:line="15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wp:posOffset>
            </wp:positionV>
            <wp:extent cx="573468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063" w:right="1319" w:bottom="1440" w:gutter="0" w:footer="0" w:header="0"/>
        </w:sectPr>
      </w:pPr>
    </w:p>
    <w:bookmarkStart w:id="103" w:name="page104"/>
    <w:bookmarkEnd w:id="103"/>
    <w:p>
      <w:pPr>
        <w:ind w:left="180"/>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immediately prior to Executive’s termination) until the earlier of (A) the date upon which Executive and/or Executive’s eligible dependents becomes covered under similar plans or (B) the date upon which Executive ceases to be eligible for coverage under COBRA(such reimbursements, the “</w:t>
      </w:r>
      <w:r>
        <w:rPr>
          <w:rFonts w:ascii="Arial" w:cs="Arial" w:eastAsia="Arial" w:hAnsi="Arial"/>
          <w:sz w:val="19"/>
          <w:szCs w:val="19"/>
          <w:b w:val="1"/>
          <w:bCs w:val="1"/>
          <w:color w:val="auto"/>
        </w:rPr>
        <w:t>COBRA</w:t>
      </w:r>
      <w:r>
        <w:rPr>
          <w:rFonts w:ascii="Arial" w:cs="Arial" w:eastAsia="Arial" w:hAnsi="Arial"/>
          <w:sz w:val="19"/>
          <w:szCs w:val="19"/>
          <w:color w:val="auto"/>
        </w:rPr>
        <w:t xml:space="preserve"> </w:t>
      </w:r>
      <w:r>
        <w:rPr>
          <w:rFonts w:ascii="Arial" w:cs="Arial" w:eastAsia="Arial" w:hAnsi="Arial"/>
          <w:sz w:val="19"/>
          <w:szCs w:val="19"/>
          <w:b w:val="1"/>
          <w:bCs w:val="1"/>
          <w:color w:val="auto"/>
        </w:rPr>
        <w:t>Premiums</w:t>
      </w:r>
      <w:r>
        <w:rPr>
          <w:rFonts w:ascii="Arial" w:cs="Arial" w:eastAsia="Arial" w:hAnsi="Arial"/>
          <w:sz w:val="19"/>
          <w:szCs w:val="19"/>
          <w:color w:val="auto"/>
        </w:rPr>
        <w:t>”). However, if the Company determines in its sole discretion that it cannot pay the COBRA</w:t>
      </w:r>
      <w:r>
        <w:rPr>
          <w:rFonts w:ascii="Arial" w:cs="Arial" w:eastAsia="Arial" w:hAnsi="Arial"/>
          <w:sz w:val="19"/>
          <w:szCs w:val="19"/>
          <w:b w:val="1"/>
          <w:bCs w:val="1"/>
          <w:color w:val="auto"/>
        </w:rPr>
        <w:t xml:space="preserve"> </w:t>
      </w:r>
      <w:r>
        <w:rPr>
          <w:rFonts w:ascii="Arial" w:cs="Arial" w:eastAsia="Arial" w:hAnsi="Arial"/>
          <w:sz w:val="19"/>
          <w:szCs w:val="19"/>
          <w:color w:val="auto"/>
        </w:rPr>
        <w:t>Premiums without potentially violating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 (Collectively, the Company’s COBRA obligations in this paragraph are referred to as the “COBRA Payments”).</w:t>
      </w:r>
    </w:p>
    <w:p>
      <w:pPr>
        <w:spacing w:after="0" w:line="157" w:lineRule="exact"/>
        <w:rPr>
          <w:sz w:val="20"/>
          <w:szCs w:val="20"/>
          <w:color w:val="auto"/>
        </w:rPr>
      </w:pPr>
    </w:p>
    <w:p>
      <w:pPr>
        <w:jc w:val="both"/>
        <w:ind w:left="180" w:firstLine="2056"/>
        <w:spacing w:after="0" w:line="275" w:lineRule="auto"/>
        <w:tabs>
          <w:tab w:leader="none" w:pos="3036"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Resignation without Good Reason; Termination for Cause; Disability</w:t>
      </w:r>
      <w:r>
        <w:rPr>
          <w:rFonts w:ascii="Arial" w:cs="Arial" w:eastAsia="Arial" w:hAnsi="Arial"/>
          <w:sz w:val="19"/>
          <w:szCs w:val="19"/>
          <w:color w:val="auto"/>
        </w:rPr>
        <w:t>. If Executive resigns (other than for Good Reason), or the Company terminates Executive’s employment for Cause, or Executive’s employment terminates upon Executive’s Disability, then (i) Executive will no longer vest in any Equity Award held by Executive, (ii) all payments of compensation by the Company to Executive hereunder will terminate immediately (except as to amounts already earned), and (iii) Executive will not be entitled to any severance or other benefits except for those (if any) as may then be established under the Company’s then existing written severance and benefits plans and practices or pursuant to other written agreements with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jc w:val="both"/>
        <w:ind w:left="180" w:firstLine="1300"/>
        <w:spacing w:after="0" w:line="236" w:lineRule="auto"/>
        <w:tabs>
          <w:tab w:leader="none" w:pos="253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Accrued Compensation</w:t>
      </w:r>
      <w:r>
        <w:rPr>
          <w:rFonts w:ascii="Arial" w:cs="Arial" w:eastAsia="Arial" w:hAnsi="Arial"/>
          <w:sz w:val="22"/>
          <w:szCs w:val="22"/>
          <w:color w:val="auto"/>
        </w:rPr>
        <w:t>. For the avoidance of any doubt, in the event of a termination of Executive’s employment with the Company (or any parent or subsidiary or successor of the Company) for whatever reason, Executive will be entitled to receive all accrued but unpaid vacation, expense reimbursements, wages, and other benefits due to Executive under any Company-provided plans, policies, and arrangements.</w:t>
      </w:r>
    </w:p>
    <w:p>
      <w:pPr>
        <w:spacing w:after="0" w:line="187" w:lineRule="exact"/>
        <w:rPr>
          <w:sz w:val="20"/>
          <w:szCs w:val="20"/>
          <w:color w:val="auto"/>
        </w:rPr>
      </w:pPr>
    </w:p>
    <w:p>
      <w:pPr>
        <w:jc w:val="both"/>
        <w:ind w:left="180" w:firstLine="1300"/>
        <w:spacing w:after="0" w:line="234" w:lineRule="auto"/>
        <w:tabs>
          <w:tab w:leader="none" w:pos="187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Executive will be entitled to no severance or other benefits, compensation or other payments or rights upon termination of employment other than those benefits expressly set forth in this Section 7.</w:t>
      </w:r>
    </w:p>
    <w:p>
      <w:pPr>
        <w:spacing w:after="0" w:line="191"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wp:posOffset>
            </wp:positionV>
            <wp:extent cx="5734685"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063" w:right="1319" w:bottom="1440" w:gutter="0" w:footer="0" w:header="0"/>
        </w:sectPr>
      </w:pPr>
    </w:p>
    <w:bookmarkStart w:id="104" w:name="page105"/>
    <w:bookmarkEnd w:id="104"/>
    <w:p>
      <w:pPr>
        <w:ind w:left="1180" w:hanging="348"/>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Conditions to Receipt of Severance; No Duty to Mitigate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300"/>
        <w:spacing w:after="0" w:line="271" w:lineRule="auto"/>
        <w:tabs>
          <w:tab w:leader="none" w:pos="1918"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Separation Agreement and Release of Claims</w:t>
      </w:r>
      <w:r>
        <w:rPr>
          <w:rFonts w:ascii="Arial" w:cs="Arial" w:eastAsia="Arial" w:hAnsi="Arial"/>
          <w:sz w:val="19"/>
          <w:szCs w:val="19"/>
          <w:color w:val="auto"/>
        </w:rPr>
        <w:t>. The receipt of any severance pursuant to Section 7(a) will be subject to Executive signing and not revoking a separation agreement and release of claims in a form reasonably satisfactory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(including a mutual nondisparagement provision (the Company’s obligations being limited to its then-current directors and officers and only for so long as each remains employed by the Company) (the “Release”) and provided that such Release becomes effective and irrevocable no later than sixty (60) days following the termination date (such deadline, the “</w:t>
      </w:r>
      <w:r>
        <w:rPr>
          <w:rFonts w:ascii="Arial" w:cs="Arial" w:eastAsia="Arial" w:hAnsi="Arial"/>
          <w:sz w:val="19"/>
          <w:szCs w:val="19"/>
          <w:b w:val="1"/>
          <w:bCs w:val="1"/>
          <w:color w:val="auto"/>
        </w:rPr>
        <w:t>Release Deadline</w:t>
      </w:r>
      <w:r>
        <w:rPr>
          <w:rFonts w:ascii="Arial" w:cs="Arial" w:eastAsia="Arial" w:hAnsi="Arial"/>
          <w:sz w:val="19"/>
          <w:szCs w:val="19"/>
          <w:color w:val="auto"/>
        </w:rPr>
        <w:t>”). If the Release does not become effective and irrevocable by the Release Deadline, Executive will forfeit any rights to severance or benefits under this Agreement. In no event will severance payments or benefits be paid or provided until the Release becomes effective and irrevocable. Except as required by Section 8(c), any installment payments that would have been made to Executive prior to the Release becoming effective and irrevocable but for the preceding sentence will be paid to Executive on the first regularly scheduled Company payroll date following the date the Release becomes effective and irrevocable, and the remaining payments will be made as provided in the Agreement.</w:t>
      </w:r>
    </w:p>
    <w:p>
      <w:pPr>
        <w:spacing w:after="0" w:line="164" w:lineRule="exact"/>
        <w:rPr>
          <w:sz w:val="20"/>
          <w:szCs w:val="20"/>
          <w:color w:val="auto"/>
        </w:rPr>
      </w:pPr>
    </w:p>
    <w:p>
      <w:pPr>
        <w:jc w:val="both"/>
        <w:ind w:left="180" w:firstLine="1300"/>
        <w:spacing w:after="0" w:line="238" w:lineRule="auto"/>
        <w:tabs>
          <w:tab w:leader="none" w:pos="191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Agreement</w:t>
      </w:r>
      <w:r>
        <w:rPr>
          <w:rFonts w:ascii="Arial" w:cs="Arial" w:eastAsia="Arial" w:hAnsi="Arial"/>
          <w:sz w:val="22"/>
          <w:szCs w:val="22"/>
          <w:color w:val="auto"/>
        </w:rPr>
        <w:t>. Executive’s receipt of any payments or benefits under Section 7 will be subject to Executive continuing to comply with the terms of the At-Will Employment, Confidential Information, Invention Assignment, and Arbitration Agreement between the Executive and the Company.</w:t>
      </w:r>
    </w:p>
    <w:p>
      <w:pPr>
        <w:spacing w:after="0" w:line="185" w:lineRule="exact"/>
        <w:rPr>
          <w:sz w:val="20"/>
          <w:szCs w:val="20"/>
          <w:color w:val="auto"/>
        </w:rPr>
      </w:pPr>
    </w:p>
    <w:p>
      <w:pPr>
        <w:ind w:left="1880" w:hanging="400"/>
        <w:spacing w:after="0"/>
        <w:tabs>
          <w:tab w:leader="none" w:pos="188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2092"/>
        <w:spacing w:after="0" w:line="275" w:lineRule="auto"/>
        <w:tabs>
          <w:tab w:leader="none" w:pos="2931"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(together, the “</w:t>
      </w:r>
      <w:r>
        <w:rPr>
          <w:rFonts w:ascii="Arial" w:cs="Arial" w:eastAsia="Arial" w:hAnsi="Arial"/>
          <w:sz w:val="19"/>
          <w:szCs w:val="19"/>
          <w:b w:val="1"/>
          <w:bCs w:val="1"/>
          <w:color w:val="auto"/>
        </w:rPr>
        <w:t>Deferred Payments</w:t>
      </w:r>
      <w:r>
        <w:rPr>
          <w:rFonts w:ascii="Arial" w:cs="Arial" w:eastAsia="Arial" w:hAnsi="Arial"/>
          <w:sz w:val="19"/>
          <w:szCs w:val="19"/>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57" w:lineRule="exact"/>
        <w:rPr>
          <w:sz w:val="20"/>
          <w:szCs w:val="20"/>
          <w:color w:val="auto"/>
        </w:rPr>
      </w:pPr>
    </w:p>
    <w:p>
      <w:pPr>
        <w:jc w:val="both"/>
        <w:ind w:left="180" w:firstLine="2092"/>
        <w:spacing w:after="0" w:line="259" w:lineRule="auto"/>
        <w:tabs>
          <w:tab w:leader="none" w:pos="285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severance payments or benefits under this Agreement that would be considered Deferred Payments will be paid on, or, in the case of installments, will not commence until, the sixtieth (60</w:t>
      </w:r>
      <w:r>
        <w:rPr>
          <w:rFonts w:ascii="Arial" w:cs="Arial" w:eastAsia="Arial" w:hAnsi="Arial"/>
          <w:sz w:val="10"/>
          <w:szCs w:val="10"/>
          <w:color w:val="auto"/>
        </w:rPr>
        <w:t>th</w:t>
      </w:r>
      <w:r>
        <w:rPr>
          <w:rFonts w:ascii="Arial" w:cs="Arial" w:eastAsia="Arial" w:hAnsi="Arial"/>
          <w:sz w:val="20"/>
          <w:szCs w:val="20"/>
          <w:color w:val="auto"/>
        </w:rPr>
        <w:t>) day following Executive’s separation from service, or, if later, such time as required by Section 8(c)(iii). Except as required by Section 8(c)(iii),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10"/>
          <w:szCs w:val="10"/>
          <w:color w:val="auto"/>
        </w:rPr>
        <w:t>th</w:t>
      </w:r>
      <w:r>
        <w:rPr>
          <w:rFonts w:ascii="Arial" w:cs="Arial" w:eastAsia="Arial" w:hAnsi="Arial"/>
          <w:sz w:val="20"/>
          <w:szCs w:val="20"/>
          <w:color w:val="auto"/>
        </w:rPr>
        <w:t>) day following Executive’s separation from service and the remaining payments shall be made as provided in this Agreement</w:t>
      </w:r>
      <w:r>
        <w:rPr>
          <w:rFonts w:ascii="Arial" w:cs="Arial" w:eastAsia="Arial" w:hAnsi="Arial"/>
          <w:sz w:val="20"/>
          <w:szCs w:val="20"/>
          <w:b w:val="1"/>
          <w:bCs w:val="1"/>
          <w:color w:val="auto"/>
        </w:rPr>
        <w:t>. In no event will Executive have discretion to determine the taxable year of</w:t>
      </w:r>
      <w:r>
        <w:rPr>
          <w:rFonts w:ascii="Arial" w:cs="Arial" w:eastAsia="Arial" w:hAnsi="Arial"/>
          <w:sz w:val="20"/>
          <w:szCs w:val="20"/>
          <w:color w:val="auto"/>
        </w:rPr>
        <w:t xml:space="preserve"> </w:t>
      </w:r>
      <w:r>
        <w:rPr>
          <w:rFonts w:ascii="Arial" w:cs="Arial" w:eastAsia="Arial" w:hAnsi="Arial"/>
          <w:sz w:val="20"/>
          <w:szCs w:val="20"/>
          <w:b w:val="1"/>
          <w:bCs w:val="1"/>
          <w:color w:val="auto"/>
        </w:rPr>
        <w:t>payment for any Deferred Payments.</w:t>
      </w:r>
    </w:p>
    <w:p>
      <w:pPr>
        <w:spacing w:after="0" w:line="169" w:lineRule="exact"/>
        <w:rPr>
          <w:sz w:val="20"/>
          <w:szCs w:val="20"/>
          <w:color w:val="auto"/>
        </w:rPr>
      </w:pPr>
    </w:p>
    <w:p>
      <w:pPr>
        <w:jc w:val="both"/>
        <w:ind w:left="180" w:firstLine="2056"/>
        <w:spacing w:after="0" w:line="236" w:lineRule="auto"/>
        <w:tabs>
          <w:tab w:leader="none" w:pos="2968"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wp:posOffset>
            </wp:positionV>
            <wp:extent cx="573468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063" w:right="1319" w:bottom="1440" w:gutter="0" w:footer="0" w:header="0"/>
        </w:sectPr>
      </w:pPr>
    </w:p>
    <w:bookmarkStart w:id="105" w:name="page106"/>
    <w:bookmarkEnd w:id="105"/>
    <w:p>
      <w:pPr>
        <w:jc w:val="both"/>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58" w:lineRule="exact"/>
        <w:rPr>
          <w:sz w:val="20"/>
          <w:szCs w:val="20"/>
          <w:color w:val="auto"/>
        </w:rPr>
      </w:pPr>
    </w:p>
    <w:p>
      <w:pPr>
        <w:jc w:val="both"/>
        <w:ind w:left="320" w:firstLine="2020"/>
        <w:spacing w:after="0" w:line="236" w:lineRule="auto"/>
        <w:tabs>
          <w:tab w:leader="none" w:pos="3051" w:val="left"/>
        </w:tabs>
        <w:numPr>
          <w:ilvl w:val="2"/>
          <w:numId w:val="31"/>
        </w:numPr>
        <w:rPr>
          <w:rFonts w:ascii="Arial" w:cs="Arial" w:eastAsia="Arial" w:hAnsi="Arial"/>
          <w:sz w:val="22"/>
          <w:szCs w:val="22"/>
          <w:color w:val="auto"/>
        </w:rPr>
      </w:pPr>
      <w:r>
        <w:rPr>
          <w:rFonts w:ascii="Arial" w:cs="Arial" w:eastAsia="Arial" w:hAnsi="Arial"/>
          <w:sz w:val="22"/>
          <w:szCs w:val="22"/>
          <w:color w:val="auto"/>
        </w:rPr>
        <w:t>Any amount paid under this Agreement that satisfies the requirements of the “short-term deferral” rule set forth in Section 1.409A-1(b)(4) of the Treasury Regulations will not constitute Deferred Payments for purposes of clause (i) above. It is the intent of this Agreement that all cash severance payments under Section 7(a)(i) will satisfy the requirements of the “short-term deferral” rule.</w:t>
      </w:r>
    </w:p>
    <w:p>
      <w:pPr>
        <w:spacing w:after="0" w:line="187" w:lineRule="exact"/>
        <w:rPr>
          <w:rFonts w:ascii="Arial" w:cs="Arial" w:eastAsia="Arial" w:hAnsi="Arial"/>
          <w:sz w:val="22"/>
          <w:szCs w:val="22"/>
          <w:color w:val="auto"/>
        </w:rPr>
      </w:pPr>
    </w:p>
    <w:p>
      <w:pPr>
        <w:jc w:val="both"/>
        <w:ind w:left="320" w:firstLine="2020"/>
        <w:spacing w:after="0" w:line="238" w:lineRule="auto"/>
        <w:tabs>
          <w:tab w:leader="none" w:pos="3066" w:val="left"/>
        </w:tabs>
        <w:numPr>
          <w:ilvl w:val="2"/>
          <w:numId w:val="31"/>
        </w:numPr>
        <w:rPr>
          <w:rFonts w:ascii="Arial" w:cs="Arial" w:eastAsia="Arial" w:hAnsi="Arial"/>
          <w:sz w:val="22"/>
          <w:szCs w:val="22"/>
          <w:color w:val="auto"/>
        </w:rPr>
      </w:pPr>
      <w:r>
        <w:rPr>
          <w:rFonts w:ascii="Arial" w:cs="Arial" w:eastAsia="Arial" w:hAnsi="Arial"/>
          <w:sz w:val="22"/>
          <w:szCs w:val="22"/>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4" w:lineRule="exact"/>
        <w:rPr>
          <w:rFonts w:ascii="Arial" w:cs="Arial" w:eastAsia="Arial" w:hAnsi="Arial"/>
          <w:sz w:val="22"/>
          <w:szCs w:val="22"/>
          <w:color w:val="auto"/>
        </w:rPr>
      </w:pPr>
    </w:p>
    <w:p>
      <w:pPr>
        <w:jc w:val="both"/>
        <w:ind w:left="320" w:firstLine="2056"/>
        <w:spacing w:after="0" w:line="245" w:lineRule="auto"/>
        <w:tabs>
          <w:tab w:leader="none" w:pos="3041" w:val="left"/>
        </w:tabs>
        <w:numPr>
          <w:ilvl w:val="3"/>
          <w:numId w:val="31"/>
        </w:numPr>
        <w:rPr>
          <w:rFonts w:ascii="Arial" w:cs="Arial" w:eastAsia="Arial" w:hAnsi="Arial"/>
          <w:sz w:val="21"/>
          <w:szCs w:val="21"/>
          <w:color w:val="auto"/>
        </w:rPr>
      </w:pPr>
      <w:r>
        <w:rPr>
          <w:rFonts w:ascii="Arial" w:cs="Arial" w:eastAsia="Arial" w:hAnsi="Arial"/>
          <w:sz w:val="21"/>
          <w:szCs w:val="21"/>
          <w:color w:val="auto"/>
        </w:rPr>
        <w:t>The foregoing provisions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In no event will the Company reimburse Executive for any taxes that may be imposed on Executive as a result of Section 409A.</w:t>
      </w:r>
    </w:p>
    <w:p>
      <w:pPr>
        <w:spacing w:after="0" w:line="184" w:lineRule="exact"/>
        <w:rPr>
          <w:rFonts w:ascii="Arial" w:cs="Arial" w:eastAsia="Arial" w:hAnsi="Arial"/>
          <w:sz w:val="21"/>
          <w:szCs w:val="21"/>
          <w:color w:val="auto"/>
        </w:rPr>
      </w:pPr>
    </w:p>
    <w:p>
      <w:pPr>
        <w:jc w:val="both"/>
        <w:ind w:left="320" w:firstLine="1300"/>
        <w:spacing w:after="0"/>
        <w:tabs>
          <w:tab w:leader="none" w:pos="2021"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No Duty to Mitigate</w:t>
      </w:r>
      <w:r>
        <w:rPr>
          <w:rFonts w:ascii="Arial" w:cs="Arial" w:eastAsia="Arial" w:hAnsi="Arial"/>
          <w:sz w:val="22"/>
          <w:szCs w:val="22"/>
          <w:color w:val="auto"/>
        </w:rPr>
        <w:t>. Executive will not be required to mitigate the amount of any payment contemplated by this Agreement, nor will any earnings that Executive may receive from any other source reduce any such payment.</w:t>
      </w:r>
    </w:p>
    <w:p>
      <w:pPr>
        <w:spacing w:after="0" w:line="186" w:lineRule="exact"/>
        <w:rPr>
          <w:rFonts w:ascii="Arial" w:cs="Arial" w:eastAsia="Arial" w:hAnsi="Arial"/>
          <w:sz w:val="22"/>
          <w:szCs w:val="22"/>
          <w:color w:val="auto"/>
        </w:rPr>
      </w:pPr>
    </w:p>
    <w:p>
      <w:pPr>
        <w:jc w:val="both"/>
        <w:ind w:left="320" w:firstLine="652"/>
        <w:spacing w:after="0" w:line="287" w:lineRule="auto"/>
        <w:tabs>
          <w:tab w:leader="none" w:pos="1319"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In the event that the severance and other benefits provided for in this Agreement or otherwise payable to Executive (i) constitute “parachute payments” within the meaning of Section 280G of the Code and (ii) but for this Section 9, would be subject to the excise tax imposed by Section 4999 of the Code, then Executive’s severance benefits will be either:</w:t>
      </w:r>
    </w:p>
    <w:p>
      <w:pPr>
        <w:spacing w:after="0" w:line="142" w:lineRule="exact"/>
        <w:rPr>
          <w:rFonts w:ascii="Arial" w:cs="Arial" w:eastAsia="Arial" w:hAnsi="Arial"/>
          <w:sz w:val="19"/>
          <w:szCs w:val="19"/>
          <w:color w:val="auto"/>
        </w:rPr>
      </w:pPr>
    </w:p>
    <w:p>
      <w:pPr>
        <w:ind w:left="2000" w:hanging="380"/>
        <w:spacing w:after="0"/>
        <w:tabs>
          <w:tab w:leader="none" w:pos="2000" w:val="left"/>
        </w:tabs>
        <w:numPr>
          <w:ilvl w:val="1"/>
          <w:numId w:val="33"/>
        </w:numPr>
        <w:rPr>
          <w:rFonts w:ascii="Arial" w:cs="Arial" w:eastAsia="Arial" w:hAnsi="Arial"/>
          <w:sz w:val="22"/>
          <w:szCs w:val="22"/>
          <w:color w:val="auto"/>
        </w:rPr>
      </w:pPr>
      <w:r>
        <w:rPr>
          <w:rFonts w:ascii="Arial" w:cs="Arial" w:eastAsia="Arial" w:hAnsi="Arial"/>
          <w:sz w:val="22"/>
          <w:szCs w:val="22"/>
          <w:color w:val="auto"/>
        </w:rPr>
        <w:t>delivered in full, or</w:t>
      </w:r>
    </w:p>
    <w:p>
      <w:pPr>
        <w:spacing w:after="0" w:line="206" w:lineRule="exact"/>
        <w:rPr>
          <w:rFonts w:ascii="Arial" w:cs="Arial" w:eastAsia="Arial" w:hAnsi="Arial"/>
          <w:sz w:val="22"/>
          <w:szCs w:val="22"/>
          <w:color w:val="auto"/>
        </w:rPr>
      </w:pPr>
    </w:p>
    <w:p>
      <w:pPr>
        <w:jc w:val="both"/>
        <w:ind w:left="2260" w:hanging="640"/>
        <w:spacing w:after="0"/>
        <w:tabs>
          <w:tab w:leader="none" w:pos="22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delivered as to such lesser extent which would result in no portion of such severance benefits being subject to the excise tax under Section 4999 of the Code,</w:t>
      </w:r>
    </w:p>
    <w:p>
      <w:pPr>
        <w:spacing w:after="0" w:line="186" w:lineRule="exact"/>
        <w:rPr>
          <w:sz w:val="20"/>
          <w:szCs w:val="20"/>
          <w:color w:val="auto"/>
        </w:rPr>
      </w:pPr>
    </w:p>
    <w:p>
      <w:pPr>
        <w:ind w:left="320"/>
        <w:spacing w:after="0" w:line="328" w:lineRule="auto"/>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results in the receipt by Executive on an after-tax</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52070</wp:posOffset>
            </wp:positionV>
            <wp:extent cx="5734685"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280"/>
          </w:cols>
          <w:pgMar w:left="1300" w:top="1063" w:right="1319" w:bottom="1440" w:gutter="0" w:footer="0" w:header="0"/>
        </w:sectPr>
      </w:pPr>
    </w:p>
    <w:bookmarkStart w:id="106" w:name="page107"/>
    <w:bookmarkEnd w:id="106"/>
    <w:p>
      <w:pPr>
        <w:jc w:val="both"/>
        <w:ind w:left="180"/>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severance payments under Sections 7(a)(i) or 7(a)(ii); (2) reduction of other cash payments, if any; (3) cancellation of accelerated vesting of equity awards; and</w:t>
      </w:r>
    </w:p>
    <w:p>
      <w:pPr>
        <w:spacing w:after="0" w:line="1" w:lineRule="exact"/>
        <w:rPr>
          <w:sz w:val="20"/>
          <w:szCs w:val="20"/>
          <w:color w:val="auto"/>
        </w:rPr>
      </w:pPr>
    </w:p>
    <w:p>
      <w:pPr>
        <w:jc w:val="both"/>
        <w:ind w:left="180" w:firstLine="4"/>
        <w:spacing w:after="0" w:line="245" w:lineRule="auto"/>
        <w:tabs>
          <w:tab w:leader="none" w:pos="491" w:val="left"/>
        </w:tabs>
        <w:numPr>
          <w:ilvl w:val="0"/>
          <w:numId w:val="34"/>
        </w:numPr>
        <w:rPr>
          <w:rFonts w:ascii="Arial" w:cs="Arial" w:eastAsia="Arial" w:hAnsi="Arial"/>
          <w:sz w:val="21"/>
          <w:szCs w:val="21"/>
          <w:color w:val="auto"/>
        </w:rPr>
      </w:pPr>
      <w:r>
        <w:rPr>
          <w:rFonts w:ascii="Arial" w:cs="Arial" w:eastAsia="Arial" w:hAnsi="Arial"/>
          <w:sz w:val="21"/>
          <w:szCs w:val="21"/>
          <w:color w:val="auto"/>
        </w:rPr>
        <w:t>reduction of continued employee benefits. In the event that acceleration of vesting of equity award compensation is to be reduced, such acceleration of vesting shall be cancelled in the reverse order of the date of grant of Executive’s equity awards. If two or more equity awards are granted on the same date, each award will be reduced on a pro-rata basis. In no event shall the Executive have any discretion with respect to the ordering of payment reductions.</w:t>
      </w:r>
    </w:p>
    <w:p>
      <w:pPr>
        <w:spacing w:after="0" w:line="180" w:lineRule="exact"/>
        <w:rPr>
          <w:sz w:val="20"/>
          <w:szCs w:val="20"/>
          <w:color w:val="auto"/>
        </w:rPr>
      </w:pPr>
    </w:p>
    <w:p>
      <w:pPr>
        <w:jc w:val="both"/>
        <w:ind w:left="180" w:firstLine="1296"/>
        <w:spacing w:after="0" w:line="245" w:lineRule="auto"/>
        <w:rPr>
          <w:sz w:val="20"/>
          <w:szCs w:val="20"/>
          <w:color w:val="auto"/>
        </w:rPr>
      </w:pPr>
      <w:r>
        <w:rPr>
          <w:rFonts w:ascii="Arial" w:cs="Arial" w:eastAsia="Arial" w:hAnsi="Arial"/>
          <w:sz w:val="21"/>
          <w:szCs w:val="21"/>
          <w:color w:val="auto"/>
        </w:rPr>
        <w:t>Unless the Company and Executive otherwise agree in writing, any determination required under this Section 9 will be made in writing by an independent firm immediately prior to a Change of Control (the “</w:t>
      </w:r>
      <w:r>
        <w:rPr>
          <w:rFonts w:ascii="Arial" w:cs="Arial" w:eastAsia="Arial" w:hAnsi="Arial"/>
          <w:sz w:val="21"/>
          <w:szCs w:val="21"/>
          <w:b w:val="1"/>
          <w:bCs w:val="1"/>
          <w:color w:val="auto"/>
        </w:rPr>
        <w:t>Firm</w:t>
      </w:r>
      <w:r>
        <w:rPr>
          <w:rFonts w:ascii="Arial" w:cs="Arial" w:eastAsia="Arial" w:hAnsi="Arial"/>
          <w:sz w:val="21"/>
          <w:szCs w:val="21"/>
          <w:color w:val="auto"/>
        </w:rPr>
        <w:t>”), whose determination will be conclusive and binding upon Executive and the Company for all purposes. For purposes of making the calculations required by this Section 9,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9. The Company will bear all costs the Firm may reasonably incur in connection with any calculations contemplated by this Section 9.</w:t>
      </w:r>
    </w:p>
    <w:p>
      <w:pPr>
        <w:spacing w:after="0" w:line="181" w:lineRule="exact"/>
        <w:rPr>
          <w:sz w:val="20"/>
          <w:szCs w:val="20"/>
          <w:color w:val="auto"/>
        </w:rPr>
      </w:pPr>
    </w:p>
    <w:p>
      <w:pPr>
        <w:ind w:left="180" w:firstLine="652"/>
        <w:spacing w:after="0" w:line="250" w:lineRule="auto"/>
        <w:tabs>
          <w:tab w:leader="none" w:pos="120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168" w:lineRule="exact"/>
        <w:rPr>
          <w:rFonts w:ascii="Arial" w:cs="Arial" w:eastAsia="Arial" w:hAnsi="Arial"/>
          <w:sz w:val="22"/>
          <w:szCs w:val="22"/>
          <w:color w:val="auto"/>
        </w:rPr>
      </w:pPr>
    </w:p>
    <w:p>
      <w:pPr>
        <w:jc w:val="both"/>
        <w:ind w:left="180" w:firstLine="1300"/>
        <w:spacing w:after="0" w:line="273" w:lineRule="auto"/>
        <w:tabs>
          <w:tab w:leader="none" w:pos="1905"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xml:space="preserve">” is defined as (i) Executive’s conviction of, or plea of nolo </w:t>
      </w:r>
      <w:r>
        <w:rPr>
          <w:rFonts w:ascii="Arial" w:cs="Arial" w:eastAsia="Arial" w:hAnsi="Arial"/>
          <w:sz w:val="19"/>
          <w:szCs w:val="19"/>
          <w:u w:val="single" w:color="auto"/>
          <w:color w:val="auto"/>
        </w:rPr>
        <w:t>contendere</w:t>
      </w:r>
      <w:r>
        <w:rPr>
          <w:rFonts w:ascii="Arial" w:cs="Arial" w:eastAsia="Arial" w:hAnsi="Arial"/>
          <w:sz w:val="19"/>
          <w:szCs w:val="19"/>
          <w:color w:val="auto"/>
        </w:rPr>
        <w:t xml:space="preserve"> to, a felony or any crime involving fraud, embezzlement or any other act of moral turpitude, (ii) Executive’s gross misconduct, (iii) Executive’s unauthorized use or disclosure of any proprietary information or trade secrets of the Company or any other party to whom Executive owes an obligation of nondisclosure as a result of Executive’s relationship with the Company; (iv) Executive’s willful breach of any obligations under any written agreement or covenant with the Company that is injurious to the Company; or (v) Executive’s continued failure to perform Executive’s employment duties after Executive has received a written demand for performance from the Company which specifically sets forth the factual basis for the Company’s belief that Executive has not substantially performed Executive’s duties and has failed to cure such non-performance to the Company’s satisfaction within thirty (30) business days after receiving such notice.</w:t>
      </w:r>
    </w:p>
    <w:p>
      <w:pPr>
        <w:spacing w:after="0" w:line="155" w:lineRule="exact"/>
        <w:rPr>
          <w:rFonts w:ascii="Arial" w:cs="Arial" w:eastAsia="Arial" w:hAnsi="Arial"/>
          <w:sz w:val="19"/>
          <w:szCs w:val="19"/>
          <w:color w:val="auto"/>
        </w:rPr>
      </w:pPr>
    </w:p>
    <w:p>
      <w:pPr>
        <w:ind w:left="180" w:firstLine="1300"/>
        <w:spacing w:after="0" w:line="256" w:lineRule="auto"/>
        <w:tabs>
          <w:tab w:leader="none" w:pos="1876"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Change of Control</w:t>
      </w:r>
      <w:r>
        <w:rPr>
          <w:rFonts w:ascii="Arial" w:cs="Arial" w:eastAsia="Arial" w:hAnsi="Arial"/>
          <w:sz w:val="22"/>
          <w:szCs w:val="22"/>
          <w:color w:val="auto"/>
        </w:rPr>
        <w:t>” means the occurrence of any of the following events:</w:t>
      </w:r>
    </w:p>
    <w:p>
      <w:pPr>
        <w:spacing w:after="0" w:line="168" w:lineRule="exact"/>
        <w:rPr>
          <w:rFonts w:ascii="Arial" w:cs="Arial" w:eastAsia="Arial" w:hAnsi="Arial"/>
          <w:sz w:val="22"/>
          <w:szCs w:val="22"/>
          <w:color w:val="auto"/>
        </w:rPr>
      </w:pPr>
    </w:p>
    <w:p>
      <w:pPr>
        <w:jc w:val="both"/>
        <w:ind w:left="180" w:firstLine="2092"/>
        <w:spacing w:after="0" w:line="236" w:lineRule="auto"/>
        <w:tabs>
          <w:tab w:leader="none" w:pos="2863" w:val="left"/>
        </w:tabs>
        <w:numPr>
          <w:ilvl w:val="2"/>
          <w:numId w:val="35"/>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Securities Exchange Act of 1934, as amended) is or becomes the “beneficial owner” (as defined in Rule 13d-3 under said Act), directly or indirectly, of securities of the Company representing more than 50% of the total voting power represented by the Company’s then outstanding voting securities, other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-2773045</wp:posOffset>
            </wp:positionV>
            <wp:extent cx="2863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286385" cy="8890"/>
                    </a:xfrm>
                    <a:prstGeom prst="rect">
                      <a:avLst/>
                    </a:prstGeom>
                    <a:noFill/>
                  </pic:spPr>
                </pic:pic>
              </a:graphicData>
            </a:graphic>
          </wp:anchor>
        </w:drawing>
      </w:r>
    </w:p>
    <w:p>
      <w:pPr>
        <w:spacing w:after="0" w:line="16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wp:posOffset>
            </wp:positionV>
            <wp:extent cx="5734685"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063" w:right="1319" w:bottom="1440" w:gutter="0" w:footer="0" w:header="0"/>
        </w:sectPr>
      </w:pPr>
    </w:p>
    <w:bookmarkStart w:id="107" w:name="page108"/>
    <w:bookmarkEnd w:id="107"/>
    <w:p>
      <w:pPr>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acquisition of 50% of the total voting power represented by the outstanding voting securities when sold by the Company in a capital raising transaction; or</w:t>
      </w:r>
    </w:p>
    <w:p>
      <w:pPr>
        <w:spacing w:after="0" w:line="175" w:lineRule="exact"/>
        <w:rPr>
          <w:sz w:val="20"/>
          <w:szCs w:val="20"/>
          <w:color w:val="auto"/>
        </w:rPr>
      </w:pPr>
    </w:p>
    <w:p>
      <w:pPr>
        <w:jc w:val="both"/>
        <w:ind w:left="320" w:firstLine="2056"/>
        <w:spacing w:after="0" w:line="277" w:lineRule="auto"/>
        <w:tabs>
          <w:tab w:leader="none" w:pos="306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w:t>
      </w:r>
    </w:p>
    <w:p>
      <w:pPr>
        <w:spacing w:after="0" w:line="152" w:lineRule="exact"/>
        <w:rPr>
          <w:sz w:val="20"/>
          <w:szCs w:val="20"/>
          <w:color w:val="auto"/>
        </w:rPr>
      </w:pPr>
    </w:p>
    <w:p>
      <w:pPr>
        <w:jc w:val="both"/>
        <w:ind w:left="320" w:firstLine="2020"/>
        <w:spacing w:after="0"/>
        <w:tabs>
          <w:tab w:leader="none" w:pos="3038"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date of the consummation of the sale or disposition by the Company of all or substantially all the Company’s assets in a transaction that has been approved by the stockholders of the Company.</w:t>
      </w:r>
    </w:p>
    <w:p>
      <w:pPr>
        <w:spacing w:after="0" w:line="186" w:lineRule="exact"/>
        <w:rPr>
          <w:sz w:val="20"/>
          <w:szCs w:val="20"/>
          <w:color w:val="auto"/>
        </w:rPr>
      </w:pPr>
    </w:p>
    <w:p>
      <w:pPr>
        <w:jc w:val="both"/>
        <w:ind w:left="320" w:firstLine="1296"/>
        <w:spacing w:after="0"/>
        <w:rPr>
          <w:sz w:val="20"/>
          <w:szCs w:val="20"/>
          <w:color w:val="auto"/>
        </w:rPr>
      </w:pPr>
      <w:r>
        <w:rPr>
          <w:rFonts w:ascii="Arial" w:cs="Arial" w:eastAsia="Arial" w:hAnsi="Arial"/>
          <w:sz w:val="22"/>
          <w:szCs w:val="22"/>
          <w:color w:val="auto"/>
        </w:rPr>
        <w:t>Notwithstanding the foregoing provisions of this definition, a transaction will not be deemed a Change of Control unless the transaction qualifies as a “change in control event” within the meaning of Section 409A.</w:t>
      </w:r>
    </w:p>
    <w:p>
      <w:pPr>
        <w:spacing w:after="0" w:line="180" w:lineRule="exact"/>
        <w:rPr>
          <w:sz w:val="20"/>
          <w:szCs w:val="20"/>
          <w:color w:val="auto"/>
        </w:rPr>
      </w:pPr>
    </w:p>
    <w:p>
      <w:pPr>
        <w:ind w:left="320" w:firstLine="1300"/>
        <w:spacing w:after="0" w:line="256" w:lineRule="auto"/>
        <w:tabs>
          <w:tab w:leader="none" w:pos="201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162" w:lineRule="exact"/>
        <w:rPr>
          <w:sz w:val="20"/>
          <w:szCs w:val="20"/>
          <w:color w:val="auto"/>
        </w:rPr>
      </w:pPr>
    </w:p>
    <w:p>
      <w:pPr>
        <w:jc w:val="both"/>
        <w:ind w:left="320" w:firstLine="1300"/>
        <w:spacing w:after="0" w:line="245" w:lineRule="auto"/>
        <w:tabs>
          <w:tab w:leader="none" w:pos="2058"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For the purposes of this Agreement, “</w:t>
      </w:r>
      <w:r>
        <w:rPr>
          <w:rFonts w:ascii="Arial" w:cs="Arial" w:eastAsia="Arial" w:hAnsi="Arial"/>
          <w:sz w:val="21"/>
          <w:szCs w:val="21"/>
          <w:b w:val="1"/>
          <w:bCs w:val="1"/>
          <w:color w:val="auto"/>
        </w:rPr>
        <w:t>Disability</w:t>
      </w:r>
      <w:r>
        <w:rPr>
          <w:rFonts w:ascii="Arial" w:cs="Arial" w:eastAsia="Arial" w:hAnsi="Arial"/>
          <w:sz w:val="21"/>
          <w:szCs w:val="21"/>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six (6)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81" w:lineRule="exact"/>
        <w:rPr>
          <w:sz w:val="20"/>
          <w:szCs w:val="20"/>
          <w:color w:val="auto"/>
        </w:rPr>
      </w:pPr>
    </w:p>
    <w:p>
      <w:pPr>
        <w:jc w:val="both"/>
        <w:ind w:left="320" w:firstLine="1300"/>
        <w:spacing w:after="0" w:line="239" w:lineRule="auto"/>
        <w:tabs>
          <w:tab w:leader="none" w:pos="2097"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Equity Awards</w:t>
      </w:r>
      <w:r>
        <w:rPr>
          <w:rFonts w:ascii="Arial" w:cs="Arial" w:eastAsia="Arial" w:hAnsi="Arial"/>
          <w:sz w:val="22"/>
          <w:szCs w:val="22"/>
          <w:color w:val="auto"/>
        </w:rPr>
        <w:t>” means Executive’s outstanding Company stock options, stock appreciation rights, restricted stock, restricted stock units, performance shares, performance stock units and any other Company equity compensation awards.</w:t>
      </w:r>
    </w:p>
    <w:p>
      <w:pPr>
        <w:spacing w:after="0" w:line="180" w:lineRule="exact"/>
        <w:rPr>
          <w:rFonts w:ascii="Arial" w:cs="Arial" w:eastAsia="Arial" w:hAnsi="Arial"/>
          <w:sz w:val="22"/>
          <w:szCs w:val="22"/>
          <w:color w:val="auto"/>
        </w:rPr>
      </w:pPr>
    </w:p>
    <w:p>
      <w:pPr>
        <w:jc w:val="both"/>
        <w:ind w:left="320" w:firstLine="1300"/>
        <w:spacing w:after="0" w:line="273" w:lineRule="auto"/>
        <w:tabs>
          <w:tab w:leader="none" w:pos="207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the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means Executive’s resignation within thirty (30) days following the expiration of any Company cure period (discussed below) following the occurrence of one or more of the following, without Executive’s express written consent: (i) the assignment to Executive of any duties beyond the generally recognized scope of employment of a company </w:t>
      </w:r>
      <w:r>
        <w:rPr>
          <w:rFonts w:ascii="Arial" w:cs="Arial" w:eastAsia="Arial" w:hAnsi="Arial"/>
          <w:sz w:val="19"/>
          <w:szCs w:val="19"/>
          <w:b w:val="1"/>
          <w:bCs w:val="1"/>
          <w:color w:val="auto"/>
        </w:rPr>
        <w:t>Chief Strategy Officer</w:t>
      </w:r>
      <w:r>
        <w:rPr>
          <w:rFonts w:ascii="Arial" w:cs="Arial" w:eastAsia="Arial" w:hAnsi="Arial"/>
          <w:sz w:val="19"/>
          <w:szCs w:val="19"/>
          <w:color w:val="auto"/>
        </w:rPr>
        <w:t xml:space="preserve"> or the reduction of Executive’s duties or the removal of Executive from Executive’s position and responsibilities as </w:t>
      </w:r>
      <w:r>
        <w:rPr>
          <w:rFonts w:ascii="Arial" w:cs="Arial" w:eastAsia="Arial" w:hAnsi="Arial"/>
          <w:sz w:val="19"/>
          <w:szCs w:val="19"/>
          <w:b w:val="1"/>
          <w:bCs w:val="1"/>
          <w:color w:val="auto"/>
        </w:rPr>
        <w:t>Chief Strategy</w:t>
      </w:r>
      <w:r>
        <w:rPr>
          <w:rFonts w:ascii="Arial" w:cs="Arial" w:eastAsia="Arial" w:hAnsi="Arial"/>
          <w:sz w:val="19"/>
          <w:szCs w:val="19"/>
          <w:color w:val="auto"/>
        </w:rPr>
        <w:t xml:space="preserve"> </w:t>
      </w:r>
      <w:r>
        <w:rPr>
          <w:rFonts w:ascii="Arial" w:cs="Arial" w:eastAsia="Arial" w:hAnsi="Arial"/>
          <w:sz w:val="19"/>
          <w:szCs w:val="19"/>
          <w:b w:val="1"/>
          <w:bCs w:val="1"/>
          <w:color w:val="auto"/>
        </w:rPr>
        <w:t>Officer</w:t>
      </w:r>
      <w:r>
        <w:rPr>
          <w:rFonts w:ascii="Arial" w:cs="Arial" w:eastAsia="Arial" w:hAnsi="Arial"/>
          <w:sz w:val="19"/>
          <w:szCs w:val="19"/>
          <w:color w:val="auto"/>
        </w:rPr>
        <w:t>, either of which must result in a material diminution of Executive’s authority, duties, or</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responsibilities with the Company in effect immediately prior to such assignment; provided, however, if the Executive is provided with an alternative executive type position within the Company or its subsidiaries at the same or better compensation as proved herein or that a reduction in duties, position or responsibilities solely by virtue of the Company being</w:t>
      </w:r>
    </w:p>
    <w:p>
      <w:pPr>
        <w:spacing w:after="0" w:line="161"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52070</wp:posOffset>
            </wp:positionV>
            <wp:extent cx="573468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280"/>
          </w:cols>
          <w:pgMar w:left="1300" w:top="1063" w:right="1319" w:bottom="1440" w:gutter="0" w:footer="0" w:header="0"/>
        </w:sectPr>
      </w:pPr>
    </w:p>
    <w:bookmarkStart w:id="108" w:name="page109"/>
    <w:bookmarkEnd w:id="108"/>
    <w:p>
      <w:pPr>
        <w:jc w:val="both"/>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acquired and made part of a larger entity will not constitute “Good Reason”; (ii) a reduction in Executive’s Base Salary (except where there is a reduction applicable to the management team generally of not more than 10% of Executive’s Base Salary); or (iii) a material change in the geographic location of Executive’s primary work facility or location; provided, that a relocation of less than fifty (50) miles from Executive’s then present work location will not be considered a material change in geographic location. Executive will not resign for Good Reason without first providing the Company with written notice of the acts or omissions constituting the grounds for “Good Reason” within ninety (90) days of the initial existence of the grounds for “Good Reason” and providing a cure period of not less than thirty (30) days following the date of such notice and such grounds for “Good Reason” have not been cured during such cure period.</w:t>
      </w:r>
    </w:p>
    <w:p>
      <w:pPr>
        <w:spacing w:after="0" w:line="152" w:lineRule="exact"/>
        <w:rPr>
          <w:sz w:val="20"/>
          <w:szCs w:val="20"/>
          <w:color w:val="auto"/>
        </w:rPr>
      </w:pPr>
    </w:p>
    <w:p>
      <w:pPr>
        <w:jc w:val="both"/>
        <w:ind w:left="400" w:firstLine="1300"/>
        <w:spacing w:after="0" w:line="243" w:lineRule="auto"/>
        <w:tabs>
          <w:tab w:leader="none" w:pos="2137"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For purposes of this Agreement, “</w:t>
      </w:r>
      <w:r>
        <w:rPr>
          <w:rFonts w:ascii="Arial" w:cs="Arial" w:eastAsia="Arial" w:hAnsi="Arial"/>
          <w:sz w:val="22"/>
          <w:szCs w:val="22"/>
          <w:b w:val="1"/>
          <w:bCs w:val="1"/>
          <w:color w:val="auto"/>
        </w:rPr>
        <w:t>Section 409A</w:t>
      </w:r>
      <w:r>
        <w:rPr>
          <w:rFonts w:ascii="Arial" w:cs="Arial" w:eastAsia="Arial" w:hAnsi="Arial"/>
          <w:sz w:val="22"/>
          <w:szCs w:val="22"/>
          <w:color w:val="auto"/>
        </w:rPr>
        <w:t>” means Code Section 409A, and the final regulations and any guidance promulgated thereunder or any state law equivalent.</w:t>
      </w:r>
    </w:p>
    <w:p>
      <w:pPr>
        <w:spacing w:after="0" w:line="177" w:lineRule="exact"/>
        <w:rPr>
          <w:sz w:val="20"/>
          <w:szCs w:val="20"/>
          <w:color w:val="auto"/>
        </w:rPr>
      </w:pPr>
    </w:p>
    <w:p>
      <w:pPr>
        <w:jc w:val="both"/>
        <w:ind w:left="400" w:firstLine="1300"/>
        <w:spacing w:after="0" w:line="278" w:lineRule="auto"/>
        <w:tabs>
          <w:tab w:leader="none" w:pos="2102"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Section 409A Limit</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Section 409A Limit</w:t>
      </w:r>
      <w:r>
        <w:rPr>
          <w:rFonts w:ascii="Arial" w:cs="Arial" w:eastAsia="Arial" w:hAnsi="Arial"/>
          <w:sz w:val="19"/>
          <w:szCs w:val="19"/>
          <w:color w:val="auto"/>
        </w:rPr>
        <w:t>” will mean two (2) times the lesser of: (i) Executive’s annualized compensation based upon the annual rate of pay paid to Executive during the Executive’s taxable year preceding the Executive’s taxable year of his or her separation from service, as determined under Treasury Regulation Section 1.409A-1(b)(9) (iii)(A)(1)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51" w:lineRule="exact"/>
        <w:rPr>
          <w:rFonts w:ascii="Arial" w:cs="Arial" w:eastAsia="Arial" w:hAnsi="Arial"/>
          <w:sz w:val="19"/>
          <w:szCs w:val="19"/>
          <w:color w:val="auto"/>
        </w:rPr>
      </w:pPr>
    </w:p>
    <w:p>
      <w:pPr>
        <w:jc w:val="both"/>
        <w:ind w:left="400" w:firstLine="652"/>
        <w:spacing w:after="0" w:line="245" w:lineRule="auto"/>
        <w:tabs>
          <w:tab w:leader="none" w:pos="1439"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0" w:lineRule="exact"/>
        <w:rPr>
          <w:rFonts w:ascii="Arial" w:cs="Arial" w:eastAsia="Arial" w:hAnsi="Arial"/>
          <w:sz w:val="21"/>
          <w:szCs w:val="21"/>
          <w:color w:val="auto"/>
        </w:rPr>
      </w:pPr>
    </w:p>
    <w:p>
      <w:pPr>
        <w:jc w:val="both"/>
        <w:ind w:left="400" w:firstLine="652"/>
        <w:spacing w:after="0" w:line="235" w:lineRule="auto"/>
        <w:tabs>
          <w:tab w:leader="none" w:pos="143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All notices, requests, demands and other communications called for hereunder will be in writing and will be deemed given (i) on the date of delivery if delivered personally, (ii) one (1) day after being sent by a well-established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If to the Company:</w:t>
      </w:r>
    </w:p>
    <w:p>
      <w:pPr>
        <w:spacing w:after="0" w:line="9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Pulse Biosciences, Inc.</w:t>
      </w:r>
    </w:p>
    <w:p>
      <w:pPr>
        <w:ind w:left="1700"/>
        <w:spacing w:after="0" w:line="238" w:lineRule="auto"/>
        <w:rPr>
          <w:sz w:val="20"/>
          <w:szCs w:val="20"/>
          <w:color w:val="auto"/>
        </w:rPr>
      </w:pPr>
      <w:r>
        <w:rPr>
          <w:rFonts w:ascii="Arial" w:cs="Arial" w:eastAsia="Arial" w:hAnsi="Arial"/>
          <w:sz w:val="22"/>
          <w:szCs w:val="22"/>
          <w:color w:val="auto"/>
        </w:rPr>
        <w:t>3957 Point Eden Way</w:t>
      </w:r>
    </w:p>
    <w:p>
      <w:pPr>
        <w:ind w:left="1700"/>
        <w:spacing w:after="0" w:line="230" w:lineRule="auto"/>
        <w:rPr>
          <w:sz w:val="20"/>
          <w:szCs w:val="20"/>
          <w:color w:val="auto"/>
        </w:rPr>
      </w:pPr>
      <w:r>
        <w:rPr>
          <w:rFonts w:ascii="Arial" w:cs="Arial" w:eastAsia="Arial" w:hAnsi="Arial"/>
          <w:sz w:val="22"/>
          <w:szCs w:val="22"/>
          <w:color w:val="auto"/>
        </w:rPr>
        <w:t>Hayward, CA 94545</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22"/>
          <w:szCs w:val="22"/>
          <w:u w:val="single" w:color="auto"/>
          <w:color w:val="auto"/>
        </w:rPr>
        <w:t>Attn</w:t>
      </w:r>
      <w:r>
        <w:rPr>
          <w:rFonts w:ascii="Arial" w:cs="Arial" w:eastAsia="Arial" w:hAnsi="Arial"/>
          <w:sz w:val="22"/>
          <w:szCs w:val="22"/>
          <w:color w:val="auto"/>
        </w:rPr>
        <w:t>: Chief Executive Officer</w:t>
      </w:r>
    </w:p>
    <w:p>
      <w:pPr>
        <w:spacing w:after="0" w:line="18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52070</wp:posOffset>
            </wp:positionV>
            <wp:extent cx="5734685"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360"/>
          </w:cols>
          <w:pgMar w:left="1220" w:top="1063" w:right="1319" w:bottom="1440" w:gutter="0" w:footer="0" w:header="0"/>
        </w:sectPr>
      </w:pPr>
    </w:p>
    <w:bookmarkStart w:id="109" w:name="page110"/>
    <w:bookmarkEnd w:id="109"/>
    <w:p>
      <w:pPr>
        <w:ind w:left="14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If to Executive:</w:t>
      </w:r>
    </w:p>
    <w:p>
      <w:pPr>
        <w:spacing w:after="0" w:line="20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at the last residential address known by the Company.</w:t>
      </w:r>
    </w:p>
    <w:p>
      <w:pPr>
        <w:spacing w:after="0" w:line="206" w:lineRule="exact"/>
        <w:rPr>
          <w:sz w:val="20"/>
          <w:szCs w:val="20"/>
          <w:color w:val="auto"/>
        </w:rPr>
      </w:pPr>
    </w:p>
    <w:p>
      <w:pPr>
        <w:jc w:val="both"/>
        <w:ind w:left="180" w:firstLine="652"/>
        <w:spacing w:after="0"/>
        <w:tabs>
          <w:tab w:leader="none" w:pos="190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Executive agrees to enter into and comply with the Company’s standard At-Will Employment, Confidential Information, Invention Assignment, and Arbitration Agreement (the “Confidential Information Agreement”).</w:t>
      </w:r>
    </w:p>
    <w:p>
      <w:pPr>
        <w:spacing w:after="0" w:line="186" w:lineRule="exact"/>
        <w:rPr>
          <w:sz w:val="20"/>
          <w:szCs w:val="20"/>
          <w:color w:val="auto"/>
        </w:rPr>
      </w:pPr>
    </w:p>
    <w:p>
      <w:pPr>
        <w:jc w:val="both"/>
        <w:ind w:left="180" w:firstLine="652"/>
        <w:spacing w:after="0" w:line="248" w:lineRule="auto"/>
        <w:tabs>
          <w:tab w:leader="none" w:pos="185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Business Opportunities</w:t>
      </w:r>
      <w:r>
        <w:rPr>
          <w:rFonts w:ascii="Arial" w:cs="Arial" w:eastAsia="Arial" w:hAnsi="Arial"/>
          <w:sz w:val="21"/>
          <w:szCs w:val="21"/>
          <w:color w:val="auto"/>
        </w:rPr>
        <w:t>. The Executive agrees, during the Employment Term, to offer or otherwise make known or available to it, as directed by the Chief Executive Officer or Board and without additional compensation or consideration, any business prospects, contracts or other business opportunities that Executive may discover, find, develop or otherwise have available to Executive in the Company’s Field of Interest, and further agrees that any such prospects, contacts or other business opportunities shall be the property of the Company.</w:t>
      </w:r>
    </w:p>
    <w:p>
      <w:pPr>
        <w:spacing w:after="0" w:line="176" w:lineRule="exact"/>
        <w:rPr>
          <w:rFonts w:ascii="Arial" w:cs="Arial" w:eastAsia="Arial" w:hAnsi="Arial"/>
          <w:sz w:val="21"/>
          <w:szCs w:val="21"/>
          <w:color w:val="auto"/>
        </w:rPr>
      </w:pPr>
    </w:p>
    <w:p>
      <w:pPr>
        <w:jc w:val="both"/>
        <w:ind w:left="180" w:firstLine="652"/>
        <w:spacing w:after="0" w:line="270" w:lineRule="auto"/>
        <w:tabs>
          <w:tab w:leader="none" w:pos="192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with the Company, the Executive shall cooperate fully with the Company and its affiliates in the defense or prosecution of any claims or actions now in existence or which may be brought in the future against or on behalf of the Company and its affiliates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and its affiliates at mutually convenient times. During and after the Executive’s employment, the Executive also shall cooperate fully with the Company and its affiliates in connection with any such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If assistance is required after Executive is no longer employed by the Company, the Company agrees to compensate Executive by paying Executive a mutually agreed upon hourly rate for all time spend beyond five (5) hours. The performance by the Executive under this Section after the termination of the Executive's employment with the Company shall be subject to Executive’s other employment obligations.</w:t>
      </w:r>
    </w:p>
    <w:p>
      <w:pPr>
        <w:spacing w:after="0" w:line="168" w:lineRule="exact"/>
        <w:rPr>
          <w:rFonts w:ascii="Arial" w:cs="Arial" w:eastAsia="Arial" w:hAnsi="Arial"/>
          <w:sz w:val="19"/>
          <w:szCs w:val="19"/>
          <w:color w:val="auto"/>
        </w:rPr>
      </w:pPr>
    </w:p>
    <w:p>
      <w:pPr>
        <w:jc w:val="both"/>
        <w:ind w:left="180" w:firstLine="652"/>
        <w:spacing w:after="0" w:line="273" w:lineRule="auto"/>
        <w:tabs>
          <w:tab w:leader="none" w:pos="1827"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Executive agrees that the Company or its affiliates may from time to time and for the Company’s or the affiliates’ own benefit apply for and take out life insurance covering the Executive, either independently or together with others, in any amount and form which the Company or an affiliate may deem to be in its best interests. The Company or the respective affiliate shall own all rights in such insurance and in the cash values and proceeds thereof, and the Executive shall not have any right, title or interest therein. The Executive agrees to assist the Company and its affiliates, at the Company's expense, in obtaining any such insurance by, among things, submitting to customary examinations and correctly preparing, signing and delivering such applications and other documents as reasonably may be required. Nothing contained in this Section shall be construed as a limitation on the Executive’s right to procure any life insurance for Executive’s own personal needs.</w:t>
      </w:r>
    </w:p>
    <w:p>
      <w:pPr>
        <w:spacing w:after="0" w:line="160" w:lineRule="exact"/>
        <w:rPr>
          <w:rFonts w:ascii="Arial" w:cs="Arial" w:eastAsia="Arial" w:hAnsi="Arial"/>
          <w:sz w:val="19"/>
          <w:szCs w:val="19"/>
          <w:color w:val="auto"/>
        </w:rPr>
      </w:pPr>
    </w:p>
    <w:p>
      <w:pPr>
        <w:ind w:left="1180" w:hanging="348"/>
        <w:spacing w:after="0"/>
        <w:tabs>
          <w:tab w:leader="none" w:pos="118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wp:posOffset>
            </wp:positionV>
            <wp:extent cx="5734685"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063" w:right="1319" w:bottom="1440" w:gutter="0" w:footer="0" w:header="0"/>
        </w:sectPr>
      </w:pPr>
    </w:p>
    <w:bookmarkStart w:id="110" w:name="page111"/>
    <w:bookmarkEnd w:id="110"/>
    <w:p>
      <w:pPr>
        <w:jc w:val="both"/>
        <w:ind w:left="180" w:firstLine="1300"/>
        <w:spacing w:after="0" w:line="238" w:lineRule="auto"/>
        <w:tabs>
          <w:tab w:leader="none" w:pos="193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Amendment</w:t>
      </w:r>
      <w:r>
        <w:rPr>
          <w:rFonts w:ascii="Arial" w:cs="Arial" w:eastAsia="Arial" w:hAnsi="Arial"/>
          <w:sz w:val="22"/>
          <w:szCs w:val="22"/>
          <w:color w:val="auto"/>
        </w:rPr>
        <w:t>. No provision of this Agreement will be modified, waived or discharged unless the modification, waiver or discharge is agreed to in writing and signed by Executive and by an authorized officer of the Company (other than Executive) that is expressly designated as an amendment to this Agreement.</w:t>
      </w:r>
    </w:p>
    <w:p>
      <w:pPr>
        <w:spacing w:after="0" w:line="184" w:lineRule="exact"/>
        <w:rPr>
          <w:rFonts w:ascii="Arial" w:cs="Arial" w:eastAsia="Arial" w:hAnsi="Arial"/>
          <w:sz w:val="22"/>
          <w:szCs w:val="22"/>
          <w:color w:val="auto"/>
        </w:rPr>
      </w:pPr>
    </w:p>
    <w:p>
      <w:pPr>
        <w:jc w:val="both"/>
        <w:ind w:left="180" w:firstLine="1300"/>
        <w:spacing w:after="0"/>
        <w:tabs>
          <w:tab w:leader="none" w:pos="189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22"/>
          <w:szCs w:val="22"/>
          <w:color w:val="auto"/>
        </w:rPr>
      </w:pPr>
    </w:p>
    <w:p>
      <w:pPr>
        <w:ind w:left="180" w:firstLine="1300"/>
        <w:spacing w:after="0" w:line="250" w:lineRule="auto"/>
        <w:tabs>
          <w:tab w:leader="none" w:pos="191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75" w:lineRule="exact"/>
        <w:rPr>
          <w:sz w:val="20"/>
          <w:szCs w:val="20"/>
          <w:color w:val="auto"/>
        </w:rPr>
      </w:pPr>
    </w:p>
    <w:p>
      <w:pPr>
        <w:jc w:val="both"/>
        <w:ind w:left="180" w:firstLine="1300"/>
        <w:spacing w:after="0" w:line="246" w:lineRule="auto"/>
        <w:tabs>
          <w:tab w:leader="none" w:pos="1864"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Plan, Option Agreement, and the Confidential Information Agreement (and its exhibits) represents the entire agreement and understanding between the parties as to the subject matter herein and supersedes all prior or contemporaneous agreements whether written or oral. With respect to stock options or other Equity Awards granted on or after the date of this Agreement, the acceleration of vesting provisions provided herein will apply to such stock options or other Equity Awards. This Agreement may be modified only by agreement of the parties by a written instrument executed by the parties that is designated as an amendment to this Agreement.</w:t>
      </w:r>
    </w:p>
    <w:p>
      <w:pPr>
        <w:spacing w:after="0" w:line="180" w:lineRule="exact"/>
        <w:rPr>
          <w:sz w:val="20"/>
          <w:szCs w:val="20"/>
          <w:color w:val="auto"/>
        </w:rPr>
      </w:pPr>
    </w:p>
    <w:p>
      <w:pPr>
        <w:ind w:left="180" w:firstLine="1300"/>
        <w:spacing w:after="0" w:line="250" w:lineRule="auto"/>
        <w:tabs>
          <w:tab w:leader="none" w:pos="1903"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the laws of the State of California (with the exception of its conflict of laws provisions).</w:t>
      </w:r>
    </w:p>
    <w:p>
      <w:pPr>
        <w:spacing w:after="0" w:line="174" w:lineRule="exact"/>
        <w:rPr>
          <w:rFonts w:ascii="Arial" w:cs="Arial" w:eastAsia="Arial" w:hAnsi="Arial"/>
          <w:sz w:val="22"/>
          <w:szCs w:val="22"/>
          <w:color w:val="auto"/>
        </w:rPr>
      </w:pPr>
    </w:p>
    <w:p>
      <w:pPr>
        <w:jc w:val="both"/>
        <w:ind w:left="180" w:firstLine="1300"/>
        <w:spacing w:after="0"/>
        <w:tabs>
          <w:tab w:leader="none" w:pos="187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86" w:lineRule="exact"/>
        <w:rPr>
          <w:rFonts w:ascii="Arial" w:cs="Arial" w:eastAsia="Arial" w:hAnsi="Arial"/>
          <w:sz w:val="22"/>
          <w:szCs w:val="22"/>
          <w:color w:val="auto"/>
        </w:rPr>
      </w:pPr>
    </w:p>
    <w:p>
      <w:pPr>
        <w:jc w:val="both"/>
        <w:ind w:left="180" w:firstLine="1300"/>
        <w:spacing w:after="0"/>
        <w:tabs>
          <w:tab w:leader="none" w:pos="1881"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all applicable withholdings, including all applicable income and employment taxes, as determined in the Company’s reasonable judgment.</w:t>
      </w:r>
    </w:p>
    <w:p>
      <w:pPr>
        <w:spacing w:after="0" w:line="186" w:lineRule="exact"/>
        <w:rPr>
          <w:rFonts w:ascii="Arial" w:cs="Arial" w:eastAsia="Arial" w:hAnsi="Arial"/>
          <w:sz w:val="22"/>
          <w:szCs w:val="22"/>
          <w:color w:val="auto"/>
        </w:rPr>
      </w:pPr>
    </w:p>
    <w:p>
      <w:pPr>
        <w:jc w:val="both"/>
        <w:ind w:left="180" w:firstLine="1300"/>
        <w:spacing w:after="0" w:line="238" w:lineRule="auto"/>
        <w:tabs>
          <w:tab w:leader="none" w:pos="187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184" w:lineRule="exact"/>
        <w:rPr>
          <w:rFonts w:ascii="Arial" w:cs="Arial" w:eastAsia="Arial" w:hAnsi="Arial"/>
          <w:sz w:val="22"/>
          <w:szCs w:val="22"/>
          <w:color w:val="auto"/>
        </w:rPr>
      </w:pPr>
    </w:p>
    <w:p>
      <w:pPr>
        <w:jc w:val="both"/>
        <w:ind w:left="180" w:firstLine="1300"/>
        <w:spacing w:after="0"/>
        <w:tabs>
          <w:tab w:leader="none" w:pos="194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each counterpart will have the same force and effect as an original and will constitute an effective, binding agreement on the part of each of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wp:posOffset>
            </wp:positionV>
            <wp:extent cx="5734685"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063" w:right="1319" w:bottom="1440" w:gutter="0" w:footer="0" w:header="0"/>
        </w:sectPr>
      </w:pPr>
    </w:p>
    <w:bookmarkStart w:id="111" w:name="page112"/>
    <w:bookmarkEnd w:id="111"/>
    <w:p>
      <w:pPr>
        <w:ind w:left="180" w:right="739"/>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191260" cy="3086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08610"/>
                    </a:xfrm>
                    <a:prstGeom prst="rect">
                      <a:avLst/>
                    </a:prstGeom>
                    <a:noFill/>
                  </pic:spPr>
                </pic:pic>
              </a:graphicData>
            </a:graphic>
          </wp:anchor>
        </w:drawing>
        <w:t>IN WITNESS WHEREOF, each of the parties has executed this Agreement, in the case of the Company by its duly authorized officer, as of the day and year set forth below.</w:t>
      </w:r>
    </w:p>
    <w:p>
      <w:pPr>
        <w:spacing w:after="0" w:line="348" w:lineRule="exact"/>
        <w:rPr>
          <w:sz w:val="20"/>
          <w:szCs w:val="20"/>
          <w:color w:val="auto"/>
        </w:rPr>
      </w:pPr>
    </w:p>
    <w:p>
      <w:pPr>
        <w:ind w:left="180"/>
        <w:spacing w:after="0"/>
        <w:tabs>
          <w:tab w:leader="none" w:pos="188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22"/>
          <w:szCs w:val="22"/>
          <w:color w:val="auto"/>
        </w:rPr>
        <w:t>Pulse Biosciences,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 Darrin R. Uecker</w:t>
      </w:r>
    </w:p>
    <w:p>
      <w:pPr>
        <w:spacing w:after="0" w:line="206" w:lineRule="exact"/>
        <w:rPr>
          <w:sz w:val="20"/>
          <w:szCs w:val="20"/>
          <w:color w:val="auto"/>
        </w:rPr>
      </w:pPr>
    </w:p>
    <w:p>
      <w:pPr>
        <w:jc w:val="both"/>
        <w:ind w:left="4080"/>
        <w:spacing w:after="0"/>
        <w:tabs>
          <w:tab w:leader="none" w:pos="8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Darrin R.</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Uecker</w:t>
      </w:r>
    </w:p>
    <w:p>
      <w:pPr>
        <w:spacing w:after="0" w:line="188" w:lineRule="exact"/>
        <w:rPr>
          <w:sz w:val="20"/>
          <w:szCs w:val="20"/>
          <w:color w:val="auto"/>
        </w:rPr>
      </w:pPr>
    </w:p>
    <w:p>
      <w:pPr>
        <w:ind w:left="4080"/>
        <w:spacing w:after="0"/>
        <w:tabs>
          <w:tab w:leader="none" w:pos="8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Executive Officer</w:t>
      </w:r>
    </w:p>
    <w:p>
      <w:pPr>
        <w:sectPr>
          <w:pgSz w:w="11900" w:h="16838" w:orient="portrait"/>
          <w:cols w:equalWidth="0" w:num="1">
            <w:col w:w="9019"/>
          </w:cols>
          <w:pgMar w:left="1440" w:top="8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Arial" w:cs="Arial" w:eastAsia="Arial" w:hAnsi="Arial"/>
          <w:sz w:val="21"/>
          <w:szCs w:val="21"/>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9"/>
          <w:szCs w:val="19"/>
          <w:color w:val="auto"/>
        </w:rPr>
        <w:t>/s/ Mitch Levinson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Mitch Levinson</w:t>
      </w:r>
    </w:p>
    <w:p>
      <w:pPr>
        <w:spacing w:after="0" w:line="200" w:lineRule="exact"/>
        <w:rPr>
          <w:sz w:val="20"/>
          <w:szCs w:val="20"/>
          <w:color w:val="auto"/>
        </w:rPr>
      </w:pPr>
    </w:p>
    <w:p>
      <w:pPr>
        <w:sectPr>
          <w:pgSz w:w="11900" w:h="16838" w:orient="portrait"/>
          <w:cols w:equalWidth="0" w:num="3">
            <w:col w:w="3500" w:space="720"/>
            <w:col w:w="300" w:space="220"/>
            <w:col w:w="4279"/>
          </w:cols>
          <w:pgMar w:left="1440" w:top="8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[SIGNATURE PAGE TO EXECUTIVE EMPLOYMENT AGREEMENT]</w:t>
      </w:r>
    </w:p>
    <w:p>
      <w:pPr>
        <w:spacing w:after="0" w:line="241"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9063751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52070</wp:posOffset>
            </wp:positionV>
            <wp:extent cx="5734685"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019"/>
          </w:cols>
          <w:pgMar w:left="1440" w:top="847" w:right="1440" w:bottom="1440" w:gutter="0" w:footer="0" w:header="0"/>
          <w:type w:val="continuous"/>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2580005" cy="651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2580005" cy="65151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PULSE BIOSCIENCES,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EMPLOYMENT AGREEMENT</w:t>
      </w:r>
    </w:p>
    <w:p>
      <w:pPr>
        <w:spacing w:after="0" w:line="202" w:lineRule="exact"/>
        <w:rPr>
          <w:sz w:val="20"/>
          <w:szCs w:val="20"/>
          <w:color w:val="auto"/>
        </w:rPr>
      </w:pPr>
    </w:p>
    <w:p>
      <w:pPr>
        <w:ind w:left="180" w:right="199" w:firstLine="648"/>
        <w:spacing w:after="0" w:line="249"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and entered into by and between </w:t>
      </w:r>
      <w:r>
        <w:rPr>
          <w:rFonts w:ascii="Arial" w:cs="Arial" w:eastAsia="Arial" w:hAnsi="Arial"/>
          <w:sz w:val="19"/>
          <w:szCs w:val="19"/>
          <w:b w:val="1"/>
          <w:bCs w:val="1"/>
          <w:color w:val="auto"/>
        </w:rPr>
        <w:t>Kevin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Danahy </w:t>
      </w:r>
      <w:r>
        <w:rPr>
          <w:rFonts w:ascii="Arial" w:cs="Arial" w:eastAsia="Arial" w:hAnsi="Arial"/>
          <w:sz w:val="19"/>
          <w:szCs w:val="19"/>
          <w:color w:val="auto"/>
        </w:rPr>
        <w:t>(“</w:t>
      </w:r>
      <w:r>
        <w:rPr>
          <w:rFonts w:ascii="Arial" w:cs="Arial" w:eastAsia="Arial" w:hAnsi="Arial"/>
          <w:sz w:val="19"/>
          <w:szCs w:val="19"/>
          <w:b w:val="1"/>
          <w:bCs w:val="1"/>
          <w:color w:val="auto"/>
        </w:rPr>
        <w:t>Executive</w:t>
      </w:r>
      <w:r>
        <w:rPr>
          <w:rFonts w:ascii="Arial" w:cs="Arial" w:eastAsia="Arial" w:hAnsi="Arial"/>
          <w:sz w:val="19"/>
          <w:szCs w:val="19"/>
          <w:color w:val="auto"/>
        </w:rPr>
        <w:t>”) and Pulse Biosciences, Inc. (the “</w:t>
      </w:r>
      <w:r>
        <w:rPr>
          <w:rFonts w:ascii="Arial" w:cs="Arial" w:eastAsia="Arial" w:hAnsi="Arial"/>
          <w:sz w:val="19"/>
          <w:szCs w:val="19"/>
          <w:b w:val="1"/>
          <w:bCs w:val="1"/>
          <w:color w:val="auto"/>
        </w:rPr>
        <w:t>Company</w:t>
      </w:r>
      <w:r>
        <w:rPr>
          <w:rFonts w:ascii="Arial" w:cs="Arial" w:eastAsia="Arial" w:hAnsi="Arial"/>
          <w:sz w:val="19"/>
          <w:szCs w:val="19"/>
          <w:color w:val="auto"/>
        </w:rPr>
        <w:t>”), as of February 9, 2022.</w:t>
      </w:r>
    </w:p>
    <w:p>
      <w:pPr>
        <w:spacing w:after="0" w:line="147" w:lineRule="exact"/>
        <w:rPr>
          <w:sz w:val="20"/>
          <w:szCs w:val="20"/>
          <w:color w:val="auto"/>
        </w:rPr>
      </w:pPr>
    </w:p>
    <w:p>
      <w:pPr>
        <w:ind w:left="1200" w:hanging="368"/>
        <w:spacing w:after="0"/>
        <w:tabs>
          <w:tab w:leader="none" w:pos="120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Duties and Scope of Employment.</w:t>
      </w:r>
    </w:p>
    <w:p>
      <w:pPr>
        <w:spacing w:after="0" w:line="169" w:lineRule="exact"/>
        <w:rPr>
          <w:rFonts w:ascii="Arial" w:cs="Arial" w:eastAsia="Arial" w:hAnsi="Arial"/>
          <w:sz w:val="20"/>
          <w:szCs w:val="20"/>
          <w:color w:val="auto"/>
        </w:rPr>
      </w:pPr>
    </w:p>
    <w:p>
      <w:pPr>
        <w:jc w:val="both"/>
        <w:ind w:left="180" w:right="199" w:firstLine="1300"/>
        <w:spacing w:after="0" w:line="205" w:lineRule="auto"/>
        <w:tabs>
          <w:tab w:leader="none" w:pos="1745"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Position and Duties</w:t>
      </w:r>
      <w:r>
        <w:rPr>
          <w:rFonts w:ascii="Arial" w:cs="Arial" w:eastAsia="Arial" w:hAnsi="Arial"/>
          <w:sz w:val="20"/>
          <w:szCs w:val="20"/>
          <w:color w:val="auto"/>
        </w:rPr>
        <w:t>. As of February 14, 2022 (the “</w:t>
      </w:r>
      <w:r>
        <w:rPr>
          <w:rFonts w:ascii="Arial" w:cs="Arial" w:eastAsia="Arial" w:hAnsi="Arial"/>
          <w:sz w:val="20"/>
          <w:szCs w:val="20"/>
          <w:b w:val="1"/>
          <w:bCs w:val="1"/>
          <w:color w:val="auto"/>
        </w:rPr>
        <w:t>Start Date</w:t>
      </w:r>
      <w:r>
        <w:rPr>
          <w:rFonts w:ascii="Arial" w:cs="Arial" w:eastAsia="Arial" w:hAnsi="Arial"/>
          <w:sz w:val="20"/>
          <w:szCs w:val="20"/>
          <w:color w:val="auto"/>
        </w:rPr>
        <w:t xml:space="preserve">”), Executive will serve as the Company’s </w:t>
      </w:r>
      <w:r>
        <w:rPr>
          <w:rFonts w:ascii="Arial" w:cs="Arial" w:eastAsia="Arial" w:hAnsi="Arial"/>
          <w:sz w:val="20"/>
          <w:szCs w:val="20"/>
          <w:b w:val="1"/>
          <w:bCs w:val="1"/>
          <w:color w:val="auto"/>
        </w:rPr>
        <w:t>Chief Commercial Officer</w:t>
      </w:r>
      <w:r>
        <w:rPr>
          <w:rFonts w:ascii="Arial" w:cs="Arial" w:eastAsia="Arial" w:hAnsi="Arial"/>
          <w:sz w:val="20"/>
          <w:szCs w:val="20"/>
          <w:color w:val="auto"/>
        </w:rPr>
        <w:t xml:space="preserve"> operating from the Company’s offices located in Hayward, California. Executive will render such business and professional services in the performance of Executive’s duties, consistent with Executive’s position within the Company. Executive also will serve the Company in such other or alternative positions as may reasonably be assigned to Executive by the Company’s Chief Executive Officer (“</w:t>
      </w:r>
      <w:r>
        <w:rPr>
          <w:rFonts w:ascii="Arial" w:cs="Arial" w:eastAsia="Arial" w:hAnsi="Arial"/>
          <w:sz w:val="20"/>
          <w:szCs w:val="20"/>
          <w:b w:val="1"/>
          <w:bCs w:val="1"/>
          <w:color w:val="auto"/>
        </w:rPr>
        <w:t>CEO</w:t>
      </w:r>
      <w:r>
        <w:rPr>
          <w:rFonts w:ascii="Arial" w:cs="Arial" w:eastAsia="Arial" w:hAnsi="Arial"/>
          <w:sz w:val="20"/>
          <w:szCs w:val="20"/>
          <w:color w:val="auto"/>
        </w:rPr>
        <w:t>”) and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which positions may include director and additional or other officer positions of the Company and subsidiaries of the Company. The period of Executive’s rendering of employment services under this Agreement is referred to herein as the “</w:t>
      </w:r>
      <w:r>
        <w:rPr>
          <w:rFonts w:ascii="Arial" w:cs="Arial" w:eastAsia="Arial" w:hAnsi="Arial"/>
          <w:sz w:val="20"/>
          <w:szCs w:val="20"/>
          <w:b w:val="1"/>
          <w:bCs w:val="1"/>
          <w:color w:val="auto"/>
        </w:rPr>
        <w:t>Employment Term</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left="180" w:right="199" w:firstLine="1300"/>
        <w:spacing w:after="0" w:line="210" w:lineRule="auto"/>
        <w:tabs>
          <w:tab w:leader="none" w:pos="1769"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Obligations</w:t>
      </w:r>
      <w:r>
        <w:rPr>
          <w:rFonts w:ascii="Arial" w:cs="Arial" w:eastAsia="Arial" w:hAnsi="Arial"/>
          <w:sz w:val="20"/>
          <w:szCs w:val="20"/>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w:t>
      </w:r>
    </w:p>
    <w:p>
      <w:pPr>
        <w:spacing w:after="0" w:line="154" w:lineRule="exact"/>
        <w:rPr>
          <w:rFonts w:ascii="Arial" w:cs="Arial" w:eastAsia="Arial" w:hAnsi="Arial"/>
          <w:sz w:val="20"/>
          <w:szCs w:val="20"/>
          <w:color w:val="auto"/>
        </w:rPr>
      </w:pPr>
    </w:p>
    <w:p>
      <w:pPr>
        <w:jc w:val="both"/>
        <w:ind w:left="180" w:right="199" w:firstLine="1300"/>
        <w:spacing w:after="0" w:line="210" w:lineRule="auto"/>
        <w:tabs>
          <w:tab w:leader="none" w:pos="1785"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Automatic Resignation</w:t>
      </w:r>
      <w:r>
        <w:rPr>
          <w:rFonts w:ascii="Arial" w:cs="Arial" w:eastAsia="Arial" w:hAnsi="Arial"/>
          <w:sz w:val="20"/>
          <w:szCs w:val="20"/>
          <w:color w:val="auto"/>
        </w:rPr>
        <w:t>. At the end of the Employment Term, including upon any termination of employment for any reason, such ending or termination will be deemed to be an automatic resignation from all director and officer positions of the Company and any of its subsidiaries, unless the continuation of such appointments is specifically approved by a resolution of the Board of the respective corporation or its shareholders.</w:t>
      </w:r>
    </w:p>
    <w:p>
      <w:pPr>
        <w:spacing w:after="0" w:line="154" w:lineRule="exact"/>
        <w:rPr>
          <w:rFonts w:ascii="Arial" w:cs="Arial" w:eastAsia="Arial" w:hAnsi="Arial"/>
          <w:sz w:val="20"/>
          <w:szCs w:val="20"/>
          <w:color w:val="auto"/>
        </w:rPr>
      </w:pPr>
    </w:p>
    <w:p>
      <w:pPr>
        <w:jc w:val="both"/>
        <w:ind w:left="180" w:right="199" w:firstLine="652"/>
        <w:spacing w:after="0" w:line="217" w:lineRule="auto"/>
        <w:tabs>
          <w:tab w:leader="none" w:pos="121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90" w:type="dxa"/>
        <w:tblCellMar>
          <w:top w:w="0" w:type="dxa"/>
          <w:left w:w="0" w:type="dxa"/>
          <w:bottom w:w="0" w:type="dxa"/>
          <w:right w:w="0" w:type="dxa"/>
        </w:tblCellMar>
      </w:tblPr>
      <w:tr>
        <w:trPr>
          <w:trHeight w:val="220"/>
        </w:trPr>
        <w:tc>
          <w:tcPr>
            <w:tcW w:w="1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3957 Point Eden Way</w:t>
            </w:r>
          </w:p>
        </w:tc>
        <w:tc>
          <w:tcPr>
            <w:tcW w:w="19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Telephone: 510.906.4600</w:t>
            </w:r>
          </w:p>
        </w:tc>
        <w:tc>
          <w:tcPr>
            <w:tcW w:w="4980" w:type="dxa"/>
            <w:vAlign w:val="bottom"/>
          </w:tcPr>
          <w:p>
            <w:pPr>
              <w:spacing w:after="0"/>
              <w:rPr>
                <w:sz w:val="20"/>
                <w:szCs w:val="20"/>
                <w:color w:val="auto"/>
              </w:rPr>
            </w:pPr>
            <w:r>
              <w:rPr>
                <w:rFonts w:ascii="Arial" w:cs="Arial" w:eastAsia="Arial" w:hAnsi="Arial"/>
                <w:sz w:val="16"/>
                <w:szCs w:val="16"/>
                <w:color w:val="00B0F0"/>
              </w:rPr>
              <w:t>www.pulsebiosciences.com</w:t>
            </w:r>
          </w:p>
        </w:tc>
      </w:tr>
      <w:tr>
        <w:trPr>
          <w:trHeight w:val="185"/>
        </w:trPr>
        <w:tc>
          <w:tcPr>
            <w:tcW w:w="1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Hayward, CA 94545</w:t>
            </w:r>
          </w:p>
        </w:tc>
        <w:tc>
          <w:tcPr>
            <w:tcW w:w="19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Toll Free: 833.257.3393</w:t>
            </w:r>
          </w:p>
        </w:tc>
        <w:tc>
          <w:tcPr>
            <w:tcW w:w="4980" w:type="dxa"/>
            <w:vAlign w:val="bottom"/>
          </w:tcPr>
          <w:p>
            <w:pPr>
              <w:spacing w:after="0"/>
              <w:rPr>
                <w:sz w:val="16"/>
                <w:szCs w:val="16"/>
                <w:color w:val="auto"/>
              </w:rPr>
            </w:pPr>
          </w:p>
        </w:tc>
      </w:tr>
      <w:tr>
        <w:trPr>
          <w:trHeight w:val="297"/>
        </w:trPr>
        <w:tc>
          <w:tcPr>
            <w:tcW w:w="17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r>
        <w:trPr>
          <w:trHeight w:val="20"/>
        </w:trPr>
        <w:tc>
          <w:tcPr>
            <w:tcW w:w="176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4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r>
    </w:p>
    <w:p>
      <w:pPr>
        <w:ind w:left="1200" w:hanging="368"/>
        <w:spacing w:after="0"/>
        <w:tabs>
          <w:tab w:leader="none" w:pos="120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80" w:right="199" w:firstLine="1300"/>
        <w:spacing w:after="0" w:line="233" w:lineRule="auto"/>
        <w:tabs>
          <w:tab w:leader="none" w:pos="174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During the Employment Term, the Company will pay Executive an annual salary of </w:t>
      </w:r>
      <w:r>
        <w:rPr>
          <w:rFonts w:ascii="Arial" w:cs="Arial" w:eastAsia="Arial" w:hAnsi="Arial"/>
          <w:sz w:val="18"/>
          <w:szCs w:val="18"/>
          <w:b w:val="1"/>
          <w:bCs w:val="1"/>
          <w:color w:val="auto"/>
        </w:rPr>
        <w:t>$395,000.00</w:t>
      </w:r>
      <w:r>
        <w:rPr>
          <w:rFonts w:ascii="Arial" w:cs="Arial" w:eastAsia="Arial" w:hAnsi="Arial"/>
          <w:sz w:val="18"/>
          <w:szCs w:val="18"/>
          <w:color w:val="auto"/>
        </w:rPr>
        <w:t xml:space="preserve"> as compensation for Executive’s services (the “Base Salary”). The Base Salary will be paid periodically (but not less frequently than bi-monthly) in accordance with the Company’s normal payroll practices and be subject to the usual required withholdings. Executive’s salary will be subject to review and adjustments will be made based upon the Company’s normal performance review practices.</w:t>
      </w:r>
    </w:p>
    <w:p>
      <w:pPr>
        <w:spacing w:after="0" w:line="150" w:lineRule="exact"/>
        <w:rPr>
          <w:rFonts w:ascii="Arial" w:cs="Arial" w:eastAsia="Arial" w:hAnsi="Arial"/>
          <w:sz w:val="18"/>
          <w:szCs w:val="18"/>
          <w:color w:val="auto"/>
        </w:rPr>
      </w:pPr>
    </w:p>
    <w:p>
      <w:pPr>
        <w:jc w:val="both"/>
        <w:ind w:left="180" w:right="199" w:firstLine="1300"/>
        <w:spacing w:after="0" w:line="227" w:lineRule="auto"/>
        <w:tabs>
          <w:tab w:leader="none" w:pos="1756"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Executive will be eligible to receive an annual bonus of up to </w:t>
      </w:r>
      <w:r>
        <w:rPr>
          <w:rFonts w:ascii="Arial" w:cs="Arial" w:eastAsia="Arial" w:hAnsi="Arial"/>
          <w:sz w:val="18"/>
          <w:szCs w:val="18"/>
          <w:b w:val="1"/>
          <w:bCs w:val="1"/>
          <w:color w:val="auto"/>
        </w:rPr>
        <w:t>50%</w:t>
      </w:r>
      <w:r>
        <w:rPr>
          <w:rFonts w:ascii="Arial" w:cs="Arial" w:eastAsia="Arial" w:hAnsi="Arial"/>
          <w:sz w:val="18"/>
          <w:szCs w:val="18"/>
          <w:color w:val="auto"/>
        </w:rPr>
        <w:t xml:space="preserve"> of Executive’s base salary (the “</w:t>
      </w:r>
      <w:r>
        <w:rPr>
          <w:rFonts w:ascii="Arial" w:cs="Arial" w:eastAsia="Arial" w:hAnsi="Arial"/>
          <w:sz w:val="18"/>
          <w:szCs w:val="18"/>
          <w:b w:val="1"/>
          <w:bCs w:val="1"/>
          <w:color w:val="auto"/>
        </w:rPr>
        <w:t>Target Bonus</w:t>
      </w:r>
      <w:r>
        <w:rPr>
          <w:rFonts w:ascii="Arial" w:cs="Arial" w:eastAsia="Arial" w:hAnsi="Arial"/>
          <w:sz w:val="18"/>
          <w:szCs w:val="18"/>
          <w:color w:val="auto"/>
        </w:rPr>
        <w:t>”) less applicable withholdings, prorated for the year of hire, upon the attainment of annual designated corporate goals and milestones, in each case set and measured in the good faith discretion of the Board at a time consistent with the other executives of the Company. Executive’s eligibility, and the terms and conditions, for the Target Bonus will be documented and issued to Executive if and when approved by the Board. If awarded, the Target Bonus will be paid prior to the later of (i) the fifteenth (15th) day of the third (3rd) month following the close of the Company’s fiscal year in which the Target Bonus is earned or (ii) March 15 following the calendar year in which the Target Bonus is earned, provided that the Employment Term extends through the date of payment.</w:t>
      </w:r>
    </w:p>
    <w:p>
      <w:pPr>
        <w:spacing w:after="0" w:line="161" w:lineRule="exact"/>
        <w:rPr>
          <w:rFonts w:ascii="Arial" w:cs="Arial" w:eastAsia="Arial" w:hAnsi="Arial"/>
          <w:sz w:val="18"/>
          <w:szCs w:val="18"/>
          <w:color w:val="auto"/>
        </w:rPr>
      </w:pPr>
    </w:p>
    <w:p>
      <w:pPr>
        <w:jc w:val="both"/>
        <w:ind w:left="180" w:right="199" w:firstLine="1300"/>
        <w:spacing w:after="0" w:line="223" w:lineRule="auto"/>
        <w:tabs>
          <w:tab w:leader="none" w:pos="175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Start Date Option</w:t>
      </w:r>
      <w:r>
        <w:rPr>
          <w:rFonts w:ascii="Arial" w:cs="Arial" w:eastAsia="Arial" w:hAnsi="Arial"/>
          <w:sz w:val="18"/>
          <w:szCs w:val="18"/>
          <w:color w:val="auto"/>
        </w:rPr>
        <w:t>. Subject to the approval of the Board, Executive will be granted an option (the “</w:t>
      </w:r>
      <w:r>
        <w:rPr>
          <w:rFonts w:ascii="Arial" w:cs="Arial" w:eastAsia="Arial" w:hAnsi="Arial"/>
          <w:sz w:val="18"/>
          <w:szCs w:val="18"/>
          <w:b w:val="1"/>
          <w:bCs w:val="1"/>
          <w:color w:val="auto"/>
        </w:rPr>
        <w:t>Start Date Option</w:t>
      </w:r>
      <w:r>
        <w:rPr>
          <w:rFonts w:ascii="Arial" w:cs="Arial" w:eastAsia="Arial" w:hAnsi="Arial"/>
          <w:sz w:val="18"/>
          <w:szCs w:val="18"/>
          <w:color w:val="auto"/>
        </w:rPr>
        <w:t>”) under the 2017 Inducement Equity Incentive Plan, as amended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to acquire </w:t>
      </w:r>
      <w:r>
        <w:rPr>
          <w:rFonts w:ascii="Arial" w:cs="Arial" w:eastAsia="Arial" w:hAnsi="Arial"/>
          <w:sz w:val="18"/>
          <w:szCs w:val="18"/>
          <w:b w:val="1"/>
          <w:bCs w:val="1"/>
          <w:color w:val="auto"/>
        </w:rPr>
        <w:t>300,000</w:t>
      </w:r>
      <w:r>
        <w:rPr>
          <w:rFonts w:ascii="Arial" w:cs="Arial" w:eastAsia="Arial" w:hAnsi="Arial"/>
          <w:sz w:val="18"/>
          <w:szCs w:val="18"/>
          <w:color w:val="auto"/>
        </w:rPr>
        <w:t xml:space="preserve"> shares of common stock of the Company. The Start Date Option will have an exercise price per share equal to the closing price of a share of the Company’s common stock at the date of grant. Subject to certain accelerated vesting provisions as described herein, (a) 1/3 of the option shares granted (100,000 option shares) will vest in four equal installments on each of the first four annual anniversaries of the Start Date, (b) 1/3 of the option shares (100,000 option shares) will vest upon the achievement of performance objectives established in good faith by the Compensation Committee, with vesting targets set at 25% (i.e., 25,000 option shares each) on each of the first four annual anniversaries of the Start Date, (c) 1/6 of the option shares (50,000 option shares) will vest in two equal installments on each of the third and fourth annual anniversaries of the Start Date, and (d) 1/6 of the option shares (50,000 option shares) will vest upon in two equal installments on each of the third and fourth annual anniversaries of the Start Date upon the achievement of performance objectives established in good faith by the Compensation Committee. All vesting of the Start Date Option is subject to the Executive continuing to be a Service Provider (as defined in the Plan) through each applicable vesting date (including any applicable vesting target achievement determination date). The Start Date Option, including vesting provisions, will be subject to the terms of the Plan and a stock option agreement thereunder.</w:t>
      </w:r>
    </w:p>
    <w:p>
      <w:pPr>
        <w:spacing w:after="0" w:line="159" w:lineRule="exact"/>
        <w:rPr>
          <w:rFonts w:ascii="Arial" w:cs="Arial" w:eastAsia="Arial" w:hAnsi="Arial"/>
          <w:sz w:val="18"/>
          <w:szCs w:val="18"/>
          <w:color w:val="auto"/>
        </w:rPr>
      </w:pPr>
    </w:p>
    <w:p>
      <w:pPr>
        <w:jc w:val="both"/>
        <w:ind w:left="180" w:right="199" w:firstLine="652"/>
        <w:spacing w:after="0" w:line="236" w:lineRule="auto"/>
        <w:tabs>
          <w:tab w:leader="none" w:pos="120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will be entitled to participate in the employee benefit plans currently and hereafter maintained by the Company of general applicability to other senior executives of the Company, subject to the eligibility requirements of such plans. The Company reserves the right to cancel or change the benefit plans and programs it offers to its employees at any time.</w:t>
      </w:r>
    </w:p>
    <w:p>
      <w:pPr>
        <w:spacing w:after="0" w:line="157" w:lineRule="exact"/>
        <w:rPr>
          <w:rFonts w:ascii="Arial" w:cs="Arial" w:eastAsia="Arial" w:hAnsi="Arial"/>
          <w:sz w:val="18"/>
          <w:szCs w:val="18"/>
          <w:color w:val="auto"/>
        </w:rPr>
      </w:pPr>
    </w:p>
    <w:p>
      <w:pPr>
        <w:jc w:val="both"/>
        <w:ind w:left="180" w:right="199" w:firstLine="652"/>
        <w:spacing w:after="0" w:line="213" w:lineRule="auto"/>
        <w:tabs>
          <w:tab w:leader="none" w:pos="1201"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Paid-Time Off “PTO”</w:t>
      </w:r>
      <w:r>
        <w:rPr>
          <w:rFonts w:ascii="Arial" w:cs="Arial" w:eastAsia="Arial" w:hAnsi="Arial"/>
          <w:sz w:val="20"/>
          <w:szCs w:val="20"/>
          <w:color w:val="auto"/>
        </w:rPr>
        <w:t>. During the Employment Term, Executive will be entitled to accrue PTO of not less than three (3) weeks per year, subject to reasonable accrual caps in accordance with the Company’s PTO policy for senior executive officers, with the timing and duration of specific PTO mutually and reasonably agreed to by the parties hereto.</w:t>
      </w:r>
    </w:p>
    <w:p>
      <w:pPr>
        <w:spacing w:after="0" w:line="32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r>
    </w:p>
    <w:p>
      <w:pPr>
        <w:spacing w:after="0" w:line="292" w:lineRule="exact"/>
        <w:rPr>
          <w:sz w:val="20"/>
          <w:szCs w:val="20"/>
          <w:color w:val="auto"/>
        </w:rPr>
      </w:pPr>
    </w:p>
    <w:p>
      <w:pPr>
        <w:jc w:val="both"/>
        <w:ind w:left="180" w:right="199" w:firstLine="652"/>
        <w:spacing w:after="0" w:line="236" w:lineRule="auto"/>
        <w:tabs>
          <w:tab w:leader="none" w:pos="1201"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Executive for reasonable travel, entertainment or other expenses incurred by Executive in the furtherance of or in connection with the performance of Executive’s duties hereunder within 30 days of Executive’s submission of an expense report documenting said expenses, in accordance with the Company’s expense reimbursement policy as in effect from time to time.</w:t>
      </w:r>
    </w:p>
    <w:p>
      <w:pPr>
        <w:spacing w:after="0" w:line="157" w:lineRule="exact"/>
        <w:rPr>
          <w:rFonts w:ascii="Arial" w:cs="Arial" w:eastAsia="Arial" w:hAnsi="Arial"/>
          <w:sz w:val="18"/>
          <w:szCs w:val="18"/>
          <w:color w:val="auto"/>
        </w:rPr>
      </w:pPr>
    </w:p>
    <w:p>
      <w:pPr>
        <w:ind w:left="1200" w:hanging="368"/>
        <w:spacing w:after="0"/>
        <w:tabs>
          <w:tab w:leader="none" w:pos="1200"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Severance.</w:t>
      </w:r>
    </w:p>
    <w:p>
      <w:pPr>
        <w:spacing w:after="0" w:line="175" w:lineRule="exact"/>
        <w:rPr>
          <w:rFonts w:ascii="Arial" w:cs="Arial" w:eastAsia="Arial" w:hAnsi="Arial"/>
          <w:sz w:val="20"/>
          <w:szCs w:val="20"/>
          <w:color w:val="auto"/>
        </w:rPr>
      </w:pPr>
    </w:p>
    <w:p>
      <w:pPr>
        <w:jc w:val="both"/>
        <w:ind w:left="180" w:right="199" w:firstLine="1300"/>
        <w:spacing w:after="0" w:line="225" w:lineRule="auto"/>
        <w:tabs>
          <w:tab w:leader="none" w:pos="1799" w:val="left"/>
        </w:tabs>
        <w:numPr>
          <w:ilvl w:val="2"/>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Cause, Death or Disability; or Resignation for Good Reason</w:t>
      </w:r>
      <w:r>
        <w:rPr>
          <w:rFonts w:ascii="Arial" w:cs="Arial" w:eastAsia="Arial" w:hAnsi="Arial"/>
          <w:sz w:val="18"/>
          <w:szCs w:val="18"/>
          <w:color w:val="auto"/>
        </w:rPr>
        <w:t>. During the Employment Term, if (i) the Company (or any parent or subsidiary or successor of the Company) terminates Executive’s employment for reasons other than Cause, death, or Disability, or</w:t>
      </w:r>
    </w:p>
    <w:p>
      <w:pPr>
        <w:jc w:val="both"/>
        <w:ind w:left="180" w:right="199" w:firstLine="4"/>
        <w:spacing w:after="0" w:line="205" w:lineRule="auto"/>
        <w:tabs>
          <w:tab w:leader="none" w:pos="498" w:val="left"/>
        </w:tabs>
        <w:numPr>
          <w:ilvl w:val="0"/>
          <w:numId w:val="52"/>
        </w:numPr>
        <w:rPr>
          <w:rFonts w:ascii="Arial" w:cs="Arial" w:eastAsia="Arial" w:hAnsi="Arial"/>
          <w:sz w:val="20"/>
          <w:szCs w:val="20"/>
          <w:color w:val="auto"/>
        </w:rPr>
      </w:pPr>
      <w:r>
        <w:rPr>
          <w:rFonts w:ascii="Arial" w:cs="Arial" w:eastAsia="Arial" w:hAnsi="Arial"/>
          <w:sz w:val="20"/>
          <w:szCs w:val="20"/>
          <w:color w:val="auto"/>
        </w:rPr>
        <w:t>Executive resigns from the Company (or any parent or subsidiary or successor of the Company) for Good Reason (each such termination, an “</w:t>
      </w:r>
      <w:r>
        <w:rPr>
          <w:rFonts w:ascii="Arial" w:cs="Arial" w:eastAsia="Arial" w:hAnsi="Arial"/>
          <w:sz w:val="20"/>
          <w:szCs w:val="20"/>
          <w:b w:val="1"/>
          <w:bCs w:val="1"/>
          <w:color w:val="auto"/>
        </w:rPr>
        <w:t>Involuntary Termination</w:t>
      </w:r>
      <w:r>
        <w:rPr>
          <w:rFonts w:ascii="Arial" w:cs="Arial" w:eastAsia="Arial" w:hAnsi="Arial"/>
          <w:sz w:val="20"/>
          <w:szCs w:val="20"/>
          <w:color w:val="auto"/>
        </w:rPr>
        <w:t>”), then, subject to the continued observance by Executive of Sections 8 (severance conditions), 11 (assignment), 12 (notices), 13 (confidential information agreement), 15 (litigation cooperation), and 17 (miscellaneous) below after the termination of the rendering of employment services, Executive will receive the following severance from the Company:</w:t>
      </w:r>
    </w:p>
    <w:p>
      <w:pPr>
        <w:spacing w:after="0" w:line="155" w:lineRule="exact"/>
        <w:rPr>
          <w:rFonts w:ascii="Arial" w:cs="Arial" w:eastAsia="Arial" w:hAnsi="Arial"/>
          <w:sz w:val="20"/>
          <w:szCs w:val="20"/>
          <w:color w:val="auto"/>
        </w:rPr>
      </w:pPr>
    </w:p>
    <w:p>
      <w:pPr>
        <w:jc w:val="both"/>
        <w:ind w:left="180" w:right="199" w:firstLine="1768"/>
        <w:spacing w:after="0" w:line="225" w:lineRule="auto"/>
        <w:tabs>
          <w:tab w:leader="none" w:pos="2504" w:val="left"/>
        </w:tabs>
        <w:numPr>
          <w:ilvl w:val="3"/>
          <w:numId w:val="52"/>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xml:space="preserve"> Upon an Involuntary Termination, Executive will receive continuing payments of the Executive’s Base Salary (as in effect immediately prior to the Executive’s termination) for (x) three (3) months if Executive has been employed for an Employment Term hereunder of less than one (1) year from the Start Date, or (y) six (6) months if Executive has been employed for an Employment Term hereunder of one (1) year or more (the applicable period of time Executive receives continuing payments of Executive’s Base Salary, the “</w:t>
      </w:r>
      <w:r>
        <w:rPr>
          <w:rFonts w:ascii="Arial" w:cs="Arial" w:eastAsia="Arial" w:hAnsi="Arial"/>
          <w:sz w:val="18"/>
          <w:szCs w:val="18"/>
          <w:b w:val="1"/>
          <w:bCs w:val="1"/>
          <w:color w:val="auto"/>
        </w:rPr>
        <w:t>Severance Period</w:t>
      </w:r>
      <w:r>
        <w:rPr>
          <w:rFonts w:ascii="Arial" w:cs="Arial" w:eastAsia="Arial" w:hAnsi="Arial"/>
          <w:sz w:val="18"/>
          <w:szCs w:val="18"/>
          <w:color w:val="auto"/>
        </w:rPr>
        <w:t>”). Executive will also receive a Target Bonus (if applicable) for the year of termination, prorated for the portion of the year served assuming 100% achievement, payable with the first severance payment. If the Involuntary Termination occurs at a point in time when the prior year’s Target Bonus has yet to be paid out, Executive will also receive payment for any earned portion of Executive’s Target Bonus for that prior year. The payment of any severance pursuant to this Section 7(a)(i) will be paid in accordance with the Company’s normal payroll practices and be subject to the usual required withholdings.</w:t>
      </w:r>
    </w:p>
    <w:p>
      <w:pPr>
        <w:spacing w:after="0" w:line="155" w:lineRule="exact"/>
        <w:rPr>
          <w:rFonts w:ascii="Arial" w:cs="Arial" w:eastAsia="Arial" w:hAnsi="Arial"/>
          <w:sz w:val="18"/>
          <w:szCs w:val="18"/>
          <w:color w:val="auto"/>
        </w:rPr>
      </w:pPr>
    </w:p>
    <w:p>
      <w:pPr>
        <w:ind w:left="2860" w:hanging="606"/>
        <w:spacing w:after="0"/>
        <w:tabs>
          <w:tab w:leader="none" w:pos="2860" w:val="left"/>
        </w:tabs>
        <w:numPr>
          <w:ilvl w:val="4"/>
          <w:numId w:val="52"/>
        </w:numPr>
        <w:rPr>
          <w:rFonts w:ascii="Arial" w:cs="Arial" w:eastAsia="Arial" w:hAnsi="Arial"/>
          <w:sz w:val="20"/>
          <w:szCs w:val="20"/>
          <w:color w:val="auto"/>
        </w:rPr>
      </w:pPr>
      <w:r>
        <w:rPr>
          <w:rFonts w:ascii="Arial" w:cs="Arial" w:eastAsia="Arial" w:hAnsi="Arial"/>
          <w:sz w:val="20"/>
          <w:szCs w:val="20"/>
          <w:u w:val="single" w:color="auto"/>
          <w:color w:val="auto"/>
        </w:rPr>
        <w:t>Accelerated Vesting</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80" w:right="199" w:firstLine="2596"/>
        <w:spacing w:after="0" w:line="221" w:lineRule="auto"/>
        <w:tabs>
          <w:tab w:leader="none" w:pos="3052" w:val="left"/>
        </w:tabs>
        <w:numPr>
          <w:ilvl w:val="5"/>
          <w:numId w:val="52"/>
        </w:numPr>
        <w:rPr>
          <w:rFonts w:ascii="Arial" w:cs="Arial" w:eastAsia="Arial" w:hAnsi="Arial"/>
          <w:sz w:val="19"/>
          <w:szCs w:val="19"/>
          <w:color w:val="auto"/>
        </w:rPr>
      </w:pPr>
      <w:r>
        <w:rPr>
          <w:rFonts w:ascii="Arial" w:cs="Arial" w:eastAsia="Arial" w:hAnsi="Arial"/>
          <w:sz w:val="19"/>
          <w:szCs w:val="19"/>
          <w:i w:val="1"/>
          <w:iCs w:val="1"/>
          <w:color w:val="auto"/>
        </w:rPr>
        <w:t>Involuntary Termination not in connection with a Change of Control</w:t>
      </w:r>
      <w:r>
        <w:rPr>
          <w:rFonts w:ascii="Arial" w:cs="Arial" w:eastAsia="Arial" w:hAnsi="Arial"/>
          <w:sz w:val="19"/>
          <w:szCs w:val="19"/>
          <w:color w:val="auto"/>
        </w:rPr>
        <w:t>. If</w:t>
      </w:r>
      <w:r>
        <w:rPr>
          <w:rFonts w:ascii="Arial" w:cs="Arial" w:eastAsia="Arial" w:hAnsi="Arial"/>
          <w:sz w:val="19"/>
          <w:szCs w:val="19"/>
          <w:i w:val="1"/>
          <w:iCs w:val="1"/>
          <w:color w:val="auto"/>
        </w:rPr>
        <w:t xml:space="preserve"> </w:t>
      </w:r>
      <w:r>
        <w:rPr>
          <w:rFonts w:ascii="Arial" w:cs="Arial" w:eastAsia="Arial" w:hAnsi="Arial"/>
          <w:sz w:val="19"/>
          <w:szCs w:val="19"/>
          <w:color w:val="auto"/>
        </w:rPr>
        <w:t>the Involuntary Termination is not in connection with a Change of Control, the unvested portion of Executive’s outstanding Equity Awards that would normally vest over the following twelve (12) months from the date of Executive’s termination had Executive remained an employee through such period will immediately accelerate and fully vest prior to Executive’s termination.</w:t>
      </w:r>
    </w:p>
    <w:p>
      <w:pPr>
        <w:spacing w:after="0" w:line="155" w:lineRule="exact"/>
        <w:rPr>
          <w:rFonts w:ascii="Arial" w:cs="Arial" w:eastAsia="Arial" w:hAnsi="Arial"/>
          <w:sz w:val="19"/>
          <w:szCs w:val="19"/>
          <w:color w:val="auto"/>
        </w:rPr>
      </w:pPr>
    </w:p>
    <w:p>
      <w:pPr>
        <w:jc w:val="both"/>
        <w:ind w:left="180" w:right="199" w:firstLine="2596"/>
        <w:spacing w:after="0" w:line="228" w:lineRule="auto"/>
        <w:tabs>
          <w:tab w:leader="none" w:pos="3052" w:val="left"/>
        </w:tabs>
        <w:numPr>
          <w:ilvl w:val="5"/>
          <w:numId w:val="52"/>
        </w:numPr>
        <w:rPr>
          <w:rFonts w:ascii="Arial" w:cs="Arial" w:eastAsia="Arial" w:hAnsi="Arial"/>
          <w:sz w:val="18"/>
          <w:szCs w:val="18"/>
          <w:color w:val="auto"/>
        </w:rPr>
      </w:pPr>
      <w:r>
        <w:rPr>
          <w:rFonts w:ascii="Arial" w:cs="Arial" w:eastAsia="Arial" w:hAnsi="Arial"/>
          <w:sz w:val="18"/>
          <w:szCs w:val="18"/>
          <w:i w:val="1"/>
          <w:iCs w:val="1"/>
          <w:color w:val="auto"/>
        </w:rPr>
        <w:t>Involuntary Termination in connection with a Change of Control</w:t>
      </w:r>
      <w:r>
        <w:rPr>
          <w:rFonts w:ascii="Arial" w:cs="Arial" w:eastAsia="Arial" w:hAnsi="Arial"/>
          <w:sz w:val="18"/>
          <w:szCs w:val="18"/>
          <w:color w:val="auto"/>
        </w:rPr>
        <w:t>.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Involuntary Termination occurs within the twelve (12) month period following a Change of Control, then (i)</w:t>
      </w:r>
    </w:p>
    <w:p>
      <w:pPr>
        <w:jc w:val="both"/>
        <w:ind w:left="180" w:right="199" w:firstLine="4"/>
        <w:spacing w:after="0" w:line="206" w:lineRule="auto"/>
        <w:tabs>
          <w:tab w:leader="none" w:pos="463"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the Employment Term as of the date of such termination is less than one year from the Start Date, then 50% of the unvested portion of Executive’s then outstanding Equity Awards will immediately vest prior to Executive’s termination, and (y) if the Employment Term as of the date of such termination is one year or more from the Start Date, then 100% of the unvested portion of Executive’s then outstanding Equity Awards will immediately vest prior to Executive’s termination.</w:t>
      </w:r>
    </w:p>
    <w:p>
      <w:pPr>
        <w:spacing w:after="0" w:line="33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80" w:right="199" w:firstLine="1714"/>
        <w:spacing w:after="0" w:line="231" w:lineRule="auto"/>
        <w:tabs>
          <w:tab w:leader="none" w:pos="264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COBRA</w:t>
      </w:r>
      <w:r>
        <w:rPr>
          <w:rFonts w:ascii="Arial" w:cs="Arial" w:eastAsia="Arial" w:hAnsi="Arial"/>
          <w:sz w:val="18"/>
          <w:szCs w:val="18"/>
          <w:color w:val="auto"/>
        </w:rPr>
        <w:t>. If Executive elects continuation coverage pursuant to the Consolidated Omnibus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for Executive and Executive’s eligible dependents within the time period prescribed pursuant to COBRA, the Company will reimburse Executive for the monthly premiums under COBRA necessary to continue group health insurance benefits for Executive and Executive’s eligible dependents (at the coverage levels in effect immediately prior to Executive’s termination) until the earlier of (A) the date upon which Executive and/or Executive’s eligible dependents becomes covered under similar plans or (B) the last day of the Severance Period (such reimbursements, the “</w:t>
      </w:r>
      <w:r>
        <w:rPr>
          <w:rFonts w:ascii="Arial" w:cs="Arial" w:eastAsia="Arial" w:hAnsi="Arial"/>
          <w:sz w:val="18"/>
          <w:szCs w:val="18"/>
          <w:b w:val="1"/>
          <w:bCs w:val="1"/>
          <w:color w:val="auto"/>
        </w:rPr>
        <w:t>COBRA Premiums</w:t>
      </w:r>
      <w:r>
        <w:rPr>
          <w:rFonts w:ascii="Arial" w:cs="Arial" w:eastAsia="Arial" w:hAnsi="Arial"/>
          <w:sz w:val="18"/>
          <w:szCs w:val="18"/>
          <w:color w:val="auto"/>
        </w:rPr>
        <w:t>”). However, if the Company determines in its sole discretion that it cannot pay the COBRA Premiums without potentially violating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last day of the Severance Period. For the avoidance of doubt, the taxable payments in lieu of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 (Collectively, the Company’s COBRA obligations in this paragraph are referred to as the “COBRA Payments”).</w:t>
      </w:r>
    </w:p>
    <w:p>
      <w:pPr>
        <w:spacing w:after="0" w:line="159" w:lineRule="exact"/>
        <w:rPr>
          <w:rFonts w:ascii="Arial" w:cs="Arial" w:eastAsia="Arial" w:hAnsi="Arial"/>
          <w:sz w:val="18"/>
          <w:szCs w:val="18"/>
          <w:color w:val="auto"/>
        </w:rPr>
      </w:pPr>
    </w:p>
    <w:p>
      <w:pPr>
        <w:jc w:val="both"/>
        <w:ind w:left="180" w:right="199" w:firstLine="1300"/>
        <w:spacing w:after="0" w:line="216" w:lineRule="auto"/>
        <w:tabs>
          <w:tab w:leader="none" w:pos="179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Resignation without Good Reason; Termination for Cause; Disability</w:t>
      </w:r>
      <w:r>
        <w:rPr>
          <w:rFonts w:ascii="Arial" w:cs="Arial" w:eastAsia="Arial" w:hAnsi="Arial"/>
          <w:sz w:val="19"/>
          <w:szCs w:val="19"/>
          <w:color w:val="auto"/>
        </w:rPr>
        <w:t>. If Executive resigns (other than for Good Reason), or the Company terminates Executive’s employment for Cause, or Executive’s employment terminates upon Executive’s Disability, then (i) Executive will no longer vest in any Equity Award held by Executive, (ii) all payments of compensation by the Company to Executive hereunder will terminate immediately (except as to amounts already earned), and (iii) Executive will not be entitled to any severance or other benefits except for those (if any) as may then be established under the Company’s then existing written severance and benefits plans and practices or pursuant to other written agreements with the Company.</w:t>
      </w:r>
    </w:p>
    <w:p>
      <w:pPr>
        <w:spacing w:after="0" w:line="154" w:lineRule="exact"/>
        <w:rPr>
          <w:rFonts w:ascii="Arial" w:cs="Arial" w:eastAsia="Arial" w:hAnsi="Arial"/>
          <w:sz w:val="19"/>
          <w:szCs w:val="19"/>
          <w:color w:val="auto"/>
        </w:rPr>
      </w:pPr>
    </w:p>
    <w:p>
      <w:pPr>
        <w:jc w:val="both"/>
        <w:ind w:left="180" w:right="199" w:firstLine="1300"/>
        <w:spacing w:after="0" w:line="210" w:lineRule="auto"/>
        <w:tabs>
          <w:tab w:leader="none" w:pos="1745"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Accrued Compensation</w:t>
      </w:r>
      <w:r>
        <w:rPr>
          <w:rFonts w:ascii="Arial" w:cs="Arial" w:eastAsia="Arial" w:hAnsi="Arial"/>
          <w:sz w:val="20"/>
          <w:szCs w:val="20"/>
          <w:color w:val="auto"/>
        </w:rPr>
        <w:t>. For the avoidance of any doubt, in the event of a termination of Executive’s employment with the Company (or any parent or subsidiary or successor of the Company) for whatever reason, Executive will be entitled to receive all accrued but unpaid vacation, expense reimbursements, wages, and other benefits due to Executive under any Company-provided plans, policies, and arrangements as of Executive’s termination date.</w:t>
      </w:r>
    </w:p>
    <w:p>
      <w:pPr>
        <w:spacing w:after="0" w:line="154" w:lineRule="exact"/>
        <w:rPr>
          <w:rFonts w:ascii="Arial" w:cs="Arial" w:eastAsia="Arial" w:hAnsi="Arial"/>
          <w:sz w:val="20"/>
          <w:szCs w:val="20"/>
          <w:color w:val="auto"/>
        </w:rPr>
      </w:pPr>
    </w:p>
    <w:p>
      <w:pPr>
        <w:jc w:val="both"/>
        <w:ind w:left="180" w:right="199" w:firstLine="1300"/>
        <w:spacing w:after="0" w:line="236" w:lineRule="auto"/>
        <w:tabs>
          <w:tab w:leader="none" w:pos="176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w:t>
      </w:r>
    </w:p>
    <w:p>
      <w:pPr>
        <w:spacing w:after="0" w:line="14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ind w:left="180" w:right="199"/>
        <w:spacing w:after="0" w:line="24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t>Executive will be entitled to no severance or other benefits, compensation or other payments or rights upon termination of employment other than those benefits expressly set forth in this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0" w:hanging="368"/>
        <w:spacing w:after="0"/>
        <w:tabs>
          <w:tab w:leader="none" w:pos="12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Conditions to Receipt of Severance; No Duty to Mitigate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80" w:right="199" w:firstLine="1300"/>
        <w:spacing w:after="0" w:line="225" w:lineRule="auto"/>
        <w:tabs>
          <w:tab w:leader="none" w:pos="174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Separation Agreement and Release of Claims</w:t>
      </w:r>
      <w:r>
        <w:rPr>
          <w:rFonts w:ascii="Arial" w:cs="Arial" w:eastAsia="Arial" w:hAnsi="Arial"/>
          <w:sz w:val="18"/>
          <w:szCs w:val="18"/>
          <w:color w:val="auto"/>
        </w:rPr>
        <w:t>. The receipt of any severance pursuant to Section 7(a) will be subject to Executive signing and not revoking a separation agreement and release of claims in a form reasonably satisfactory to the Company (the “</w:t>
      </w:r>
      <w:r>
        <w:rPr>
          <w:rFonts w:ascii="Arial" w:cs="Arial" w:eastAsia="Arial" w:hAnsi="Arial"/>
          <w:sz w:val="18"/>
          <w:szCs w:val="18"/>
          <w:b w:val="1"/>
          <w:bCs w:val="1"/>
          <w:color w:val="auto"/>
        </w:rPr>
        <w:t>Release</w:t>
      </w:r>
      <w:r>
        <w:rPr>
          <w:rFonts w:ascii="Arial" w:cs="Arial" w:eastAsia="Arial" w:hAnsi="Arial"/>
          <w:sz w:val="18"/>
          <w:szCs w:val="18"/>
          <w:color w:val="auto"/>
        </w:rPr>
        <w:t>”) and provided that such Release becomes effective and irrevocable no later than sixty (60) days following Executive’s termination date (such deadline, the “</w:t>
      </w:r>
      <w:r>
        <w:rPr>
          <w:rFonts w:ascii="Arial" w:cs="Arial" w:eastAsia="Arial" w:hAnsi="Arial"/>
          <w:sz w:val="18"/>
          <w:szCs w:val="18"/>
          <w:b w:val="1"/>
          <w:bCs w:val="1"/>
          <w:color w:val="auto"/>
        </w:rPr>
        <w:t>Release Deadline</w:t>
      </w:r>
      <w:r>
        <w:rPr>
          <w:rFonts w:ascii="Arial" w:cs="Arial" w:eastAsia="Arial" w:hAnsi="Arial"/>
          <w:sz w:val="18"/>
          <w:szCs w:val="18"/>
          <w:color w:val="auto"/>
        </w:rPr>
        <w:t>”). If the Release does not become effective and irrevocable by the Release Deadline, Executive will forfeit any rights to severance or benefits under this Agreement. In no event will severance payments or benefits be paid or provided until the Release becomes effective and irrevocable. Except as required by Section 8(c), any installment payments that would have been made to Executive prior to the Release becoming effective and irrevocable but for the preceding sentence will be paid to Executive on the first regularly scheduled Company payroll date following the date the Release becomes effective and irrevocable, and the remaining payments will be made as provided in the Agreement.</w:t>
      </w:r>
    </w:p>
    <w:p>
      <w:pPr>
        <w:spacing w:after="0" w:line="160" w:lineRule="exact"/>
        <w:rPr>
          <w:rFonts w:ascii="Arial" w:cs="Arial" w:eastAsia="Arial" w:hAnsi="Arial"/>
          <w:sz w:val="18"/>
          <w:szCs w:val="18"/>
          <w:color w:val="auto"/>
        </w:rPr>
      </w:pPr>
    </w:p>
    <w:p>
      <w:pPr>
        <w:jc w:val="both"/>
        <w:ind w:left="180" w:right="199" w:firstLine="1300"/>
        <w:spacing w:after="0" w:line="213" w:lineRule="auto"/>
        <w:tabs>
          <w:tab w:leader="none" w:pos="1769"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Agreement</w:t>
      </w:r>
      <w:r>
        <w:rPr>
          <w:rFonts w:ascii="Arial" w:cs="Arial" w:eastAsia="Arial" w:hAnsi="Arial"/>
          <w:sz w:val="20"/>
          <w:szCs w:val="20"/>
          <w:color w:val="auto"/>
        </w:rPr>
        <w:t>. Executive’s receipt of any payments or benefits under Section 7 will be subject to Executive continuing to comply with the terms of the At-Will Employment, Confidential Information, Invention Assignment, and Arbitration Agreement between the Executive and the Company.</w:t>
      </w:r>
    </w:p>
    <w:p>
      <w:pPr>
        <w:spacing w:after="0" w:line="155" w:lineRule="exact"/>
        <w:rPr>
          <w:rFonts w:ascii="Arial" w:cs="Arial" w:eastAsia="Arial" w:hAnsi="Arial"/>
          <w:sz w:val="20"/>
          <w:szCs w:val="20"/>
          <w:color w:val="auto"/>
        </w:rPr>
      </w:pPr>
    </w:p>
    <w:p>
      <w:pPr>
        <w:ind w:left="1740" w:hanging="260"/>
        <w:spacing w:after="0"/>
        <w:tabs>
          <w:tab w:leader="none" w:pos="1740"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Section 409A.</w:t>
      </w:r>
    </w:p>
    <w:p>
      <w:pPr>
        <w:spacing w:after="0" w:line="175" w:lineRule="exact"/>
        <w:rPr>
          <w:rFonts w:ascii="Arial" w:cs="Arial" w:eastAsia="Arial" w:hAnsi="Arial"/>
          <w:sz w:val="20"/>
          <w:szCs w:val="20"/>
          <w:color w:val="auto"/>
        </w:rPr>
      </w:pPr>
    </w:p>
    <w:p>
      <w:pPr>
        <w:jc w:val="both"/>
        <w:ind w:left="180" w:right="199" w:firstLine="1768"/>
        <w:spacing w:after="0" w:line="216" w:lineRule="auto"/>
        <w:tabs>
          <w:tab w:leader="none" w:pos="2504" w:val="left"/>
        </w:tabs>
        <w:numPr>
          <w:ilvl w:val="2"/>
          <w:numId w:val="56"/>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(together, the “</w:t>
      </w:r>
      <w:r>
        <w:rPr>
          <w:rFonts w:ascii="Arial" w:cs="Arial" w:eastAsia="Arial" w:hAnsi="Arial"/>
          <w:sz w:val="19"/>
          <w:szCs w:val="19"/>
          <w:b w:val="1"/>
          <w:bCs w:val="1"/>
          <w:color w:val="auto"/>
        </w:rPr>
        <w:t>Deferred Payments</w:t>
      </w:r>
      <w:r>
        <w:rPr>
          <w:rFonts w:ascii="Arial" w:cs="Arial" w:eastAsia="Arial" w:hAnsi="Arial"/>
          <w:sz w:val="19"/>
          <w:szCs w:val="19"/>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55" w:lineRule="exact"/>
        <w:rPr>
          <w:sz w:val="20"/>
          <w:szCs w:val="20"/>
          <w:color w:val="auto"/>
        </w:rPr>
      </w:pPr>
    </w:p>
    <w:p>
      <w:pPr>
        <w:jc w:val="both"/>
        <w:ind w:left="180" w:right="199" w:firstLine="1750"/>
        <w:spacing w:after="0" w:line="204" w:lineRule="auto"/>
        <w:tabs>
          <w:tab w:leader="none" w:pos="2581"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severance payments or benefits under this Agreement that would be considered Deferred Payments will be paid on, or, in the case of installments, will not commence until, the sixtieth (60</w:t>
      </w:r>
      <w:r>
        <w:rPr>
          <w:rFonts w:ascii="Arial" w:cs="Arial" w:eastAsia="Arial" w:hAnsi="Arial"/>
          <w:sz w:val="20"/>
          <w:szCs w:val="20"/>
          <w:color w:val="auto"/>
          <w:vertAlign w:val="superscript"/>
        </w:rPr>
        <w:t>th</w:t>
      </w:r>
      <w:r>
        <w:rPr>
          <w:rFonts w:ascii="Arial" w:cs="Arial" w:eastAsia="Arial" w:hAnsi="Arial"/>
          <w:sz w:val="20"/>
          <w:szCs w:val="20"/>
          <w:color w:val="auto"/>
        </w:rPr>
        <w:t>) day following Executive’s separation from service, or, if later, such time as required by Section 8(c)(iii). Except as required by Section 8(c)(iii), any installment payments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20"/>
          <w:szCs w:val="20"/>
          <w:color w:val="auto"/>
          <w:vertAlign w:val="superscript"/>
        </w:rPr>
        <w:t>th</w:t>
      </w:r>
      <w:r>
        <w:rPr>
          <w:rFonts w:ascii="Arial" w:cs="Arial" w:eastAsia="Arial" w:hAnsi="Arial"/>
          <w:sz w:val="20"/>
          <w:szCs w:val="20"/>
          <w:color w:val="auto"/>
        </w:rPr>
        <w:t>) day following Executive’s separation from service and the remaining payments shall be made as provided in this Agreement</w:t>
      </w:r>
      <w:r>
        <w:rPr>
          <w:rFonts w:ascii="Arial" w:cs="Arial" w:eastAsia="Arial" w:hAnsi="Arial"/>
          <w:sz w:val="20"/>
          <w:szCs w:val="20"/>
          <w:b w:val="1"/>
          <w:bCs w:val="1"/>
          <w:color w:val="auto"/>
        </w:rPr>
        <w:t>. In no</w:t>
      </w:r>
      <w:r>
        <w:rPr>
          <w:rFonts w:ascii="Arial" w:cs="Arial" w:eastAsia="Arial" w:hAnsi="Arial"/>
          <w:sz w:val="20"/>
          <w:szCs w:val="20"/>
          <w:color w:val="auto"/>
        </w:rPr>
        <w:t xml:space="preserve"> </w:t>
      </w:r>
      <w:r>
        <w:rPr>
          <w:rFonts w:ascii="Arial" w:cs="Arial" w:eastAsia="Arial" w:hAnsi="Arial"/>
          <w:sz w:val="20"/>
          <w:szCs w:val="20"/>
          <w:b w:val="1"/>
          <w:bCs w:val="1"/>
          <w:color w:val="auto"/>
        </w:rPr>
        <w:t>event will Executive have discretion to determine the taxable year of payment for any Deferred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80" w:right="199" w:firstLine="1714"/>
        <w:spacing w:after="0" w:line="224" w:lineRule="auto"/>
        <w:tabs>
          <w:tab w:leader="none" w:pos="25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61" w:lineRule="exact"/>
        <w:rPr>
          <w:rFonts w:ascii="Arial" w:cs="Arial" w:eastAsia="Arial" w:hAnsi="Arial"/>
          <w:sz w:val="18"/>
          <w:szCs w:val="18"/>
          <w:color w:val="auto"/>
        </w:rPr>
      </w:pPr>
    </w:p>
    <w:p>
      <w:pPr>
        <w:jc w:val="both"/>
        <w:ind w:left="180" w:right="199" w:firstLine="1696"/>
        <w:spacing w:after="0" w:line="236" w:lineRule="auto"/>
        <w:tabs>
          <w:tab w:leader="none" w:pos="25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amount paid under this Agreement that satisfies the requirements of the “short-term deferral” rule set forth in Section 1.409A-1(b)(4) of the Treasury Regulations will not constitute Deferred Payments for purposes of clause (i) above. It is the intent of this Agreement that all cash severance payments under Section 7(a)(i) will satisfy the requirements of the “short-term deferral” rule.</w:t>
      </w:r>
    </w:p>
    <w:p>
      <w:pPr>
        <w:spacing w:after="0" w:line="158" w:lineRule="exact"/>
        <w:rPr>
          <w:sz w:val="20"/>
          <w:szCs w:val="20"/>
          <w:color w:val="auto"/>
        </w:rPr>
      </w:pPr>
    </w:p>
    <w:p>
      <w:pPr>
        <w:jc w:val="both"/>
        <w:ind w:left="180" w:right="199" w:firstLine="1732"/>
        <w:spacing w:after="0" w:line="213" w:lineRule="auto"/>
        <w:tabs>
          <w:tab w:leader="none" w:pos="2512"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56" w:lineRule="exact"/>
        <w:rPr>
          <w:sz w:val="20"/>
          <w:szCs w:val="20"/>
          <w:color w:val="auto"/>
        </w:rPr>
      </w:pPr>
    </w:p>
    <w:p>
      <w:pPr>
        <w:jc w:val="both"/>
        <w:ind w:left="180" w:right="199" w:firstLine="1696"/>
        <w:spacing w:after="0" w:line="228" w:lineRule="auto"/>
        <w:tabs>
          <w:tab w:leader="none" w:pos="2544"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foregoing provisions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In no event will the Company reimburse Executive for any taxes that may be imposed on Executive as a result of Section 409A.</w:t>
      </w:r>
    </w:p>
    <w:p>
      <w:pPr>
        <w:spacing w:after="0" w:line="154" w:lineRule="exact"/>
        <w:rPr>
          <w:rFonts w:ascii="Arial" w:cs="Arial" w:eastAsia="Arial" w:hAnsi="Arial"/>
          <w:sz w:val="18"/>
          <w:szCs w:val="18"/>
          <w:color w:val="auto"/>
        </w:rPr>
      </w:pPr>
    </w:p>
    <w:p>
      <w:pPr>
        <w:jc w:val="both"/>
        <w:ind w:left="180" w:right="199" w:firstLine="1300"/>
        <w:spacing w:after="0" w:line="218" w:lineRule="auto"/>
        <w:tabs>
          <w:tab w:leader="none" w:pos="1772"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No Duty to Mitigate</w:t>
      </w:r>
      <w:r>
        <w:rPr>
          <w:rFonts w:ascii="Arial" w:cs="Arial" w:eastAsia="Arial" w:hAnsi="Arial"/>
          <w:sz w:val="20"/>
          <w:szCs w:val="20"/>
          <w:color w:val="auto"/>
        </w:rPr>
        <w:t>. Executive will not be required to mitigate the amount of any payment contemplated by this Agreement, nor will any earnings that Executive may receive from any other source reduce any such payment.</w:t>
      </w:r>
    </w:p>
    <w:p>
      <w:pPr>
        <w:spacing w:after="0" w:line="156" w:lineRule="exact"/>
        <w:rPr>
          <w:rFonts w:ascii="Arial" w:cs="Arial" w:eastAsia="Arial" w:hAnsi="Arial"/>
          <w:sz w:val="20"/>
          <w:szCs w:val="20"/>
          <w:color w:val="auto"/>
        </w:rPr>
      </w:pPr>
    </w:p>
    <w:p>
      <w:pPr>
        <w:jc w:val="both"/>
        <w:ind w:left="180" w:right="199" w:firstLine="652"/>
        <w:spacing w:after="0" w:line="224" w:lineRule="auto"/>
        <w:tabs>
          <w:tab w:leader="none" w:pos="1201"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xml:space="preserve"> In the event that the severance and other benefits provided for in this Agreement or otherwise payable to Executive (i) constitute “parachute payments” within the meaning of Section 280G of the Code and (ii) but for this Section 9, would be subject to the excise tax imposed by Section 4999 of the Code, then Executive’s severance benefits will be either:</w:t>
      </w:r>
    </w:p>
    <w:p>
      <w:pPr>
        <w:spacing w:after="0" w:line="156" w:lineRule="exact"/>
        <w:rPr>
          <w:rFonts w:ascii="Arial" w:cs="Arial" w:eastAsia="Arial" w:hAnsi="Arial"/>
          <w:sz w:val="19"/>
          <w:szCs w:val="19"/>
          <w:color w:val="auto"/>
        </w:rPr>
      </w:pPr>
    </w:p>
    <w:p>
      <w:pPr>
        <w:ind w:left="1740" w:hanging="260"/>
        <w:spacing w:after="0"/>
        <w:tabs>
          <w:tab w:leader="none" w:pos="1740" w:val="left"/>
        </w:tabs>
        <w:numPr>
          <w:ilvl w:val="1"/>
          <w:numId w:val="63"/>
        </w:numPr>
        <w:rPr>
          <w:rFonts w:ascii="Arial" w:cs="Arial" w:eastAsia="Arial" w:hAnsi="Arial"/>
          <w:sz w:val="20"/>
          <w:szCs w:val="20"/>
          <w:color w:val="auto"/>
        </w:rPr>
      </w:pPr>
      <w:r>
        <w:rPr>
          <w:rFonts w:ascii="Arial" w:cs="Arial" w:eastAsia="Arial" w:hAnsi="Arial"/>
          <w:sz w:val="20"/>
          <w:szCs w:val="20"/>
          <w:color w:val="auto"/>
        </w:rPr>
        <w:t>delivered in full,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6</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80" w:right="199" w:firstLine="1300"/>
        <w:spacing w:after="0" w:line="224" w:lineRule="auto"/>
        <w:tabs>
          <w:tab w:leader="none" w:pos="17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delivered as to such lesser extent which would result in no portion of such severance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severance payments under Sections 7(a)(i) or 7(a)(ii); (2) reduction of other cash payments, if any; (3) cancellation of accelerated vesting of equity awards; and (4) reduction of continued employee benefits. In the event that acceleration of vesting of equity award compensation is to be reduced, such acceleration of vesting shall be cancelled in the reverse order of the date of grant of Executive’s equity awards. If two or more equity awards are granted on the same date, each award will be reduced on a pro-rata basis. In no event shall the Executive have any discretion with respect to the ordering of payment reductions.</w:t>
      </w:r>
    </w:p>
    <w:p>
      <w:pPr>
        <w:spacing w:after="0" w:line="157" w:lineRule="exact"/>
        <w:rPr>
          <w:sz w:val="20"/>
          <w:szCs w:val="20"/>
          <w:color w:val="auto"/>
        </w:rPr>
      </w:pPr>
    </w:p>
    <w:p>
      <w:pPr>
        <w:jc w:val="both"/>
        <w:ind w:left="180" w:right="199" w:firstLine="1296"/>
        <w:spacing w:after="0" w:line="227"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9 will be made in writing by an independent firm immediately prior to a Change of Control (the “</w:t>
      </w:r>
      <w:r>
        <w:rPr>
          <w:rFonts w:ascii="Arial" w:cs="Arial" w:eastAsia="Arial" w:hAnsi="Arial"/>
          <w:sz w:val="18"/>
          <w:szCs w:val="18"/>
          <w:b w:val="1"/>
          <w:bCs w:val="1"/>
          <w:color w:val="auto"/>
        </w:rPr>
        <w:t>Firm</w:t>
      </w:r>
      <w:r>
        <w:rPr>
          <w:rFonts w:ascii="Arial" w:cs="Arial" w:eastAsia="Arial" w:hAnsi="Arial"/>
          <w:sz w:val="18"/>
          <w:szCs w:val="18"/>
          <w:color w:val="auto"/>
        </w:rPr>
        <w:t>”), whose determination will be conclusive and binding upon Executive and the Company for all purposes. For purposes of making the calculations required by this Section 9,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9. The Company will bear all costs the Firm may reasonably incur in connection with any calculations contemplated by this Section 9.</w:t>
      </w:r>
    </w:p>
    <w:p>
      <w:pPr>
        <w:spacing w:after="0" w:line="153" w:lineRule="exact"/>
        <w:rPr>
          <w:sz w:val="20"/>
          <w:szCs w:val="20"/>
          <w:color w:val="auto"/>
        </w:rPr>
      </w:pPr>
    </w:p>
    <w:p>
      <w:pPr>
        <w:ind w:left="1200" w:hanging="368"/>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will have the following</w:t>
      </w:r>
    </w:p>
    <w:p>
      <w:pPr>
        <w:ind w:left="180"/>
        <w:spacing w:after="0"/>
        <w:rPr>
          <w:rFonts w:ascii="Arial" w:cs="Arial" w:eastAsia="Arial" w:hAnsi="Arial"/>
          <w:sz w:val="18"/>
          <w:szCs w:val="18"/>
          <w:color w:val="auto"/>
        </w:rPr>
      </w:pPr>
      <w:r>
        <w:rPr>
          <w:rFonts w:ascii="Arial" w:cs="Arial" w:eastAsia="Arial" w:hAnsi="Arial"/>
          <w:sz w:val="20"/>
          <w:szCs w:val="20"/>
          <w:color w:val="auto"/>
        </w:rPr>
        <w:t>meanings:</w:t>
      </w:r>
    </w:p>
    <w:p>
      <w:pPr>
        <w:spacing w:after="0" w:line="153" w:lineRule="exact"/>
        <w:rPr>
          <w:rFonts w:ascii="Arial" w:cs="Arial" w:eastAsia="Arial" w:hAnsi="Arial"/>
          <w:sz w:val="18"/>
          <w:szCs w:val="18"/>
          <w:color w:val="auto"/>
        </w:rPr>
      </w:pPr>
    </w:p>
    <w:p>
      <w:pPr>
        <w:jc w:val="both"/>
        <w:ind w:left="180" w:right="199" w:firstLine="1300"/>
        <w:spacing w:after="0" w:line="214" w:lineRule="auto"/>
        <w:tabs>
          <w:tab w:leader="none" w:pos="1745"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is defined as (i) Executive’s conviction of, or plea of nolo contendere to, a felony or any crime involving fraud, embezzlement or any other act of moral turpitude, (ii) Executive’s gross misconduct, (iii) Executive’s unauthorized use or disclosure of any proprietary information or trade secrets of the Company or any other party to whom Executive owes an obligation of nondisclosure as a result of Executive’s relationship with the Company; (iv) Executive’s willful breach of any obligations under any written agreement or covenant with the Company that is injurious to the Company; or (v) Executive’s continued failure to perform Executive’s employment duties after Executive has received a written demand for performance from the Company which specifically sets forth the factual basis for the Company’s belief that Executive has not substantially performed Executive’s duties and has failed to cure such non-performance to the Company’s satisfaction within thirty (30) business days after receiving such notice.</w:t>
      </w:r>
    </w:p>
    <w:p>
      <w:pPr>
        <w:spacing w:after="0" w:line="152" w:lineRule="exact"/>
        <w:rPr>
          <w:rFonts w:ascii="Arial" w:cs="Arial" w:eastAsia="Arial" w:hAnsi="Arial"/>
          <w:sz w:val="19"/>
          <w:szCs w:val="19"/>
          <w:color w:val="auto"/>
        </w:rPr>
      </w:pPr>
    </w:p>
    <w:p>
      <w:pPr>
        <w:ind w:left="180" w:right="199" w:firstLine="1300"/>
        <w:spacing w:after="0" w:line="232" w:lineRule="auto"/>
        <w:tabs>
          <w:tab w:leader="none" w:pos="1769"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For purposes of this Agreement, “</w:t>
      </w:r>
      <w:r>
        <w:rPr>
          <w:rFonts w:ascii="Arial" w:cs="Arial" w:eastAsia="Arial" w:hAnsi="Arial"/>
          <w:sz w:val="20"/>
          <w:szCs w:val="20"/>
          <w:b w:val="1"/>
          <w:bCs w:val="1"/>
          <w:color w:val="auto"/>
        </w:rPr>
        <w:t>Change of Control</w:t>
      </w:r>
      <w:r>
        <w:rPr>
          <w:rFonts w:ascii="Arial" w:cs="Arial" w:eastAsia="Arial" w:hAnsi="Arial"/>
          <w:sz w:val="20"/>
          <w:szCs w:val="20"/>
          <w:color w:val="auto"/>
        </w:rPr>
        <w:t>” means the occurrence of any of the following events:</w:t>
      </w:r>
    </w:p>
    <w:p>
      <w:pPr>
        <w:spacing w:after="0" w:line="155" w:lineRule="exact"/>
        <w:rPr>
          <w:rFonts w:ascii="Arial" w:cs="Arial" w:eastAsia="Arial" w:hAnsi="Arial"/>
          <w:sz w:val="20"/>
          <w:szCs w:val="20"/>
          <w:color w:val="auto"/>
        </w:rPr>
      </w:pPr>
    </w:p>
    <w:p>
      <w:pPr>
        <w:jc w:val="both"/>
        <w:ind w:left="180" w:right="199" w:firstLine="1768"/>
        <w:spacing w:after="0" w:line="289" w:lineRule="auto"/>
        <w:tabs>
          <w:tab w:leader="none" w:pos="2504" w:val="left"/>
        </w:tabs>
        <w:numPr>
          <w:ilvl w:val="2"/>
          <w:numId w:val="65"/>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as amended) is or becomes the “beneficial owner” (as defined in Rule 13d-3 under said Act), directly or indirectly, of securities of the Company representing more than 50% of the total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-2005330</wp:posOffset>
            </wp:positionV>
            <wp:extent cx="8540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83"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7</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jc w:val="both"/>
        <w:ind w:left="180" w:right="199"/>
        <w:spacing w:after="0" w:line="21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t>power represented by the Company’s then outstanding voting securities, other than the acquisition of 50% of the total voting power represented by the outstanding voting securities when sold by the Company in a capital raising transaction; or</w:t>
      </w:r>
    </w:p>
    <w:p>
      <w:pPr>
        <w:spacing w:after="0" w:line="200" w:lineRule="exact"/>
        <w:rPr>
          <w:sz w:val="20"/>
          <w:szCs w:val="20"/>
          <w:color w:val="auto"/>
        </w:rPr>
      </w:pPr>
    </w:p>
    <w:p>
      <w:pPr>
        <w:spacing w:after="0" w:line="294" w:lineRule="exact"/>
        <w:rPr>
          <w:sz w:val="20"/>
          <w:szCs w:val="20"/>
          <w:color w:val="auto"/>
        </w:rPr>
      </w:pPr>
    </w:p>
    <w:p>
      <w:pPr>
        <w:jc w:val="both"/>
        <w:ind w:left="180" w:right="199" w:firstLine="1750"/>
        <w:spacing w:after="0" w:line="217" w:lineRule="auto"/>
        <w:tabs>
          <w:tab w:leader="none" w:pos="2554"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w:t>
      </w:r>
    </w:p>
    <w:p>
      <w:pPr>
        <w:spacing w:after="0" w:line="156" w:lineRule="exact"/>
        <w:rPr>
          <w:sz w:val="20"/>
          <w:szCs w:val="20"/>
          <w:color w:val="auto"/>
        </w:rPr>
      </w:pPr>
    </w:p>
    <w:p>
      <w:pPr>
        <w:jc w:val="both"/>
        <w:ind w:left="180" w:right="199" w:firstLine="1714"/>
        <w:spacing w:after="0" w:line="218" w:lineRule="auto"/>
        <w:tabs>
          <w:tab w:leader="none" w:pos="25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date of the consummation of the sale or disposition by the Company of all or substantially all the Company’s assets in a transaction that has been approved by the stockholders of the Company.</w:t>
      </w:r>
    </w:p>
    <w:p>
      <w:pPr>
        <w:spacing w:after="0" w:line="156" w:lineRule="exact"/>
        <w:rPr>
          <w:sz w:val="20"/>
          <w:szCs w:val="20"/>
          <w:color w:val="auto"/>
        </w:rPr>
      </w:pPr>
    </w:p>
    <w:p>
      <w:pPr>
        <w:jc w:val="both"/>
        <w:ind w:left="180" w:right="199" w:firstLine="1296"/>
        <w:spacing w:after="0" w:line="218" w:lineRule="auto"/>
        <w:rPr>
          <w:sz w:val="20"/>
          <w:szCs w:val="20"/>
          <w:color w:val="auto"/>
        </w:rPr>
      </w:pPr>
      <w:r>
        <w:rPr>
          <w:rFonts w:ascii="Arial" w:cs="Arial" w:eastAsia="Arial" w:hAnsi="Arial"/>
          <w:sz w:val="20"/>
          <w:szCs w:val="20"/>
          <w:color w:val="auto"/>
        </w:rPr>
        <w:t>Notwithstanding the foregoing provisions of this definition, a transaction will not be deemed a Change of Control unless the transaction qualifies as a “change in control event” within the meaning of Section 409A.</w:t>
      </w:r>
    </w:p>
    <w:p>
      <w:pPr>
        <w:spacing w:after="0" w:line="150" w:lineRule="exact"/>
        <w:rPr>
          <w:sz w:val="20"/>
          <w:szCs w:val="20"/>
          <w:color w:val="auto"/>
        </w:rPr>
      </w:pPr>
    </w:p>
    <w:p>
      <w:pPr>
        <w:ind w:left="1760" w:hanging="280"/>
        <w:spacing w:after="0"/>
        <w:tabs>
          <w:tab w:leader="none" w:pos="17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w:t>
      </w:r>
    </w:p>
    <w:p>
      <w:pPr>
        <w:spacing w:after="0" w:line="4"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20"/>
          <w:szCs w:val="20"/>
          <w:color w:val="auto"/>
        </w:rPr>
        <w:t>1986, as amended.</w:t>
      </w:r>
    </w:p>
    <w:p>
      <w:pPr>
        <w:spacing w:after="0" w:line="153" w:lineRule="exact"/>
        <w:rPr>
          <w:rFonts w:ascii="Arial" w:cs="Arial" w:eastAsia="Arial" w:hAnsi="Arial"/>
          <w:sz w:val="18"/>
          <w:szCs w:val="18"/>
          <w:color w:val="auto"/>
        </w:rPr>
      </w:pPr>
    </w:p>
    <w:p>
      <w:pPr>
        <w:jc w:val="both"/>
        <w:ind w:left="180" w:right="199" w:firstLine="1300"/>
        <w:spacing w:after="0" w:line="215" w:lineRule="auto"/>
        <w:tabs>
          <w:tab w:leader="none" w:pos="1769"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For the purposes of this Agreement, “</w:t>
      </w:r>
      <w:r>
        <w:rPr>
          <w:rFonts w:ascii="Arial" w:cs="Arial" w:eastAsia="Arial" w:hAnsi="Arial"/>
          <w:sz w:val="19"/>
          <w:szCs w:val="19"/>
          <w:b w:val="1"/>
          <w:bCs w:val="1"/>
          <w:color w:val="auto"/>
        </w:rPr>
        <w:t>Disability</w:t>
      </w:r>
      <w:r>
        <w:rPr>
          <w:rFonts w:ascii="Arial" w:cs="Arial" w:eastAsia="Arial" w:hAnsi="Arial"/>
          <w:sz w:val="19"/>
          <w:szCs w:val="19"/>
          <w:color w:val="auto"/>
        </w:rPr>
        <w:t>” will mean that Executive has been unable to engage, with or without reasonable accommodation, in any substantial gainful activity by reason of any medically determinable physical or mental impairment that can be expected to result in death or can be expected to last for a continuous period of not less than six (6)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48" w:lineRule="exact"/>
        <w:rPr>
          <w:rFonts w:ascii="Arial" w:cs="Arial" w:eastAsia="Arial" w:hAnsi="Arial"/>
          <w:sz w:val="19"/>
          <w:szCs w:val="19"/>
          <w:color w:val="auto"/>
        </w:rPr>
      </w:pPr>
    </w:p>
    <w:p>
      <w:pPr>
        <w:jc w:val="both"/>
        <w:ind w:left="180" w:right="199" w:firstLine="1300"/>
        <w:spacing w:after="0" w:line="247" w:lineRule="auto"/>
        <w:tabs>
          <w:tab w:leader="none" w:pos="175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Equity Awards</w:t>
      </w:r>
      <w:r>
        <w:rPr>
          <w:rFonts w:ascii="Arial" w:cs="Arial" w:eastAsia="Arial" w:hAnsi="Arial"/>
          <w:sz w:val="18"/>
          <w:szCs w:val="18"/>
          <w:color w:val="auto"/>
        </w:rPr>
        <w:t>” means Executive’s outstanding Company stock options, stock appreciation rights, restricted stock, restricted stock units, performance shares, performance stock units and any other Company equity compensation awards.</w:t>
      </w:r>
    </w:p>
    <w:p>
      <w:pPr>
        <w:spacing w:after="0" w:line="143" w:lineRule="exact"/>
        <w:rPr>
          <w:rFonts w:ascii="Arial" w:cs="Arial" w:eastAsia="Arial" w:hAnsi="Arial"/>
          <w:sz w:val="18"/>
          <w:szCs w:val="18"/>
          <w:color w:val="auto"/>
        </w:rPr>
      </w:pPr>
    </w:p>
    <w:p>
      <w:pPr>
        <w:jc w:val="both"/>
        <w:ind w:left="180" w:right="199" w:firstLine="1300"/>
        <w:spacing w:after="0" w:line="225" w:lineRule="auto"/>
        <w:tabs>
          <w:tab w:leader="none" w:pos="172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the purposes of this Agreement,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means Executive’s resignation within thirty (30) days following the expiration of any Company cure period (discussed below) following the occurrence of one or more of the following, without Executive’s express written consent: (i) the assignment to Executive of any duties beyond the generally recognized scope of employment of a company </w:t>
      </w:r>
      <w:r>
        <w:rPr>
          <w:rFonts w:ascii="Arial" w:cs="Arial" w:eastAsia="Arial" w:hAnsi="Arial"/>
          <w:sz w:val="18"/>
          <w:szCs w:val="18"/>
          <w:b w:val="1"/>
          <w:bCs w:val="1"/>
          <w:color w:val="auto"/>
        </w:rPr>
        <w:t>Chief Commercial Officer</w:t>
      </w:r>
      <w:r>
        <w:rPr>
          <w:rFonts w:ascii="Arial" w:cs="Arial" w:eastAsia="Arial" w:hAnsi="Arial"/>
          <w:sz w:val="18"/>
          <w:szCs w:val="18"/>
          <w:color w:val="auto"/>
        </w:rPr>
        <w:t xml:space="preserve"> or the reduction of Executive’s duties or the removal of Executive from Executive’s position and responsibilities as </w:t>
      </w:r>
      <w:r>
        <w:rPr>
          <w:rFonts w:ascii="Arial" w:cs="Arial" w:eastAsia="Arial" w:hAnsi="Arial"/>
          <w:sz w:val="18"/>
          <w:szCs w:val="18"/>
          <w:b w:val="1"/>
          <w:bCs w:val="1"/>
          <w:color w:val="auto"/>
        </w:rPr>
        <w:t>Chief Commercial Officer</w:t>
      </w:r>
      <w:r>
        <w:rPr>
          <w:rFonts w:ascii="Arial" w:cs="Arial" w:eastAsia="Arial" w:hAnsi="Arial"/>
          <w:sz w:val="18"/>
          <w:szCs w:val="18"/>
          <w:color w:val="auto"/>
        </w:rPr>
        <w:t xml:space="preserve"> either of which must result in a material diminution of Executive’s authority, duties, or responsibilities with the Company in effect immediately prior to such assignment; provided, however, if the Executive is provided with an alternative executive-type position within the Company or its subsidiaries at the same or better compensation as proved herein, or that a reduction in duties, position or responsibilities is solely by virtue of the Company being acquired and made part of a larger entity will not constitute “Good Reason”; (ii) a material reduction in Executive’s Base Salary (except where there is a reduction applicable to the</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8</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sectPr>
      </w:pPr>
    </w:p>
    <w:bookmarkStart w:id="120" w:name="page121"/>
    <w:bookmarkEnd w:id="120"/>
    <w:p>
      <w:pPr>
        <w:jc w:val="both"/>
        <w:ind w:left="180" w:right="199"/>
        <w:spacing w:after="0" w:line="2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t>management team generally of not more than 10% of Executive’s Base Salary); or (iii) a material change in the geographic location of Executive’s primary work facility or location; provided, that a relocation of less than fifty (50) miles from Executive’s then present work location will not be considered a material change in geographic location. Executive will not resign for Good Reason without first providing the Company with written notice of the acts or omissions constituting the grounds for “Good Reason” within ninety (90) days of the initial existence of the grounds for “Good Reason” and providing a cure period of not less than thirty</w:t>
      </w:r>
    </w:p>
    <w:p>
      <w:pPr>
        <w:spacing w:after="0" w:line="1" w:lineRule="exact"/>
        <w:rPr>
          <w:sz w:val="20"/>
          <w:szCs w:val="20"/>
          <w:color w:val="auto"/>
        </w:rPr>
      </w:pPr>
    </w:p>
    <w:p>
      <w:pPr>
        <w:ind w:left="180" w:right="199" w:firstLine="4"/>
        <w:spacing w:after="0" w:line="220" w:lineRule="auto"/>
        <w:tabs>
          <w:tab w:leader="none" w:pos="561" w:val="left"/>
        </w:tabs>
        <w:numPr>
          <w:ilvl w:val="0"/>
          <w:numId w:val="69"/>
        </w:numPr>
        <w:rPr>
          <w:rFonts w:ascii="Arial" w:cs="Arial" w:eastAsia="Arial" w:hAnsi="Arial"/>
          <w:sz w:val="20"/>
          <w:szCs w:val="20"/>
          <w:color w:val="auto"/>
        </w:rPr>
      </w:pPr>
      <w:r>
        <w:rPr>
          <w:rFonts w:ascii="Arial" w:cs="Arial" w:eastAsia="Arial" w:hAnsi="Arial"/>
          <w:sz w:val="20"/>
          <w:szCs w:val="20"/>
          <w:color w:val="auto"/>
        </w:rPr>
        <w:t>days following the date of such notice and such grounds for “Good Reason” have not been cured during such cure period.</w:t>
      </w:r>
    </w:p>
    <w:p>
      <w:pPr>
        <w:spacing w:after="0" w:line="150" w:lineRule="exact"/>
        <w:rPr>
          <w:rFonts w:ascii="Arial" w:cs="Arial" w:eastAsia="Arial" w:hAnsi="Arial"/>
          <w:sz w:val="20"/>
          <w:szCs w:val="20"/>
          <w:color w:val="auto"/>
        </w:rPr>
      </w:pPr>
    </w:p>
    <w:p>
      <w:pPr>
        <w:ind w:left="180" w:right="199" w:firstLine="1300"/>
        <w:spacing w:after="0" w:line="276" w:lineRule="auto"/>
        <w:tabs>
          <w:tab w:leader="none" w:pos="1769"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Section 409A</w:t>
      </w:r>
      <w:r>
        <w:rPr>
          <w:rFonts w:ascii="Arial" w:cs="Arial" w:eastAsia="Arial" w:hAnsi="Arial"/>
          <w:sz w:val="18"/>
          <w:szCs w:val="18"/>
          <w:color w:val="auto"/>
        </w:rPr>
        <w:t>” means Code Section 409A, and the final regulations and any guidance promulgated thereunder or any state law equivalent.</w:t>
      </w:r>
    </w:p>
    <w:p>
      <w:pPr>
        <w:spacing w:after="0" w:line="117" w:lineRule="exact"/>
        <w:rPr>
          <w:rFonts w:ascii="Arial" w:cs="Arial" w:eastAsia="Arial" w:hAnsi="Arial"/>
          <w:sz w:val="18"/>
          <w:szCs w:val="18"/>
          <w:color w:val="auto"/>
        </w:rPr>
      </w:pPr>
    </w:p>
    <w:p>
      <w:pPr>
        <w:jc w:val="both"/>
        <w:ind w:left="180" w:right="199" w:firstLine="1300"/>
        <w:spacing w:after="0" w:line="230" w:lineRule="auto"/>
        <w:tabs>
          <w:tab w:leader="none" w:pos="1756"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Section 409A Limit</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Section 409A Limit</w:t>
      </w:r>
      <w:r>
        <w:rPr>
          <w:rFonts w:ascii="Arial" w:cs="Arial" w:eastAsia="Arial" w:hAnsi="Arial"/>
          <w:sz w:val="18"/>
          <w:szCs w:val="18"/>
          <w:color w:val="auto"/>
        </w:rPr>
        <w:t>” will mean two (2) times the lesser of: (i) Executive’s annualized compensation based upon the annual rate of pay paid to Executive during the Executive’s taxable year preceding the Executive’s taxable year of Executive’s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56" w:lineRule="exact"/>
        <w:rPr>
          <w:rFonts w:ascii="Arial" w:cs="Arial" w:eastAsia="Arial" w:hAnsi="Arial"/>
          <w:sz w:val="18"/>
          <w:szCs w:val="18"/>
          <w:color w:val="auto"/>
        </w:rPr>
      </w:pPr>
    </w:p>
    <w:p>
      <w:pPr>
        <w:jc w:val="both"/>
        <w:ind w:left="180" w:right="199" w:firstLine="652"/>
        <w:spacing w:after="0" w:line="227" w:lineRule="auto"/>
        <w:tabs>
          <w:tab w:leader="none" w:pos="1239"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55" w:lineRule="exact"/>
        <w:rPr>
          <w:rFonts w:ascii="Arial" w:cs="Arial" w:eastAsia="Arial" w:hAnsi="Arial"/>
          <w:sz w:val="18"/>
          <w:szCs w:val="18"/>
          <w:color w:val="auto"/>
        </w:rPr>
      </w:pPr>
    </w:p>
    <w:p>
      <w:pPr>
        <w:jc w:val="both"/>
        <w:ind w:left="180" w:right="199" w:firstLine="652"/>
        <w:spacing w:after="0" w:line="233" w:lineRule="auto"/>
        <w:tabs>
          <w:tab w:leader="none" w:pos="120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requests, demands and other communications called for hereunder will be in writing and will be deemed given (i) on the date of delivery if delivered personally, (ii) one (1) day after being sent by a well-established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If to the Company:</w:t>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Pulse Biosciences, Inc.</w:t>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3957 Point Eden Way</w:t>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Hayward, CA 94545</w:t>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20"/>
          <w:szCs w:val="20"/>
          <w:u w:val="single" w:color="auto"/>
          <w:color w:val="auto"/>
        </w:rPr>
        <w:t>Attn</w:t>
      </w:r>
      <w:r>
        <w:rPr>
          <w:rFonts w:ascii="Arial" w:cs="Arial" w:eastAsia="Arial" w:hAnsi="Arial"/>
          <w:sz w:val="20"/>
          <w:szCs w:val="20"/>
          <w:color w:val="auto"/>
        </w:rPr>
        <w:t>: Chief Executive Officer</w:t>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If to Executive:</w:t>
      </w:r>
    </w:p>
    <w:p>
      <w:pPr>
        <w:spacing w:after="0" w:line="67"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at the last residential address known by the Company.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9</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left="180" w:right="199" w:firstLine="652"/>
        <w:spacing w:after="0" w:line="218" w:lineRule="auto"/>
        <w:tabs>
          <w:tab w:leader="none" w:pos="1233"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Executive agrees to enter into and comply with the Company’s standard At-Will Employment, Confidential Information, Invention Assignment, and Arbitration Agreement (the “Confidential Information Agreement”).</w:t>
      </w:r>
    </w:p>
    <w:p>
      <w:pPr>
        <w:spacing w:after="0" w:line="156" w:lineRule="exact"/>
        <w:rPr>
          <w:rFonts w:ascii="Arial" w:cs="Arial" w:eastAsia="Arial" w:hAnsi="Arial"/>
          <w:sz w:val="20"/>
          <w:szCs w:val="20"/>
          <w:color w:val="auto"/>
        </w:rPr>
      </w:pPr>
    </w:p>
    <w:p>
      <w:pPr>
        <w:jc w:val="both"/>
        <w:ind w:left="180" w:right="199" w:firstLine="652"/>
        <w:spacing w:after="0" w:line="225" w:lineRule="auto"/>
        <w:tabs>
          <w:tab w:leader="none" w:pos="124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Business Opportunities</w:t>
      </w:r>
      <w:r>
        <w:rPr>
          <w:rFonts w:ascii="Arial" w:cs="Arial" w:eastAsia="Arial" w:hAnsi="Arial"/>
          <w:sz w:val="18"/>
          <w:szCs w:val="18"/>
          <w:color w:val="auto"/>
        </w:rPr>
        <w:t>. The Executive agrees, during the Employment Term, to offer or otherwise make known or available to it, as directed by the Chief Executive Officer or Board and without additional compensation or consideration, any business prospects, contracts or other business opportunities that Executive may discover, find, develop or otherwise have available to Executive in the Company’s Field of Interest, and further agrees that any such prospects, contacts or other business opportunities shall be the property of the Company. For purposes of this section, "</w:t>
      </w:r>
      <w:r>
        <w:rPr>
          <w:rFonts w:ascii="Arial" w:cs="Arial" w:eastAsia="Arial" w:hAnsi="Arial"/>
          <w:sz w:val="18"/>
          <w:szCs w:val="18"/>
          <w:b w:val="1"/>
          <w:bCs w:val="1"/>
          <w:color w:val="auto"/>
        </w:rPr>
        <w:t>Field of Interest</w:t>
      </w:r>
      <w:r>
        <w:rPr>
          <w:rFonts w:ascii="Arial" w:cs="Arial" w:eastAsia="Arial" w:hAnsi="Arial"/>
          <w:sz w:val="18"/>
          <w:szCs w:val="18"/>
          <w:color w:val="auto"/>
        </w:rPr>
        <w:t>" shall include the development, implementation or licensing or sale of methods of using nanopulse electricity for bio-medical applications, including for diagnosis, detection, prevention, treatment or cure of tumors or cancers of internal organs, or benign diseases that can be treated by the ablation of internal tissue as well as other dermatologic applications and any other business activity engaged in, conducted by or in active planning by the Company or its subsidiaries or affiliates, and known to Executive during the Employment Term.</w:t>
      </w:r>
    </w:p>
    <w:p>
      <w:pPr>
        <w:spacing w:after="0" w:line="160" w:lineRule="exact"/>
        <w:rPr>
          <w:rFonts w:ascii="Arial" w:cs="Arial" w:eastAsia="Arial" w:hAnsi="Arial"/>
          <w:sz w:val="18"/>
          <w:szCs w:val="18"/>
          <w:color w:val="auto"/>
        </w:rPr>
      </w:pPr>
    </w:p>
    <w:p>
      <w:pPr>
        <w:jc w:val="both"/>
        <w:ind w:left="180" w:right="199" w:firstLine="652"/>
        <w:spacing w:after="0" w:line="211" w:lineRule="auto"/>
        <w:tabs>
          <w:tab w:leader="none" w:pos="120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with the Company, the Executive shall cooperate fully with the Company and its affiliates in the defense or prosecution of any claims or actions now in existence or which may be brought in the future against or on behalf of the Company and its affiliates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and its affiliates at mutually convenient times. During and after the Executive’s employment, the Executive also shall cooperate fully with the Company and its affiliates in connection with any such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If assistance is required after Executive is no longer employed by the Company, the Company agrees to compensate Executive by paying Executive a mutually agreed upon hourly rate for all time spend beyond five (5) hours. The performance by the Executive under this Section after the termination of the Executive's employment with the Company shall be subject to Executive’s other employment obligations.</w:t>
      </w:r>
    </w:p>
    <w:p>
      <w:pPr>
        <w:spacing w:after="0" w:line="163" w:lineRule="exact"/>
        <w:rPr>
          <w:rFonts w:ascii="Arial" w:cs="Arial" w:eastAsia="Arial" w:hAnsi="Arial"/>
          <w:sz w:val="19"/>
          <w:szCs w:val="19"/>
          <w:color w:val="auto"/>
        </w:rPr>
      </w:pPr>
    </w:p>
    <w:p>
      <w:pPr>
        <w:jc w:val="both"/>
        <w:ind w:left="180" w:right="199" w:firstLine="652"/>
        <w:spacing w:after="0" w:line="214" w:lineRule="auto"/>
        <w:tabs>
          <w:tab w:leader="none" w:pos="120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Executive agrees that the Company or its affiliates may from time to time and for the Company’s or the affiliates’ own benefit apply for and take out life insurance covering the Executive, either independently or together with others, in any amount and form which the Company or an affiliate may deem to be in its best interests. The Company or the respective affiliate shall own all rights in such insurance and in the cash values and proceeds thereof, and the Executive shall not have any right, title or interest therein. The Executive agrees to assist the Company and its affiliates, at the Company's expense, in obtaining any such insurance by, among things, submitting to customary examinations and correctly preparing, signing and delivering such applications and other documents as reasonably may be required. Nothing contained in this Section shall be construed as a limitation on the Executive’s right to procure any life insurance for Executive’s own personal needs.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10</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0" w:hanging="368"/>
        <w:spacing w:after="0"/>
        <w:tabs>
          <w:tab w:leader="none" w:pos="120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80" w:right="199" w:firstLine="1300"/>
        <w:spacing w:after="0" w:line="213" w:lineRule="auto"/>
        <w:tabs>
          <w:tab w:leader="none" w:pos="1758"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No provision of this Agreement will be modified, waived or discharged unless the modification, waiver or discharge is agreed to in writing and signed by Executive and by an authorized officer of the Company (other than Executive) that is expressly designated as an amendment to this Agreement.</w:t>
      </w:r>
    </w:p>
    <w:p>
      <w:pPr>
        <w:spacing w:after="0" w:line="155" w:lineRule="exact"/>
        <w:rPr>
          <w:rFonts w:ascii="Arial" w:cs="Arial" w:eastAsia="Arial" w:hAnsi="Arial"/>
          <w:sz w:val="20"/>
          <w:szCs w:val="20"/>
          <w:color w:val="auto"/>
        </w:rPr>
      </w:pPr>
    </w:p>
    <w:p>
      <w:pPr>
        <w:jc w:val="both"/>
        <w:ind w:left="180" w:right="199" w:firstLine="1300"/>
        <w:spacing w:after="0" w:line="218" w:lineRule="auto"/>
        <w:tabs>
          <w:tab w:leader="none" w:pos="1796"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6" w:lineRule="exact"/>
        <w:rPr>
          <w:rFonts w:ascii="Arial" w:cs="Arial" w:eastAsia="Arial" w:hAnsi="Arial"/>
          <w:sz w:val="20"/>
          <w:szCs w:val="20"/>
          <w:color w:val="auto"/>
        </w:rPr>
      </w:pPr>
    </w:p>
    <w:p>
      <w:pPr>
        <w:ind w:left="180" w:right="199" w:firstLine="1300"/>
        <w:spacing w:after="0" w:line="229" w:lineRule="auto"/>
        <w:tabs>
          <w:tab w:leader="none" w:pos="1745"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All captions and section headings used in this Agreement are for convenient reference only and do not form a part of this Agreement.</w:t>
      </w:r>
    </w:p>
    <w:p>
      <w:pPr>
        <w:spacing w:after="0" w:line="155" w:lineRule="exact"/>
        <w:rPr>
          <w:rFonts w:ascii="Arial" w:cs="Arial" w:eastAsia="Arial" w:hAnsi="Arial"/>
          <w:sz w:val="20"/>
          <w:szCs w:val="20"/>
          <w:color w:val="auto"/>
        </w:rPr>
      </w:pPr>
    </w:p>
    <w:p>
      <w:pPr>
        <w:jc w:val="both"/>
        <w:ind w:left="180" w:right="199" w:firstLine="1300"/>
        <w:spacing w:after="0" w:line="229" w:lineRule="auto"/>
        <w:tabs>
          <w:tab w:leader="none" w:pos="1756"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Plan, Option Agreement, and the Confidential Information Agreement (and its exhibits) represents the entire agreement and understanding between the parties as to the subject matter herein and supersedes all prior or contemporaneous agreements whether written or oral. With respect to stock options or other Equity Awards granted on or after the date of this Agreement, the acceleration of vesting provisions provided herein will apply to such stock options or other Equity Awards. This Agreement may be modified only by agreement of the parties by a written instrument executed by the parties that is designated as an amendment to this Agreement.</w:t>
      </w:r>
    </w:p>
    <w:p>
      <w:pPr>
        <w:spacing w:after="0" w:line="156" w:lineRule="exact"/>
        <w:rPr>
          <w:rFonts w:ascii="Arial" w:cs="Arial" w:eastAsia="Arial" w:hAnsi="Arial"/>
          <w:sz w:val="18"/>
          <w:szCs w:val="18"/>
          <w:color w:val="auto"/>
        </w:rPr>
      </w:pPr>
    </w:p>
    <w:p>
      <w:pPr>
        <w:ind w:left="180" w:right="199" w:firstLine="1300"/>
        <w:spacing w:after="0" w:line="229" w:lineRule="auto"/>
        <w:tabs>
          <w:tab w:leader="none" w:pos="1745"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the laws of the State of California (with the exception of its conflict of laws provisions).</w:t>
      </w:r>
    </w:p>
    <w:p>
      <w:pPr>
        <w:spacing w:after="0" w:line="155" w:lineRule="exact"/>
        <w:rPr>
          <w:rFonts w:ascii="Arial" w:cs="Arial" w:eastAsia="Arial" w:hAnsi="Arial"/>
          <w:sz w:val="20"/>
          <w:szCs w:val="20"/>
          <w:color w:val="auto"/>
        </w:rPr>
      </w:pPr>
    </w:p>
    <w:p>
      <w:pPr>
        <w:jc w:val="both"/>
        <w:ind w:left="180" w:right="199" w:firstLine="1300"/>
        <w:spacing w:after="0" w:line="218" w:lineRule="auto"/>
        <w:tabs>
          <w:tab w:leader="none" w:pos="1737"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or provisions of this Agreement will not affect the validity or enforceability of any other provision hereof, which will remain in full force and effect.</w:t>
      </w:r>
    </w:p>
    <w:p>
      <w:pPr>
        <w:spacing w:after="0" w:line="156" w:lineRule="exact"/>
        <w:rPr>
          <w:rFonts w:ascii="Arial" w:cs="Arial" w:eastAsia="Arial" w:hAnsi="Arial"/>
          <w:sz w:val="20"/>
          <w:szCs w:val="20"/>
          <w:color w:val="auto"/>
        </w:rPr>
      </w:pPr>
    </w:p>
    <w:p>
      <w:pPr>
        <w:jc w:val="both"/>
        <w:ind w:left="180" w:right="199" w:firstLine="1300"/>
        <w:spacing w:after="0" w:line="218" w:lineRule="auto"/>
        <w:tabs>
          <w:tab w:leader="none" w:pos="1783"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made pursuant to this Agreement will be subject to all applicable withholdings, including all applicable income and employment taxes, as determined in the Company’s reasonable judgment.</w:t>
      </w:r>
    </w:p>
    <w:p>
      <w:pPr>
        <w:spacing w:after="0" w:line="156" w:lineRule="exact"/>
        <w:rPr>
          <w:rFonts w:ascii="Arial" w:cs="Arial" w:eastAsia="Arial" w:hAnsi="Arial"/>
          <w:sz w:val="20"/>
          <w:szCs w:val="20"/>
          <w:color w:val="auto"/>
        </w:rPr>
      </w:pPr>
    </w:p>
    <w:p>
      <w:pPr>
        <w:jc w:val="both"/>
        <w:ind w:left="180" w:right="199" w:firstLine="1300"/>
        <w:spacing w:after="0" w:line="213" w:lineRule="auto"/>
        <w:tabs>
          <w:tab w:leader="none" w:pos="1769"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Acknowledgment</w:t>
      </w:r>
      <w:r>
        <w:rPr>
          <w:rFonts w:ascii="Arial" w:cs="Arial" w:eastAsia="Arial" w:hAnsi="Arial"/>
          <w:sz w:val="20"/>
          <w:szCs w:val="20"/>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155" w:lineRule="exact"/>
        <w:rPr>
          <w:rFonts w:ascii="Arial" w:cs="Arial" w:eastAsia="Arial" w:hAnsi="Arial"/>
          <w:sz w:val="20"/>
          <w:szCs w:val="20"/>
          <w:color w:val="auto"/>
        </w:rPr>
      </w:pPr>
    </w:p>
    <w:p>
      <w:pPr>
        <w:jc w:val="both"/>
        <w:ind w:left="180" w:right="199" w:firstLine="1300"/>
        <w:spacing w:after="0" w:line="218" w:lineRule="auto"/>
        <w:tabs>
          <w:tab w:leader="none" w:pos="1726"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each counterpart will have the same force and effect as an original and will constitute an effective, binding agreement on the part of each of the undersigned.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BLANK; SIGNATURE PAGE FOLLOWS]</w:t>
      </w: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11</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181610</wp:posOffset>
            </wp:positionV>
            <wp:extent cx="5528945"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1877060" cy="4711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1877060" cy="471170"/>
                    </a:xfrm>
                    <a:prstGeom prst="rect">
                      <a:avLst/>
                    </a:prstGeom>
                    <a:noFill/>
                  </pic:spPr>
                </pic:pic>
              </a:graphicData>
            </a:graphic>
          </wp:anchor>
        </w:drawing>
      </w:r>
    </w:p>
    <w:p>
      <w:pPr>
        <w:spacing w:after="0" w:line="211" w:lineRule="exact"/>
        <w:rPr>
          <w:sz w:val="20"/>
          <w:szCs w:val="20"/>
          <w:color w:val="auto"/>
        </w:rPr>
      </w:pPr>
    </w:p>
    <w:p>
      <w:pPr>
        <w:ind w:left="180" w:right="199"/>
        <w:spacing w:after="0" w:line="229" w:lineRule="auto"/>
        <w:rPr>
          <w:sz w:val="20"/>
          <w:szCs w:val="20"/>
          <w:color w:val="auto"/>
        </w:rPr>
      </w:pPr>
      <w:r>
        <w:rPr>
          <w:rFonts w:ascii="Arial" w:cs="Arial" w:eastAsia="Arial" w:hAnsi="Arial"/>
          <w:sz w:val="20"/>
          <w:szCs w:val="20"/>
          <w:color w:val="auto"/>
        </w:rPr>
        <w:t>IN WITNESS WHEREOF, each of the parties has executed this Agreement, in the case of the Company by its duly authorized officer, as of the day and year set forth below.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3059"/>
        <w:spacing w:after="0"/>
        <w:rPr>
          <w:sz w:val="20"/>
          <w:szCs w:val="20"/>
          <w:color w:val="auto"/>
        </w:rPr>
      </w:pPr>
      <w:r>
        <w:rPr>
          <w:rFonts w:ascii="Arial" w:cs="Arial" w:eastAsia="Arial" w:hAnsi="Arial"/>
          <w:sz w:val="16"/>
          <w:szCs w:val="16"/>
          <w:color w:val="auto"/>
        </w:rPr>
        <w:t>Pulse Biosciences, Inc.</w:t>
      </w:r>
    </w:p>
    <w:p>
      <w:pPr>
        <w:spacing w:after="0" w:line="234" w:lineRule="exact"/>
        <w:rPr>
          <w:sz w:val="20"/>
          <w:szCs w:val="20"/>
          <w:color w:val="auto"/>
        </w:rPr>
      </w:pPr>
    </w:p>
    <w:p>
      <w:pPr>
        <w:sectPr>
          <w:pgSz w:w="11900" w:h="16838" w:orient="portrait"/>
          <w:cols w:equalWidth="0" w:num="2">
            <w:col w:w="3420" w:space="720"/>
            <w:col w:w="4879"/>
          </w:cols>
          <w:pgMar w:left="1440" w:top="1440" w:right="1440" w:bottom="1440" w:gutter="0" w:footer="0" w:header="0"/>
          <w:type w:val="continuous"/>
        </w:sectPr>
      </w:pPr>
    </w:p>
    <w:p>
      <w:pPr>
        <w:spacing w:after="0" w:line="68"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/s/ Darrin Uecker</w:t>
      </w:r>
    </w:p>
    <w:p>
      <w:pPr>
        <w:spacing w:after="0" w:line="211" w:lineRule="exact"/>
        <w:rPr>
          <w:sz w:val="20"/>
          <w:szCs w:val="20"/>
          <w:color w:val="auto"/>
        </w:rPr>
      </w:pPr>
    </w:p>
    <w:p>
      <w:pPr>
        <w:sectPr>
          <w:pgSz w:w="11900" w:h="16838" w:orient="portrait"/>
          <w:cols w:equalWidth="0" w:num="2">
            <w:col w:w="4360" w:space="380"/>
            <w:col w:w="4279"/>
          </w:cols>
          <w:pgMar w:left="1440" w:top="1440" w:right="1440" w:bottom="1440" w:gutter="0" w:footer="0" w:header="0"/>
          <w:type w:val="continuous"/>
        </w:sectPr>
      </w:pPr>
    </w:p>
    <w:p>
      <w:pPr>
        <w:spacing w:after="0" w:line="31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Darrin Uecker</w:t>
      </w:r>
    </w:p>
    <w:p>
      <w:pPr>
        <w:sectPr>
          <w:pgSz w:w="11900" w:h="16838" w:orient="portrait"/>
          <w:cols w:equalWidth="0" w:num="1">
            <w:col w:w="9019"/>
          </w:cols>
          <w:pgMar w:left="1440" w:top="1440" w:right="1440" w:bottom="1440" w:gutter="0" w:footer="0" w:header="0"/>
          <w:type w:val="continuous"/>
        </w:sectPr>
      </w:pPr>
    </w:p>
    <w:p>
      <w:pPr>
        <w:spacing w:after="0" w:line="252"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ectPr>
          <w:pgSz w:w="11900" w:h="16838" w:orient="portrait"/>
          <w:cols w:equalWidth="0" w:num="2">
            <w:col w:w="4500" w:space="640"/>
            <w:col w:w="3879"/>
          </w:cols>
          <w:pgMar w:left="1440" w:top="1440"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Kevin Danahy</w:t>
      </w:r>
    </w:p>
    <w:p>
      <w:pPr>
        <w:spacing w:after="0" w:line="184" w:lineRule="exact"/>
        <w:rPr>
          <w:sz w:val="20"/>
          <w:szCs w:val="20"/>
          <w:color w:val="auto"/>
        </w:rPr>
      </w:pPr>
    </w:p>
    <w:p>
      <w:pPr>
        <w:sectPr>
          <w:pgSz w:w="11900" w:h="16838" w:orient="portrait"/>
          <w:cols w:equalWidth="0" w:num="3">
            <w:col w:w="3440" w:space="720"/>
            <w:col w:w="300" w:space="720"/>
            <w:col w:w="3839"/>
          </w:cols>
          <w:pgMar w:left="1440" w:top="1440" w:right="1440" w:bottom="1440" w:gutter="0" w:footer="0" w:header="0"/>
          <w:type w:val="continuous"/>
        </w:sectPr>
      </w:pPr>
    </w:p>
    <w:p>
      <w:pPr>
        <w:ind w:left="4720"/>
        <w:spacing w:after="0"/>
        <w:rPr>
          <w:sz w:val="20"/>
          <w:szCs w:val="20"/>
          <w:color w:val="auto"/>
        </w:rPr>
      </w:pPr>
      <w:r>
        <w:rPr>
          <w:rFonts w:ascii="Arial" w:cs="Arial" w:eastAsia="Arial" w:hAnsi="Arial"/>
          <w:sz w:val="18"/>
          <w:szCs w:val="18"/>
          <w:color w:val="auto"/>
        </w:rPr>
        <w:t>Kevin Danahy</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21"/>
          <w:szCs w:val="21"/>
          <w:color w:val="auto"/>
        </w:rPr>
        <w:t xml:space="preserve">Page </w:t>
      </w:r>
      <w:r>
        <w:rPr>
          <w:rFonts w:ascii="Arial" w:cs="Arial" w:eastAsia="Arial" w:hAnsi="Arial"/>
          <w:sz w:val="21"/>
          <w:szCs w:val="21"/>
          <w:b w:val="1"/>
          <w:bCs w:val="1"/>
          <w:color w:val="auto"/>
        </w:rPr>
        <w:t>12</w:t>
      </w:r>
      <w:r>
        <w:rPr>
          <w:rFonts w:ascii="Arial" w:cs="Arial" w:eastAsia="Arial" w:hAnsi="Arial"/>
          <w:sz w:val="21"/>
          <w:szCs w:val="21"/>
          <w:color w:val="auto"/>
        </w:rPr>
        <w:t xml:space="preserve"> of </w:t>
      </w:r>
      <w:r>
        <w:rPr>
          <w:rFonts w:ascii="Arial" w:cs="Arial" w:eastAsia="Arial" w:hAnsi="Arial"/>
          <w:sz w:val="21"/>
          <w:szCs w:val="21"/>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188595</wp:posOffset>
            </wp:positionV>
            <wp:extent cx="5528945"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24" w:name="page125"/>
    <w:bookmarkEnd w:id="124"/>
    <w:tbl>
      <w:tblPr>
        <w:tblLayout w:type="fixed"/>
        <w:tblInd w:w="18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gridSpan w:val="2"/>
          </w:tcPr>
          <w:p>
            <w:pPr>
              <w:ind w:left="1400"/>
              <w:spacing w:after="0"/>
              <w:rPr>
                <w:sz w:val="20"/>
                <w:szCs w:val="20"/>
                <w:color w:val="auto"/>
              </w:rPr>
            </w:pPr>
            <w:r>
              <w:rPr>
                <w:rFonts w:ascii="Arial" w:cs="Arial" w:eastAsia="Arial" w:hAnsi="Arial"/>
                <w:sz w:val="18"/>
                <w:szCs w:val="18"/>
                <w:color w:val="auto"/>
                <w:w w:val="95"/>
              </w:rPr>
              <w:t>Exhibit 21.1</w:t>
            </w:r>
          </w:p>
        </w:tc>
      </w:tr>
      <w:tr>
        <w:trPr>
          <w:trHeight w:val="365"/>
        </w:trPr>
        <w:tc>
          <w:tcPr>
            <w:tcW w:w="3520" w:type="dxa"/>
            <w:vAlign w:val="bottom"/>
          </w:tcPr>
          <w:p>
            <w:pPr>
              <w:spacing w:after="0"/>
              <w:rPr>
                <w:sz w:val="24"/>
                <w:szCs w:val="24"/>
                <w:color w:val="auto"/>
              </w:rPr>
            </w:pPr>
          </w:p>
        </w:tc>
        <w:tc>
          <w:tcPr>
            <w:tcW w:w="2840" w:type="dxa"/>
            <w:vAlign w:val="bottom"/>
            <w:gridSpan w:val="4"/>
          </w:tcPr>
          <w:p>
            <w:pPr>
              <w:ind w:left="100"/>
              <w:spacing w:after="0"/>
              <w:rPr>
                <w:sz w:val="20"/>
                <w:szCs w:val="20"/>
                <w:color w:val="auto"/>
              </w:rPr>
            </w:pPr>
            <w:r>
              <w:rPr>
                <w:rFonts w:ascii="Arial" w:cs="Arial" w:eastAsia="Arial" w:hAnsi="Arial"/>
                <w:sz w:val="18"/>
                <w:szCs w:val="18"/>
                <w:color w:val="auto"/>
              </w:rPr>
              <w:t>List of Subsidiaries</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09"/>
        </w:trPr>
        <w:tc>
          <w:tcPr>
            <w:tcW w:w="3520" w:type="dxa"/>
            <w:vAlign w:val="bottom"/>
          </w:tcPr>
          <w:p>
            <w:pPr>
              <w:spacing w:after="0"/>
              <w:rPr>
                <w:sz w:val="20"/>
                <w:szCs w:val="20"/>
                <w:color w:val="auto"/>
              </w:rPr>
            </w:pPr>
            <w:r>
              <w:rPr>
                <w:rFonts w:ascii="Arial" w:cs="Arial" w:eastAsia="Arial" w:hAnsi="Arial"/>
                <w:sz w:val="18"/>
                <w:szCs w:val="18"/>
                <w:color w:val="auto"/>
              </w:rPr>
              <w:t>Subsidiary</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Jurisdiction of Incorporation</w:t>
            </w:r>
          </w:p>
        </w:tc>
        <w:tc>
          <w:tcPr>
            <w:tcW w:w="23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Ownership Position</w:t>
            </w:r>
          </w:p>
        </w:tc>
      </w:tr>
      <w:tr>
        <w:trPr>
          <w:trHeight w:val="216"/>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NanoBlate Corp., a Delaware Corporation</w:t>
            </w: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5"/>
              </w:rPr>
              <w:t>BioElectroMed Corp., a California Corporation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19"/>
                <w:szCs w:val="19"/>
                <w:color w:val="auto"/>
              </w:rPr>
            </w:pPr>
          </w:p>
        </w:tc>
      </w:tr>
      <w:tr>
        <w:trPr>
          <w:trHeight w:val="22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Pulse Biosciences BV</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Netherlands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19"/>
                <w:szCs w:val="19"/>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2783162 Ontario Inc.</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Ontario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21"/>
                <w:szCs w:val="21"/>
                <w:color w:val="auto"/>
              </w:rPr>
            </w:pPr>
          </w:p>
        </w:tc>
      </w:tr>
      <w:tr>
        <w:trPr>
          <w:trHeight w:val="405"/>
        </w:trPr>
        <w:tc>
          <w:tcPr>
            <w:tcW w:w="3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5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23.1</w:t>
      </w:r>
    </w:p>
    <w:p>
      <w:pPr>
        <w:spacing w:after="0" w:line="21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jc w:val="both"/>
        <w:ind w:left="180"/>
        <w:spacing w:after="0" w:line="278" w:lineRule="auto"/>
        <w:rPr>
          <w:sz w:val="20"/>
          <w:szCs w:val="20"/>
          <w:color w:val="auto"/>
        </w:rPr>
      </w:pPr>
      <w:r>
        <w:rPr>
          <w:rFonts w:ascii="Arial" w:cs="Arial" w:eastAsia="Arial" w:hAnsi="Arial"/>
          <w:sz w:val="18"/>
          <w:szCs w:val="18"/>
          <w:color w:val="auto"/>
        </w:rPr>
        <w:t>We consent to the incorporation by reference in Registration Statement Nos. 333-259330, 333-246346, 333-237577, 333-227974, 333-224800, 333-219104, and 333-219096 on Form S-3 and Registration Statement Nos. 333-256992, 333-254451, 333-237225, 333-229320, 333-222582, 333-221788, 333-218164, and 333-216897 on Form S-8 of our report dated March 31, 2022, relating to the financial statements of Pulse Biosciences, Inc. appearing in this Annual Report on Form 10-K for the year ended December 31, 2021.</w:t>
      </w:r>
    </w:p>
    <w:p>
      <w:pPr>
        <w:spacing w:after="0" w:line="39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Deloitte &amp; Touche LLP</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San Jose, California</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398780</wp:posOffset>
            </wp:positionV>
            <wp:extent cx="5734685"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5" w:right="1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certify that:</w:t>
      </w:r>
    </w:p>
    <w:p>
      <w:pPr>
        <w:spacing w:after="0" w:line="117" w:lineRule="exact"/>
        <w:rPr>
          <w:sz w:val="20"/>
          <w:szCs w:val="20"/>
          <w:color w:val="auto"/>
        </w:rPr>
      </w:pPr>
    </w:p>
    <w:p>
      <w:pPr>
        <w:ind w:left="320" w:hanging="320"/>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Pulse Biosciences, Inc.;</w:t>
      </w:r>
    </w:p>
    <w:p>
      <w:pPr>
        <w:spacing w:after="0" w:line="117" w:lineRule="exact"/>
        <w:rPr>
          <w:rFonts w:ascii="Arial" w:cs="Arial" w:eastAsia="Arial" w:hAnsi="Arial"/>
          <w:sz w:val="18"/>
          <w:szCs w:val="18"/>
          <w:color w:val="auto"/>
        </w:rPr>
      </w:pPr>
    </w:p>
    <w:p>
      <w:pPr>
        <w:ind w:left="320" w:right="120" w:hanging="320"/>
        <w:spacing w:after="0" w:line="224"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40" w:hanging="320"/>
        <w:spacing w:after="0" w:line="224"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320" w:hanging="320"/>
        <w:spacing w:after="0" w:line="237" w:lineRule="auto"/>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7"/>
          <w:szCs w:val="17"/>
          <w:color w:val="auto"/>
        </w:rPr>
      </w:pPr>
    </w:p>
    <w:p>
      <w:pPr>
        <w:ind w:left="640" w:right="200" w:hanging="316"/>
        <w:spacing w:after="0" w:line="219"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40" w:right="100" w:hanging="316"/>
        <w:spacing w:after="0" w:line="259" w:lineRule="auto"/>
        <w:tabs>
          <w:tab w:leader="none" w:pos="6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280" w:hanging="316"/>
        <w:spacing w:after="0" w:line="224"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140" w:hanging="316"/>
        <w:spacing w:after="0" w:line="219"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260" w:hanging="320"/>
        <w:spacing w:after="0" w:line="224"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460" w:hanging="316"/>
        <w:spacing w:after="0" w:line="224"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sz w:val="20"/>
          <w:szCs w:val="20"/>
          <w:color w:val="auto"/>
        </w:rPr>
      </w:pPr>
    </w:p>
    <w:p>
      <w:pPr>
        <w:ind w:left="640" w:right="280" w:hanging="316"/>
        <w:spacing w:after="0" w:line="235"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40" w:val="left"/>
          <w:tab w:leader="none" w:pos="5000" w:val="left"/>
        </w:tabs>
        <w:rPr>
          <w:sz w:val="20"/>
          <w:szCs w:val="20"/>
          <w:color w:val="auto"/>
        </w:rPr>
      </w:pPr>
      <w:r>
        <w:rPr>
          <w:rFonts w:ascii="Arial" w:cs="Arial" w:eastAsia="Arial" w:hAnsi="Arial"/>
          <w:sz w:val="18"/>
          <w:szCs w:val="18"/>
          <w:color w:val="auto"/>
        </w:rPr>
        <w:t>Date: 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Darrin R. Uecker</w:t>
      </w:r>
    </w:p>
    <w:p>
      <w:pPr>
        <w:ind w:left="502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5940425"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Sandra Gardiner, certify that:</w:t>
      </w:r>
    </w:p>
    <w:p>
      <w:pPr>
        <w:spacing w:after="0" w:line="117" w:lineRule="exact"/>
        <w:rPr>
          <w:sz w:val="20"/>
          <w:szCs w:val="20"/>
          <w:color w:val="auto"/>
        </w:rPr>
      </w:pPr>
    </w:p>
    <w:p>
      <w:pPr>
        <w:ind w:left="320" w:hanging="320"/>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Pulse Biosciences, Inc.;</w:t>
      </w:r>
    </w:p>
    <w:p>
      <w:pPr>
        <w:spacing w:after="0" w:line="117" w:lineRule="exact"/>
        <w:rPr>
          <w:rFonts w:ascii="Arial" w:cs="Arial" w:eastAsia="Arial" w:hAnsi="Arial"/>
          <w:sz w:val="18"/>
          <w:szCs w:val="18"/>
          <w:color w:val="auto"/>
        </w:rPr>
      </w:pPr>
    </w:p>
    <w:p>
      <w:pPr>
        <w:ind w:left="320" w:right="120" w:hanging="320"/>
        <w:spacing w:after="0" w:line="224"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40" w:hanging="320"/>
        <w:spacing w:after="0" w:line="224"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320" w:hanging="320"/>
        <w:spacing w:after="0" w:line="237" w:lineRule="auto"/>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7"/>
          <w:szCs w:val="17"/>
          <w:color w:val="auto"/>
        </w:rPr>
      </w:pPr>
    </w:p>
    <w:p>
      <w:pPr>
        <w:ind w:left="640" w:right="200" w:hanging="316"/>
        <w:spacing w:after="0" w:line="219" w:lineRule="auto"/>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40" w:right="100" w:hanging="316"/>
        <w:spacing w:after="0" w:line="259" w:lineRule="auto"/>
        <w:tabs>
          <w:tab w:leader="none" w:pos="6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280" w:hanging="316"/>
        <w:spacing w:after="0" w:line="224" w:lineRule="auto"/>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140" w:hanging="316"/>
        <w:spacing w:after="0" w:line="219" w:lineRule="auto"/>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260" w:hanging="320"/>
        <w:spacing w:after="0" w:line="224"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460" w:hanging="316"/>
        <w:spacing w:after="0" w:line="224" w:lineRule="auto"/>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280" w:hanging="316"/>
        <w:spacing w:after="0" w:line="235" w:lineRule="auto"/>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40" w:val="left"/>
          <w:tab w:leader="none" w:pos="5000" w:val="left"/>
        </w:tabs>
        <w:rPr>
          <w:sz w:val="20"/>
          <w:szCs w:val="20"/>
          <w:color w:val="auto"/>
        </w:rPr>
      </w:pPr>
      <w:r>
        <w:rPr>
          <w:rFonts w:ascii="Arial" w:cs="Arial" w:eastAsia="Arial" w:hAnsi="Arial"/>
          <w:sz w:val="18"/>
          <w:szCs w:val="18"/>
          <w:color w:val="auto"/>
        </w:rPr>
        <w:t>Date: March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Sandra Gardiner</w:t>
      </w:r>
    </w:p>
    <w:p>
      <w:pPr>
        <w:ind w:left="5020"/>
        <w:spacing w:after="0" w:line="203" w:lineRule="auto"/>
        <w:rPr>
          <w:sz w:val="20"/>
          <w:szCs w:val="20"/>
          <w:color w:val="auto"/>
        </w:rPr>
      </w:pPr>
      <w:r>
        <w:rPr>
          <w:rFonts w:ascii="Arial" w:cs="Arial" w:eastAsia="Arial" w:hAnsi="Arial"/>
          <w:sz w:val="18"/>
          <w:szCs w:val="18"/>
          <w:color w:val="auto"/>
        </w:rPr>
        <w:t>Chief Financial Officer, Executive Vice President of</w:t>
      </w:r>
    </w:p>
    <w:p>
      <w:pPr>
        <w:ind w:left="5020"/>
        <w:spacing w:after="0" w:line="204" w:lineRule="auto"/>
        <w:rPr>
          <w:sz w:val="20"/>
          <w:szCs w:val="20"/>
          <w:color w:val="auto"/>
        </w:rPr>
      </w:pPr>
      <w:r>
        <w:rPr>
          <w:rFonts w:ascii="Arial" w:cs="Arial" w:eastAsia="Arial" w:hAnsi="Arial"/>
          <w:sz w:val="18"/>
          <w:szCs w:val="18"/>
          <w:color w:val="auto"/>
        </w:rPr>
        <w:t>Finance and Administration, and Treasurer</w:t>
      </w:r>
    </w:p>
    <w:p>
      <w:pPr>
        <w:ind w:left="50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5940425"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240" w:right="2280" w:firstLine="129"/>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In connection with the Annual Report of Pulse Biosciences, Inc. (the “Company”) on Form 10-K for the fiscal year ended December 31, 2021 as filed with the Securities and Exchange Commission on the date hereof (the “Report”), each of the undersigned certify, pursuant to 18 U.S.C. Section 1350, as adopted pursuant to Section 906 of the Sarbanes-Oxley Act of 2002, that to the best of his or her knowledge:</w:t>
      </w:r>
    </w:p>
    <w:p>
      <w:pPr>
        <w:spacing w:after="0" w:line="41" w:lineRule="exact"/>
        <w:rPr>
          <w:sz w:val="20"/>
          <w:szCs w:val="20"/>
          <w:color w:val="auto"/>
        </w:rPr>
      </w:pPr>
    </w:p>
    <w:p>
      <w:pPr>
        <w:ind w:right="140" w:firstLine="441"/>
        <w:spacing w:after="0" w:line="235"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61" w:lineRule="exact"/>
        <w:rPr>
          <w:rFonts w:ascii="Arial" w:cs="Arial" w:eastAsia="Arial" w:hAnsi="Arial"/>
          <w:sz w:val="18"/>
          <w:szCs w:val="18"/>
          <w:color w:val="auto"/>
        </w:rPr>
      </w:pPr>
    </w:p>
    <w:p>
      <w:pPr>
        <w:ind w:right="240" w:firstLine="441"/>
        <w:spacing w:after="0" w:line="235"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33" w:lineRule="exact"/>
        <w:rPr>
          <w:sz w:val="20"/>
          <w:szCs w:val="20"/>
          <w:color w:val="auto"/>
        </w:rPr>
      </w:pPr>
    </w:p>
    <w:p>
      <w:pPr>
        <w:spacing w:after="0"/>
        <w:tabs>
          <w:tab w:leader="none" w:pos="5000" w:val="left"/>
        </w:tabs>
        <w:rPr>
          <w:sz w:val="20"/>
          <w:szCs w:val="20"/>
          <w:color w:val="auto"/>
        </w:rPr>
      </w:pPr>
      <w:r>
        <w:rPr>
          <w:rFonts w:ascii="Arial" w:cs="Arial" w:eastAsia="Arial" w:hAnsi="Arial"/>
          <w:sz w:val="18"/>
          <w:szCs w:val="18"/>
          <w:color w:val="auto"/>
        </w:rPr>
        <w:t>Date: March 31, 2022</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Darrin R. Uecker</w:t>
      </w:r>
    </w:p>
    <w:p>
      <w:pPr>
        <w:ind w:left="502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Sandra Gardiner</w:t>
      </w:r>
    </w:p>
    <w:p>
      <w:pPr>
        <w:ind w:left="5020"/>
        <w:spacing w:after="0" w:line="203" w:lineRule="auto"/>
        <w:rPr>
          <w:sz w:val="20"/>
          <w:szCs w:val="20"/>
          <w:color w:val="auto"/>
        </w:rPr>
      </w:pPr>
      <w:r>
        <w:rPr>
          <w:rFonts w:ascii="Arial" w:cs="Arial" w:eastAsia="Arial" w:hAnsi="Arial"/>
          <w:sz w:val="18"/>
          <w:szCs w:val="18"/>
          <w:color w:val="auto"/>
        </w:rPr>
        <w:t>Chief Financial Officer, Executive Vice President of</w:t>
      </w:r>
    </w:p>
    <w:p>
      <w:pPr>
        <w:ind w:left="5020"/>
        <w:spacing w:after="0" w:line="204" w:lineRule="auto"/>
        <w:rPr>
          <w:sz w:val="20"/>
          <w:szCs w:val="20"/>
          <w:color w:val="auto"/>
        </w:rPr>
      </w:pPr>
      <w:r>
        <w:rPr>
          <w:rFonts w:ascii="Arial" w:cs="Arial" w:eastAsia="Arial" w:hAnsi="Arial"/>
          <w:sz w:val="18"/>
          <w:szCs w:val="18"/>
          <w:color w:val="auto"/>
        </w:rPr>
        <w:t>Finance and Administration, and Treasurer</w:t>
      </w:r>
    </w:p>
    <w:p>
      <w:pPr>
        <w:ind w:left="50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ind w:right="160"/>
        <w:spacing w:after="0" w:line="216" w:lineRule="auto"/>
        <w:tabs>
          <w:tab w:leader="none" w:pos="7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 except to the extent the Company specifically incorporates these certifications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5940425"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sectPr>
      <w:pgSz w:w="11900" w:h="16838" w:orient="portrait"/>
      <w:cols w:equalWidth="0" w:num="1">
        <w:col w:w="9280"/>
      </w:cols>
      <w:pgMar w:left="1300" w:top="108"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o"/>
      <w:numFmt w:val="bullet"/>
      <w:start w:val="1"/>
    </w:lvl>
  </w:abstractNum>
  <w:abstractNum w:abstractNumId="3">
    <w:nsid w:val="2D517796"/>
    <w:multiLevelType w:val="hybridMultilevel"/>
    <w:lvl w:ilvl="0">
      <w:lvlJc w:val="left"/>
      <w:lvlText w:val="o"/>
      <w:numFmt w:val="bullet"/>
      <w:start w:val="1"/>
    </w:lvl>
  </w:abstractNum>
  <w:abstractNum w:abstractNumId="4">
    <w:nsid w:val="580BD78F"/>
    <w:multiLevelType w:val="hybridMultilevel"/>
    <w:lvl w:ilvl="0">
      <w:lvlJc w:val="left"/>
      <w:lvlText w:val="o"/>
      <w:numFmt w:val="bullet"/>
      <w:start w:val="1"/>
    </w:lvl>
  </w:abstractNum>
  <w:abstractNum w:abstractNumId="5">
    <w:nsid w:val="153EA438"/>
    <w:multiLevelType w:val="hybridMultilevel"/>
    <w:lvl w:ilvl="0">
      <w:lvlJc w:val="left"/>
      <w:lvlText w:val="o"/>
      <w:numFmt w:val="bullet"/>
      <w:start w:val="1"/>
    </w:lvl>
  </w:abstractNum>
  <w:abstractNum w:abstractNumId="6">
    <w:nsid w:val="3855585C"/>
    <w:multiLevelType w:val="hybridMultilevel"/>
    <w:lvl w:ilvl="0">
      <w:lvlJc w:val="left"/>
      <w:lvlText w:val="o"/>
      <w:numFmt w:val="bullet"/>
      <w:start w:val="1"/>
    </w:lvl>
  </w:abstractNum>
  <w:abstractNum w:abstractNumId="7">
    <w:nsid w:val="70A64E2A"/>
    <w:multiLevelType w:val="hybridMultilevel"/>
    <w:lvl w:ilvl="0">
      <w:lvlJc w:val="left"/>
      <w:lvlText w:val="o"/>
      <w:numFmt w:val="bullet"/>
      <w:start w:val="1"/>
    </w:lvl>
  </w:abstractNum>
  <w:abstractNum w:abstractNumId="8">
    <w:nsid w:val="6A2342EC"/>
    <w:multiLevelType w:val="hybridMultilevel"/>
    <w:lvl w:ilvl="0">
      <w:lvlJc w:val="left"/>
      <w:lvlText w:val="%1"/>
      <w:numFmt w:val="upperLetter"/>
      <w:start w:val="35"/>
    </w:lvl>
  </w:abstractNum>
  <w:abstractNum w:abstractNumId="9">
    <w:nsid w:val="2A487CB0"/>
    <w:multiLevelType w:val="hybridMultilevel"/>
    <w:lvl w:ilvl="0">
      <w:lvlJc w:val="left"/>
      <w:lvlText w:val="(%1)"/>
      <w:numFmt w:val="decimal"/>
      <w:start w:val="3"/>
    </w:lvl>
  </w:abstractNum>
  <w:abstractNum w:abstractNumId="10">
    <w:nsid w:val="1D4ED43B"/>
    <w:multiLevelType w:val="hybridMultilevel"/>
    <w:lvl w:ilvl="0">
      <w:lvlJc w:val="left"/>
      <w:lvlText w:val="(%1)"/>
      <w:numFmt w:val="lowerRoman"/>
      <w:start w:val="2"/>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decimal"/>
      <w:start w:val="13"/>
    </w:lvl>
  </w:abstractNum>
  <w:abstractNum w:abstractNumId="13">
    <w:nsid w:val="57E4CCAF"/>
    <w:multiLevelType w:val="hybridMultilevel"/>
    <w:lvl w:ilvl="0">
      <w:lvlJc w:val="left"/>
      <w:lvlText w:val="(%1)"/>
      <w:numFmt w:val="lowerLetter"/>
      <w:start w:val="1"/>
    </w:lvl>
    <w:lvl w:ilvl="1">
      <w:lvlJc w:val="left"/>
      <w:lvlText w:val="%2."/>
      <w:numFmt w:val="decimal"/>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lvl w:ilvl="1">
      <w:lvlJc w:val="left"/>
      <w:lvlText w:val="(%2)"/>
      <w:numFmt w:val="lowerLetter"/>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2"/>
    </w:lvl>
    <w:lvl w:ilvl="1">
      <w:lvlJc w:val="left"/>
      <w:lvlText w:val="(%2)"/>
      <w:numFmt w:val="lowerLetter"/>
      <w:start w:val="1"/>
    </w:lvl>
  </w:abstractNum>
  <w:abstractNum w:abstractNumId="18">
    <w:nsid w:val="38437FD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19">
    <w:nsid w:val="7644A45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20">
    <w:nsid w:val="32FFF902"/>
    <w:multiLevelType w:val="hybridMultilevel"/>
    <w:lvl w:ilvl="0">
      <w:lvlJc w:val="left"/>
      <w:lvlText w:val="(%1)"/>
      <w:numFmt w:val="lowerRoman"/>
      <w:start w:val="2"/>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lowerLetter"/>
      <w:start w:val="1"/>
    </w:lvl>
    <w:lvl w:ilvl="1">
      <w:lvlJc w:val="left"/>
      <w:lvlText w:val="(%2)"/>
      <w:numFmt w:val="lowerLetter"/>
      <w:start w:val="35"/>
    </w:lvl>
  </w:abstractNum>
  <w:abstractNum w:abstractNumId="23">
    <w:nsid w:val="749ABB43"/>
    <w:multiLevelType w:val="hybridMultilevel"/>
    <w:lvl w:ilvl="0">
      <w:lvlJc w:val="left"/>
      <w:lvlText w:val="(%1)"/>
      <w:numFmt w:val="lowerLetter"/>
      <w:start w:val="4"/>
    </w:lvl>
    <w:lvl w:ilvl="1">
      <w:lvlJc w:val="left"/>
      <w:lvlText w:val="%2"/>
      <w:numFmt w:val="lowerLetter"/>
      <w:start w:val="1"/>
    </w:lvl>
  </w:abstractNum>
  <w:abstractNum w:abstractNumId="24">
    <w:nsid w:val="3DC240FB"/>
    <w:multiLevelType w:val="hybridMultilevel"/>
    <w:lvl w:ilvl="0">
      <w:lvlJc w:val="left"/>
      <w:lvlText w:val="(%1)"/>
      <w:numFmt w:val="lowerLetter"/>
      <w:start w:val="2"/>
    </w:lvl>
  </w:abstractNum>
  <w:abstractNum w:abstractNumId="25">
    <w:nsid w:val="1BA026FA"/>
    <w:multiLevelType w:val="hybridMultilevel"/>
    <w:lvl w:ilvl="0">
      <w:lvlJc w:val="left"/>
      <w:lvlText w:val="%1."/>
      <w:numFmt w:val="decimal"/>
      <w:start w:val="7"/>
    </w:lvl>
    <w:lvl w:ilvl="1">
      <w:lvlJc w:val="left"/>
      <w:lvlText w:val="(%2)"/>
      <w:numFmt w:val="lowerLetter"/>
      <w:start w:val="1"/>
    </w:lvl>
  </w:abstractNum>
  <w:abstractNum w:abstractNumId="26">
    <w:nsid w:val="79A1DEAA"/>
    <w:multiLevelType w:val="hybridMultilevel"/>
    <w:lvl w:ilvl="0">
      <w:lvlJc w:val="left"/>
      <w:lvlText w:val="(%1)"/>
      <w:numFmt w:val="lowerLetter"/>
      <w:start w:val="5"/>
    </w:lvl>
  </w:abstractNum>
  <w:abstractNum w:abstractNumId="27">
    <w:nsid w:val="75C6C33A"/>
    <w:multiLevelType w:val="hybridMultilevel"/>
    <w:lvl w:ilvl="0">
      <w:lvlJc w:val="left"/>
      <w:lvlText w:val="(%1)"/>
      <w:numFmt w:val="lowerLetter"/>
      <w:start w:val="2"/>
    </w:lvl>
    <w:lvl w:ilvl="1">
      <w:lvlJc w:val="left"/>
      <w:lvlText w:val="(%2)"/>
      <w:numFmt w:val="lowerLetter"/>
      <w:start w:val="9"/>
    </w:lvl>
  </w:abstractNum>
  <w:abstractNum w:abstractNumId="28">
    <w:nsid w:val="12E685FB"/>
    <w:multiLevelType w:val="hybridMultilevel"/>
    <w:lvl w:ilvl="0">
      <w:lvlJc w:val="left"/>
      <w:lvlText w:val="(%1)"/>
      <w:numFmt w:val="lowerRoman"/>
      <w:start w:val="1"/>
    </w:lvl>
  </w:abstractNum>
  <w:abstractNum w:abstractNumId="29">
    <w:nsid w:val="70C6A529"/>
    <w:multiLevelType w:val="hybridMultilevel"/>
    <w:lvl w:ilvl="0">
      <w:lvlJc w:val="left"/>
      <w:lvlText w:val="(%1)"/>
      <w:numFmt w:val="lowerRoman"/>
      <w:start w:val="2"/>
    </w:lvl>
  </w:abstractNum>
  <w:abstractNum w:abstractNumId="30">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35"/>
    </w:lvl>
  </w:abstractNum>
  <w:abstractNum w:abstractNumId="31">
    <w:nsid w:val="374A3FE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Letter"/>
      <w:start w:val="1"/>
    </w:lvl>
  </w:abstractNum>
  <w:abstractNum w:abstractNumId="32">
    <w:nsid w:val="4F4EF00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3">
    <w:nsid w:val="23F9C13C"/>
    <w:multiLevelType w:val="hybridMultilevel"/>
    <w:lvl w:ilvl="0">
      <w:lvlJc w:val="left"/>
      <w:lvlText w:val="(%1)"/>
      <w:numFmt w:val="decimal"/>
      <w:start w:val="4"/>
    </w:lvl>
  </w:abstractNum>
  <w:abstractNum w:abstractNumId="34">
    <w:nsid w:val="649BB77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35">
    <w:nsid w:val="275AC794"/>
    <w:multiLevelType w:val="hybridMultilevel"/>
    <w:lvl w:ilvl="0">
      <w:lvlJc w:val="left"/>
      <w:lvlText w:val="(%1)"/>
      <w:numFmt w:val="lowerRoman"/>
      <w:start w:val="2"/>
    </w:lvl>
  </w:abstractNum>
  <w:abstractNum w:abstractNumId="36">
    <w:nsid w:val="39386575"/>
    <w:multiLevelType w:val="hybridMultilevel"/>
    <w:lvl w:ilvl="0">
      <w:lvlJc w:val="left"/>
      <w:lvlText w:val="(%1)"/>
      <w:numFmt w:val="lowerRoman"/>
      <w:start w:val="3"/>
    </w:lvl>
  </w:abstractNum>
  <w:abstractNum w:abstractNumId="37">
    <w:nsid w:val="1CF10FD8"/>
    <w:multiLevelType w:val="hybridMultilevel"/>
    <w:lvl w:ilvl="0">
      <w:lvlJc w:val="left"/>
      <w:lvlText w:val="(%1)"/>
      <w:numFmt w:val="lowerLetter"/>
      <w:start w:val="7"/>
    </w:lvl>
  </w:abstractNum>
  <w:abstractNum w:abstractNumId="38">
    <w:nsid w:val="180115BE"/>
    <w:multiLevelType w:val="hybridMultilevel"/>
    <w:lvl w:ilvl="0">
      <w:lvlJc w:val="left"/>
      <w:lvlText w:val="(%1)"/>
      <w:numFmt w:val="lowerLetter"/>
      <w:start w:val="3"/>
    </w:lvl>
  </w:abstractNum>
  <w:abstractNum w:abstractNumId="39">
    <w:nsid w:val="235BA861"/>
    <w:multiLevelType w:val="hybridMultilevel"/>
    <w:lvl w:ilvl="0">
      <w:lvlJc w:val="left"/>
      <w:lvlText w:val="(%1)"/>
      <w:numFmt w:val="lowerLetter"/>
      <w:start w:val="8"/>
    </w:lvl>
  </w:abstractNum>
  <w:abstractNum w:abstractNumId="40">
    <w:nsid w:val="47398C89"/>
    <w:multiLevelType w:val="hybridMultilevel"/>
    <w:lvl w:ilvl="0">
      <w:lvlJc w:val="left"/>
      <w:lvlText w:val="(%1)"/>
      <w:numFmt w:val="lowerLetter"/>
      <w:start w:val="4"/>
    </w:lvl>
  </w:abstractNum>
  <w:abstractNum w:abstractNumId="41">
    <w:nsid w:val="354FE9F9"/>
    <w:multiLevelType w:val="hybridMultilevel"/>
    <w:lvl w:ilvl="0">
      <w:lvlJc w:val="left"/>
      <w:lvlText w:val="%1"/>
      <w:numFmt w:val="decimal"/>
      <w:start w:val="1"/>
    </w:lvl>
    <w:lvl w:ilvl="1">
      <w:lvlJc w:val="left"/>
      <w:lvlText w:val="(%2)"/>
      <w:numFmt w:val="lowerLetter"/>
      <w:start w:val="10"/>
    </w:lvl>
  </w:abstractNum>
  <w:abstractNum w:abstractNumId="42">
    <w:nsid w:val="15B5AF5C"/>
    <w:multiLevelType w:val="hybridMultilevel"/>
    <w:lvl w:ilvl="0">
      <w:lvlJc w:val="left"/>
      <w:lvlText w:val="%1."/>
      <w:numFmt w:val="decimal"/>
      <w:start w:val="10"/>
    </w:lvl>
    <w:lvl w:ilvl="1">
      <w:lvlJc w:val="left"/>
      <w:lvlText w:val="%2"/>
      <w:numFmt w:val="lowerLetter"/>
      <w:start w:val="1"/>
    </w:lvl>
  </w:abstractNum>
  <w:abstractNum w:abstractNumId="43">
    <w:nsid w:val="741226BB"/>
    <w:multiLevelType w:val="hybridMultilevel"/>
    <w:lvl w:ilvl="0">
      <w:lvlJc w:val="left"/>
      <w:lvlText w:val="%1."/>
      <w:numFmt w:val="decimal"/>
      <w:start w:val="12"/>
    </w:lvl>
  </w:abstractNum>
  <w:abstractNum w:abstractNumId="44">
    <w:nsid w:val="D34B6A8"/>
    <w:multiLevelType w:val="hybridMultilevel"/>
    <w:lvl w:ilvl="0">
      <w:lvlJc w:val="left"/>
      <w:lvlText w:val="%1."/>
      <w:numFmt w:val="decimal"/>
      <w:start w:val="2"/>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4"/>
    </w:lvl>
  </w:abstractNum>
  <w:abstractNum w:abstractNumId="48">
    <w:nsid w:val="7E0C57B1"/>
    <w:multiLevelType w:val="hybridMultilevel"/>
    <w:lvl w:ilvl="0">
      <w:lvlJc w:val="left"/>
      <w:lvlText w:val="%1."/>
      <w:numFmt w:val="decimal"/>
      <w:start w:val="1"/>
    </w:lvl>
    <w:lvl w:ilvl="1">
      <w:lvlJc w:val="left"/>
      <w:lvlText w:val="(%2)"/>
      <w:numFmt w:val="lowerLetter"/>
      <w:start w:val="1"/>
    </w:lvl>
  </w:abstractNum>
  <w:abstractNum w:abstractNumId="49">
    <w:nsid w:val="77AE35EB"/>
    <w:multiLevelType w:val="hybridMultilevel"/>
    <w:lvl w:ilvl="0">
      <w:lvlJc w:val="left"/>
      <w:lvlText w:val="%1."/>
      <w:numFmt w:val="decimal"/>
      <w:start w:val="3"/>
    </w:lvl>
    <w:lvl w:ilvl="1">
      <w:lvlJc w:val="left"/>
      <w:lvlText w:val="(%2)"/>
      <w:numFmt w:val="lowerLetter"/>
      <w:start w:val="1"/>
    </w:lvl>
  </w:abstractNum>
  <w:abstractNum w:abstractNumId="50">
    <w:nsid w:val="579BE4F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lvl w:ilvl="4">
      <w:lvlJc w:val="left"/>
      <w:lvlText w:val="%5"/>
      <w:numFmt w:val="lowerRoman"/>
      <w:start w:val="1"/>
    </w:lvl>
    <w:lvl w:ilvl="5">
      <w:lvlJc w:val="left"/>
      <w:lvlText w:val="%6"/>
      <w:numFmt w:val="decimal"/>
      <w:start w:val="1"/>
    </w:lvl>
  </w:abstractNum>
  <w:abstractNum w:abstractNumId="51">
    <w:nsid w:val="310C50B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2"/>
    </w:lvl>
    <w:lvl w:ilvl="5">
      <w:lvlJc w:val="left"/>
      <w:lvlText w:val="(%6)"/>
      <w:numFmt w:val="decimal"/>
      <w:start w:val="1"/>
    </w:lvl>
  </w:abstractNum>
  <w:abstractNum w:abstractNumId="52">
    <w:nsid w:val="5FF87E05"/>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1"/>
    </w:lvl>
    <w:lvl w:ilvl="5">
      <w:lvlJc w:val="left"/>
      <w:lvlText w:val="%6"/>
      <w:numFmt w:val="decimal"/>
      <w:start w:val="1"/>
    </w:lvl>
  </w:abstractNum>
  <w:abstractNum w:abstractNumId="53">
    <w:nsid w:val="2F305DEF"/>
    <w:multiLevelType w:val="hybridMultilevel"/>
    <w:lvl w:ilvl="0">
      <w:lvlJc w:val="left"/>
      <w:lvlText w:val="%1"/>
      <w:numFmt w:val="lowerLetter"/>
      <w:start w:val="1"/>
    </w:lvl>
    <w:lvl w:ilvl="1">
      <w:lvlJc w:val="left"/>
      <w:lvlText w:val="(%2)"/>
      <w:numFmt w:val="lowerLetter"/>
      <w:start w:val="61"/>
    </w:lvl>
  </w:abstractNum>
  <w:abstractNum w:abstractNumId="54">
    <w:nsid w:val="25A70BF7"/>
    <w:multiLevelType w:val="hybridMultilevel"/>
    <w:lvl w:ilvl="0">
      <w:lvlJc w:val="left"/>
      <w:lvlText w:val="(%1)"/>
      <w:numFmt w:val="lowerLetter"/>
      <w:start w:val="2"/>
    </w:lvl>
    <w:lvl w:ilvl="1">
      <w:lvlJc w:val="left"/>
      <w:lvlText w:val="%2"/>
      <w:numFmt w:val="lowerLetter"/>
      <w:start w:val="1"/>
    </w:lvl>
  </w:abstractNum>
  <w:abstractNum w:abstractNumId="55">
    <w:nsid w:val="1DBABF0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56">
    <w:nsid w:val="4AD084E9"/>
    <w:multiLevelType w:val="hybridMultilevel"/>
    <w:lvl w:ilvl="0">
      <w:lvlJc w:val="left"/>
      <w:lvlText w:val="(%1)"/>
      <w:numFmt w:val="lowerRoman"/>
      <w:start w:val="2"/>
    </w:lvl>
  </w:abstractNum>
  <w:abstractNum w:abstractNumId="57">
    <w:nsid w:val="1F48EAA1"/>
    <w:multiLevelType w:val="hybridMultilevel"/>
    <w:lvl w:ilvl="0">
      <w:lvlJc w:val="left"/>
      <w:lvlText w:val="%1"/>
      <w:numFmt w:val="lowerRoman"/>
      <w:start w:val="1"/>
    </w:lvl>
    <w:lvl w:ilvl="1">
      <w:lvlJc w:val="left"/>
      <w:lvlText w:val="(%2)"/>
      <w:numFmt w:val="lowerRoman"/>
      <w:start w:val="3"/>
    </w:lvl>
  </w:abstractNum>
  <w:abstractNum w:abstractNumId="58">
    <w:nsid w:val="1381823A"/>
    <w:multiLevelType w:val="hybridMultilevel"/>
    <w:lvl w:ilvl="0">
      <w:lvlJc w:val="left"/>
      <w:lvlText w:val="(%1)"/>
      <w:numFmt w:val="lowerRoman"/>
      <w:start w:val="4"/>
    </w:lvl>
    <w:lvl w:ilvl="1">
      <w:lvlJc w:val="left"/>
      <w:lvlText w:val="%2"/>
      <w:numFmt w:val="lowerRoman"/>
      <w:start w:val="1"/>
    </w:lvl>
  </w:abstractNum>
  <w:abstractNum w:abstractNumId="59">
    <w:nsid w:val="5DB70AE5"/>
    <w:multiLevelType w:val="hybridMultilevel"/>
    <w:lvl w:ilvl="0">
      <w:lvlJc w:val="left"/>
      <w:lvlText w:val="(%1)"/>
      <w:numFmt w:val="lowerRoman"/>
      <w:start w:val="5"/>
    </w:lvl>
  </w:abstractNum>
  <w:abstractNum w:abstractNumId="60">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1">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15014AC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3">
    <w:nsid w:val="5F5E7FD0"/>
    <w:multiLevelType w:val="hybridMultilevel"/>
    <w:lvl w:ilvl="0">
      <w:lvlJc w:val="left"/>
      <w:lvlText w:val="(%1)"/>
      <w:numFmt w:val="lowerLetter"/>
      <w:start w:val="2"/>
    </w:lvl>
  </w:abstractNum>
  <w:abstractNum w:abstractNumId="64">
    <w:nsid w:val="98A314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65">
    <w:nsid w:val="799D0247"/>
    <w:multiLevelType w:val="hybridMultilevel"/>
    <w:lvl w:ilvl="0">
      <w:lvlJc w:val="left"/>
      <w:lvlText w:val="(%1)"/>
      <w:numFmt w:val="lowerRoman"/>
      <w:start w:val="2"/>
    </w:lvl>
  </w:abstractNum>
  <w:abstractNum w:abstractNumId="66">
    <w:nsid w:val="6B94764"/>
    <w:multiLevelType w:val="hybridMultilevel"/>
    <w:lvl w:ilvl="0">
      <w:lvlJc w:val="left"/>
      <w:lvlText w:val="(%1)"/>
      <w:numFmt w:val="lowerRoman"/>
      <w:start w:val="3"/>
    </w:lvl>
  </w:abstractNum>
  <w:abstractNum w:abstractNumId="67">
    <w:nsid w:val="42C296BD"/>
    <w:multiLevelType w:val="hybridMultilevel"/>
    <w:lvl w:ilvl="0">
      <w:lvlJc w:val="left"/>
      <w:lvlText w:val="(%1)"/>
      <w:numFmt w:val="lowerLetter"/>
      <w:start w:val="3"/>
    </w:lvl>
  </w:abstractNum>
  <w:abstractNum w:abstractNumId="68">
    <w:nsid w:val="168E121F"/>
    <w:multiLevelType w:val="hybridMultilevel"/>
    <w:lvl w:ilvl="0">
      <w:lvlJc w:val="left"/>
      <w:lvlText w:val="(%1)"/>
      <w:numFmt w:val="decimal"/>
      <w:start w:val="30"/>
    </w:lvl>
    <w:lvl w:ilvl="1">
      <w:lvlJc w:val="left"/>
      <w:lvlText w:val="%2."/>
      <w:numFmt w:val="decimal"/>
      <w:start w:val="10"/>
    </w:lvl>
    <w:lvl w:ilvl="2">
      <w:lvlJc w:val="left"/>
      <w:lvlText w:val="(%3)"/>
      <w:numFmt w:val="lowerLetter"/>
      <w:start w:val="7"/>
    </w:lvl>
  </w:abstractNum>
  <w:abstractNum w:abstractNumId="69">
    <w:nsid w:val="1EBA5D23"/>
    <w:multiLevelType w:val="hybridMultilevel"/>
    <w:lvl w:ilvl="0">
      <w:lvlJc w:val="left"/>
      <w:lvlText w:val="%1."/>
      <w:numFmt w:val="decimal"/>
      <w:start w:val="13"/>
    </w:lvl>
  </w:abstractNum>
  <w:abstractNum w:abstractNumId="70">
    <w:nsid w:val="661E3F1E"/>
    <w:multiLevelType w:val="hybridMultilevel"/>
    <w:lvl w:ilvl="0">
      <w:lvlJc w:val="left"/>
      <w:lvlText w:val="%1."/>
      <w:numFmt w:val="decimal"/>
      <w:start w:val="17"/>
    </w:lvl>
    <w:lvl w:ilvl="1">
      <w:lvlJc w:val="left"/>
      <w:lvlText w:val="(%2)"/>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1" Type="http://schemas.openxmlformats.org/officeDocument/2006/relationships/image" Target="media/image122.png"/><Relationship Id="rId134" Type="http://schemas.openxmlformats.org/officeDocument/2006/relationships/image" Target="media/image123.png"/><Relationship Id="rId137" Type="http://schemas.openxmlformats.org/officeDocument/2006/relationships/image" Target="media/image124.png"/><Relationship Id="rId140" Type="http://schemas.openxmlformats.org/officeDocument/2006/relationships/image" Target="media/image125.png"/><Relationship Id="rId143" Type="http://schemas.openxmlformats.org/officeDocument/2006/relationships/image" Target="media/image126.png"/><Relationship Id="rId145" Type="http://schemas.openxmlformats.org/officeDocument/2006/relationships/image" Target="media/image127.png"/><Relationship Id="rId147" Type="http://schemas.openxmlformats.org/officeDocument/2006/relationships/image" Target="media/image128.png"/><Relationship Id="rId150" Type="http://schemas.openxmlformats.org/officeDocument/2006/relationships/image" Target="media/image129.png"/><Relationship Id="rId153" Type="http://schemas.openxmlformats.org/officeDocument/2006/relationships/image" Target="media/image130.png"/><Relationship Id="rId156" Type="http://schemas.openxmlformats.org/officeDocument/2006/relationships/image" Target="media/image131.png"/><Relationship Id="rId159" Type="http://schemas.openxmlformats.org/officeDocument/2006/relationships/image" Target="media/image132.png"/><Relationship Id="rId162" Type="http://schemas.openxmlformats.org/officeDocument/2006/relationships/image" Target="media/image133.png"/><Relationship Id="rId165" Type="http://schemas.openxmlformats.org/officeDocument/2006/relationships/image" Target="media/image134.png"/><Relationship Id="rId168"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jpeg"/><Relationship Id="rId203" Type="http://schemas.openxmlformats.org/officeDocument/2006/relationships/image" Target="media/image168.png"/><Relationship Id="rId204" Type="http://schemas.openxmlformats.org/officeDocument/2006/relationships/image" Target="media/image169.jpeg"/><Relationship Id="rId205" Type="http://schemas.openxmlformats.org/officeDocument/2006/relationships/image" Target="media/image170.png"/><Relationship Id="rId206" Type="http://schemas.openxmlformats.org/officeDocument/2006/relationships/image" Target="media/image171.jpeg"/><Relationship Id="rId207" Type="http://schemas.openxmlformats.org/officeDocument/2006/relationships/image" Target="media/image172.png"/><Relationship Id="rId208" Type="http://schemas.openxmlformats.org/officeDocument/2006/relationships/image" Target="media/image173.jpeg"/><Relationship Id="rId209" Type="http://schemas.openxmlformats.org/officeDocument/2006/relationships/image" Target="media/image174.png"/><Relationship Id="rId210" Type="http://schemas.openxmlformats.org/officeDocument/2006/relationships/image" Target="media/image175.jpeg"/><Relationship Id="rId211" Type="http://schemas.openxmlformats.org/officeDocument/2006/relationships/image" Target="media/image176.png"/><Relationship Id="rId212" Type="http://schemas.openxmlformats.org/officeDocument/2006/relationships/image" Target="media/image177.jpeg"/><Relationship Id="rId213" Type="http://schemas.openxmlformats.org/officeDocument/2006/relationships/image" Target="media/image178.png"/><Relationship Id="rId214" Type="http://schemas.openxmlformats.org/officeDocument/2006/relationships/image" Target="media/image179.jpe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jpeg"/><Relationship Id="rId218" Type="http://schemas.openxmlformats.org/officeDocument/2006/relationships/image" Target="media/image183.png"/><Relationship Id="rId219" Type="http://schemas.openxmlformats.org/officeDocument/2006/relationships/image" Target="media/image184.jpeg"/><Relationship Id="rId220" Type="http://schemas.openxmlformats.org/officeDocument/2006/relationships/image" Target="media/image185.png"/><Relationship Id="rId221" Type="http://schemas.openxmlformats.org/officeDocument/2006/relationships/image" Target="media/image186.jpeg"/><Relationship Id="rId222" Type="http://schemas.openxmlformats.org/officeDocument/2006/relationships/image" Target="media/image187.png"/><Relationship Id="rId223" Type="http://schemas.openxmlformats.org/officeDocument/2006/relationships/image" Target="media/image188.jpeg"/><Relationship Id="rId224" Type="http://schemas.openxmlformats.org/officeDocument/2006/relationships/image" Target="media/image189.png"/><Relationship Id="rId225" Type="http://schemas.openxmlformats.org/officeDocument/2006/relationships/image" Target="media/image190.jpeg"/><Relationship Id="rId226" Type="http://schemas.openxmlformats.org/officeDocument/2006/relationships/image" Target="media/image191.png"/><Relationship Id="rId227" Type="http://schemas.openxmlformats.org/officeDocument/2006/relationships/image" Target="media/image192.jpe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jpeg"/><Relationship Id="rId231" Type="http://schemas.openxmlformats.org/officeDocument/2006/relationships/image" Target="media/image196.png"/><Relationship Id="rId232" Type="http://schemas.openxmlformats.org/officeDocument/2006/relationships/image" Target="media/image197.jpeg"/><Relationship Id="rId233" Type="http://schemas.openxmlformats.org/officeDocument/2006/relationships/image" Target="media/image198.png"/><Relationship Id="rId234" Type="http://schemas.openxmlformats.org/officeDocument/2006/relationships/image" Target="media/image199.jpeg"/><Relationship Id="rId235" Type="http://schemas.openxmlformats.org/officeDocument/2006/relationships/image" Target="media/image200.png"/><Relationship Id="rId236" Type="http://schemas.openxmlformats.org/officeDocument/2006/relationships/image" Target="media/image201.jpeg"/><Relationship Id="rId237" Type="http://schemas.openxmlformats.org/officeDocument/2006/relationships/image" Target="media/image202.png"/><Relationship Id="rId238" Type="http://schemas.openxmlformats.org/officeDocument/2006/relationships/image" Target="media/image203.jpeg"/><Relationship Id="rId239" Type="http://schemas.openxmlformats.org/officeDocument/2006/relationships/image" Target="media/image204.png"/><Relationship Id="rId240" Type="http://schemas.openxmlformats.org/officeDocument/2006/relationships/image" Target="media/image205.jpe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jpeg"/><Relationship Id="rId244" Type="http://schemas.openxmlformats.org/officeDocument/2006/relationships/image" Target="media/image209.png"/><Relationship Id="rId245" Type="http://schemas.openxmlformats.org/officeDocument/2006/relationships/image" Target="media/image210.jpeg"/><Relationship Id="rId246" Type="http://schemas.openxmlformats.org/officeDocument/2006/relationships/image" Target="media/image211.png"/><Relationship Id="rId247" Type="http://schemas.openxmlformats.org/officeDocument/2006/relationships/image" Target="media/image212.jpeg"/><Relationship Id="rId248" Type="http://schemas.openxmlformats.org/officeDocument/2006/relationships/image" Target="media/image213.png"/><Relationship Id="rId249" Type="http://schemas.openxmlformats.org/officeDocument/2006/relationships/image" Target="media/image214.jpeg"/><Relationship Id="rId250" Type="http://schemas.openxmlformats.org/officeDocument/2006/relationships/image" Target="media/image215.png"/><Relationship Id="rId251" Type="http://schemas.openxmlformats.org/officeDocument/2006/relationships/image" Target="media/image216.jpe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129" Type="http://schemas.openxmlformats.org/officeDocument/2006/relationships/hyperlink" Target="http://www.sec.gov/Archives/edgar/data/1625101/000162510118000036/plse-20180618xex2_1.htm" TargetMode="External"/><Relationship Id="rId130" Type="http://schemas.openxmlformats.org/officeDocument/2006/relationships/hyperlink" Target="http://www.sec.gov/Archives/edgar/data/1625101/000162510118000036/plse-20180618xex3_1.htm" TargetMode="External"/><Relationship Id="rId132" Type="http://schemas.openxmlformats.org/officeDocument/2006/relationships/hyperlink" Target="http://www.sec.gov/Archives/edgar/data/1625101/000162510118000036/plse-20180618xex3_2.htm" TargetMode="External"/><Relationship Id="rId133" Type="http://schemas.openxmlformats.org/officeDocument/2006/relationships/hyperlink" Target="http://www.sec.gov/Archives/edgar/data/1625101/000162510118000036/plse-20180618xex3_3.htm" TargetMode="External"/><Relationship Id="rId135" Type="http://schemas.openxmlformats.org/officeDocument/2006/relationships/hyperlink" Target="http://www.sec.gov/Archives/edgar/data/1625101/000162510118000036/plse-20180618xex3_4.htm" TargetMode="External"/><Relationship Id="rId136" Type="http://schemas.openxmlformats.org/officeDocument/2006/relationships/hyperlink" Target="http://www.sec.gov/Archives/edgar/data/1625101/000162510118000036/plse-20180618xex4_1.htm" TargetMode="External"/><Relationship Id="rId138" Type="http://schemas.openxmlformats.org/officeDocument/2006/relationships/hyperlink" Target="http://www.sec.gov/Archives/edgar/data/1625101/000114036120010389/nt10010624x8_ex4-3.htm" TargetMode="External"/><Relationship Id="rId139" Type="http://schemas.openxmlformats.org/officeDocument/2006/relationships/hyperlink" Target="http://www.sec.gov/Archives/edgar/data/1625101/000114036120010389/nt10010624x8_ex4-4.htm" TargetMode="External"/><Relationship Id="rId141" Type="http://schemas.openxmlformats.org/officeDocument/2006/relationships/hyperlink" Target="http://www.sec.gov/Archives/edgar/data/1625101/000162510117000011/plse-20161231xex10_1.htm" TargetMode="External"/><Relationship Id="rId142" Type="http://schemas.openxmlformats.org/officeDocument/2006/relationships/hyperlink" Target="http://www.sec.gov/Archives/edgar/data/1625101/000119312516575202/d11949dex1012.htm" TargetMode="External"/><Relationship Id="rId144" Type="http://schemas.openxmlformats.org/officeDocument/2006/relationships/hyperlink" Target="http://www.sec.gov/Archives/edgar/data/1625101/000119312516495268/d11949dex1013.htm" TargetMode="External"/><Relationship Id="rId146" Type="http://schemas.openxmlformats.org/officeDocument/2006/relationships/hyperlink" Target="http://www.sec.gov/Archives/edgar/data/1625101/000156276217000015/plse-20170210xex10_1.htm" TargetMode="External"/><Relationship Id="rId148" Type="http://schemas.openxmlformats.org/officeDocument/2006/relationships/hyperlink" Target="http://www.sec.gov/Archives/edgar/data/1625101/000162510117000030/plse-20170925xex10_1.htm" TargetMode="External"/><Relationship Id="rId149" Type="http://schemas.openxmlformats.org/officeDocument/2006/relationships/hyperlink" Target="http://www.sec.gov/Archives/edgar/data/1625101/000119312515410608/d11949dex102.htm" TargetMode="External"/><Relationship Id="rId151" Type="http://schemas.openxmlformats.org/officeDocument/2006/relationships/hyperlink" Target="http://www.sec.gov/Archives/edgar/data/1625101/000162510117000044/plse-20171128xex10_1.htm" TargetMode="External"/><Relationship Id="rId152" Type="http://schemas.openxmlformats.org/officeDocument/2006/relationships/hyperlink" Target="http://www.sec.gov/ix?doc=/Archives/edgar/data/1625101/000162510121000014/plse-20201231x10k.htm" TargetMode="External"/><Relationship Id="rId154" Type="http://schemas.openxmlformats.org/officeDocument/2006/relationships/hyperlink" Target="http://www.sec.gov/Archives/edgar/data/1625101/000156276217000071/plse-20170519xex10_2.htm" TargetMode="External"/><Relationship Id="rId155" Type="http://schemas.openxmlformats.org/officeDocument/2006/relationships/hyperlink" Target="http://www.sec.gov/Archives/edgar/data/1625101/000119312515410608/d11949dex103.htm" TargetMode="External"/><Relationship Id="rId157" Type="http://schemas.openxmlformats.org/officeDocument/2006/relationships/hyperlink" Target="http://www.sec.gov/Archives/edgar/data/1625101/000119312515410608/d11949dex109.htm" TargetMode="External"/><Relationship Id="rId158" Type="http://schemas.openxmlformats.org/officeDocument/2006/relationships/hyperlink" Target="http://www.sec.gov/Archives/edgar/data/1625101/000156276216000431/plse-20161011xex10_1.htm" TargetMode="External"/><Relationship Id="rId160" Type="http://schemas.openxmlformats.org/officeDocument/2006/relationships/hyperlink" Target="http://www.sec.gov/Archives/edgar/data/1625101/000119312515410608/d11949dex1010.htm" TargetMode="External"/><Relationship Id="rId161" Type="http://schemas.openxmlformats.org/officeDocument/2006/relationships/hyperlink" Target="http://www.sec.gov/Archives/edgar/data/1625101/000162510118000036/plse-20180618xex10_1.htm" TargetMode="External"/><Relationship Id="rId163" Type="http://schemas.openxmlformats.org/officeDocument/2006/relationships/hyperlink" Target="http://www.sec.gov/Archives/edgar/data/1625101/000162510120000041/plse-20200630xex10_1.htm" TargetMode="External"/><Relationship Id="rId164" Type="http://schemas.openxmlformats.org/officeDocument/2006/relationships/hyperlink" Target="http://www.sec.gov/Archives/edgar/data/1625101/000162510119000025/plse-20190531xex10_19.htm" TargetMode="External"/><Relationship Id="rId166" Type="http://schemas.openxmlformats.org/officeDocument/2006/relationships/hyperlink" Target="http://www.sec.gov/Archives/edgar/data/1625101/000162510119000037/plse-20191107xex10_1.htm" TargetMode="External"/><Relationship Id="rId167" Type="http://schemas.openxmlformats.org/officeDocument/2006/relationships/hyperlink" Target="http://www.sec.gov/Archives/edgar/data/1625101/000119312521028155/d117634dex11.htm" TargetMode="External"/><Relationship Id="rId169" Type="http://schemas.openxmlformats.org/officeDocument/2006/relationships/hyperlink" Target="http://www.sec.gov/Archives/edgar/data/1625101/000162510121000012/plse-20210311xex10_1.htm" TargetMode="External"/><Relationship Id="rId170" Type="http://schemas.openxmlformats.org/officeDocument/2006/relationships/hyperlink" Target="http://www.sec.gov/Archives/edgar/data/1625101/000162510121000037/plse-20210630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2022-03-31T17:13:46Z</dcterms:created>
  <dcterms:modified xsi:type="dcterms:W3CDTF">2022-03-31T17:13:46Z</dcterms:modified>
</cp:coreProperties>
</file>