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755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550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-131445</wp:posOffset>
            </wp:positionV>
            <wp:extent cx="71755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5500" cy="5715"/>
                    </a:xfrm>
                    <a:prstGeom prst="rect">
                      <a:avLst/>
                    </a:prstGeom>
                    <a:noFill/>
                  </pic:spPr>
                </pic:pic>
              </a:graphicData>
            </a:graphic>
          </wp:anchor>
        </w:drawing>
      </w:r>
    </w:p>
    <w:p>
      <w:pPr>
        <w:jc w:val="center"/>
        <w:ind w:right="-45"/>
        <w:spacing w:after="0" w:line="225" w:lineRule="auto"/>
        <w:rPr>
          <w:sz w:val="20"/>
          <w:szCs w:val="20"/>
          <w:color w:val="auto"/>
        </w:rPr>
      </w:pPr>
      <w:r>
        <w:rPr>
          <w:rFonts w:ascii="Arial" w:cs="Arial" w:eastAsia="Arial" w:hAnsi="Arial"/>
          <w:sz w:val="20"/>
          <w:szCs w:val="20"/>
          <w:b w:val="1"/>
          <w:bCs w:val="1"/>
          <w:color w:val="auto"/>
        </w:rPr>
        <w:t>SECURITIES AND EXCHANGE COMMISSION</w:t>
      </w:r>
    </w:p>
    <w:p>
      <w:pPr>
        <w:jc w:val="center"/>
        <w:ind w:right="-45"/>
        <w:spacing w:after="0" w:line="209" w:lineRule="auto"/>
        <w:rPr>
          <w:sz w:val="20"/>
          <w:szCs w:val="20"/>
          <w:color w:val="auto"/>
        </w:rPr>
      </w:pPr>
      <w:r>
        <w:rPr>
          <w:rFonts w:ascii="Arial" w:cs="Arial" w:eastAsia="Arial" w:hAnsi="Arial"/>
          <w:sz w:val="14"/>
          <w:szCs w:val="14"/>
          <w:b w:val="1"/>
          <w:bCs w:val="1"/>
          <w:color w:val="auto"/>
        </w:rPr>
        <w:t>Washington, D.C. 20549</w:t>
      </w:r>
    </w:p>
    <w:p>
      <w:pPr>
        <w:ind w:left="4566"/>
        <w:spacing w:after="0"/>
        <w:rPr>
          <w:sz w:val="20"/>
          <w:szCs w:val="20"/>
          <w:color w:val="auto"/>
        </w:rPr>
      </w:pPr>
      <w:r>
        <w:rPr>
          <w:rFonts w:ascii="Arial" w:cs="Arial" w:eastAsia="Arial" w:hAnsi="Arial"/>
          <w:sz w:val="12"/>
          <w:szCs w:val="12"/>
          <w:b w:val="1"/>
          <w:bCs w:val="1"/>
          <w:color w:val="auto"/>
        </w:rPr>
        <w:t>___________________________________</w:t>
      </w:r>
    </w:p>
    <w:p>
      <w:pPr>
        <w:spacing w:after="0" w:line="23" w:lineRule="exact"/>
        <w:rPr>
          <w:sz w:val="24"/>
          <w:szCs w:val="24"/>
          <w:color w:val="auto"/>
        </w:rPr>
      </w:pPr>
    </w:p>
    <w:p>
      <w:pPr>
        <w:jc w:val="center"/>
        <w:ind w:right="-45"/>
        <w:spacing w:after="0"/>
        <w:rPr>
          <w:sz w:val="20"/>
          <w:szCs w:val="20"/>
          <w:color w:val="auto"/>
        </w:rPr>
      </w:pPr>
      <w:r>
        <w:rPr>
          <w:rFonts w:ascii="Arial" w:cs="Arial" w:eastAsia="Arial" w:hAnsi="Arial"/>
          <w:sz w:val="20"/>
          <w:szCs w:val="20"/>
          <w:b w:val="1"/>
          <w:bCs w:val="1"/>
          <w:color w:val="auto"/>
        </w:rPr>
        <w:t>Form 10-Q</w:t>
      </w:r>
    </w:p>
    <w:p>
      <w:pPr>
        <w:spacing w:after="0" w:line="5" w:lineRule="exact"/>
        <w:rPr>
          <w:sz w:val="24"/>
          <w:szCs w:val="24"/>
          <w:color w:val="auto"/>
        </w:rPr>
      </w:pPr>
    </w:p>
    <w:p>
      <w:pPr>
        <w:ind w:left="4566"/>
        <w:spacing w:after="0"/>
        <w:rPr>
          <w:sz w:val="20"/>
          <w:szCs w:val="20"/>
          <w:color w:val="auto"/>
        </w:rPr>
      </w:pPr>
      <w:r>
        <w:rPr>
          <w:rFonts w:ascii="Arial" w:cs="Arial" w:eastAsia="Arial" w:hAnsi="Arial"/>
          <w:sz w:val="12"/>
          <w:szCs w:val="12"/>
          <w:b w:val="1"/>
          <w:bCs w:val="1"/>
          <w:color w:val="auto"/>
        </w:rPr>
        <w:t>___________________________________</w:t>
      </w:r>
    </w:p>
    <w:p>
      <w:pPr>
        <w:spacing w:after="0" w:line="33" w:lineRule="exact"/>
        <w:rPr>
          <w:sz w:val="24"/>
          <w:szCs w:val="24"/>
          <w:color w:val="auto"/>
        </w:rPr>
      </w:pPr>
    </w:p>
    <w:p>
      <w:pPr>
        <w:ind w:left="6"/>
        <w:spacing w:after="0"/>
        <w:rPr>
          <w:sz w:val="20"/>
          <w:szCs w:val="20"/>
          <w:color w:val="auto"/>
        </w:rPr>
      </w:pPr>
      <w:r>
        <w:rPr>
          <w:rFonts w:ascii="Arial" w:cs="Arial" w:eastAsia="Arial" w:hAnsi="Arial"/>
          <w:sz w:val="12"/>
          <w:szCs w:val="12"/>
          <w:b w:val="1"/>
          <w:bCs w:val="1"/>
          <w:color w:val="auto"/>
        </w:rPr>
        <w:t>(Mark One)</w:t>
      </w:r>
    </w:p>
    <w:p>
      <w:pPr>
        <w:spacing w:after="0" w:line="257" w:lineRule="exact"/>
        <w:rPr>
          <w:sz w:val="24"/>
          <w:szCs w:val="24"/>
          <w:color w:val="auto"/>
        </w:rPr>
      </w:pPr>
    </w:p>
    <w:p>
      <w:pPr>
        <w:ind w:left="526" w:hanging="526"/>
        <w:spacing w:after="0"/>
        <w:tabs>
          <w:tab w:leader="none" w:pos="526" w:val="left"/>
        </w:tabs>
        <w:numPr>
          <w:ilvl w:val="0"/>
          <w:numId w:val="1"/>
        </w:numPr>
        <w:rPr>
          <w:rFonts w:ascii="Arial" w:cs="Arial" w:eastAsia="Arial" w:hAnsi="Arial"/>
          <w:sz w:val="14"/>
          <w:szCs w:val="14"/>
          <w:b w:val="1"/>
          <w:bCs w:val="1"/>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80" w:lineRule="exact"/>
        <w:rPr>
          <w:rFonts w:ascii="Arial" w:cs="Arial" w:eastAsia="Arial" w:hAnsi="Arial"/>
          <w:sz w:val="14"/>
          <w:szCs w:val="14"/>
          <w:b w:val="1"/>
          <w:bCs w:val="1"/>
          <w:color w:val="auto"/>
        </w:rPr>
      </w:pPr>
    </w:p>
    <w:p>
      <w:pPr>
        <w:ind w:left="4466"/>
        <w:spacing w:after="0"/>
        <w:rPr>
          <w:rFonts w:ascii="Arial" w:cs="Arial" w:eastAsia="Arial" w:hAnsi="Arial"/>
          <w:sz w:val="14"/>
          <w:szCs w:val="14"/>
          <w:b w:val="1"/>
          <w:bCs w:val="1"/>
          <w:color w:val="auto"/>
        </w:rPr>
      </w:pPr>
      <w:r>
        <w:rPr>
          <w:rFonts w:ascii="Arial" w:cs="Arial" w:eastAsia="Arial" w:hAnsi="Arial"/>
          <w:sz w:val="12"/>
          <w:szCs w:val="12"/>
          <w:b w:val="1"/>
          <w:bCs w:val="1"/>
          <w:color w:val="auto"/>
        </w:rPr>
        <w:t>For the quarterly period ended June 30, 2021</w:t>
      </w:r>
    </w:p>
    <w:p>
      <w:pPr>
        <w:spacing w:after="0" w:line="102" w:lineRule="exact"/>
        <w:rPr>
          <w:sz w:val="24"/>
          <w:szCs w:val="24"/>
          <w:color w:val="auto"/>
        </w:rPr>
      </w:pPr>
    </w:p>
    <w:p>
      <w:pPr>
        <w:jc w:val="center"/>
        <w:ind w:right="-45"/>
        <w:spacing w:after="0"/>
        <w:rPr>
          <w:sz w:val="20"/>
          <w:szCs w:val="20"/>
          <w:color w:val="auto"/>
        </w:rPr>
      </w:pPr>
      <w:r>
        <w:rPr>
          <w:rFonts w:ascii="Arial" w:cs="Arial" w:eastAsia="Arial" w:hAnsi="Arial"/>
          <w:sz w:val="12"/>
          <w:szCs w:val="12"/>
          <w:b w:val="1"/>
          <w:bCs w:val="1"/>
          <w:color w:val="auto"/>
        </w:rPr>
        <w:t>Or</w:t>
      </w:r>
    </w:p>
    <w:p>
      <w:pPr>
        <w:spacing w:after="0" w:line="257" w:lineRule="exact"/>
        <w:rPr>
          <w:sz w:val="24"/>
          <w:szCs w:val="24"/>
          <w:color w:val="auto"/>
        </w:rPr>
      </w:pPr>
    </w:p>
    <w:p>
      <w:pPr>
        <w:ind w:left="526" w:hanging="526"/>
        <w:spacing w:after="0"/>
        <w:tabs>
          <w:tab w:leader="none" w:pos="526"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1046" w:type="dxa"/>
        <w:tblCellMar>
          <w:top w:w="0" w:type="dxa"/>
          <w:left w:w="0" w:type="dxa"/>
          <w:bottom w:w="0" w:type="dxa"/>
          <w:right w:w="0" w:type="dxa"/>
        </w:tblCellMar>
      </w:tblPr>
      <w:tr>
        <w:trPr>
          <w:trHeight w:val="160"/>
        </w:trPr>
        <w:tc>
          <w:tcPr>
            <w:tcW w:w="3000" w:type="dxa"/>
            <w:vAlign w:val="bottom"/>
          </w:tcPr>
          <w:p>
            <w:pPr>
              <w:spacing w:after="0"/>
              <w:rPr>
                <w:sz w:val="13"/>
                <w:szCs w:val="13"/>
                <w:color w:val="auto"/>
              </w:rPr>
            </w:pPr>
          </w:p>
        </w:tc>
        <w:tc>
          <w:tcPr>
            <w:tcW w:w="2340" w:type="dxa"/>
            <w:vAlign w:val="bottom"/>
          </w:tcPr>
          <w:p>
            <w:pPr>
              <w:ind w:left="560"/>
              <w:spacing w:after="0"/>
              <w:rPr>
                <w:sz w:val="20"/>
                <w:szCs w:val="20"/>
                <w:color w:val="auto"/>
              </w:rPr>
            </w:pPr>
            <w:r>
              <w:rPr>
                <w:rFonts w:ascii="Arial" w:cs="Arial" w:eastAsia="Arial" w:hAnsi="Arial"/>
                <w:sz w:val="12"/>
                <w:szCs w:val="12"/>
                <w:b w:val="1"/>
                <w:bCs w:val="1"/>
                <w:color w:val="auto"/>
              </w:rPr>
              <w:t>For the transition period from</w:t>
            </w:r>
          </w:p>
        </w:tc>
        <w:tc>
          <w:tcPr>
            <w:tcW w:w="3680" w:type="dxa"/>
            <w:vAlign w:val="bottom"/>
          </w:tcPr>
          <w:p>
            <w:pPr>
              <w:ind w:left="200"/>
              <w:spacing w:after="0"/>
              <w:rPr>
                <w:sz w:val="20"/>
                <w:szCs w:val="20"/>
                <w:color w:val="auto"/>
              </w:rPr>
            </w:pPr>
            <w:r>
              <w:rPr>
                <w:rFonts w:ascii="Arial" w:cs="Arial" w:eastAsia="Arial" w:hAnsi="Arial"/>
                <w:sz w:val="12"/>
                <w:szCs w:val="12"/>
                <w:b w:val="1"/>
                <w:bCs w:val="1"/>
                <w:color w:val="auto"/>
              </w:rPr>
              <w:t>to</w:t>
            </w: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2"/>
                <w:szCs w:val="12"/>
                <w:b w:val="1"/>
                <w:bCs w:val="1"/>
                <w:color w:val="auto"/>
                <w:w w:val="93"/>
              </w:rPr>
              <w:t>Commission File Number: 001-34899</w:t>
            </w: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2"/>
                <w:szCs w:val="12"/>
                <w:b w:val="1"/>
                <w:bCs w:val="1"/>
                <w:color w:val="auto"/>
                <w:w w:val="92"/>
              </w:rPr>
              <w:t>___________________________________</w:t>
            </w:r>
          </w:p>
        </w:tc>
        <w:tc>
          <w:tcPr>
            <w:tcW w:w="0" w:type="dxa"/>
            <w:vAlign w:val="bottom"/>
          </w:tcPr>
          <w:p>
            <w:pPr>
              <w:spacing w:after="0"/>
              <w:rPr>
                <w:sz w:val="1"/>
                <w:szCs w:val="1"/>
                <w:color w:val="auto"/>
              </w:rPr>
            </w:pPr>
          </w:p>
        </w:tc>
      </w:tr>
      <w:tr>
        <w:trPr>
          <w:trHeight w:val="318"/>
        </w:trPr>
        <w:tc>
          <w:tcPr>
            <w:tcW w:w="3000" w:type="dxa"/>
            <w:vAlign w:val="bottom"/>
          </w:tcPr>
          <w:p>
            <w:pPr>
              <w:spacing w:after="0"/>
              <w:rPr>
                <w:sz w:val="24"/>
                <w:szCs w:val="24"/>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27"/>
                <w:szCs w:val="27"/>
                <w:b w:val="1"/>
                <w:bCs w:val="1"/>
                <w:color w:val="auto"/>
                <w:w w:val="85"/>
              </w:rPr>
              <w:t>Pulse Biosciences, Inc.</w:t>
            </w:r>
          </w:p>
        </w:tc>
        <w:tc>
          <w:tcPr>
            <w:tcW w:w="0" w:type="dxa"/>
            <w:vAlign w:val="bottom"/>
          </w:tcPr>
          <w:p>
            <w:pPr>
              <w:spacing w:after="0"/>
              <w:rPr>
                <w:sz w:val="1"/>
                <w:szCs w:val="1"/>
                <w:color w:val="auto"/>
              </w:rPr>
            </w:pPr>
          </w:p>
        </w:tc>
      </w:tr>
      <w:tr>
        <w:trPr>
          <w:trHeight w:val="126"/>
        </w:trPr>
        <w:tc>
          <w:tcPr>
            <w:tcW w:w="3000" w:type="dxa"/>
            <w:vAlign w:val="bottom"/>
          </w:tcPr>
          <w:p>
            <w:pPr>
              <w:spacing w:after="0"/>
              <w:rPr>
                <w:sz w:val="10"/>
                <w:szCs w:val="10"/>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0"/>
                <w:szCs w:val="10"/>
                <w:b w:val="1"/>
                <w:bCs w:val="1"/>
                <w:color w:val="auto"/>
                <w:w w:val="87"/>
              </w:rPr>
              <w:t>(Exact name of registrant as specified in its charter)</w:t>
            </w:r>
          </w:p>
        </w:tc>
        <w:tc>
          <w:tcPr>
            <w:tcW w:w="0" w:type="dxa"/>
            <w:vAlign w:val="bottom"/>
          </w:tcPr>
          <w:p>
            <w:pPr>
              <w:spacing w:after="0"/>
              <w:rPr>
                <w:sz w:val="1"/>
                <w:szCs w:val="1"/>
                <w:color w:val="auto"/>
              </w:rPr>
            </w:pPr>
          </w:p>
        </w:tc>
      </w:tr>
      <w:tr>
        <w:trPr>
          <w:trHeight w:val="341"/>
        </w:trPr>
        <w:tc>
          <w:tcPr>
            <w:tcW w:w="3000" w:type="dxa"/>
            <w:vAlign w:val="bottom"/>
          </w:tcPr>
          <w:p>
            <w:pPr>
              <w:jc w:val="center"/>
              <w:ind w:left="505"/>
              <w:spacing w:after="0"/>
              <w:rPr>
                <w:sz w:val="20"/>
                <w:szCs w:val="20"/>
                <w:color w:val="auto"/>
              </w:rPr>
            </w:pPr>
            <w:r>
              <w:rPr>
                <w:rFonts w:ascii="Arial" w:cs="Arial" w:eastAsia="Arial" w:hAnsi="Arial"/>
                <w:sz w:val="11"/>
                <w:szCs w:val="11"/>
                <w:b w:val="1"/>
                <w:bCs w:val="1"/>
                <w:color w:val="auto"/>
                <w:w w:val="90"/>
              </w:rPr>
              <w:t>Delaware</w:t>
            </w:r>
          </w:p>
        </w:tc>
        <w:tc>
          <w:tcPr>
            <w:tcW w:w="2340" w:type="dxa"/>
            <w:vAlign w:val="bottom"/>
          </w:tcPr>
          <w:p>
            <w:pPr>
              <w:spacing w:after="0"/>
              <w:rPr>
                <w:sz w:val="24"/>
                <w:szCs w:val="24"/>
                <w:color w:val="auto"/>
              </w:rPr>
            </w:pPr>
          </w:p>
        </w:tc>
        <w:tc>
          <w:tcPr>
            <w:tcW w:w="3680" w:type="dxa"/>
            <w:vAlign w:val="bottom"/>
          </w:tcPr>
          <w:p>
            <w:pPr>
              <w:jc w:val="right"/>
              <w:ind w:right="1264"/>
              <w:spacing w:after="0"/>
              <w:rPr>
                <w:sz w:val="20"/>
                <w:szCs w:val="20"/>
                <w:color w:val="auto"/>
              </w:rPr>
            </w:pPr>
            <w:r>
              <w:rPr>
                <w:rFonts w:ascii="Arial" w:cs="Arial" w:eastAsia="Arial" w:hAnsi="Arial"/>
                <w:sz w:val="11"/>
                <w:szCs w:val="11"/>
                <w:b w:val="1"/>
                <w:bCs w:val="1"/>
                <w:color w:val="auto"/>
              </w:rPr>
              <w:t>46-5696597</w:t>
            </w:r>
          </w:p>
        </w:tc>
        <w:tc>
          <w:tcPr>
            <w:tcW w:w="0" w:type="dxa"/>
            <w:vAlign w:val="bottom"/>
          </w:tcPr>
          <w:p>
            <w:pPr>
              <w:spacing w:after="0"/>
              <w:rPr>
                <w:sz w:val="1"/>
                <w:szCs w:val="1"/>
                <w:color w:val="auto"/>
              </w:rPr>
            </w:pPr>
          </w:p>
        </w:tc>
      </w:tr>
      <w:tr>
        <w:trPr>
          <w:trHeight w:val="111"/>
        </w:trPr>
        <w:tc>
          <w:tcPr>
            <w:tcW w:w="3000" w:type="dxa"/>
            <w:vAlign w:val="bottom"/>
          </w:tcPr>
          <w:p>
            <w:pPr>
              <w:jc w:val="center"/>
              <w:ind w:left="505"/>
              <w:spacing w:after="0" w:line="111" w:lineRule="exact"/>
              <w:rPr>
                <w:sz w:val="20"/>
                <w:szCs w:val="20"/>
                <w:color w:val="auto"/>
              </w:rPr>
            </w:pPr>
            <w:r>
              <w:rPr>
                <w:rFonts w:ascii="Arial" w:cs="Arial" w:eastAsia="Arial" w:hAnsi="Arial"/>
                <w:sz w:val="11"/>
                <w:szCs w:val="11"/>
                <w:b w:val="1"/>
                <w:bCs w:val="1"/>
                <w:color w:val="auto"/>
                <w:w w:val="92"/>
              </w:rPr>
              <w:t>(State or other jurisdiction of</w:t>
            </w:r>
          </w:p>
        </w:tc>
        <w:tc>
          <w:tcPr>
            <w:tcW w:w="2340" w:type="dxa"/>
            <w:vAlign w:val="bottom"/>
          </w:tcPr>
          <w:p>
            <w:pPr>
              <w:spacing w:after="0"/>
              <w:rPr>
                <w:sz w:val="9"/>
                <w:szCs w:val="9"/>
                <w:color w:val="auto"/>
              </w:rPr>
            </w:pPr>
          </w:p>
        </w:tc>
        <w:tc>
          <w:tcPr>
            <w:tcW w:w="3680" w:type="dxa"/>
            <w:vAlign w:val="bottom"/>
          </w:tcPr>
          <w:p>
            <w:pPr>
              <w:jc w:val="center"/>
              <w:ind w:left="464"/>
              <w:spacing w:after="0" w:line="111" w:lineRule="exact"/>
              <w:rPr>
                <w:sz w:val="20"/>
                <w:szCs w:val="20"/>
                <w:color w:val="auto"/>
              </w:rPr>
            </w:pPr>
            <w:r>
              <w:rPr>
                <w:rFonts w:ascii="Arial" w:cs="Arial" w:eastAsia="Arial" w:hAnsi="Arial"/>
                <w:sz w:val="11"/>
                <w:szCs w:val="11"/>
                <w:b w:val="1"/>
                <w:bCs w:val="1"/>
                <w:color w:val="auto"/>
                <w:w w:val="94"/>
              </w:rPr>
              <w:t>(I.R.S. Employer</w:t>
            </w:r>
          </w:p>
        </w:tc>
        <w:tc>
          <w:tcPr>
            <w:tcW w:w="0" w:type="dxa"/>
            <w:vAlign w:val="bottom"/>
          </w:tcPr>
          <w:p>
            <w:pPr>
              <w:spacing w:after="0"/>
              <w:rPr>
                <w:sz w:val="1"/>
                <w:szCs w:val="1"/>
                <w:color w:val="auto"/>
              </w:rPr>
            </w:pPr>
          </w:p>
        </w:tc>
      </w:tr>
      <w:tr>
        <w:trPr>
          <w:trHeight w:val="143"/>
        </w:trPr>
        <w:tc>
          <w:tcPr>
            <w:tcW w:w="3000" w:type="dxa"/>
            <w:vAlign w:val="bottom"/>
          </w:tcPr>
          <w:p>
            <w:pPr>
              <w:jc w:val="center"/>
              <w:ind w:left="505"/>
              <w:spacing w:after="0"/>
              <w:rPr>
                <w:sz w:val="20"/>
                <w:szCs w:val="20"/>
                <w:color w:val="auto"/>
              </w:rPr>
            </w:pPr>
            <w:r>
              <w:rPr>
                <w:rFonts w:ascii="Arial" w:cs="Arial" w:eastAsia="Arial" w:hAnsi="Arial"/>
                <w:sz w:val="11"/>
                <w:szCs w:val="11"/>
                <w:b w:val="1"/>
                <w:bCs w:val="1"/>
                <w:color w:val="auto"/>
                <w:w w:val="91"/>
              </w:rPr>
              <w:t>incorporation or organization)</w:t>
            </w:r>
          </w:p>
        </w:tc>
        <w:tc>
          <w:tcPr>
            <w:tcW w:w="2340" w:type="dxa"/>
            <w:vAlign w:val="bottom"/>
          </w:tcPr>
          <w:p>
            <w:pPr>
              <w:spacing w:after="0"/>
              <w:rPr>
                <w:sz w:val="12"/>
                <w:szCs w:val="12"/>
                <w:color w:val="auto"/>
              </w:rPr>
            </w:pPr>
          </w:p>
        </w:tc>
        <w:tc>
          <w:tcPr>
            <w:tcW w:w="3680" w:type="dxa"/>
            <w:vAlign w:val="bottom"/>
          </w:tcPr>
          <w:p>
            <w:pPr>
              <w:jc w:val="center"/>
              <w:ind w:left="444"/>
              <w:spacing w:after="0"/>
              <w:rPr>
                <w:sz w:val="20"/>
                <w:szCs w:val="20"/>
                <w:color w:val="auto"/>
              </w:rPr>
            </w:pPr>
            <w:r>
              <w:rPr>
                <w:rFonts w:ascii="Arial" w:cs="Arial" w:eastAsia="Arial" w:hAnsi="Arial"/>
                <w:sz w:val="11"/>
                <w:szCs w:val="11"/>
                <w:b w:val="1"/>
                <w:bCs w:val="1"/>
                <w:color w:val="auto"/>
                <w:w w:val="92"/>
              </w:rPr>
              <w:t>Identification No.)</w:t>
            </w:r>
          </w:p>
        </w:tc>
        <w:tc>
          <w:tcPr>
            <w:tcW w:w="0" w:type="dxa"/>
            <w:vAlign w:val="bottom"/>
          </w:tcPr>
          <w:p>
            <w:pPr>
              <w:spacing w:after="0"/>
              <w:rPr>
                <w:sz w:val="1"/>
                <w:szCs w:val="1"/>
                <w:color w:val="auto"/>
              </w:rPr>
            </w:pPr>
          </w:p>
        </w:tc>
      </w:tr>
      <w:tr>
        <w:trPr>
          <w:trHeight w:val="189"/>
        </w:trPr>
        <w:tc>
          <w:tcPr>
            <w:tcW w:w="3000" w:type="dxa"/>
            <w:vAlign w:val="bottom"/>
          </w:tcPr>
          <w:p>
            <w:pPr>
              <w:jc w:val="center"/>
              <w:ind w:left="525"/>
              <w:spacing w:after="0"/>
              <w:rPr>
                <w:sz w:val="20"/>
                <w:szCs w:val="20"/>
                <w:color w:val="auto"/>
              </w:rPr>
            </w:pPr>
            <w:r>
              <w:rPr>
                <w:rFonts w:ascii="Arial" w:cs="Arial" w:eastAsia="Arial" w:hAnsi="Arial"/>
                <w:sz w:val="11"/>
                <w:szCs w:val="11"/>
                <w:b w:val="1"/>
                <w:bCs w:val="1"/>
                <w:color w:val="auto"/>
                <w:w w:val="92"/>
              </w:rPr>
              <w:t>3957 Point Eden Way</w:t>
            </w:r>
          </w:p>
        </w:tc>
        <w:tc>
          <w:tcPr>
            <w:tcW w:w="2340" w:type="dxa"/>
            <w:vAlign w:val="bottom"/>
          </w:tcPr>
          <w:p>
            <w:pPr>
              <w:spacing w:after="0"/>
              <w:rPr>
                <w:sz w:val="16"/>
                <w:szCs w:val="16"/>
                <w:color w:val="auto"/>
              </w:rPr>
            </w:pPr>
          </w:p>
        </w:tc>
        <w:tc>
          <w:tcPr>
            <w:tcW w:w="3680" w:type="dxa"/>
            <w:vAlign w:val="bottom"/>
            <w:vMerge w:val="restart"/>
          </w:tcPr>
          <w:p>
            <w:pPr>
              <w:jc w:val="right"/>
              <w:ind w:right="1404"/>
              <w:spacing w:after="0"/>
              <w:rPr>
                <w:sz w:val="20"/>
                <w:szCs w:val="20"/>
                <w:color w:val="auto"/>
              </w:rPr>
            </w:pPr>
            <w:r>
              <w:rPr>
                <w:rFonts w:ascii="Arial" w:cs="Arial" w:eastAsia="Arial" w:hAnsi="Arial"/>
                <w:sz w:val="11"/>
                <w:szCs w:val="11"/>
                <w:b w:val="1"/>
                <w:bCs w:val="1"/>
                <w:color w:val="auto"/>
              </w:rPr>
              <w:t>94545</w:t>
            </w:r>
          </w:p>
        </w:tc>
        <w:tc>
          <w:tcPr>
            <w:tcW w:w="0" w:type="dxa"/>
            <w:vAlign w:val="bottom"/>
          </w:tcPr>
          <w:p>
            <w:pPr>
              <w:spacing w:after="0"/>
              <w:rPr>
                <w:sz w:val="1"/>
                <w:szCs w:val="1"/>
                <w:color w:val="auto"/>
              </w:rPr>
            </w:pPr>
          </w:p>
        </w:tc>
      </w:tr>
      <w:tr>
        <w:trPr>
          <w:trHeight w:val="111"/>
        </w:trPr>
        <w:tc>
          <w:tcPr>
            <w:tcW w:w="3000" w:type="dxa"/>
            <w:vAlign w:val="bottom"/>
          </w:tcPr>
          <w:p>
            <w:pPr>
              <w:jc w:val="center"/>
              <w:ind w:left="525"/>
              <w:spacing w:after="0" w:line="111" w:lineRule="exact"/>
              <w:rPr>
                <w:sz w:val="20"/>
                <w:szCs w:val="20"/>
                <w:color w:val="auto"/>
              </w:rPr>
            </w:pPr>
            <w:r>
              <w:rPr>
                <w:rFonts w:ascii="Arial" w:cs="Arial" w:eastAsia="Arial" w:hAnsi="Arial"/>
                <w:sz w:val="11"/>
                <w:szCs w:val="11"/>
                <w:b w:val="1"/>
                <w:bCs w:val="1"/>
                <w:color w:val="auto"/>
                <w:w w:val="97"/>
              </w:rPr>
              <w:t>Hayward, CA</w:t>
            </w:r>
          </w:p>
        </w:tc>
        <w:tc>
          <w:tcPr>
            <w:tcW w:w="2340" w:type="dxa"/>
            <w:vAlign w:val="bottom"/>
          </w:tcPr>
          <w:p>
            <w:pPr>
              <w:spacing w:after="0"/>
              <w:rPr>
                <w:sz w:val="9"/>
                <w:szCs w:val="9"/>
                <w:color w:val="auto"/>
              </w:rPr>
            </w:pPr>
          </w:p>
        </w:tc>
        <w:tc>
          <w:tcPr>
            <w:tcW w:w="3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000" w:type="dxa"/>
            <w:vAlign w:val="bottom"/>
          </w:tcPr>
          <w:p>
            <w:pPr>
              <w:jc w:val="center"/>
              <w:ind w:left="505"/>
              <w:spacing w:after="0"/>
              <w:rPr>
                <w:sz w:val="20"/>
                <w:szCs w:val="20"/>
                <w:color w:val="auto"/>
              </w:rPr>
            </w:pPr>
            <w:r>
              <w:rPr>
                <w:rFonts w:ascii="Arial" w:cs="Arial" w:eastAsia="Arial" w:hAnsi="Arial"/>
                <w:sz w:val="11"/>
                <w:szCs w:val="11"/>
                <w:b w:val="1"/>
                <w:bCs w:val="1"/>
                <w:color w:val="auto"/>
                <w:w w:val="89"/>
              </w:rPr>
              <w:t>(Address of principal executive offices)</w:t>
            </w:r>
          </w:p>
        </w:tc>
        <w:tc>
          <w:tcPr>
            <w:tcW w:w="2340" w:type="dxa"/>
            <w:vAlign w:val="bottom"/>
            <w:vMerge w:val="restart"/>
          </w:tcPr>
          <w:p>
            <w:pPr>
              <w:jc w:val="center"/>
              <w:ind w:left="796"/>
              <w:spacing w:after="0"/>
              <w:rPr>
                <w:sz w:val="20"/>
                <w:szCs w:val="20"/>
                <w:color w:val="auto"/>
              </w:rPr>
            </w:pPr>
            <w:r>
              <w:rPr>
                <w:rFonts w:ascii="Arial" w:cs="Arial" w:eastAsia="Arial" w:hAnsi="Arial"/>
                <w:sz w:val="11"/>
                <w:szCs w:val="11"/>
                <w:b w:val="1"/>
                <w:bCs w:val="1"/>
                <w:color w:val="auto"/>
                <w:w w:val="90"/>
              </w:rPr>
              <w:t>(510) 906-4600</w:t>
            </w:r>
          </w:p>
        </w:tc>
        <w:tc>
          <w:tcPr>
            <w:tcW w:w="3680" w:type="dxa"/>
            <w:vAlign w:val="bottom"/>
          </w:tcPr>
          <w:p>
            <w:pPr>
              <w:jc w:val="center"/>
              <w:ind w:left="444"/>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79"/>
        </w:trPr>
        <w:tc>
          <w:tcPr>
            <w:tcW w:w="3000" w:type="dxa"/>
            <w:vAlign w:val="bottom"/>
          </w:tcPr>
          <w:p>
            <w:pPr>
              <w:spacing w:after="0"/>
              <w:rPr>
                <w:sz w:val="6"/>
                <w:szCs w:val="6"/>
                <w:color w:val="auto"/>
              </w:rPr>
            </w:pPr>
          </w:p>
        </w:tc>
        <w:tc>
          <w:tcPr>
            <w:tcW w:w="2340" w:type="dxa"/>
            <w:vAlign w:val="bottom"/>
            <w:vMerge w:val="continue"/>
          </w:tcPr>
          <w:p>
            <w:pPr>
              <w:spacing w:after="0"/>
              <w:rPr>
                <w:sz w:val="6"/>
                <w:szCs w:val="6"/>
                <w:color w:val="auto"/>
              </w:rPr>
            </w:pPr>
          </w:p>
        </w:tc>
        <w:tc>
          <w:tcPr>
            <w:tcW w:w="3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000" w:type="dxa"/>
            <w:vAlign w:val="bottom"/>
          </w:tcPr>
          <w:p>
            <w:pPr>
              <w:spacing w:after="0"/>
              <w:rPr>
                <w:sz w:val="9"/>
                <w:szCs w:val="9"/>
                <w:color w:val="auto"/>
              </w:rPr>
            </w:pPr>
          </w:p>
        </w:tc>
        <w:tc>
          <w:tcPr>
            <w:tcW w:w="6020" w:type="dxa"/>
            <w:vAlign w:val="bottom"/>
            <w:gridSpan w:val="2"/>
          </w:tcPr>
          <w:p>
            <w:pPr>
              <w:jc w:val="center"/>
              <w:ind w:right="2744"/>
              <w:spacing w:after="0" w:line="111" w:lineRule="exact"/>
              <w:rPr>
                <w:sz w:val="20"/>
                <w:szCs w:val="20"/>
                <w:color w:val="auto"/>
              </w:rPr>
            </w:pPr>
            <w:r>
              <w:rPr>
                <w:rFonts w:ascii="Arial" w:cs="Arial" w:eastAsia="Arial" w:hAnsi="Arial"/>
                <w:sz w:val="11"/>
                <w:szCs w:val="11"/>
                <w:b w:val="1"/>
                <w:bCs w:val="1"/>
                <w:color w:val="auto"/>
                <w:w w:val="89"/>
              </w:rPr>
              <w:t>(Registrant’s telephone number, including area code)</w:t>
            </w:r>
          </w:p>
        </w:tc>
        <w:tc>
          <w:tcPr>
            <w:tcW w:w="0" w:type="dxa"/>
            <w:vAlign w:val="bottom"/>
          </w:tcPr>
          <w:p>
            <w:pPr>
              <w:spacing w:after="0"/>
              <w:rPr>
                <w:sz w:val="1"/>
                <w:szCs w:val="1"/>
                <w:color w:val="auto"/>
              </w:rPr>
            </w:pPr>
          </w:p>
        </w:tc>
      </w:tr>
      <w:tr>
        <w:trPr>
          <w:trHeight w:val="115"/>
        </w:trPr>
        <w:tc>
          <w:tcPr>
            <w:tcW w:w="3000" w:type="dxa"/>
            <w:vAlign w:val="bottom"/>
          </w:tcPr>
          <w:p>
            <w:pPr>
              <w:spacing w:after="0"/>
              <w:rPr>
                <w:sz w:val="9"/>
                <w:szCs w:val="9"/>
                <w:color w:val="auto"/>
              </w:rPr>
            </w:pPr>
          </w:p>
        </w:tc>
        <w:tc>
          <w:tcPr>
            <w:tcW w:w="6020" w:type="dxa"/>
            <w:vAlign w:val="bottom"/>
            <w:gridSpan w:val="2"/>
          </w:tcPr>
          <w:p>
            <w:pPr>
              <w:jc w:val="center"/>
              <w:ind w:right="2744"/>
              <w:spacing w:after="0" w:line="115" w:lineRule="exact"/>
              <w:rPr>
                <w:sz w:val="20"/>
                <w:szCs w:val="20"/>
                <w:color w:val="auto"/>
              </w:rPr>
            </w:pPr>
            <w:r>
              <w:rPr>
                <w:rFonts w:ascii="Arial" w:cs="Arial" w:eastAsia="Arial" w:hAnsi="Arial"/>
                <w:sz w:val="11"/>
                <w:szCs w:val="11"/>
                <w:b w:val="1"/>
                <w:bCs w:val="1"/>
                <w:color w:val="auto"/>
                <w:w w:val="90"/>
              </w:rPr>
              <w:t>___________________________________</w:t>
            </w:r>
          </w:p>
        </w:tc>
        <w:tc>
          <w:tcPr>
            <w:tcW w:w="0" w:type="dxa"/>
            <w:vAlign w:val="bottom"/>
          </w:tcPr>
          <w:p>
            <w:pPr>
              <w:spacing w:after="0"/>
              <w:rPr>
                <w:sz w:val="1"/>
                <w:szCs w:val="1"/>
                <w:color w:val="auto"/>
              </w:rPr>
            </w:pPr>
          </w:p>
        </w:tc>
      </w:tr>
      <w:tr>
        <w:trPr>
          <w:trHeight w:val="139"/>
        </w:trPr>
        <w:tc>
          <w:tcPr>
            <w:tcW w:w="3000" w:type="dxa"/>
            <w:vAlign w:val="bottom"/>
          </w:tcPr>
          <w:p>
            <w:pPr>
              <w:spacing w:after="0"/>
              <w:rPr>
                <w:sz w:val="12"/>
                <w:szCs w:val="12"/>
                <w:color w:val="auto"/>
              </w:rPr>
            </w:pPr>
          </w:p>
        </w:tc>
        <w:tc>
          <w:tcPr>
            <w:tcW w:w="6020" w:type="dxa"/>
            <w:vAlign w:val="bottom"/>
            <w:gridSpan w:val="2"/>
          </w:tcPr>
          <w:p>
            <w:pPr>
              <w:jc w:val="center"/>
              <w:ind w:right="2764"/>
              <w:spacing w:after="0"/>
              <w:rPr>
                <w:sz w:val="20"/>
                <w:szCs w:val="20"/>
                <w:color w:val="auto"/>
              </w:rPr>
            </w:pPr>
            <w:r>
              <w:rPr>
                <w:rFonts w:ascii="Arial" w:cs="Arial" w:eastAsia="Arial" w:hAnsi="Arial"/>
                <w:sz w:val="11"/>
                <w:szCs w:val="11"/>
                <w:color w:val="auto"/>
                <w:w w:val="91"/>
              </w:rPr>
              <w:t>Securities registered pursuant to Section 12(b) of the Act:</w:t>
            </w:r>
          </w:p>
        </w:tc>
        <w:tc>
          <w:tcPr>
            <w:tcW w:w="0" w:type="dxa"/>
            <w:vAlign w:val="bottom"/>
          </w:tcPr>
          <w:p>
            <w:pPr>
              <w:spacing w:after="0"/>
              <w:rPr>
                <w:sz w:val="1"/>
                <w:szCs w:val="1"/>
                <w:color w:val="auto"/>
              </w:rPr>
            </w:pPr>
          </w:p>
        </w:tc>
      </w:tr>
      <w:tr>
        <w:trPr>
          <w:trHeight w:val="231"/>
        </w:trPr>
        <w:tc>
          <w:tcPr>
            <w:tcW w:w="3000" w:type="dxa"/>
            <w:vAlign w:val="bottom"/>
          </w:tcPr>
          <w:p>
            <w:pPr>
              <w:jc w:val="center"/>
              <w:ind w:right="905"/>
              <w:spacing w:after="0"/>
              <w:rPr>
                <w:sz w:val="20"/>
                <w:szCs w:val="20"/>
                <w:color w:val="auto"/>
              </w:rPr>
            </w:pPr>
            <w:r>
              <w:rPr>
                <w:rFonts w:ascii="Arial" w:cs="Arial" w:eastAsia="Arial" w:hAnsi="Arial"/>
                <w:sz w:val="11"/>
                <w:szCs w:val="11"/>
                <w:color w:val="auto"/>
                <w:w w:val="90"/>
              </w:rPr>
              <w:t>Title of each class</w:t>
            </w:r>
          </w:p>
        </w:tc>
        <w:tc>
          <w:tcPr>
            <w:tcW w:w="2340" w:type="dxa"/>
            <w:vAlign w:val="bottom"/>
          </w:tcPr>
          <w:p>
            <w:pPr>
              <w:jc w:val="center"/>
              <w:ind w:left="476"/>
              <w:spacing w:after="0"/>
              <w:rPr>
                <w:sz w:val="20"/>
                <w:szCs w:val="20"/>
                <w:color w:val="auto"/>
              </w:rPr>
            </w:pPr>
            <w:r>
              <w:rPr>
                <w:rFonts w:ascii="Arial" w:cs="Arial" w:eastAsia="Arial" w:hAnsi="Arial"/>
                <w:sz w:val="11"/>
                <w:szCs w:val="11"/>
                <w:color w:val="auto"/>
                <w:w w:val="93"/>
              </w:rPr>
              <w:t>Trading Symbol(s)</w:t>
            </w:r>
          </w:p>
        </w:tc>
        <w:tc>
          <w:tcPr>
            <w:tcW w:w="3680" w:type="dxa"/>
            <w:vAlign w:val="bottom"/>
          </w:tcPr>
          <w:p>
            <w:pPr>
              <w:jc w:val="center"/>
              <w:ind w:left="1664"/>
              <w:spacing w:after="0"/>
              <w:rPr>
                <w:sz w:val="20"/>
                <w:szCs w:val="20"/>
                <w:color w:val="auto"/>
              </w:rPr>
            </w:pPr>
            <w:r>
              <w:rPr>
                <w:rFonts w:ascii="Arial" w:cs="Arial" w:eastAsia="Arial" w:hAnsi="Arial"/>
                <w:sz w:val="11"/>
                <w:szCs w:val="11"/>
                <w:color w:val="auto"/>
                <w:w w:val="90"/>
              </w:rPr>
              <w:t>Name of each exchange on which registered</w:t>
            </w:r>
          </w:p>
        </w:tc>
        <w:tc>
          <w:tcPr>
            <w:tcW w:w="0" w:type="dxa"/>
            <w:vAlign w:val="bottom"/>
          </w:tcPr>
          <w:p>
            <w:pPr>
              <w:spacing w:after="0"/>
              <w:rPr>
                <w:sz w:val="1"/>
                <w:szCs w:val="1"/>
                <w:color w:val="auto"/>
              </w:rPr>
            </w:pPr>
          </w:p>
        </w:tc>
      </w:tr>
      <w:tr>
        <w:trPr>
          <w:trHeight w:val="184"/>
        </w:trPr>
        <w:tc>
          <w:tcPr>
            <w:tcW w:w="3000" w:type="dxa"/>
            <w:vAlign w:val="bottom"/>
          </w:tcPr>
          <w:p>
            <w:pPr>
              <w:jc w:val="center"/>
              <w:ind w:right="905"/>
              <w:spacing w:after="0"/>
              <w:rPr>
                <w:sz w:val="20"/>
                <w:szCs w:val="20"/>
                <w:color w:val="auto"/>
              </w:rPr>
            </w:pPr>
            <w:r>
              <w:rPr>
                <w:rFonts w:ascii="Arial" w:cs="Arial" w:eastAsia="Arial" w:hAnsi="Arial"/>
                <w:sz w:val="11"/>
                <w:szCs w:val="11"/>
                <w:b w:val="1"/>
                <w:bCs w:val="1"/>
                <w:color w:val="auto"/>
                <w:w w:val="90"/>
              </w:rPr>
              <w:t>Common Stock, par value $0.001 per share</w:t>
            </w:r>
          </w:p>
        </w:tc>
        <w:tc>
          <w:tcPr>
            <w:tcW w:w="2340" w:type="dxa"/>
            <w:vAlign w:val="bottom"/>
          </w:tcPr>
          <w:p>
            <w:pPr>
              <w:jc w:val="center"/>
              <w:ind w:left="476"/>
              <w:spacing w:after="0"/>
              <w:rPr>
                <w:sz w:val="20"/>
                <w:szCs w:val="20"/>
                <w:color w:val="auto"/>
              </w:rPr>
            </w:pPr>
            <w:r>
              <w:rPr>
                <w:rFonts w:ascii="Arial" w:cs="Arial" w:eastAsia="Arial" w:hAnsi="Arial"/>
                <w:sz w:val="11"/>
                <w:szCs w:val="11"/>
                <w:b w:val="1"/>
                <w:bCs w:val="1"/>
                <w:color w:val="auto"/>
                <w:w w:val="97"/>
              </w:rPr>
              <w:t>PLSE</w:t>
            </w:r>
          </w:p>
        </w:tc>
        <w:tc>
          <w:tcPr>
            <w:tcW w:w="3680" w:type="dxa"/>
            <w:vAlign w:val="bottom"/>
          </w:tcPr>
          <w:p>
            <w:pPr>
              <w:jc w:val="center"/>
              <w:ind w:left="1644"/>
              <w:spacing w:after="0"/>
              <w:rPr>
                <w:sz w:val="20"/>
                <w:szCs w:val="20"/>
                <w:color w:val="auto"/>
              </w:rPr>
            </w:pPr>
            <w:r>
              <w:rPr>
                <w:rFonts w:ascii="Arial" w:cs="Arial" w:eastAsia="Arial" w:hAnsi="Arial"/>
                <w:sz w:val="11"/>
                <w:szCs w:val="11"/>
                <w:b w:val="1"/>
                <w:bCs w:val="1"/>
                <w:color w:val="auto"/>
                <w:w w:val="94"/>
              </w:rPr>
              <w:t>The Nasdaq Stock Market</w:t>
            </w: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6" w:right="100" w:firstLine="301"/>
        <w:spacing w:after="0" w:line="131"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1"/>
          <w:szCs w:val="11"/>
          <w:color w:val="auto"/>
        </w:rPr>
        <w:t>☐</w:t>
      </w:r>
    </w:p>
    <w:p>
      <w:pPr>
        <w:spacing w:after="0" w:line="72" w:lineRule="exact"/>
        <w:rPr>
          <w:sz w:val="24"/>
          <w:szCs w:val="24"/>
          <w:color w:val="auto"/>
        </w:rPr>
      </w:pPr>
    </w:p>
    <w:p>
      <w:pPr>
        <w:ind w:left="6" w:right="80" w:firstLine="301"/>
        <w:spacing w:after="0" w:line="131"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1"/>
          <w:szCs w:val="11"/>
          <w:color w:val="auto"/>
        </w:rPr>
        <w:t>☐</w:t>
      </w:r>
    </w:p>
    <w:p>
      <w:pPr>
        <w:spacing w:after="0" w:line="72" w:lineRule="exact"/>
        <w:rPr>
          <w:sz w:val="24"/>
          <w:szCs w:val="24"/>
          <w:color w:val="auto"/>
        </w:rPr>
      </w:pPr>
    </w:p>
    <w:p>
      <w:pPr>
        <w:ind w:left="6" w:right="60" w:firstLine="301"/>
        <w:spacing w:after="0" w:line="23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6" w:type="dxa"/>
        <w:tblCellMar>
          <w:top w:w="0" w:type="dxa"/>
          <w:left w:w="0" w:type="dxa"/>
          <w:bottom w:w="0" w:type="dxa"/>
          <w:right w:w="0" w:type="dxa"/>
        </w:tblCellMar>
      </w:tblPr>
      <w:tr>
        <w:trPr>
          <w:trHeight w:val="133"/>
        </w:trPr>
        <w:tc>
          <w:tcPr>
            <w:tcW w:w="19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3500" w:type="dxa"/>
            <w:vAlign w:val="bottom"/>
          </w:tcPr>
          <w:p>
            <w:pPr>
              <w:ind w:left="980"/>
              <w:spacing w:after="0" w:line="111" w:lineRule="exact"/>
              <w:rPr>
                <w:sz w:val="20"/>
                <w:szCs w:val="20"/>
                <w:color w:val="auto"/>
              </w:rPr>
            </w:pPr>
            <w:r>
              <w:rPr>
                <w:rFonts w:ascii="MS PGothic" w:cs="MS PGothic" w:eastAsia="MS PGothic" w:hAnsi="MS PGothic"/>
                <w:sz w:val="11"/>
                <w:szCs w:val="11"/>
                <w:color w:val="auto"/>
              </w:rPr>
              <w:t>☐</w:t>
            </w:r>
          </w:p>
        </w:tc>
        <w:tc>
          <w:tcPr>
            <w:tcW w:w="4600" w:type="dxa"/>
            <w:vAlign w:val="bottom"/>
          </w:tcPr>
          <w:p>
            <w:pPr>
              <w:ind w:left="2420"/>
              <w:spacing w:after="0"/>
              <w:rPr>
                <w:sz w:val="20"/>
                <w:szCs w:val="20"/>
                <w:color w:val="auto"/>
              </w:rPr>
            </w:pPr>
            <w:r>
              <w:rPr>
                <w:rFonts w:ascii="Arial" w:cs="Arial" w:eastAsia="Arial" w:hAnsi="Arial"/>
                <w:sz w:val="11"/>
                <w:szCs w:val="11"/>
                <w:color w:val="auto"/>
              </w:rPr>
              <w:t>Accelerated filer</w:t>
            </w:r>
          </w:p>
        </w:tc>
        <w:tc>
          <w:tcPr>
            <w:tcW w:w="1080" w:type="dxa"/>
            <w:vAlign w:val="bottom"/>
          </w:tcPr>
          <w:p>
            <w:pPr>
              <w:ind w:left="98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11"/>
        </w:trPr>
        <w:tc>
          <w:tcPr>
            <w:tcW w:w="1960" w:type="dxa"/>
            <w:vAlign w:val="bottom"/>
          </w:tcPr>
          <w:p>
            <w:pPr>
              <w:spacing w:after="0" w:line="111" w:lineRule="exact"/>
              <w:rPr>
                <w:sz w:val="20"/>
                <w:szCs w:val="20"/>
                <w:color w:val="auto"/>
              </w:rPr>
            </w:pPr>
            <w:r>
              <w:rPr>
                <w:rFonts w:ascii="Arial" w:cs="Arial" w:eastAsia="Arial" w:hAnsi="Arial"/>
                <w:sz w:val="11"/>
                <w:szCs w:val="11"/>
                <w:color w:val="auto"/>
              </w:rPr>
              <w:t>Non-accelerated filer</w:t>
            </w:r>
          </w:p>
        </w:tc>
        <w:tc>
          <w:tcPr>
            <w:tcW w:w="3500" w:type="dxa"/>
            <w:vAlign w:val="bottom"/>
          </w:tcPr>
          <w:p>
            <w:pPr>
              <w:ind w:left="980"/>
              <w:spacing w:after="0" w:line="111" w:lineRule="exact"/>
              <w:rPr>
                <w:sz w:val="20"/>
                <w:szCs w:val="20"/>
                <w:color w:val="auto"/>
              </w:rPr>
            </w:pPr>
            <w:r>
              <w:rPr>
                <w:rFonts w:ascii="Arial" w:cs="Arial" w:eastAsia="Arial" w:hAnsi="Arial"/>
                <w:sz w:val="11"/>
                <w:szCs w:val="11"/>
                <w:color w:val="auto"/>
              </w:rPr>
              <w:t>x</w:t>
            </w:r>
          </w:p>
        </w:tc>
        <w:tc>
          <w:tcPr>
            <w:tcW w:w="4600" w:type="dxa"/>
            <w:vAlign w:val="bottom"/>
          </w:tcPr>
          <w:p>
            <w:pPr>
              <w:ind w:left="2420"/>
              <w:spacing w:after="0" w:line="111" w:lineRule="exact"/>
              <w:rPr>
                <w:sz w:val="20"/>
                <w:szCs w:val="20"/>
                <w:color w:val="auto"/>
              </w:rPr>
            </w:pPr>
            <w:r>
              <w:rPr>
                <w:rFonts w:ascii="Arial" w:cs="Arial" w:eastAsia="Arial" w:hAnsi="Arial"/>
                <w:sz w:val="11"/>
                <w:szCs w:val="11"/>
                <w:color w:val="auto"/>
              </w:rPr>
              <w:t>Smaller reporting company</w:t>
            </w:r>
          </w:p>
        </w:tc>
        <w:tc>
          <w:tcPr>
            <w:tcW w:w="1080" w:type="dxa"/>
            <w:vAlign w:val="bottom"/>
          </w:tcPr>
          <w:p>
            <w:pPr>
              <w:ind w:left="980"/>
              <w:spacing w:after="0" w:line="111" w:lineRule="exact"/>
              <w:rPr>
                <w:sz w:val="20"/>
                <w:szCs w:val="20"/>
                <w:color w:val="auto"/>
              </w:rPr>
            </w:pPr>
            <w:r>
              <w:rPr>
                <w:rFonts w:ascii="Arial" w:cs="Arial" w:eastAsia="Arial" w:hAnsi="Arial"/>
                <w:sz w:val="11"/>
                <w:szCs w:val="11"/>
                <w:color w:val="auto"/>
              </w:rPr>
              <w:t>x</w:t>
            </w:r>
          </w:p>
        </w:tc>
      </w:tr>
      <w:tr>
        <w:trPr>
          <w:trHeight w:val="139"/>
        </w:trPr>
        <w:tc>
          <w:tcPr>
            <w:tcW w:w="19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4600" w:type="dxa"/>
            <w:vAlign w:val="bottom"/>
          </w:tcPr>
          <w:p>
            <w:pPr>
              <w:ind w:left="2420"/>
              <w:spacing w:after="0"/>
              <w:rPr>
                <w:sz w:val="20"/>
                <w:szCs w:val="20"/>
                <w:color w:val="auto"/>
              </w:rPr>
            </w:pPr>
            <w:r>
              <w:rPr>
                <w:rFonts w:ascii="Arial" w:cs="Arial" w:eastAsia="Arial" w:hAnsi="Arial"/>
                <w:sz w:val="11"/>
                <w:szCs w:val="11"/>
                <w:color w:val="auto"/>
              </w:rPr>
              <w:t>Emerging growth company</w:t>
            </w:r>
          </w:p>
        </w:tc>
        <w:tc>
          <w:tcPr>
            <w:tcW w:w="1080" w:type="dxa"/>
            <w:vAlign w:val="bottom"/>
          </w:tcPr>
          <w:p>
            <w:pPr>
              <w:ind w:left="980"/>
              <w:spacing w:after="0"/>
              <w:rPr>
                <w:sz w:val="20"/>
                <w:szCs w:val="20"/>
                <w:color w:val="auto"/>
              </w:rPr>
            </w:pPr>
            <w:r>
              <w:rPr>
                <w:rFonts w:ascii="Arial" w:cs="Arial" w:eastAsia="Arial" w:hAnsi="Arial"/>
                <w:sz w:val="11"/>
                <w:szCs w:val="11"/>
                <w:color w:val="auto"/>
              </w:rPr>
              <w:t>x</w:t>
            </w:r>
          </w:p>
        </w:tc>
      </w:tr>
    </w:tbl>
    <w:p>
      <w:pPr>
        <w:spacing w:after="0" w:line="83" w:lineRule="exact"/>
        <w:rPr>
          <w:sz w:val="24"/>
          <w:szCs w:val="24"/>
          <w:color w:val="auto"/>
        </w:rPr>
      </w:pPr>
    </w:p>
    <w:p>
      <w:pPr>
        <w:ind w:left="306"/>
        <w:spacing w:after="0"/>
        <w:rPr>
          <w:sz w:val="20"/>
          <w:szCs w:val="20"/>
          <w:color w:val="auto"/>
        </w:rPr>
      </w:pPr>
      <w:r>
        <w:rPr>
          <w:rFonts w:ascii="Arial" w:cs="Arial" w:eastAsia="Arial" w:hAnsi="Arial"/>
          <w:sz w:val="10"/>
          <w:szCs w:val="10"/>
          <w:color w:val="auto"/>
        </w:rPr>
        <w:t>If an emerging growth company, indicate by check mark if the registrant has elected not to use the extended transition period for complying with any new or revised financial accounting standards provided pursuant to Section 13(a) of the Exchange</w:t>
      </w:r>
    </w:p>
    <w:p>
      <w:pPr>
        <w:spacing w:after="0" w:line="4" w:lineRule="exact"/>
        <w:rPr>
          <w:sz w:val="24"/>
          <w:szCs w:val="24"/>
          <w:color w:val="auto"/>
        </w:rPr>
      </w:pPr>
    </w:p>
    <w:p>
      <w:pPr>
        <w:ind w:left="6"/>
        <w:spacing w:after="0"/>
        <w:rPr>
          <w:sz w:val="20"/>
          <w:szCs w:val="20"/>
          <w:color w:val="auto"/>
        </w:rPr>
      </w:pPr>
      <w:r>
        <w:rPr>
          <w:rFonts w:ascii="Arial" w:cs="Arial" w:eastAsia="Arial" w:hAnsi="Arial"/>
          <w:sz w:val="11"/>
          <w:szCs w:val="11"/>
          <w:color w:val="auto"/>
        </w:rPr>
        <w:t>Act. x</w:t>
      </w:r>
    </w:p>
    <w:p>
      <w:pPr>
        <w:spacing w:after="0" w:line="65" w:lineRule="exact"/>
        <w:rPr>
          <w:sz w:val="24"/>
          <w:szCs w:val="24"/>
          <w:color w:val="auto"/>
        </w:rPr>
      </w:pPr>
    </w:p>
    <w:p>
      <w:pPr>
        <w:ind w:left="266" w:right="5220" w:firstLine="27"/>
        <w:spacing w:after="0" w:line="191"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x The number of shares outstanding of the registrant’s common stock as of July 31, 2021: 29,605,930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248285</wp:posOffset>
            </wp:positionV>
            <wp:extent cx="720090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266"/>
          </w:cols>
          <w:pgMar w:left="294" w:top="4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6700" w:type="dxa"/>
            <w:vAlign w:val="bottom"/>
            <w:gridSpan w:val="23"/>
          </w:tcPr>
          <w:p>
            <w:pPr>
              <w:spacing w:after="0"/>
              <w:rPr>
                <w:rFonts w:ascii="Arial" w:cs="Arial" w:eastAsia="Arial" w:hAnsi="Arial"/>
                <w:sz w:val="12"/>
                <w:szCs w:val="12"/>
                <w:b w:val="1"/>
                <w:bCs w:val="1"/>
                <w:color w:val="0563C1"/>
              </w:rPr>
            </w:pPr>
            <w:hyperlink w:anchor="page2">
              <w:r>
                <w:rPr>
                  <w:rFonts w:ascii="Arial" w:cs="Arial" w:eastAsia="Arial" w:hAnsi="Arial"/>
                  <w:sz w:val="12"/>
                  <w:szCs w:val="12"/>
                  <w:b w:val="1"/>
                  <w:bCs w:val="1"/>
                  <w:color w:val="0563C1"/>
                </w:rPr>
                <w:t>Table of Contents</w:t>
              </w:r>
            </w:hyperlink>
          </w:p>
        </w:tc>
        <w:tc>
          <w:tcPr>
            <w:tcW w:w="4600" w:type="dxa"/>
            <w:vAlign w:val="bottom"/>
          </w:tcPr>
          <w:p>
            <w:pPr>
              <w:spacing w:after="0"/>
              <w:rPr>
                <w:sz w:val="12"/>
                <w:szCs w:val="12"/>
                <w:color w:val="auto"/>
              </w:rPr>
            </w:pPr>
          </w:p>
        </w:tc>
      </w:tr>
      <w:tr>
        <w:trPr>
          <w:trHeight w:val="367"/>
        </w:trPr>
        <w:tc>
          <w:tcPr>
            <w:tcW w:w="120" w:type="dxa"/>
            <w:vAlign w:val="bottom"/>
            <w:tcBorders>
              <w:top w:val="single" w:sz="8" w:color="0563C1"/>
            </w:tcBorders>
          </w:tcPr>
          <w:p>
            <w:pPr>
              <w:spacing w:after="0"/>
              <w:rPr>
                <w:sz w:val="24"/>
                <w:szCs w:val="24"/>
                <w:color w:val="auto"/>
              </w:rPr>
            </w:pPr>
          </w:p>
        </w:tc>
        <w:tc>
          <w:tcPr>
            <w:tcW w:w="400" w:type="dxa"/>
            <w:vAlign w:val="bottom"/>
            <w:tcBorders>
              <w:top w:val="single" w:sz="8" w:color="0563C1"/>
            </w:tcBorders>
          </w:tcPr>
          <w:p>
            <w:pPr>
              <w:spacing w:after="0"/>
              <w:rPr>
                <w:sz w:val="24"/>
                <w:szCs w:val="24"/>
                <w:color w:val="auto"/>
              </w:rPr>
            </w:pPr>
          </w:p>
        </w:tc>
        <w:tc>
          <w:tcPr>
            <w:tcW w:w="26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TABLE OF CONTENTS</w:t>
            </w:r>
          </w:p>
        </w:tc>
        <w:tc>
          <w:tcPr>
            <w:tcW w:w="4600" w:type="dxa"/>
            <w:vAlign w:val="bottom"/>
          </w:tcPr>
          <w:p>
            <w:pPr>
              <w:spacing w:after="0"/>
              <w:rPr>
                <w:sz w:val="24"/>
                <w:szCs w:val="24"/>
                <w:color w:val="auto"/>
              </w:rPr>
            </w:pPr>
          </w:p>
        </w:tc>
      </w:tr>
      <w:tr>
        <w:trPr>
          <w:trHeight w:val="237"/>
        </w:trPr>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151"/>
        </w:trPr>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0" w:type="dxa"/>
            <w:vAlign w:val="bottom"/>
          </w:tcPr>
          <w:p>
            <w:pPr>
              <w:jc w:val="right"/>
              <w:spacing w:after="0"/>
              <w:rPr>
                <w:sz w:val="20"/>
                <w:szCs w:val="20"/>
                <w:color w:val="auto"/>
              </w:rPr>
            </w:pPr>
            <w:r>
              <w:rPr>
                <w:rFonts w:ascii="Arial" w:cs="Arial" w:eastAsia="Arial" w:hAnsi="Arial"/>
                <w:sz w:val="12"/>
                <w:szCs w:val="12"/>
                <w:b w:val="1"/>
                <w:bCs w:val="1"/>
                <w:color w:val="auto"/>
              </w:rPr>
              <w:t>No.</w:t>
            </w:r>
          </w:p>
        </w:tc>
      </w:tr>
      <w:tr>
        <w:trPr>
          <w:trHeight w:val="188"/>
        </w:trPr>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100" w:type="dxa"/>
            <w:vAlign w:val="bottom"/>
            <w:tcBorders>
              <w:bottom w:val="single" w:sz="8" w:color="0563C1"/>
            </w:tcBorders>
            <w:gridSpan w:val="4"/>
            <w:shd w:val="clear" w:color="auto" w:fill="CCEEFF"/>
          </w:tcPr>
          <w:p>
            <w:pPr>
              <w:jc w:val="center"/>
              <w:spacing w:after="0"/>
              <w:rPr>
                <w:rFonts w:ascii="Arial" w:cs="Arial" w:eastAsia="Arial" w:hAnsi="Arial"/>
                <w:sz w:val="12"/>
                <w:szCs w:val="12"/>
                <w:b w:val="1"/>
                <w:bCs w:val="1"/>
                <w:color w:val="0563C1"/>
              </w:rPr>
            </w:pPr>
            <w:hyperlink w:anchor="page3">
              <w:r>
                <w:rPr>
                  <w:rFonts w:ascii="Arial" w:cs="Arial" w:eastAsia="Arial" w:hAnsi="Arial"/>
                  <w:sz w:val="12"/>
                  <w:szCs w:val="12"/>
                  <w:b w:val="1"/>
                  <w:bCs w:val="1"/>
                  <w:color w:val="0563C1"/>
                </w:rPr>
                <w:t>PART I. FINANCIAL INFORMATION</w:t>
              </w:r>
            </w:hyperlink>
          </w:p>
        </w:tc>
        <w:tc>
          <w:tcPr>
            <w:tcW w:w="4600" w:type="dxa"/>
            <w:vAlign w:val="bottom"/>
            <w:tcBorders>
              <w:bottom w:val="single" w:sz="8" w:color="CCEEFF"/>
            </w:tcBorders>
            <w:shd w:val="clear" w:color="auto" w:fill="CCEEFF"/>
          </w:tcPr>
          <w:p>
            <w:pPr>
              <w:spacing w:after="0"/>
              <w:rPr>
                <w:sz w:val="15"/>
                <w:szCs w:val="15"/>
                <w:color w:val="auto"/>
              </w:rPr>
            </w:pPr>
          </w:p>
        </w:tc>
      </w:tr>
      <w:tr>
        <w:trPr>
          <w:trHeight w:val="111"/>
        </w:trPr>
        <w:tc>
          <w:tcPr>
            <w:tcW w:w="2040" w:type="dxa"/>
            <w:vAlign w:val="bottom"/>
            <w:tcBorders>
              <w:top w:val="single" w:sz="8" w:color="CCEEFF"/>
              <w:bottom w:val="single" w:sz="8" w:color="0563C1"/>
            </w:tcBorders>
            <w:gridSpan w:val="9"/>
          </w:tcPr>
          <w:p>
            <w:pPr>
              <w:spacing w:after="0" w:line="111" w:lineRule="exact"/>
              <w:rPr>
                <w:rFonts w:ascii="Arial" w:cs="Arial" w:eastAsia="Arial" w:hAnsi="Arial"/>
                <w:sz w:val="12"/>
                <w:szCs w:val="12"/>
                <w:color w:val="0563C1"/>
                <w:w w:val="92"/>
              </w:rPr>
            </w:pPr>
            <w:hyperlink w:anchor="page3">
              <w:r>
                <w:rPr>
                  <w:rFonts w:ascii="Arial" w:cs="Arial" w:eastAsia="Arial" w:hAnsi="Arial"/>
                  <w:sz w:val="12"/>
                  <w:szCs w:val="12"/>
                  <w:color w:val="0563C1"/>
                  <w:w w:val="92"/>
                </w:rPr>
                <w:t>Item 1. Financial Statements (unaudited):</w:t>
              </w:r>
            </w:hyperlink>
          </w:p>
        </w:tc>
        <w:tc>
          <w:tcPr>
            <w:tcW w:w="4660" w:type="dxa"/>
            <w:vAlign w:val="bottom"/>
            <w:tcBorders>
              <w:top w:val="single" w:sz="8" w:color="CCEEFF"/>
            </w:tcBorders>
            <w:gridSpan w:val="14"/>
          </w:tcPr>
          <w:p>
            <w:pPr>
              <w:spacing w:after="0"/>
              <w:rPr>
                <w:sz w:val="9"/>
                <w:szCs w:val="9"/>
                <w:color w:val="auto"/>
              </w:rPr>
            </w:pPr>
          </w:p>
        </w:tc>
        <w:tc>
          <w:tcPr>
            <w:tcW w:w="4600" w:type="dxa"/>
            <w:vAlign w:val="bottom"/>
            <w:tcBorders>
              <w:top w:val="single" w:sz="8" w:color="CCEEFF"/>
            </w:tcBorders>
          </w:tcPr>
          <w:p>
            <w:pPr>
              <w:jc w:val="right"/>
              <w:spacing w:after="0" w:line="111" w:lineRule="exact"/>
              <w:rPr>
                <w:sz w:val="20"/>
                <w:szCs w:val="20"/>
                <w:color w:val="auto"/>
              </w:rPr>
            </w:pPr>
            <w:r>
              <w:rPr>
                <w:rFonts w:ascii="Arial" w:cs="Arial" w:eastAsia="Arial" w:hAnsi="Arial"/>
                <w:sz w:val="12"/>
                <w:szCs w:val="12"/>
                <w:color w:val="auto"/>
              </w:rPr>
              <w:t>3</w:t>
            </w:r>
          </w:p>
        </w:tc>
      </w:tr>
      <w:tr>
        <w:trPr>
          <w:trHeight w:val="109"/>
        </w:trPr>
        <w:tc>
          <w:tcPr>
            <w:tcW w:w="120" w:type="dxa"/>
            <w:vAlign w:val="bottom"/>
            <w:tcBorders>
              <w:bottom w:val="single" w:sz="8" w:color="CCEEFF"/>
            </w:tcBorders>
            <w:shd w:val="clear" w:color="auto" w:fill="CCEEFF"/>
          </w:tcPr>
          <w:p>
            <w:pPr>
              <w:spacing w:after="0"/>
              <w:rPr>
                <w:sz w:val="9"/>
                <w:szCs w:val="9"/>
                <w:color w:val="auto"/>
              </w:rPr>
            </w:pPr>
          </w:p>
        </w:tc>
        <w:tc>
          <w:tcPr>
            <w:tcW w:w="4200" w:type="dxa"/>
            <w:vAlign w:val="bottom"/>
            <w:tcBorders>
              <w:bottom w:val="single" w:sz="8" w:color="0563C1"/>
            </w:tcBorders>
            <w:gridSpan w:val="17"/>
            <w:shd w:val="clear" w:color="auto" w:fill="CCEEFF"/>
          </w:tcPr>
          <w:p>
            <w:pPr>
              <w:spacing w:after="0" w:line="109" w:lineRule="exact"/>
              <w:rPr>
                <w:rFonts w:ascii="Arial" w:cs="Arial" w:eastAsia="Arial" w:hAnsi="Arial"/>
                <w:sz w:val="12"/>
                <w:szCs w:val="12"/>
                <w:color w:val="0563C1"/>
                <w:w w:val="90"/>
              </w:rPr>
            </w:pPr>
            <w:hyperlink w:anchor="page3">
              <w:r>
                <w:rPr>
                  <w:rFonts w:ascii="Arial" w:cs="Arial" w:eastAsia="Arial" w:hAnsi="Arial"/>
                  <w:sz w:val="12"/>
                  <w:szCs w:val="12"/>
                  <w:color w:val="0563C1"/>
                  <w:w w:val="90"/>
                </w:rPr>
                <w:t>Condensed Consolidated Balance Sheets as of June 30, 2021 and December 31, 2020</w:t>
              </w:r>
            </w:hyperlink>
          </w:p>
        </w:tc>
        <w:tc>
          <w:tcPr>
            <w:tcW w:w="2380" w:type="dxa"/>
            <w:vAlign w:val="bottom"/>
            <w:tcBorders>
              <w:bottom w:val="single" w:sz="8" w:color="CCEEFF"/>
            </w:tcBorders>
            <w:gridSpan w:val="5"/>
            <w:shd w:val="clear" w:color="auto" w:fill="CCEEFF"/>
          </w:tcPr>
          <w:p>
            <w:pPr>
              <w:spacing w:after="0"/>
              <w:rPr>
                <w:sz w:val="9"/>
                <w:szCs w:val="9"/>
                <w:color w:val="auto"/>
              </w:rPr>
            </w:pPr>
          </w:p>
        </w:tc>
        <w:tc>
          <w:tcPr>
            <w:tcW w:w="4600" w:type="dxa"/>
            <w:vAlign w:val="bottom"/>
            <w:tcBorders>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w:t>
            </w:r>
          </w:p>
        </w:tc>
      </w:tr>
      <w:tr>
        <w:trPr>
          <w:trHeight w:val="109"/>
        </w:trPr>
        <w:tc>
          <w:tcPr>
            <w:tcW w:w="120" w:type="dxa"/>
            <w:vAlign w:val="bottom"/>
          </w:tcPr>
          <w:p>
            <w:pPr>
              <w:spacing w:after="0"/>
              <w:rPr>
                <w:sz w:val="9"/>
                <w:szCs w:val="9"/>
                <w:color w:val="auto"/>
              </w:rPr>
            </w:pPr>
          </w:p>
        </w:tc>
        <w:tc>
          <w:tcPr>
            <w:tcW w:w="6580" w:type="dxa"/>
            <w:vAlign w:val="bottom"/>
            <w:gridSpan w:val="22"/>
          </w:tcPr>
          <w:p>
            <w:pPr>
              <w:spacing w:after="0" w:line="109" w:lineRule="exact"/>
              <w:rPr>
                <w:rFonts w:ascii="Arial" w:cs="Arial" w:eastAsia="Arial" w:hAnsi="Arial"/>
                <w:sz w:val="12"/>
                <w:szCs w:val="12"/>
                <w:color w:val="0563C1"/>
              </w:rPr>
            </w:pPr>
            <w:hyperlink w:anchor="page4">
              <w:r>
                <w:rPr>
                  <w:rFonts w:ascii="Arial" w:cs="Arial" w:eastAsia="Arial" w:hAnsi="Arial"/>
                  <w:sz w:val="12"/>
                  <w:szCs w:val="12"/>
                  <w:color w:val="0563C1"/>
                </w:rPr>
                <w:t>Condensed Consolidated Statements of Operations and Comprehensive Loss</w:t>
              </w:r>
            </w:hyperlink>
          </w:p>
        </w:tc>
        <w:tc>
          <w:tcPr>
            <w:tcW w:w="4600" w:type="dxa"/>
            <w:vAlign w:val="bottom"/>
          </w:tcPr>
          <w:p>
            <w:pPr>
              <w:jc w:val="right"/>
              <w:spacing w:after="0" w:line="109" w:lineRule="exact"/>
              <w:rPr>
                <w:sz w:val="20"/>
                <w:szCs w:val="20"/>
                <w:color w:val="auto"/>
              </w:rPr>
            </w:pPr>
            <w:r>
              <w:rPr>
                <w:rFonts w:ascii="Arial" w:cs="Arial" w:eastAsia="Arial" w:hAnsi="Arial"/>
                <w:sz w:val="12"/>
                <w:szCs w:val="12"/>
                <w:color w:val="auto"/>
              </w:rPr>
              <w:t>4</w:t>
            </w:r>
          </w:p>
        </w:tc>
      </w:tr>
      <w:tr>
        <w:trPr>
          <w:trHeight w:val="109"/>
        </w:trPr>
        <w:tc>
          <w:tcPr>
            <w:tcW w:w="120" w:type="dxa"/>
            <w:vAlign w:val="bottom"/>
          </w:tcPr>
          <w:p>
            <w:pPr>
              <w:spacing w:after="0"/>
              <w:rPr>
                <w:sz w:val="9"/>
                <w:szCs w:val="9"/>
                <w:color w:val="auto"/>
              </w:rPr>
            </w:pPr>
          </w:p>
        </w:tc>
        <w:tc>
          <w:tcPr>
            <w:tcW w:w="3400" w:type="dxa"/>
            <w:vAlign w:val="bottom"/>
            <w:tcBorders>
              <w:top w:val="single" w:sz="8" w:color="0563C1"/>
              <w:bottom w:val="single" w:sz="8" w:color="0563C1"/>
            </w:tcBorders>
            <w:gridSpan w:val="15"/>
          </w:tcPr>
          <w:p>
            <w:pPr>
              <w:spacing w:after="0" w:line="109" w:lineRule="exact"/>
              <w:rPr>
                <w:rFonts w:ascii="Arial" w:cs="Arial" w:eastAsia="Arial" w:hAnsi="Arial"/>
                <w:sz w:val="12"/>
                <w:szCs w:val="12"/>
                <w:color w:val="0563C1"/>
                <w:w w:val="91"/>
              </w:rPr>
            </w:pPr>
            <w:hyperlink w:anchor="page4">
              <w:r>
                <w:rPr>
                  <w:rFonts w:ascii="Arial" w:cs="Arial" w:eastAsia="Arial" w:hAnsi="Arial"/>
                  <w:sz w:val="12"/>
                  <w:szCs w:val="12"/>
                  <w:color w:val="0563C1"/>
                  <w:w w:val="91"/>
                </w:rPr>
                <w:t>for the Three- and Six-Month Periods Ended June 30, 2021 and 2020</w:t>
              </w:r>
            </w:hyperlink>
          </w:p>
        </w:tc>
        <w:tc>
          <w:tcPr>
            <w:tcW w:w="380" w:type="dxa"/>
            <w:vAlign w:val="bottom"/>
            <w:tcBorders>
              <w:top w:val="single" w:sz="8" w:color="0563C1"/>
            </w:tcBorders>
          </w:tcPr>
          <w:p>
            <w:pPr>
              <w:spacing w:after="0"/>
              <w:rPr>
                <w:sz w:val="9"/>
                <w:szCs w:val="9"/>
                <w:color w:val="auto"/>
              </w:rPr>
            </w:pPr>
          </w:p>
        </w:tc>
        <w:tc>
          <w:tcPr>
            <w:tcW w:w="800" w:type="dxa"/>
            <w:vAlign w:val="bottom"/>
            <w:gridSpan w:val="3"/>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0" w:type="dxa"/>
            <w:vAlign w:val="bottom"/>
          </w:tcPr>
          <w:p>
            <w:pPr>
              <w:spacing w:after="0"/>
              <w:rPr>
                <w:sz w:val="9"/>
                <w:szCs w:val="9"/>
                <w:color w:val="auto"/>
              </w:rPr>
            </w:pPr>
          </w:p>
        </w:tc>
      </w:tr>
      <w:tr>
        <w:trPr>
          <w:trHeight w:val="109"/>
        </w:trPr>
        <w:tc>
          <w:tcPr>
            <w:tcW w:w="120" w:type="dxa"/>
            <w:vAlign w:val="bottom"/>
            <w:shd w:val="clear" w:color="auto" w:fill="CCEEFF"/>
          </w:tcPr>
          <w:p>
            <w:pPr>
              <w:spacing w:after="0"/>
              <w:rPr>
                <w:sz w:val="9"/>
                <w:szCs w:val="9"/>
                <w:color w:val="auto"/>
              </w:rPr>
            </w:pPr>
          </w:p>
        </w:tc>
        <w:tc>
          <w:tcPr>
            <w:tcW w:w="6580" w:type="dxa"/>
            <w:vAlign w:val="bottom"/>
            <w:gridSpan w:val="22"/>
            <w:shd w:val="clear" w:color="auto" w:fill="CCEEFF"/>
          </w:tcPr>
          <w:p>
            <w:pPr>
              <w:spacing w:after="0" w:line="109" w:lineRule="exact"/>
              <w:rPr>
                <w:rFonts w:ascii="Arial" w:cs="Arial" w:eastAsia="Arial" w:hAnsi="Arial"/>
                <w:sz w:val="12"/>
                <w:szCs w:val="12"/>
                <w:color w:val="0563C1"/>
              </w:rPr>
            </w:pPr>
            <w:hyperlink w:anchor="page5">
              <w:r>
                <w:rPr>
                  <w:rFonts w:ascii="Arial" w:cs="Arial" w:eastAsia="Arial" w:hAnsi="Arial"/>
                  <w:sz w:val="12"/>
                  <w:szCs w:val="12"/>
                  <w:color w:val="0563C1"/>
                </w:rPr>
                <w:t>Condensed Consolidated Statements of Cash Flows</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5</w:t>
            </w:r>
          </w:p>
        </w:tc>
      </w:tr>
      <w:tr>
        <w:trPr>
          <w:trHeight w:val="109"/>
        </w:trPr>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2540" w:type="dxa"/>
            <w:vAlign w:val="bottom"/>
            <w:tcBorders>
              <w:top w:val="single" w:sz="8" w:color="0563C1"/>
              <w:bottom w:val="single" w:sz="8" w:color="0563C1"/>
            </w:tcBorders>
            <w:gridSpan w:val="9"/>
            <w:shd w:val="clear" w:color="auto" w:fill="CCEEFF"/>
          </w:tcPr>
          <w:p>
            <w:pPr>
              <w:spacing w:after="0" w:line="109" w:lineRule="exact"/>
              <w:rPr>
                <w:rFonts w:ascii="Arial" w:cs="Arial" w:eastAsia="Arial" w:hAnsi="Arial"/>
                <w:sz w:val="12"/>
                <w:szCs w:val="12"/>
                <w:color w:val="0563C1"/>
                <w:w w:val="91"/>
              </w:rPr>
            </w:pPr>
            <w:hyperlink w:anchor="page5">
              <w:r>
                <w:rPr>
                  <w:rFonts w:ascii="Arial" w:cs="Arial" w:eastAsia="Arial" w:hAnsi="Arial"/>
                  <w:sz w:val="12"/>
                  <w:szCs w:val="12"/>
                  <w:color w:val="0563C1"/>
                  <w:w w:val="91"/>
                </w:rPr>
                <w:t>for the Six-Month Periods Ended June 30, 2021 and</w:t>
              </w:r>
            </w:hyperlink>
          </w:p>
        </w:tc>
        <w:tc>
          <w:tcPr>
            <w:tcW w:w="300" w:type="dxa"/>
            <w:vAlign w:val="bottom"/>
            <w:tcBorders>
              <w:top w:val="single" w:sz="8" w:color="CCEEFF"/>
              <w:bottom w:val="single" w:sz="8" w:color="0563C1"/>
            </w:tcBorders>
            <w:gridSpan w:val="2"/>
            <w:shd w:val="clear" w:color="auto" w:fill="CCEEFF"/>
          </w:tcPr>
          <w:p>
            <w:pPr>
              <w:jc w:val="right"/>
              <w:spacing w:after="0" w:line="109" w:lineRule="exact"/>
              <w:rPr>
                <w:sz w:val="20"/>
                <w:szCs w:val="20"/>
                <w:color w:val="auto"/>
              </w:rPr>
            </w:pPr>
            <w:r>
              <w:rPr>
                <w:rFonts w:ascii="Arial" w:cs="Arial" w:eastAsia="Arial" w:hAnsi="Arial"/>
                <w:sz w:val="12"/>
                <w:szCs w:val="12"/>
                <w:color w:val="0563C1"/>
              </w:rPr>
              <w:t>2020</w:t>
            </w:r>
          </w:p>
        </w:tc>
        <w:tc>
          <w:tcPr>
            <w:tcW w:w="160" w:type="dxa"/>
            <w:vAlign w:val="bottom"/>
            <w:tcBorders>
              <w:top w:val="single" w:sz="8" w:color="CCEEFF"/>
              <w:bottom w:val="single" w:sz="8" w:color="CCEEFF"/>
            </w:tcBorders>
            <w:shd w:val="clear" w:color="auto" w:fill="CCEEFF"/>
          </w:tcPr>
          <w:p>
            <w:pPr>
              <w:spacing w:after="0"/>
              <w:rPr>
                <w:sz w:val="9"/>
                <w:szCs w:val="9"/>
                <w:color w:val="auto"/>
              </w:rPr>
            </w:pP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340" w:type="dxa"/>
            <w:vAlign w:val="bottom"/>
            <w:tcBorders>
              <w:top w:val="single" w:sz="8" w:color="CCEEFF"/>
              <w:bottom w:val="single" w:sz="8" w:color="CCEEFF"/>
            </w:tcBorders>
            <w:gridSpan w:val="5"/>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80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CCEEFF"/>
            </w:tcBorders>
            <w:shd w:val="clear" w:color="auto" w:fill="CCEEFF"/>
          </w:tcPr>
          <w:p>
            <w:pPr>
              <w:spacing w:after="0"/>
              <w:rPr>
                <w:sz w:val="9"/>
                <w:szCs w:val="9"/>
                <w:color w:val="auto"/>
              </w:rPr>
            </w:pPr>
          </w:p>
        </w:tc>
        <w:tc>
          <w:tcPr>
            <w:tcW w:w="4600" w:type="dxa"/>
            <w:vAlign w:val="bottom"/>
            <w:tcBorders>
              <w:top w:val="single" w:sz="8" w:color="CCEEFF"/>
              <w:bottom w:val="single" w:sz="8" w:color="CCEEFF"/>
            </w:tcBorders>
            <w:shd w:val="clear" w:color="auto" w:fill="CCEEFF"/>
          </w:tcPr>
          <w:p>
            <w:pPr>
              <w:spacing w:after="0"/>
              <w:rPr>
                <w:sz w:val="9"/>
                <w:szCs w:val="9"/>
                <w:color w:val="auto"/>
              </w:rPr>
            </w:pPr>
          </w:p>
        </w:tc>
      </w:tr>
      <w:tr>
        <w:trPr>
          <w:trHeight w:val="109"/>
        </w:trPr>
        <w:tc>
          <w:tcPr>
            <w:tcW w:w="120" w:type="dxa"/>
            <w:vAlign w:val="bottom"/>
          </w:tcPr>
          <w:p>
            <w:pPr>
              <w:spacing w:after="0"/>
              <w:rPr>
                <w:sz w:val="9"/>
                <w:szCs w:val="9"/>
                <w:color w:val="auto"/>
              </w:rPr>
            </w:pPr>
          </w:p>
        </w:tc>
        <w:tc>
          <w:tcPr>
            <w:tcW w:w="3000" w:type="dxa"/>
            <w:vAlign w:val="bottom"/>
            <w:tcBorders>
              <w:bottom w:val="single" w:sz="8" w:color="0563C1"/>
            </w:tcBorders>
            <w:gridSpan w:val="12"/>
          </w:tcPr>
          <w:p>
            <w:pPr>
              <w:spacing w:after="0" w:line="109" w:lineRule="exact"/>
              <w:rPr>
                <w:rFonts w:ascii="Arial" w:cs="Arial" w:eastAsia="Arial" w:hAnsi="Arial"/>
                <w:sz w:val="12"/>
                <w:szCs w:val="12"/>
                <w:color w:val="0563C1"/>
                <w:w w:val="91"/>
              </w:rPr>
            </w:pPr>
            <w:hyperlink w:anchor="page6">
              <w:r>
                <w:rPr>
                  <w:rFonts w:ascii="Arial" w:cs="Arial" w:eastAsia="Arial" w:hAnsi="Arial"/>
                  <w:sz w:val="12"/>
                  <w:szCs w:val="12"/>
                  <w:color w:val="0563C1"/>
                  <w:w w:val="91"/>
                </w:rPr>
                <w:t>Condensed Consolidated Statements of Stockholders’ Equity</w:t>
              </w:r>
            </w:hyperlink>
          </w:p>
        </w:tc>
        <w:tc>
          <w:tcPr>
            <w:tcW w:w="3580" w:type="dxa"/>
            <w:vAlign w:val="bottom"/>
            <w:gridSpan w:val="10"/>
          </w:tcPr>
          <w:p>
            <w:pPr>
              <w:spacing w:after="0"/>
              <w:rPr>
                <w:sz w:val="9"/>
                <w:szCs w:val="9"/>
                <w:color w:val="auto"/>
              </w:rPr>
            </w:pPr>
          </w:p>
        </w:tc>
        <w:tc>
          <w:tcPr>
            <w:tcW w:w="4600" w:type="dxa"/>
            <w:vAlign w:val="bottom"/>
          </w:tcPr>
          <w:p>
            <w:pPr>
              <w:jc w:val="right"/>
              <w:spacing w:after="0" w:line="109" w:lineRule="exact"/>
              <w:rPr>
                <w:sz w:val="20"/>
                <w:szCs w:val="20"/>
                <w:color w:val="auto"/>
              </w:rPr>
            </w:pPr>
            <w:r>
              <w:rPr>
                <w:rFonts w:ascii="Arial" w:cs="Arial" w:eastAsia="Arial" w:hAnsi="Arial"/>
                <w:sz w:val="12"/>
                <w:szCs w:val="12"/>
                <w:color w:val="auto"/>
              </w:rPr>
              <w:t>6</w:t>
            </w:r>
          </w:p>
        </w:tc>
      </w:tr>
      <w:tr>
        <w:trPr>
          <w:trHeight w:val="109"/>
        </w:trPr>
        <w:tc>
          <w:tcPr>
            <w:tcW w:w="120" w:type="dxa"/>
            <w:vAlign w:val="bottom"/>
          </w:tcPr>
          <w:p>
            <w:pPr>
              <w:spacing w:after="0"/>
              <w:rPr>
                <w:sz w:val="9"/>
                <w:szCs w:val="9"/>
                <w:color w:val="auto"/>
              </w:rPr>
            </w:pPr>
          </w:p>
        </w:tc>
        <w:tc>
          <w:tcPr>
            <w:tcW w:w="3400" w:type="dxa"/>
            <w:vAlign w:val="bottom"/>
            <w:tcBorders>
              <w:bottom w:val="single" w:sz="8" w:color="0563C1"/>
            </w:tcBorders>
            <w:gridSpan w:val="15"/>
          </w:tcPr>
          <w:p>
            <w:pPr>
              <w:spacing w:after="0" w:line="109" w:lineRule="exact"/>
              <w:rPr>
                <w:rFonts w:ascii="Arial" w:cs="Arial" w:eastAsia="Arial" w:hAnsi="Arial"/>
                <w:sz w:val="12"/>
                <w:szCs w:val="12"/>
                <w:color w:val="0563C1"/>
                <w:w w:val="91"/>
              </w:rPr>
            </w:pPr>
            <w:hyperlink w:anchor="page6">
              <w:r>
                <w:rPr>
                  <w:rFonts w:ascii="Arial" w:cs="Arial" w:eastAsia="Arial" w:hAnsi="Arial"/>
                  <w:sz w:val="12"/>
                  <w:szCs w:val="12"/>
                  <w:color w:val="0563C1"/>
                  <w:w w:val="91"/>
                </w:rPr>
                <w:t xml:space="preserve">for the Three- and Six-Month Periods Ended June 30, 2021 and </w:t>
              </w:r>
            </w:hyperlink>
            <w:r>
              <w:rPr>
                <w:rFonts w:ascii="Arial" w:cs="Arial" w:eastAsia="Arial" w:hAnsi="Arial"/>
                <w:sz w:val="12"/>
                <w:szCs w:val="12"/>
                <w:color w:val="0563C1"/>
                <w:w w:val="91"/>
              </w:rPr>
              <w:t>2020</w:t>
            </w:r>
          </w:p>
        </w:tc>
        <w:tc>
          <w:tcPr>
            <w:tcW w:w="3180" w:type="dxa"/>
            <w:vAlign w:val="bottom"/>
            <w:gridSpan w:val="7"/>
          </w:tcPr>
          <w:p>
            <w:pPr>
              <w:spacing w:after="0"/>
              <w:rPr>
                <w:sz w:val="9"/>
                <w:szCs w:val="9"/>
                <w:color w:val="auto"/>
              </w:rPr>
            </w:pPr>
          </w:p>
        </w:tc>
        <w:tc>
          <w:tcPr>
            <w:tcW w:w="4600" w:type="dxa"/>
            <w:vAlign w:val="bottom"/>
          </w:tcPr>
          <w:p>
            <w:pPr>
              <w:spacing w:after="0"/>
              <w:rPr>
                <w:sz w:val="9"/>
                <w:szCs w:val="9"/>
                <w:color w:val="auto"/>
              </w:rPr>
            </w:pPr>
          </w:p>
        </w:tc>
      </w:tr>
      <w:tr>
        <w:trPr>
          <w:trHeight w:val="109"/>
        </w:trPr>
        <w:tc>
          <w:tcPr>
            <w:tcW w:w="120" w:type="dxa"/>
            <w:vAlign w:val="bottom"/>
            <w:shd w:val="clear" w:color="auto" w:fill="CCEEFF"/>
          </w:tcPr>
          <w:p>
            <w:pPr>
              <w:spacing w:after="0"/>
              <w:rPr>
                <w:sz w:val="9"/>
                <w:szCs w:val="9"/>
                <w:color w:val="auto"/>
              </w:rPr>
            </w:pPr>
          </w:p>
        </w:tc>
        <w:tc>
          <w:tcPr>
            <w:tcW w:w="6580" w:type="dxa"/>
            <w:vAlign w:val="bottom"/>
            <w:gridSpan w:val="22"/>
            <w:shd w:val="clear" w:color="auto" w:fill="CCEEFF"/>
          </w:tcPr>
          <w:p>
            <w:pPr>
              <w:spacing w:after="0" w:line="109" w:lineRule="exact"/>
              <w:rPr>
                <w:rFonts w:ascii="Arial" w:cs="Arial" w:eastAsia="Arial" w:hAnsi="Arial"/>
                <w:sz w:val="12"/>
                <w:szCs w:val="12"/>
                <w:color w:val="0563C1"/>
              </w:rPr>
            </w:pPr>
            <w:hyperlink w:anchor="page8">
              <w:r>
                <w:rPr>
                  <w:rFonts w:ascii="Arial" w:cs="Arial" w:eastAsia="Arial" w:hAnsi="Arial"/>
                  <w:sz w:val="12"/>
                  <w:szCs w:val="12"/>
                  <w:color w:val="0563C1"/>
                </w:rPr>
                <w:t>Notes to Condensed Consolidated Financial Statements</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8</w:t>
            </w:r>
          </w:p>
        </w:tc>
      </w:tr>
      <w:tr>
        <w:trPr>
          <w:trHeight w:val="20"/>
        </w:trPr>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20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3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620" w:type="dxa"/>
            <w:vAlign w:val="bottom"/>
            <w:shd w:val="clear" w:color="auto" w:fill="0563C1"/>
          </w:tcPr>
          <w:p>
            <w:pPr>
              <w:spacing w:after="0" w:line="20" w:lineRule="exact"/>
              <w:rPr>
                <w:sz w:val="1"/>
                <w:szCs w:val="1"/>
                <w:color w:val="auto"/>
              </w:rPr>
            </w:pPr>
          </w:p>
        </w:tc>
        <w:tc>
          <w:tcPr>
            <w:tcW w:w="180" w:type="dxa"/>
            <w:vAlign w:val="bottom"/>
            <w:shd w:val="clear" w:color="auto" w:fill="0563C1"/>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r>
      <w:tr>
        <w:trPr>
          <w:trHeight w:val="109"/>
        </w:trPr>
        <w:tc>
          <w:tcPr>
            <w:tcW w:w="6700" w:type="dxa"/>
            <w:vAlign w:val="bottom"/>
            <w:gridSpan w:val="23"/>
          </w:tcPr>
          <w:p>
            <w:pPr>
              <w:spacing w:after="0" w:line="109" w:lineRule="exact"/>
              <w:rPr>
                <w:rFonts w:ascii="Arial" w:cs="Arial" w:eastAsia="Arial" w:hAnsi="Arial"/>
                <w:sz w:val="12"/>
                <w:szCs w:val="12"/>
                <w:color w:val="0563C1"/>
              </w:rPr>
            </w:pPr>
            <w:hyperlink w:anchor="page20">
              <w:r>
                <w:rPr>
                  <w:rFonts w:ascii="Arial" w:cs="Arial" w:eastAsia="Arial" w:hAnsi="Arial"/>
                  <w:sz w:val="12"/>
                  <w:szCs w:val="12"/>
                  <w:color w:val="0563C1"/>
                </w:rPr>
                <w:t>Item 2. Management’s Discussion and Analysis of Financial Condition and Results of Operations</w:t>
              </w:r>
            </w:hyperlink>
          </w:p>
        </w:tc>
        <w:tc>
          <w:tcPr>
            <w:tcW w:w="4600" w:type="dxa"/>
            <w:vAlign w:val="bottom"/>
          </w:tcPr>
          <w:p>
            <w:pPr>
              <w:jc w:val="right"/>
              <w:spacing w:after="0" w:line="109" w:lineRule="exact"/>
              <w:rPr>
                <w:sz w:val="20"/>
                <w:szCs w:val="20"/>
                <w:color w:val="auto"/>
              </w:rPr>
            </w:pPr>
            <w:r>
              <w:rPr>
                <w:rFonts w:ascii="Arial" w:cs="Arial" w:eastAsia="Arial" w:hAnsi="Arial"/>
                <w:sz w:val="12"/>
                <w:szCs w:val="12"/>
                <w:color w:val="auto"/>
              </w:rPr>
              <w:t>20</w:t>
            </w:r>
          </w:p>
        </w:tc>
      </w:tr>
      <w:tr>
        <w:trPr>
          <w:trHeight w:val="109"/>
        </w:trPr>
        <w:tc>
          <w:tcPr>
            <w:tcW w:w="3360" w:type="dxa"/>
            <w:vAlign w:val="bottom"/>
            <w:tcBorders>
              <w:top w:val="single" w:sz="8" w:color="0563C1"/>
              <w:bottom w:val="single" w:sz="8" w:color="0563C1"/>
            </w:tcBorders>
            <w:gridSpan w:val="15"/>
            <w:shd w:val="clear" w:color="auto" w:fill="CCEEFF"/>
          </w:tcPr>
          <w:p>
            <w:pPr>
              <w:spacing w:after="0" w:line="109" w:lineRule="exact"/>
              <w:rPr>
                <w:rFonts w:ascii="Arial" w:cs="Arial" w:eastAsia="Arial" w:hAnsi="Arial"/>
                <w:sz w:val="12"/>
                <w:szCs w:val="12"/>
                <w:color w:val="0563C1"/>
                <w:w w:val="94"/>
              </w:rPr>
            </w:pPr>
            <w:hyperlink w:anchor="page27">
              <w:r>
                <w:rPr>
                  <w:rFonts w:ascii="Arial" w:cs="Arial" w:eastAsia="Arial" w:hAnsi="Arial"/>
                  <w:sz w:val="12"/>
                  <w:szCs w:val="12"/>
                  <w:color w:val="0563C1"/>
                  <w:w w:val="94"/>
                </w:rPr>
                <w:t>Item 3. Quantitative and Qualitative Disclosures About Market Risk</w:t>
              </w:r>
            </w:hyperlink>
          </w:p>
        </w:tc>
        <w:tc>
          <w:tcPr>
            <w:tcW w:w="1420" w:type="dxa"/>
            <w:vAlign w:val="bottom"/>
            <w:tcBorders>
              <w:top w:val="single" w:sz="8" w:color="0563C1"/>
              <w:bottom w:val="single" w:sz="8" w:color="CCEEFF"/>
            </w:tcBorders>
            <w:gridSpan w:val="6"/>
            <w:shd w:val="clear" w:color="auto" w:fill="CCEEFF"/>
          </w:tcPr>
          <w:p>
            <w:pPr>
              <w:spacing w:after="0"/>
              <w:rPr>
                <w:sz w:val="9"/>
                <w:szCs w:val="9"/>
                <w:color w:val="auto"/>
              </w:rPr>
            </w:pPr>
          </w:p>
        </w:tc>
        <w:tc>
          <w:tcPr>
            <w:tcW w:w="1920" w:type="dxa"/>
            <w:vAlign w:val="bottom"/>
            <w:tcBorders>
              <w:bottom w:val="single" w:sz="8" w:color="CCEEFF"/>
            </w:tcBorders>
            <w:gridSpan w:val="2"/>
            <w:shd w:val="clear" w:color="auto" w:fill="CCEEFF"/>
          </w:tcPr>
          <w:p>
            <w:pPr>
              <w:spacing w:after="0"/>
              <w:rPr>
                <w:sz w:val="9"/>
                <w:szCs w:val="9"/>
                <w:color w:val="auto"/>
              </w:rPr>
            </w:pPr>
          </w:p>
        </w:tc>
        <w:tc>
          <w:tcPr>
            <w:tcW w:w="4600" w:type="dxa"/>
            <w:vAlign w:val="bottom"/>
            <w:tcBorders>
              <w:bottom w:val="single" w:sz="8" w:color="CCEEFF"/>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27</w:t>
            </w:r>
          </w:p>
        </w:tc>
      </w:tr>
      <w:tr>
        <w:trPr>
          <w:trHeight w:val="109"/>
        </w:trPr>
        <w:tc>
          <w:tcPr>
            <w:tcW w:w="6700" w:type="dxa"/>
            <w:vAlign w:val="bottom"/>
            <w:gridSpan w:val="23"/>
          </w:tcPr>
          <w:p>
            <w:pPr>
              <w:spacing w:after="0" w:line="109" w:lineRule="exact"/>
              <w:rPr>
                <w:rFonts w:ascii="Arial" w:cs="Arial" w:eastAsia="Arial" w:hAnsi="Arial"/>
                <w:sz w:val="12"/>
                <w:szCs w:val="12"/>
                <w:color w:val="0563C1"/>
              </w:rPr>
            </w:pPr>
            <w:hyperlink w:anchor="page27">
              <w:r>
                <w:rPr>
                  <w:rFonts w:ascii="Arial" w:cs="Arial" w:eastAsia="Arial" w:hAnsi="Arial"/>
                  <w:sz w:val="12"/>
                  <w:szCs w:val="12"/>
                  <w:color w:val="0563C1"/>
                </w:rPr>
                <w:t>Item 4. Controls and Procedures</w:t>
              </w:r>
            </w:hyperlink>
          </w:p>
        </w:tc>
        <w:tc>
          <w:tcPr>
            <w:tcW w:w="4600" w:type="dxa"/>
            <w:vAlign w:val="bottom"/>
          </w:tcPr>
          <w:p>
            <w:pPr>
              <w:jc w:val="right"/>
              <w:spacing w:after="0" w:line="109" w:lineRule="exact"/>
              <w:rPr>
                <w:sz w:val="20"/>
                <w:szCs w:val="20"/>
                <w:color w:val="auto"/>
              </w:rPr>
            </w:pPr>
            <w:r>
              <w:rPr>
                <w:rFonts w:ascii="Arial" w:cs="Arial" w:eastAsia="Arial" w:hAnsi="Arial"/>
                <w:sz w:val="12"/>
                <w:szCs w:val="12"/>
                <w:color w:val="auto"/>
              </w:rPr>
              <w:t>27</w:t>
            </w:r>
          </w:p>
        </w:tc>
      </w:tr>
      <w:tr>
        <w:trPr>
          <w:trHeight w:val="128"/>
        </w:trPr>
        <w:tc>
          <w:tcPr>
            <w:tcW w:w="120" w:type="dxa"/>
            <w:vAlign w:val="bottom"/>
            <w:tcBorders>
              <w:top w:val="single" w:sz="8" w:color="0563C1"/>
            </w:tcBorders>
            <w:shd w:val="clear" w:color="auto" w:fill="CCEEFF"/>
          </w:tcPr>
          <w:p>
            <w:pPr>
              <w:spacing w:after="0"/>
              <w:rPr>
                <w:sz w:val="11"/>
                <w:szCs w:val="11"/>
                <w:color w:val="auto"/>
              </w:rPr>
            </w:pPr>
          </w:p>
        </w:tc>
        <w:tc>
          <w:tcPr>
            <w:tcW w:w="400" w:type="dxa"/>
            <w:vAlign w:val="bottom"/>
            <w:tcBorders>
              <w:top w:val="single" w:sz="8" w:color="0563C1"/>
            </w:tcBorders>
            <w:shd w:val="clear" w:color="auto" w:fill="CCEEFF"/>
          </w:tcPr>
          <w:p>
            <w:pPr>
              <w:spacing w:after="0"/>
              <w:rPr>
                <w:sz w:val="11"/>
                <w:szCs w:val="11"/>
                <w:color w:val="auto"/>
              </w:rPr>
            </w:pPr>
          </w:p>
        </w:tc>
        <w:tc>
          <w:tcPr>
            <w:tcW w:w="260" w:type="dxa"/>
            <w:vAlign w:val="bottom"/>
            <w:tcBorders>
              <w:top w:val="single" w:sz="8" w:color="0563C1"/>
            </w:tcBorders>
            <w:shd w:val="clear" w:color="auto" w:fill="CCEEFF"/>
          </w:tcPr>
          <w:p>
            <w:pPr>
              <w:spacing w:after="0"/>
              <w:rPr>
                <w:sz w:val="11"/>
                <w:szCs w:val="11"/>
                <w:color w:val="auto"/>
              </w:rPr>
            </w:pPr>
          </w:p>
        </w:tc>
        <w:tc>
          <w:tcPr>
            <w:tcW w:w="140" w:type="dxa"/>
            <w:vAlign w:val="bottom"/>
            <w:tcBorders>
              <w:top w:val="single" w:sz="8" w:color="0563C1"/>
            </w:tcBorders>
            <w:shd w:val="clear" w:color="auto" w:fill="CCEEFF"/>
          </w:tcPr>
          <w:p>
            <w:pPr>
              <w:spacing w:after="0"/>
              <w:rPr>
                <w:sz w:val="11"/>
                <w:szCs w:val="11"/>
                <w:color w:val="auto"/>
              </w:rPr>
            </w:pPr>
          </w:p>
        </w:tc>
        <w:tc>
          <w:tcPr>
            <w:tcW w:w="160" w:type="dxa"/>
            <w:vAlign w:val="bottom"/>
            <w:tcBorders>
              <w:top w:val="single" w:sz="8" w:color="0563C1"/>
            </w:tcBorders>
            <w:shd w:val="clear" w:color="auto" w:fill="CCEEFF"/>
          </w:tcPr>
          <w:p>
            <w:pPr>
              <w:spacing w:after="0"/>
              <w:rPr>
                <w:sz w:val="11"/>
                <w:szCs w:val="11"/>
                <w:color w:val="auto"/>
              </w:rPr>
            </w:pPr>
          </w:p>
        </w:tc>
        <w:tc>
          <w:tcPr>
            <w:tcW w:w="200" w:type="dxa"/>
            <w:vAlign w:val="bottom"/>
            <w:tcBorders>
              <w:top w:val="single" w:sz="8" w:color="0563C1"/>
            </w:tcBorders>
            <w:shd w:val="clear" w:color="auto" w:fill="CCEEFF"/>
          </w:tcPr>
          <w:p>
            <w:pPr>
              <w:spacing w:after="0"/>
              <w:rPr>
                <w:sz w:val="11"/>
                <w:szCs w:val="11"/>
                <w:color w:val="auto"/>
              </w:rPr>
            </w:pPr>
          </w:p>
        </w:tc>
        <w:tc>
          <w:tcPr>
            <w:tcW w:w="300" w:type="dxa"/>
            <w:vAlign w:val="bottom"/>
            <w:tcBorders>
              <w:top w:val="single" w:sz="8" w:color="0563C1"/>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0" w:type="dxa"/>
            <w:vAlign w:val="bottom"/>
            <w:shd w:val="clear" w:color="auto" w:fill="CCEEFF"/>
          </w:tcPr>
          <w:p>
            <w:pPr>
              <w:spacing w:after="0"/>
              <w:rPr>
                <w:sz w:val="11"/>
                <w:szCs w:val="11"/>
                <w:color w:val="auto"/>
              </w:rPr>
            </w:pPr>
          </w:p>
        </w:tc>
      </w:tr>
      <w:tr>
        <w:trPr>
          <w:trHeight w:val="111"/>
        </w:trPr>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100" w:type="dxa"/>
            <w:vAlign w:val="bottom"/>
            <w:gridSpan w:val="4"/>
          </w:tcPr>
          <w:p>
            <w:pPr>
              <w:jc w:val="center"/>
              <w:ind w:right="20"/>
              <w:spacing w:after="0" w:line="111" w:lineRule="exact"/>
              <w:rPr>
                <w:rFonts w:ascii="Arial" w:cs="Arial" w:eastAsia="Arial" w:hAnsi="Arial"/>
                <w:sz w:val="12"/>
                <w:szCs w:val="12"/>
                <w:b w:val="1"/>
                <w:bCs w:val="1"/>
                <w:color w:val="0563C1"/>
              </w:rPr>
            </w:pPr>
            <w:hyperlink w:anchor="page28">
              <w:r>
                <w:rPr>
                  <w:rFonts w:ascii="Arial" w:cs="Arial" w:eastAsia="Arial" w:hAnsi="Arial"/>
                  <w:sz w:val="12"/>
                  <w:szCs w:val="12"/>
                  <w:b w:val="1"/>
                  <w:bCs w:val="1"/>
                  <w:color w:val="0563C1"/>
                </w:rPr>
                <w:t>PART II. OTHER INFORMATION</w:t>
              </w:r>
            </w:hyperlink>
          </w:p>
        </w:tc>
        <w:tc>
          <w:tcPr>
            <w:tcW w:w="4600" w:type="dxa"/>
            <w:vAlign w:val="bottom"/>
          </w:tcPr>
          <w:p>
            <w:pPr>
              <w:spacing w:after="0"/>
              <w:rPr>
                <w:sz w:val="9"/>
                <w:szCs w:val="9"/>
                <w:color w:val="auto"/>
              </w:rPr>
            </w:pPr>
          </w:p>
        </w:tc>
      </w:tr>
      <w:tr>
        <w:trPr>
          <w:trHeight w:val="109"/>
        </w:trPr>
        <w:tc>
          <w:tcPr>
            <w:tcW w:w="4700" w:type="dxa"/>
            <w:vAlign w:val="bottom"/>
            <w:gridSpan w:val="20"/>
            <w:shd w:val="clear" w:color="auto" w:fill="CCEEFF"/>
          </w:tcPr>
          <w:p>
            <w:pPr>
              <w:spacing w:after="0" w:line="109" w:lineRule="exact"/>
              <w:rPr>
                <w:rFonts w:ascii="Arial" w:cs="Arial" w:eastAsia="Arial" w:hAnsi="Arial"/>
                <w:sz w:val="12"/>
                <w:szCs w:val="12"/>
                <w:color w:val="0563C1"/>
              </w:rPr>
            </w:pPr>
            <w:hyperlink w:anchor="page28">
              <w:r>
                <w:rPr>
                  <w:rFonts w:ascii="Arial" w:cs="Arial" w:eastAsia="Arial" w:hAnsi="Arial"/>
                  <w:sz w:val="12"/>
                  <w:szCs w:val="12"/>
                  <w:color w:val="0563C1"/>
                </w:rPr>
                <w:t>Item 1. Legal Proceedings</w:t>
              </w:r>
            </w:hyperlink>
          </w:p>
        </w:tc>
        <w:tc>
          <w:tcPr>
            <w:tcW w:w="1880" w:type="dxa"/>
            <w:vAlign w:val="bottom"/>
            <w:tcBorders>
              <w:top w:val="single" w:sz="8" w:color="0563C1"/>
            </w:tcBorders>
            <w:gridSpan w:val="2"/>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28</w:t>
            </w:r>
          </w:p>
        </w:tc>
      </w:tr>
      <w:tr>
        <w:trPr>
          <w:trHeight w:val="109"/>
        </w:trPr>
        <w:tc>
          <w:tcPr>
            <w:tcW w:w="1080" w:type="dxa"/>
            <w:vAlign w:val="bottom"/>
            <w:tcBorders>
              <w:top w:val="single" w:sz="8" w:color="0563C1"/>
              <w:bottom w:val="single" w:sz="8" w:color="0563C1"/>
            </w:tcBorders>
            <w:gridSpan w:val="5"/>
          </w:tcPr>
          <w:p>
            <w:pPr>
              <w:spacing w:after="0" w:line="109" w:lineRule="exact"/>
              <w:rPr>
                <w:rFonts w:ascii="Arial" w:cs="Arial" w:eastAsia="Arial" w:hAnsi="Arial"/>
                <w:sz w:val="12"/>
                <w:szCs w:val="12"/>
                <w:color w:val="0563C1"/>
                <w:w w:val="92"/>
              </w:rPr>
            </w:pPr>
            <w:hyperlink w:anchor="page28">
              <w:r>
                <w:rPr>
                  <w:rFonts w:ascii="Arial" w:cs="Arial" w:eastAsia="Arial" w:hAnsi="Arial"/>
                  <w:sz w:val="12"/>
                  <w:szCs w:val="12"/>
                  <w:color w:val="0563C1"/>
                  <w:w w:val="92"/>
                </w:rPr>
                <w:t>Item 1A. Risk Factors</w:t>
              </w:r>
            </w:hyperlink>
          </w:p>
        </w:tc>
        <w:tc>
          <w:tcPr>
            <w:tcW w:w="200" w:type="dxa"/>
            <w:vAlign w:val="bottom"/>
            <w:tcBorders>
              <w:top w:val="single" w:sz="8" w:color="0563C1"/>
            </w:tcBorders>
          </w:tcPr>
          <w:p>
            <w:pPr>
              <w:spacing w:after="0"/>
              <w:rPr>
                <w:sz w:val="9"/>
                <w:szCs w:val="9"/>
                <w:color w:val="auto"/>
              </w:rPr>
            </w:pPr>
          </w:p>
        </w:tc>
        <w:tc>
          <w:tcPr>
            <w:tcW w:w="5420" w:type="dxa"/>
            <w:vAlign w:val="bottom"/>
            <w:tcBorders>
              <w:top w:val="single" w:sz="8" w:color="CCEEFF"/>
            </w:tcBorders>
            <w:gridSpan w:val="17"/>
          </w:tcPr>
          <w:p>
            <w:pPr>
              <w:spacing w:after="0"/>
              <w:rPr>
                <w:sz w:val="9"/>
                <w:szCs w:val="9"/>
                <w:color w:val="auto"/>
              </w:rPr>
            </w:pPr>
          </w:p>
        </w:tc>
        <w:tc>
          <w:tcPr>
            <w:tcW w:w="460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2"/>
                <w:szCs w:val="12"/>
                <w:color w:val="auto"/>
              </w:rPr>
              <w:t>28</w:t>
            </w:r>
          </w:p>
        </w:tc>
      </w:tr>
      <w:tr>
        <w:trPr>
          <w:trHeight w:val="109"/>
        </w:trPr>
        <w:tc>
          <w:tcPr>
            <w:tcW w:w="6700" w:type="dxa"/>
            <w:vAlign w:val="bottom"/>
            <w:gridSpan w:val="23"/>
            <w:shd w:val="clear" w:color="auto" w:fill="CCEEFF"/>
          </w:tcPr>
          <w:p>
            <w:pPr>
              <w:spacing w:after="0" w:line="109" w:lineRule="exact"/>
              <w:rPr>
                <w:rFonts w:ascii="Arial" w:cs="Arial" w:eastAsia="Arial" w:hAnsi="Arial"/>
                <w:sz w:val="12"/>
                <w:szCs w:val="12"/>
                <w:color w:val="0563C1"/>
              </w:rPr>
            </w:pPr>
            <w:hyperlink w:anchor="page55">
              <w:r>
                <w:rPr>
                  <w:rFonts w:ascii="Arial" w:cs="Arial" w:eastAsia="Arial" w:hAnsi="Arial"/>
                  <w:sz w:val="12"/>
                  <w:szCs w:val="12"/>
                  <w:color w:val="0563C1"/>
                </w:rPr>
                <w:t>Item 2. Unregistered Sales of Equity Securities and Use of Proceeds</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55</w:t>
            </w:r>
          </w:p>
        </w:tc>
      </w:tr>
      <w:tr>
        <w:trPr>
          <w:trHeight w:val="109"/>
        </w:trPr>
        <w:tc>
          <w:tcPr>
            <w:tcW w:w="1920" w:type="dxa"/>
            <w:vAlign w:val="bottom"/>
            <w:tcBorders>
              <w:top w:val="single" w:sz="8" w:color="0563C1"/>
              <w:bottom w:val="single" w:sz="8" w:color="0563C1"/>
            </w:tcBorders>
            <w:gridSpan w:val="8"/>
          </w:tcPr>
          <w:p>
            <w:pPr>
              <w:spacing w:after="0" w:line="109" w:lineRule="exact"/>
              <w:rPr>
                <w:rFonts w:ascii="Arial" w:cs="Arial" w:eastAsia="Arial" w:hAnsi="Arial"/>
                <w:sz w:val="12"/>
                <w:szCs w:val="12"/>
                <w:color w:val="0563C1"/>
                <w:w w:val="93"/>
              </w:rPr>
            </w:pPr>
            <w:hyperlink w:anchor="page55">
              <w:r>
                <w:rPr>
                  <w:rFonts w:ascii="Arial" w:cs="Arial" w:eastAsia="Arial" w:hAnsi="Arial"/>
                  <w:sz w:val="12"/>
                  <w:szCs w:val="12"/>
                  <w:color w:val="0563C1"/>
                  <w:w w:val="93"/>
                </w:rPr>
                <w:t>Item 3. Default Upon Senior Securities</w:t>
              </w:r>
            </w:hyperlink>
          </w:p>
        </w:tc>
        <w:tc>
          <w:tcPr>
            <w:tcW w:w="1420" w:type="dxa"/>
            <w:vAlign w:val="bottom"/>
            <w:tcBorders>
              <w:top w:val="single" w:sz="8" w:color="0563C1"/>
            </w:tcBorders>
            <w:gridSpan w:val="6"/>
          </w:tcPr>
          <w:p>
            <w:pPr>
              <w:spacing w:after="0"/>
              <w:rPr>
                <w:sz w:val="9"/>
                <w:szCs w:val="9"/>
                <w:color w:val="auto"/>
              </w:rPr>
            </w:pPr>
          </w:p>
        </w:tc>
        <w:tc>
          <w:tcPr>
            <w:tcW w:w="3360" w:type="dxa"/>
            <w:vAlign w:val="bottom"/>
            <w:tcBorders>
              <w:top w:val="single" w:sz="8" w:color="CCEEFF"/>
            </w:tcBorders>
            <w:gridSpan w:val="9"/>
          </w:tcPr>
          <w:p>
            <w:pPr>
              <w:spacing w:after="0"/>
              <w:rPr>
                <w:sz w:val="9"/>
                <w:szCs w:val="9"/>
                <w:color w:val="auto"/>
              </w:rPr>
            </w:pPr>
          </w:p>
        </w:tc>
        <w:tc>
          <w:tcPr>
            <w:tcW w:w="460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2"/>
                <w:szCs w:val="12"/>
                <w:color w:val="auto"/>
              </w:rPr>
              <w:t>55</w:t>
            </w:r>
          </w:p>
        </w:tc>
      </w:tr>
      <w:tr>
        <w:trPr>
          <w:trHeight w:val="109"/>
        </w:trPr>
        <w:tc>
          <w:tcPr>
            <w:tcW w:w="6700" w:type="dxa"/>
            <w:vAlign w:val="bottom"/>
            <w:gridSpan w:val="23"/>
            <w:shd w:val="clear" w:color="auto" w:fill="CCEEFF"/>
          </w:tcPr>
          <w:p>
            <w:pPr>
              <w:spacing w:after="0" w:line="109" w:lineRule="exact"/>
              <w:rPr>
                <w:rFonts w:ascii="Arial" w:cs="Arial" w:eastAsia="Arial" w:hAnsi="Arial"/>
                <w:sz w:val="12"/>
                <w:szCs w:val="12"/>
                <w:color w:val="0563C1"/>
              </w:rPr>
            </w:pPr>
            <w:hyperlink w:anchor="page55">
              <w:r>
                <w:rPr>
                  <w:rFonts w:ascii="Arial" w:cs="Arial" w:eastAsia="Arial" w:hAnsi="Arial"/>
                  <w:sz w:val="12"/>
                  <w:szCs w:val="12"/>
                  <w:color w:val="0563C1"/>
                </w:rPr>
                <w:t>Item 4. Mine Safety Disclosures</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55</w:t>
            </w:r>
          </w:p>
        </w:tc>
      </w:tr>
      <w:tr>
        <w:trPr>
          <w:trHeight w:val="109"/>
        </w:trPr>
        <w:tc>
          <w:tcPr>
            <w:tcW w:w="1280" w:type="dxa"/>
            <w:vAlign w:val="bottom"/>
            <w:tcBorders>
              <w:top w:val="single" w:sz="8" w:color="0563C1"/>
              <w:bottom w:val="single" w:sz="8" w:color="0563C1"/>
            </w:tcBorders>
            <w:gridSpan w:val="6"/>
          </w:tcPr>
          <w:p>
            <w:pPr>
              <w:spacing w:after="0" w:line="109" w:lineRule="exact"/>
              <w:rPr>
                <w:rFonts w:ascii="Arial" w:cs="Arial" w:eastAsia="Arial" w:hAnsi="Arial"/>
                <w:sz w:val="12"/>
                <w:szCs w:val="12"/>
                <w:color w:val="0563C1"/>
                <w:w w:val="94"/>
              </w:rPr>
            </w:pPr>
            <w:hyperlink w:anchor="page55">
              <w:r>
                <w:rPr>
                  <w:rFonts w:ascii="Arial" w:cs="Arial" w:eastAsia="Arial" w:hAnsi="Arial"/>
                  <w:sz w:val="12"/>
                  <w:szCs w:val="12"/>
                  <w:color w:val="0563C1"/>
                  <w:w w:val="94"/>
                </w:rPr>
                <w:t>Item 5. Other Information</w:t>
              </w:r>
            </w:hyperlink>
          </w:p>
        </w:tc>
        <w:tc>
          <w:tcPr>
            <w:tcW w:w="300" w:type="dxa"/>
            <w:vAlign w:val="bottom"/>
            <w:tcBorders>
              <w:top w:val="single" w:sz="8" w:color="0563C1"/>
            </w:tcBorders>
          </w:tcPr>
          <w:p>
            <w:pPr>
              <w:spacing w:after="0"/>
              <w:rPr>
                <w:sz w:val="9"/>
                <w:szCs w:val="9"/>
                <w:color w:val="auto"/>
              </w:rPr>
            </w:pPr>
          </w:p>
        </w:tc>
        <w:tc>
          <w:tcPr>
            <w:tcW w:w="5120" w:type="dxa"/>
            <w:vAlign w:val="bottom"/>
            <w:tcBorders>
              <w:top w:val="single" w:sz="8" w:color="CCEEFF"/>
            </w:tcBorders>
            <w:gridSpan w:val="16"/>
          </w:tcPr>
          <w:p>
            <w:pPr>
              <w:spacing w:after="0"/>
              <w:rPr>
                <w:sz w:val="9"/>
                <w:szCs w:val="9"/>
                <w:color w:val="auto"/>
              </w:rPr>
            </w:pPr>
          </w:p>
        </w:tc>
        <w:tc>
          <w:tcPr>
            <w:tcW w:w="460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2"/>
                <w:szCs w:val="12"/>
                <w:color w:val="auto"/>
              </w:rPr>
              <w:t>55</w:t>
            </w:r>
          </w:p>
        </w:tc>
      </w:tr>
      <w:tr>
        <w:trPr>
          <w:trHeight w:val="109"/>
        </w:trPr>
        <w:tc>
          <w:tcPr>
            <w:tcW w:w="6700" w:type="dxa"/>
            <w:vAlign w:val="bottom"/>
            <w:gridSpan w:val="23"/>
            <w:shd w:val="clear" w:color="auto" w:fill="CCEEFF"/>
          </w:tcPr>
          <w:p>
            <w:pPr>
              <w:spacing w:after="0" w:line="109" w:lineRule="exact"/>
              <w:rPr>
                <w:rFonts w:ascii="Arial" w:cs="Arial" w:eastAsia="Arial" w:hAnsi="Arial"/>
                <w:sz w:val="12"/>
                <w:szCs w:val="12"/>
                <w:color w:val="0563C1"/>
              </w:rPr>
            </w:pPr>
            <w:hyperlink w:anchor="page55">
              <w:r>
                <w:rPr>
                  <w:rFonts w:ascii="Arial" w:cs="Arial" w:eastAsia="Arial" w:hAnsi="Arial"/>
                  <w:sz w:val="12"/>
                  <w:szCs w:val="12"/>
                  <w:color w:val="0563C1"/>
                </w:rPr>
                <w:t>Item 6. Exhibits</w:t>
              </w:r>
            </w:hyperlink>
          </w:p>
        </w:tc>
        <w:tc>
          <w:tcPr>
            <w:tcW w:w="4600" w:type="dxa"/>
            <w:vAlign w:val="bottom"/>
            <w:shd w:val="clear" w:color="auto" w:fill="CCEEFF"/>
          </w:tcPr>
          <w:p>
            <w:pPr>
              <w:jc w:val="right"/>
              <w:spacing w:after="0" w:line="109" w:lineRule="exact"/>
              <w:rPr>
                <w:sz w:val="20"/>
                <w:szCs w:val="20"/>
                <w:color w:val="auto"/>
              </w:rPr>
            </w:pPr>
            <w:r>
              <w:rPr>
                <w:rFonts w:ascii="Arial" w:cs="Arial" w:eastAsia="Arial" w:hAnsi="Arial"/>
                <w:sz w:val="12"/>
                <w:szCs w:val="12"/>
                <w:color w:val="auto"/>
              </w:rPr>
              <w:t>55</w:t>
            </w:r>
          </w:p>
        </w:tc>
      </w:tr>
      <w:tr>
        <w:trPr>
          <w:trHeight w:val="109"/>
        </w:trPr>
        <w:tc>
          <w:tcPr>
            <w:tcW w:w="520" w:type="dxa"/>
            <w:vAlign w:val="bottom"/>
            <w:tcBorders>
              <w:top w:val="single" w:sz="8" w:color="0563C1"/>
              <w:bottom w:val="single" w:sz="8" w:color="0563C1"/>
            </w:tcBorders>
            <w:gridSpan w:val="2"/>
          </w:tcPr>
          <w:p>
            <w:pPr>
              <w:spacing w:after="0" w:line="109" w:lineRule="exact"/>
              <w:rPr>
                <w:rFonts w:ascii="Arial" w:cs="Arial" w:eastAsia="Arial" w:hAnsi="Arial"/>
                <w:sz w:val="12"/>
                <w:szCs w:val="12"/>
                <w:color w:val="0563C1"/>
                <w:w w:val="87"/>
              </w:rPr>
            </w:pPr>
            <w:hyperlink w:anchor="page56">
              <w:r>
                <w:rPr>
                  <w:rFonts w:ascii="Arial" w:cs="Arial" w:eastAsia="Arial" w:hAnsi="Arial"/>
                  <w:sz w:val="12"/>
                  <w:szCs w:val="12"/>
                  <w:color w:val="0563C1"/>
                  <w:w w:val="87"/>
                </w:rPr>
                <w:t>Signatures</w:t>
              </w:r>
            </w:hyperlink>
          </w:p>
        </w:tc>
        <w:tc>
          <w:tcPr>
            <w:tcW w:w="260" w:type="dxa"/>
            <w:vAlign w:val="bottom"/>
            <w:tcBorders>
              <w:top w:val="single" w:sz="8" w:color="0563C1"/>
            </w:tcBorders>
          </w:tcPr>
          <w:p>
            <w:pPr>
              <w:spacing w:after="0"/>
              <w:rPr>
                <w:sz w:val="9"/>
                <w:szCs w:val="9"/>
                <w:color w:val="auto"/>
              </w:rPr>
            </w:pPr>
          </w:p>
        </w:tc>
        <w:tc>
          <w:tcPr>
            <w:tcW w:w="5920" w:type="dxa"/>
            <w:vAlign w:val="bottom"/>
            <w:tcBorders>
              <w:top w:val="single" w:sz="8" w:color="CCEEFF"/>
            </w:tcBorders>
            <w:gridSpan w:val="20"/>
          </w:tcPr>
          <w:p>
            <w:pPr>
              <w:spacing w:after="0"/>
              <w:rPr>
                <w:sz w:val="9"/>
                <w:szCs w:val="9"/>
                <w:color w:val="auto"/>
              </w:rPr>
            </w:pPr>
          </w:p>
        </w:tc>
        <w:tc>
          <w:tcPr>
            <w:tcW w:w="4600" w:type="dxa"/>
            <w:vAlign w:val="bottom"/>
            <w:tcBorders>
              <w:top w:val="single" w:sz="8" w:color="CCEEFF"/>
            </w:tcBorders>
          </w:tcPr>
          <w:p>
            <w:pPr>
              <w:jc w:val="right"/>
              <w:spacing w:after="0" w:line="109" w:lineRule="exact"/>
              <w:rPr>
                <w:sz w:val="20"/>
                <w:szCs w:val="20"/>
                <w:color w:val="auto"/>
              </w:rPr>
            </w:pPr>
            <w:r>
              <w:rPr>
                <w:rFonts w:ascii="Arial" w:cs="Arial" w:eastAsia="Arial" w:hAnsi="Arial"/>
                <w:sz w:val="12"/>
                <w:szCs w:val="12"/>
                <w:color w:val="auto"/>
              </w:rPr>
              <w:t>56</w:t>
            </w:r>
          </w:p>
        </w:tc>
      </w:tr>
    </w:tbl>
    <w:p>
      <w:pPr>
        <w:spacing w:after="0" w:line="120" w:lineRule="exact"/>
        <w:rPr>
          <w:sz w:val="20"/>
          <w:szCs w:val="20"/>
          <w:color w:val="auto"/>
        </w:rPr>
      </w:pPr>
    </w:p>
    <w:p>
      <w:pPr>
        <w:ind w:right="20"/>
        <w:spacing w:after="0" w:line="233" w:lineRule="auto"/>
        <w:rPr>
          <w:sz w:val="20"/>
          <w:szCs w:val="20"/>
          <w:color w:val="auto"/>
        </w:rPr>
      </w:pPr>
      <w:r>
        <w:rPr>
          <w:rFonts w:ascii="Arial" w:cs="Arial" w:eastAsia="Arial" w:hAnsi="Arial"/>
          <w:sz w:val="12"/>
          <w:szCs w:val="12"/>
          <w:color w:val="auto"/>
        </w:rPr>
        <w:t>“Pulse Biosciences,” the Pulse logos and other trademarks or service marks that we use in connection with the operation of our business appearing in this quarterly report on Form 10-Q (this “Quarterly Report”), including CellFX, CellFX CloudConnect, CellFX Marketplace, Nano-pulse Stimulation, and NPS, are the property of Pulse Biosciences, Inc. Solely for your convenience, some of our trademarks and trade names referred to in this Quarterly Report are listed without the ® and TM symbols, but we will assert, to the fullest extent under applicable law, our rights to our trademarks and trade names. Also, this Quarterly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spacing w:after="0" w:line="105" w:lineRule="exact"/>
        <w:rPr>
          <w:sz w:val="20"/>
          <w:szCs w:val="20"/>
          <w:color w:val="auto"/>
        </w:rPr>
      </w:pPr>
    </w:p>
    <w:p>
      <w:pPr>
        <w:ind w:right="300"/>
        <w:spacing w:after="0" w:line="255" w:lineRule="auto"/>
        <w:rPr>
          <w:sz w:val="20"/>
          <w:szCs w:val="20"/>
          <w:color w:val="auto"/>
        </w:rPr>
      </w:pPr>
      <w:r>
        <w:rPr>
          <w:rFonts w:ascii="Arial" w:cs="Arial" w:eastAsia="Arial" w:hAnsi="Arial"/>
          <w:sz w:val="12"/>
          <w:szCs w:val="12"/>
          <w:color w:val="auto"/>
        </w:rPr>
        <w:t>Unless expressly indicated or the context requires otherwise, the terms “Pulse,” “company,” “we,” “us,” and “our,” in this document refer to Pulse Biosciences, Inc., a Delaware corporation, and, where appropriate, its wholly owned subsidiaries.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2" w:right="299" w:bottom="1440" w:gutter="0" w:footer="0" w:header="0"/>
        </w:sectPr>
      </w:pPr>
    </w:p>
    <w:bookmarkStart w:id="2" w:name="page3"/>
    <w:bookmarkEnd w:id="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 FINANCIAL INFORMATION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Financial Statements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ind w:left="4580"/>
        <w:spacing w:after="0" w:line="233" w:lineRule="auto"/>
        <w:rPr>
          <w:sz w:val="20"/>
          <w:szCs w:val="20"/>
          <w:color w:val="auto"/>
        </w:rPr>
      </w:pPr>
      <w:r>
        <w:rPr>
          <w:rFonts w:ascii="Arial" w:cs="Arial" w:eastAsia="Arial" w:hAnsi="Arial"/>
          <w:sz w:val="12"/>
          <w:szCs w:val="12"/>
          <w:b w:val="1"/>
          <w:bCs w:val="1"/>
          <w:color w:val="auto"/>
        </w:rPr>
        <w:t>Condensed Consolidated Balance Sheets</w:t>
      </w:r>
    </w:p>
    <w:p>
      <w:pPr>
        <w:ind w:left="4560"/>
        <w:spacing w:after="0" w:line="225" w:lineRule="auto"/>
        <w:rPr>
          <w:sz w:val="20"/>
          <w:szCs w:val="20"/>
          <w:color w:val="auto"/>
        </w:rPr>
      </w:pPr>
      <w:r>
        <w:rPr>
          <w:rFonts w:ascii="Arial" w:cs="Arial" w:eastAsia="Arial" w:hAnsi="Arial"/>
          <w:sz w:val="12"/>
          <w:szCs w:val="12"/>
          <w:b w:val="1"/>
          <w:bCs w:val="1"/>
          <w:color w:val="auto"/>
        </w:rPr>
        <w:t>(In thousands, except per share amounts)</w:t>
      </w: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960" w:type="dxa"/>
            <w:vAlign w:val="bottom"/>
          </w:tcPr>
          <w:p>
            <w:pPr>
              <w:jc w:val="right"/>
              <w:spacing w:after="0"/>
              <w:rPr>
                <w:sz w:val="20"/>
                <w:szCs w:val="20"/>
                <w:color w:val="auto"/>
              </w:rPr>
            </w:pPr>
            <w:r>
              <w:rPr>
                <w:rFonts w:ascii="Arial" w:cs="Arial" w:eastAsia="Arial" w:hAnsi="Arial"/>
                <w:sz w:val="10"/>
                <w:szCs w:val="10"/>
                <w:b w:val="1"/>
                <w:bCs w:val="1"/>
                <w:color w:val="auto"/>
              </w:rPr>
              <w:t>June 30,</w:t>
            </w: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399"/>
              <w:spacing w:after="0"/>
              <w:rPr>
                <w:sz w:val="20"/>
                <w:szCs w:val="20"/>
                <w:color w:val="auto"/>
              </w:rPr>
            </w:pPr>
            <w:r>
              <w:rPr>
                <w:rFonts w:ascii="Arial" w:cs="Arial" w:eastAsia="Arial" w:hAnsi="Arial"/>
                <w:sz w:val="10"/>
                <w:szCs w:val="10"/>
                <w:b w:val="1"/>
                <w:bCs w:val="1"/>
                <w:color w:val="auto"/>
              </w:rPr>
              <w:t>December 31,</w:t>
            </w:r>
          </w:p>
        </w:tc>
      </w:tr>
      <w:tr>
        <w:trPr>
          <w:trHeight w:val="116"/>
        </w:trPr>
        <w:tc>
          <w:tcPr>
            <w:tcW w:w="816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rPr>
              <w:t>2021</w:t>
            </w: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ASSETS</w:t>
            </w:r>
          </w:p>
        </w:tc>
        <w:tc>
          <w:tcPr>
            <w:tcW w:w="9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Current assets:</w:t>
            </w: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Cash and cash equivalents</w:t>
            </w:r>
          </w:p>
        </w:tc>
        <w:tc>
          <w:tcPr>
            <w:tcW w:w="960" w:type="dxa"/>
            <w:vAlign w:val="bottom"/>
            <w:shd w:val="clear" w:color="auto" w:fill="CCEEFF"/>
          </w:tcPr>
          <w:p>
            <w:pPr>
              <w:jc w:val="right"/>
              <w:ind w:right="84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47,426</w:t>
            </w:r>
          </w:p>
        </w:tc>
        <w:tc>
          <w:tcPr>
            <w:tcW w:w="16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29"/>
              <w:spacing w:after="0" w:line="129" w:lineRule="exact"/>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12,463</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Investments</w:t>
            </w:r>
          </w:p>
        </w:tc>
        <w:tc>
          <w:tcPr>
            <w:tcW w:w="960" w:type="dxa"/>
            <w:vAlign w:val="bottom"/>
          </w:tcPr>
          <w:p>
            <w:pPr>
              <w:spacing w:after="0"/>
              <w:rPr>
                <w:sz w:val="11"/>
                <w:szCs w:val="11"/>
                <w:color w:val="auto"/>
              </w:rPr>
            </w:pPr>
          </w:p>
        </w:tc>
        <w:tc>
          <w:tcPr>
            <w:tcW w:w="680" w:type="dxa"/>
            <w:vAlign w:val="bottom"/>
            <w:gridSpan w:val="2"/>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8,012</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Inventory</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2,691</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Related party other receivable (Note 6)</w:t>
            </w:r>
          </w:p>
        </w:tc>
        <w:tc>
          <w:tcPr>
            <w:tcW w:w="9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2"/>
                <w:szCs w:val="12"/>
                <w:color w:val="auto"/>
              </w:rPr>
              <w:t>8,371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1,223</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Prepaid expenses and other current assets</w:t>
            </w:r>
          </w:p>
        </w:tc>
        <w:tc>
          <w:tcPr>
            <w:tcW w:w="9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3,267</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641</w:t>
            </w:r>
          </w:p>
        </w:tc>
      </w:tr>
      <w:tr>
        <w:trPr>
          <w:trHeight w:val="118"/>
        </w:trPr>
        <w:tc>
          <w:tcPr>
            <w:tcW w:w="8160" w:type="dxa"/>
            <w:vAlign w:val="bottom"/>
          </w:tcPr>
          <w:p>
            <w:pPr>
              <w:ind w:left="280"/>
              <w:spacing w:after="0" w:line="118" w:lineRule="exact"/>
              <w:rPr>
                <w:sz w:val="20"/>
                <w:szCs w:val="20"/>
                <w:color w:val="auto"/>
              </w:rPr>
            </w:pPr>
            <w:r>
              <w:rPr>
                <w:rFonts w:ascii="Arial" w:cs="Arial" w:eastAsia="Arial" w:hAnsi="Arial"/>
                <w:sz w:val="12"/>
                <w:szCs w:val="12"/>
                <w:color w:val="auto"/>
              </w:rPr>
              <w:t>Total current assets</w:t>
            </w:r>
          </w:p>
        </w:tc>
        <w:tc>
          <w:tcPr>
            <w:tcW w:w="960" w:type="dxa"/>
            <w:vAlign w:val="bottom"/>
          </w:tcPr>
          <w:p>
            <w:pPr>
              <w:spacing w:after="0"/>
              <w:rPr>
                <w:sz w:val="10"/>
                <w:szCs w:val="10"/>
                <w:color w:val="auto"/>
              </w:rPr>
            </w:pPr>
          </w:p>
        </w:tc>
        <w:tc>
          <w:tcPr>
            <w:tcW w:w="520" w:type="dxa"/>
            <w:vAlign w:val="bottom"/>
          </w:tcPr>
          <w:p>
            <w:pPr>
              <w:jc w:val="right"/>
              <w:spacing w:after="0" w:line="118" w:lineRule="exact"/>
              <w:rPr>
                <w:sz w:val="20"/>
                <w:szCs w:val="20"/>
                <w:color w:val="auto"/>
              </w:rPr>
            </w:pPr>
            <w:r>
              <w:rPr>
                <w:rFonts w:ascii="Arial" w:cs="Arial" w:eastAsia="Arial" w:hAnsi="Arial"/>
                <w:sz w:val="12"/>
                <w:szCs w:val="12"/>
                <w:color w:val="auto"/>
              </w:rPr>
              <w:t>61,755</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line="118" w:lineRule="exact"/>
              <w:rPr>
                <w:sz w:val="20"/>
                <w:szCs w:val="20"/>
                <w:color w:val="auto"/>
              </w:rPr>
            </w:pPr>
            <w:r>
              <w:rPr>
                <w:rFonts w:ascii="Arial" w:cs="Arial" w:eastAsia="Arial" w:hAnsi="Arial"/>
                <w:sz w:val="12"/>
                <w:szCs w:val="12"/>
                <w:color w:val="auto"/>
              </w:rPr>
              <w:t>22,339</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Property and equipment, net</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2,460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2,478</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Intangible assets, net</w:t>
            </w:r>
          </w:p>
        </w:tc>
        <w:tc>
          <w:tcPr>
            <w:tcW w:w="9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2"/>
                <w:szCs w:val="12"/>
                <w:color w:val="auto"/>
              </w:rPr>
              <w:t>3,549</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3,882</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Goodwill</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2,791</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2,791</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Right-of-use assets</w:t>
            </w:r>
          </w:p>
        </w:tc>
        <w:tc>
          <w:tcPr>
            <w:tcW w:w="9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2"/>
                <w:szCs w:val="12"/>
                <w:color w:val="auto"/>
              </w:rPr>
              <w:t>9,119</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9,438</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assets</w:t>
            </w:r>
          </w:p>
        </w:tc>
        <w:tc>
          <w:tcPr>
            <w:tcW w:w="9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365</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365</w:t>
            </w:r>
          </w:p>
        </w:tc>
      </w:tr>
      <w:tr>
        <w:trPr>
          <w:trHeight w:val="126"/>
        </w:trPr>
        <w:tc>
          <w:tcPr>
            <w:tcW w:w="8160" w:type="dxa"/>
            <w:vAlign w:val="bottom"/>
            <w:tcBorders>
              <w:bottom w:val="single" w:sz="8" w:color="CCEEFF"/>
            </w:tcBorders>
          </w:tcPr>
          <w:p>
            <w:pPr>
              <w:ind w:left="280"/>
              <w:spacing w:after="0" w:line="118" w:lineRule="exact"/>
              <w:rPr>
                <w:sz w:val="20"/>
                <w:szCs w:val="20"/>
                <w:color w:val="auto"/>
              </w:rPr>
            </w:pPr>
            <w:r>
              <w:rPr>
                <w:rFonts w:ascii="Arial" w:cs="Arial" w:eastAsia="Arial" w:hAnsi="Arial"/>
                <w:sz w:val="12"/>
                <w:szCs w:val="12"/>
                <w:color w:val="auto"/>
              </w:rPr>
              <w:t>Total assets</w:t>
            </w: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80,039</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41,293</w:t>
            </w:r>
          </w:p>
        </w:tc>
      </w:tr>
      <w:tr>
        <w:trPr>
          <w:trHeight w:val="129"/>
        </w:trPr>
        <w:tc>
          <w:tcPr>
            <w:tcW w:w="8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b w:val="1"/>
                <w:bCs w:val="1"/>
                <w:color w:val="auto"/>
              </w:rPr>
              <w:t>LIABILITIES AND STOCKHOLDERS’ EQUITY</w:t>
            </w: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Current liabilities:</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Accounts payable</w:t>
            </w:r>
          </w:p>
        </w:tc>
        <w:tc>
          <w:tcPr>
            <w:tcW w:w="960" w:type="dxa"/>
            <w:vAlign w:val="bottom"/>
          </w:tcPr>
          <w:p>
            <w:pPr>
              <w:jc w:val="right"/>
              <w:ind w:right="849"/>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29" w:lineRule="exact"/>
              <w:rPr>
                <w:sz w:val="20"/>
                <w:szCs w:val="20"/>
                <w:color w:val="auto"/>
              </w:rPr>
            </w:pPr>
            <w:r>
              <w:rPr>
                <w:rFonts w:ascii="Arial" w:cs="Arial" w:eastAsia="Arial" w:hAnsi="Arial"/>
                <w:sz w:val="12"/>
                <w:szCs w:val="12"/>
                <w:color w:val="auto"/>
              </w:rPr>
              <w:t>2,823</w:t>
            </w:r>
          </w:p>
        </w:tc>
        <w:tc>
          <w:tcPr>
            <w:tcW w:w="160" w:type="dxa"/>
            <w:vAlign w:val="bottom"/>
          </w:tcPr>
          <w:p>
            <w:pPr>
              <w:spacing w:after="0"/>
              <w:rPr>
                <w:sz w:val="11"/>
                <w:szCs w:val="11"/>
                <w:color w:val="auto"/>
              </w:rPr>
            </w:pPr>
          </w:p>
        </w:tc>
        <w:tc>
          <w:tcPr>
            <w:tcW w:w="260" w:type="dxa"/>
            <w:vAlign w:val="bottom"/>
            <w:gridSpan w:val="2"/>
          </w:tcPr>
          <w:p>
            <w:pPr>
              <w:jc w:val="right"/>
              <w:ind w:right="129"/>
              <w:spacing w:after="0" w:line="129" w:lineRule="exact"/>
              <w:rPr>
                <w:sz w:val="20"/>
                <w:szCs w:val="20"/>
                <w:color w:val="auto"/>
              </w:rPr>
            </w:pPr>
            <w:r>
              <w:rPr>
                <w:rFonts w:ascii="Arial" w:cs="Arial" w:eastAsia="Arial" w:hAnsi="Arial"/>
                <w:sz w:val="12"/>
                <w:szCs w:val="12"/>
                <w:color w:val="auto"/>
                <w:w w:val="89"/>
              </w:rPr>
              <w:t>$</w:t>
            </w: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1,717</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Accrued expenses</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4,572</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5,326</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Lease liability, current</w:t>
            </w:r>
          </w:p>
        </w:tc>
        <w:tc>
          <w:tcPr>
            <w:tcW w:w="9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2"/>
                <w:szCs w:val="12"/>
                <w:color w:val="auto"/>
              </w:rPr>
              <w:t>719</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542</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Note payable, current</w:t>
            </w:r>
          </w:p>
        </w:tc>
        <w:tc>
          <w:tcPr>
            <w:tcW w:w="96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1,730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18"/>
        </w:trPr>
        <w:tc>
          <w:tcPr>
            <w:tcW w:w="8160" w:type="dxa"/>
            <w:vAlign w:val="bottom"/>
          </w:tcPr>
          <w:p>
            <w:pPr>
              <w:ind w:left="280"/>
              <w:spacing w:after="0" w:line="118" w:lineRule="exact"/>
              <w:rPr>
                <w:sz w:val="20"/>
                <w:szCs w:val="20"/>
                <w:color w:val="auto"/>
              </w:rPr>
            </w:pPr>
            <w:r>
              <w:rPr>
                <w:rFonts w:ascii="Arial" w:cs="Arial" w:eastAsia="Arial" w:hAnsi="Arial"/>
                <w:sz w:val="12"/>
                <w:szCs w:val="12"/>
                <w:color w:val="auto"/>
              </w:rPr>
              <w:t>Total current liabilities</w:t>
            </w:r>
          </w:p>
        </w:tc>
        <w:tc>
          <w:tcPr>
            <w:tcW w:w="960" w:type="dxa"/>
            <w:vAlign w:val="bottom"/>
          </w:tcPr>
          <w:p>
            <w:pPr>
              <w:spacing w:after="0"/>
              <w:rPr>
                <w:sz w:val="10"/>
                <w:szCs w:val="10"/>
                <w:color w:val="auto"/>
              </w:rPr>
            </w:pPr>
          </w:p>
        </w:tc>
        <w:tc>
          <w:tcPr>
            <w:tcW w:w="520" w:type="dxa"/>
            <w:vAlign w:val="bottom"/>
          </w:tcPr>
          <w:p>
            <w:pPr>
              <w:jc w:val="right"/>
              <w:spacing w:after="0" w:line="118" w:lineRule="exact"/>
              <w:rPr>
                <w:sz w:val="20"/>
                <w:szCs w:val="20"/>
                <w:color w:val="auto"/>
              </w:rPr>
            </w:pPr>
            <w:r>
              <w:rPr>
                <w:rFonts w:ascii="Arial" w:cs="Arial" w:eastAsia="Arial" w:hAnsi="Arial"/>
                <w:sz w:val="12"/>
                <w:szCs w:val="12"/>
                <w:color w:val="auto"/>
              </w:rPr>
              <w:t>9,844</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spacing w:after="0" w:line="118" w:lineRule="exact"/>
              <w:rPr>
                <w:sz w:val="20"/>
                <w:szCs w:val="20"/>
                <w:color w:val="auto"/>
              </w:rPr>
            </w:pPr>
            <w:r>
              <w:rPr>
                <w:rFonts w:ascii="Arial" w:cs="Arial" w:eastAsia="Arial" w:hAnsi="Arial"/>
                <w:sz w:val="12"/>
                <w:szCs w:val="12"/>
                <w:color w:val="auto"/>
              </w:rPr>
              <w:t>7,585</w:t>
            </w:r>
          </w:p>
        </w:tc>
      </w:tr>
      <w:tr>
        <w:trPr>
          <w:trHeight w:val="129"/>
        </w:trPr>
        <w:tc>
          <w:tcPr>
            <w:tcW w:w="8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color w:val="auto"/>
              </w:rPr>
              <w:t>Lease liability, less current</w:t>
            </w:r>
          </w:p>
        </w:tc>
        <w:tc>
          <w:tcPr>
            <w:tcW w:w="9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10,445</w:t>
            </w:r>
          </w:p>
        </w:tc>
        <w:tc>
          <w:tcPr>
            <w:tcW w:w="1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10,814</w:t>
            </w:r>
          </w:p>
        </w:tc>
      </w:tr>
      <w:tr>
        <w:trPr>
          <w:trHeight w:val="118"/>
        </w:trPr>
        <w:tc>
          <w:tcPr>
            <w:tcW w:w="8160" w:type="dxa"/>
            <w:vAlign w:val="bottom"/>
            <w:shd w:val="clear" w:color="auto" w:fill="CCEEFF"/>
          </w:tcPr>
          <w:p>
            <w:pPr>
              <w:ind w:left="280"/>
              <w:spacing w:after="0" w:line="118" w:lineRule="exact"/>
              <w:rPr>
                <w:sz w:val="20"/>
                <w:szCs w:val="20"/>
                <w:color w:val="auto"/>
              </w:rPr>
            </w:pPr>
            <w:r>
              <w:rPr>
                <w:rFonts w:ascii="Arial" w:cs="Arial" w:eastAsia="Arial" w:hAnsi="Arial"/>
                <w:sz w:val="12"/>
                <w:szCs w:val="12"/>
                <w:color w:val="auto"/>
              </w:rPr>
              <w:t>Total liabilities</w:t>
            </w:r>
          </w:p>
        </w:tc>
        <w:tc>
          <w:tcPr>
            <w:tcW w:w="96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20,289</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18,399</w:t>
            </w:r>
          </w:p>
        </w:tc>
      </w:tr>
      <w:tr>
        <w:trPr>
          <w:trHeight w:val="118"/>
        </w:trPr>
        <w:tc>
          <w:tcPr>
            <w:tcW w:w="8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Commitments and contingencies (Note 8)</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29"/>
        </w:trPr>
        <w:tc>
          <w:tcPr>
            <w:tcW w:w="8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Stockholders’ equity:</w:t>
            </w:r>
          </w:p>
        </w:tc>
        <w:tc>
          <w:tcPr>
            <w:tcW w:w="9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11"/>
        </w:trPr>
        <w:tc>
          <w:tcPr>
            <w:tcW w:w="8160" w:type="dxa"/>
            <w:vAlign w:val="bottom"/>
          </w:tcPr>
          <w:p>
            <w:pPr>
              <w:ind w:left="140"/>
              <w:spacing w:after="0" w:line="111" w:lineRule="exact"/>
              <w:rPr>
                <w:sz w:val="20"/>
                <w:szCs w:val="20"/>
                <w:color w:val="auto"/>
              </w:rPr>
            </w:pPr>
            <w:r>
              <w:rPr>
                <w:rFonts w:ascii="Arial" w:cs="Arial" w:eastAsia="Arial" w:hAnsi="Arial"/>
                <w:sz w:val="12"/>
                <w:szCs w:val="12"/>
                <w:color w:val="auto"/>
              </w:rPr>
              <w:t>Preferred stock, $0.001 par value;</w:t>
            </w: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47"/>
        </w:trPr>
        <w:tc>
          <w:tcPr>
            <w:tcW w:w="8160" w:type="dxa"/>
            <w:vAlign w:val="bottom"/>
          </w:tcPr>
          <w:p>
            <w:pPr>
              <w:ind w:left="140"/>
              <w:spacing w:after="0"/>
              <w:rPr>
                <w:sz w:val="20"/>
                <w:szCs w:val="20"/>
                <w:color w:val="auto"/>
              </w:rPr>
            </w:pPr>
            <w:r>
              <w:rPr>
                <w:rFonts w:ascii="Arial" w:cs="Arial" w:eastAsia="Arial" w:hAnsi="Arial"/>
                <w:sz w:val="12"/>
                <w:szCs w:val="12"/>
                <w:color w:val="auto"/>
              </w:rPr>
              <w:t>authorized – 50,000 shares; no shares issued and outstanding</w:t>
            </w:r>
          </w:p>
        </w:tc>
        <w:tc>
          <w:tcPr>
            <w:tcW w:w="960" w:type="dxa"/>
            <w:vAlign w:val="bottom"/>
          </w:tcPr>
          <w:p>
            <w:pPr>
              <w:spacing w:after="0"/>
              <w:rPr>
                <w:sz w:val="12"/>
                <w:szCs w:val="12"/>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11"/>
        </w:trPr>
        <w:tc>
          <w:tcPr>
            <w:tcW w:w="8160" w:type="dxa"/>
            <w:vAlign w:val="bottom"/>
            <w:shd w:val="clear" w:color="auto" w:fill="CCEEFF"/>
          </w:tcPr>
          <w:p>
            <w:pPr>
              <w:ind w:left="140"/>
              <w:spacing w:after="0" w:line="111" w:lineRule="exact"/>
              <w:rPr>
                <w:sz w:val="20"/>
                <w:szCs w:val="20"/>
                <w:color w:val="auto"/>
              </w:rPr>
            </w:pPr>
            <w:r>
              <w:rPr>
                <w:rFonts w:ascii="Arial" w:cs="Arial" w:eastAsia="Arial" w:hAnsi="Arial"/>
                <w:sz w:val="12"/>
                <w:szCs w:val="12"/>
                <w:color w:val="auto"/>
              </w:rPr>
              <w:t>Common stock, $0.001 par value:</w:t>
            </w:r>
          </w:p>
        </w:tc>
        <w:tc>
          <w:tcPr>
            <w:tcW w:w="9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147"/>
        </w:trPr>
        <w:tc>
          <w:tcPr>
            <w:tcW w:w="81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authorized – 500,000 shares; issued and outstanding – 29,606 shares and 25,550 shares at June 30, 2021 and December 31, 2020, respectively</w:t>
            </w:r>
          </w:p>
        </w:tc>
        <w:tc>
          <w:tcPr>
            <w:tcW w:w="9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Additional paid-in capital</w:t>
            </w:r>
          </w:p>
        </w:tc>
        <w:tc>
          <w:tcPr>
            <w:tcW w:w="96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2"/>
                <w:szCs w:val="12"/>
                <w:color w:val="auto"/>
              </w:rPr>
              <w:t>266,223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195,410</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Accumulated other comprehensive income (loss)</w:t>
            </w:r>
          </w:p>
        </w:tc>
        <w:tc>
          <w:tcPr>
            <w:tcW w:w="9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29" w:lineRule="exact"/>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Accumulated deficit</w:t>
            </w:r>
          </w:p>
        </w:tc>
        <w:tc>
          <w:tcPr>
            <w:tcW w:w="960" w:type="dxa"/>
            <w:vAlign w:val="bottom"/>
          </w:tcPr>
          <w:p>
            <w:pPr>
              <w:spacing w:after="0"/>
              <w:rPr>
                <w:sz w:val="11"/>
                <w:szCs w:val="11"/>
                <w:color w:val="auto"/>
              </w:rPr>
            </w:pPr>
          </w:p>
        </w:tc>
        <w:tc>
          <w:tcPr>
            <w:tcW w:w="68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w w:val="97"/>
              </w:rPr>
              <w:t>(206,502)</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(172,540)</w:t>
            </w:r>
          </w:p>
        </w:tc>
      </w:tr>
      <w:tr>
        <w:trPr>
          <w:trHeight w:val="118"/>
        </w:trPr>
        <w:tc>
          <w:tcPr>
            <w:tcW w:w="8160" w:type="dxa"/>
            <w:vAlign w:val="bottom"/>
            <w:tcBorders>
              <w:top w:val="single" w:sz="8" w:color="CCEEFF"/>
            </w:tcBorders>
            <w:shd w:val="clear" w:color="auto" w:fill="CCEEFF"/>
          </w:tcPr>
          <w:p>
            <w:pPr>
              <w:ind w:left="280"/>
              <w:spacing w:after="0" w:line="118" w:lineRule="exact"/>
              <w:rPr>
                <w:sz w:val="20"/>
                <w:szCs w:val="20"/>
                <w:color w:val="auto"/>
              </w:rPr>
            </w:pPr>
            <w:r>
              <w:rPr>
                <w:rFonts w:ascii="Arial" w:cs="Arial" w:eastAsia="Arial" w:hAnsi="Arial"/>
                <w:sz w:val="12"/>
                <w:szCs w:val="12"/>
                <w:color w:val="auto"/>
              </w:rPr>
              <w:t>Total stockholders’ equity</w:t>
            </w:r>
          </w:p>
        </w:tc>
        <w:tc>
          <w:tcPr>
            <w:tcW w:w="960" w:type="dxa"/>
            <w:vAlign w:val="bottom"/>
            <w:tcBorders>
              <w:top w:val="single" w:sz="8" w:color="auto"/>
              <w:bottom w:val="single" w:sz="8" w:color="auto"/>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59,750</w:t>
            </w: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22,894</w:t>
            </w:r>
          </w:p>
        </w:tc>
      </w:tr>
      <w:tr>
        <w:trPr>
          <w:trHeight w:val="126"/>
        </w:trPr>
        <w:tc>
          <w:tcPr>
            <w:tcW w:w="8160" w:type="dxa"/>
            <w:vAlign w:val="bottom"/>
          </w:tcPr>
          <w:p>
            <w:pPr>
              <w:ind w:left="280"/>
              <w:spacing w:after="0" w:line="118" w:lineRule="exact"/>
              <w:rPr>
                <w:sz w:val="20"/>
                <w:szCs w:val="20"/>
                <w:color w:val="auto"/>
              </w:rPr>
            </w:pPr>
            <w:r>
              <w:rPr>
                <w:rFonts w:ascii="Arial" w:cs="Arial" w:eastAsia="Arial" w:hAnsi="Arial"/>
                <w:sz w:val="12"/>
                <w:szCs w:val="12"/>
                <w:color w:val="auto"/>
              </w:rPr>
              <w:t>Total liabilities and stockholders’ equity</w:t>
            </w:r>
          </w:p>
        </w:tc>
        <w:tc>
          <w:tcPr>
            <w:tcW w:w="960" w:type="dxa"/>
            <w:vAlign w:val="bottom"/>
            <w:tcBorders>
              <w:bottom w:val="single" w:sz="8" w:color="auto"/>
            </w:tcBorders>
          </w:tcPr>
          <w:p>
            <w:pPr>
              <w:jc w:val="right"/>
              <w:ind w:right="849"/>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80,039</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41,293</w:t>
            </w:r>
          </w:p>
        </w:tc>
      </w:tr>
    </w:tbl>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 w:name="page4"/>
    <w:bookmarkEnd w:id="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31" w:lineRule="exact"/>
        <w:rPr>
          <w:sz w:val="20"/>
          <w:szCs w:val="20"/>
          <w:color w:val="auto"/>
        </w:rPr>
      </w:pPr>
    </w:p>
    <w:p>
      <w:pPr>
        <w:jc w:val="center"/>
        <w:ind w:left="440"/>
        <w:spacing w:after="0"/>
        <w:rPr>
          <w:sz w:val="20"/>
          <w:szCs w:val="20"/>
          <w:color w:val="auto"/>
        </w:rPr>
      </w:pPr>
      <w:r>
        <w:rPr>
          <w:rFonts w:ascii="Arial" w:cs="Arial" w:eastAsia="Arial" w:hAnsi="Arial"/>
          <w:sz w:val="12"/>
          <w:szCs w:val="12"/>
          <w:b w:val="1"/>
          <w:bCs w:val="1"/>
          <w:color w:val="auto"/>
        </w:rPr>
        <w:t>PULSE BIOSCIENCES, INC.</w:t>
      </w:r>
    </w:p>
    <w:p>
      <w:pPr>
        <w:jc w:val="center"/>
        <w:ind w:left="440"/>
        <w:spacing w:after="0" w:line="233" w:lineRule="auto"/>
        <w:rPr>
          <w:sz w:val="20"/>
          <w:szCs w:val="20"/>
          <w:color w:val="auto"/>
        </w:rPr>
      </w:pPr>
      <w:r>
        <w:rPr>
          <w:rFonts w:ascii="Arial" w:cs="Arial" w:eastAsia="Arial" w:hAnsi="Arial"/>
          <w:sz w:val="12"/>
          <w:szCs w:val="12"/>
          <w:b w:val="1"/>
          <w:bCs w:val="1"/>
          <w:color w:val="auto"/>
        </w:rPr>
        <w:t>Condensed Consolidated Statements of Operations and Comprehensive Loss</w:t>
      </w:r>
    </w:p>
    <w:p>
      <w:pPr>
        <w:jc w:val="center"/>
        <w:ind w:left="440"/>
        <w:spacing w:after="0" w:line="225" w:lineRule="auto"/>
        <w:rPr>
          <w:sz w:val="20"/>
          <w:szCs w:val="20"/>
          <w:color w:val="auto"/>
        </w:rPr>
      </w:pPr>
      <w:r>
        <w:rPr>
          <w:rFonts w:ascii="Arial" w:cs="Arial" w:eastAsia="Arial" w:hAnsi="Arial"/>
          <w:sz w:val="12"/>
          <w:szCs w:val="12"/>
          <w:b w:val="1"/>
          <w:bCs w:val="1"/>
          <w:color w:val="auto"/>
        </w:rPr>
        <w:t>(In thousands, except per share amounts)</w:t>
      </w:r>
    </w:p>
    <w:p>
      <w:pPr>
        <w:jc w:val="center"/>
        <w:ind w:left="440"/>
        <w:spacing w:after="0"/>
        <w:rPr>
          <w:sz w:val="20"/>
          <w:szCs w:val="20"/>
          <w:color w:val="auto"/>
        </w:rPr>
      </w:pPr>
      <w:r>
        <w:rPr>
          <w:rFonts w:ascii="Arial" w:cs="Arial" w:eastAsia="Arial" w:hAnsi="Arial"/>
          <w:sz w:val="12"/>
          <w:szCs w:val="12"/>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960" w:type="dxa"/>
            <w:vAlign w:val="bottom"/>
            <w:gridSpan w:val="5"/>
          </w:tcPr>
          <w:p>
            <w:pPr>
              <w:jc w:val="right"/>
              <w:ind w:right="109"/>
              <w:spacing w:after="0"/>
              <w:rPr>
                <w:sz w:val="20"/>
                <w:szCs w:val="20"/>
                <w:color w:val="auto"/>
              </w:rPr>
            </w:pPr>
            <w:r>
              <w:rPr>
                <w:rFonts w:ascii="Arial" w:cs="Arial" w:eastAsia="Arial" w:hAnsi="Arial"/>
                <w:sz w:val="10"/>
                <w:szCs w:val="10"/>
                <w:b w:val="1"/>
                <w:bCs w:val="1"/>
                <w:color w:val="auto"/>
              </w:rPr>
              <w:t>Three-Month Periods Ended</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60" w:type="dxa"/>
            <w:vAlign w:val="bottom"/>
            <w:gridSpan w:val="5"/>
          </w:tcPr>
          <w:p>
            <w:pPr>
              <w:jc w:val="right"/>
              <w:ind w:right="619"/>
              <w:spacing w:after="0"/>
              <w:rPr>
                <w:sz w:val="20"/>
                <w:szCs w:val="20"/>
                <w:color w:val="auto"/>
              </w:rPr>
            </w:pPr>
            <w:r>
              <w:rPr>
                <w:rFonts w:ascii="Arial" w:cs="Arial" w:eastAsia="Arial" w:hAnsi="Arial"/>
                <w:sz w:val="10"/>
                <w:szCs w:val="10"/>
                <w:b w:val="1"/>
                <w:bCs w:val="1"/>
                <w:color w:val="auto"/>
              </w:rPr>
              <w:t>Six-Month Periods Ended</w:t>
            </w:r>
          </w:p>
        </w:tc>
      </w:tr>
      <w:tr>
        <w:trPr>
          <w:trHeight w:val="116"/>
        </w:trPr>
        <w:tc>
          <w:tcPr>
            <w:tcW w:w="53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4"/>
          </w:tcPr>
          <w:p>
            <w:pPr>
              <w:jc w:val="right"/>
              <w:ind w:right="549"/>
              <w:spacing w:after="0"/>
              <w:rPr>
                <w:sz w:val="20"/>
                <w:szCs w:val="20"/>
                <w:color w:val="auto"/>
              </w:rPr>
            </w:pPr>
            <w:r>
              <w:rPr>
                <w:rFonts w:ascii="Arial" w:cs="Arial" w:eastAsia="Arial" w:hAnsi="Arial"/>
                <w:sz w:val="10"/>
                <w:szCs w:val="10"/>
                <w:b w:val="1"/>
                <w:bCs w:val="1"/>
                <w:color w:val="auto"/>
              </w:rPr>
              <w:t>June 30,</w:t>
            </w:r>
          </w:p>
        </w:tc>
        <w:tc>
          <w:tcPr>
            <w:tcW w:w="4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right"/>
              <w:ind w:right="129"/>
              <w:spacing w:after="0"/>
              <w:rPr>
                <w:sz w:val="20"/>
                <w:szCs w:val="20"/>
                <w:color w:val="auto"/>
              </w:rPr>
            </w:pPr>
            <w:r>
              <w:rPr>
                <w:rFonts w:ascii="Arial" w:cs="Arial" w:eastAsia="Arial" w:hAnsi="Arial"/>
                <w:sz w:val="10"/>
                <w:szCs w:val="10"/>
                <w:b w:val="1"/>
                <w:bCs w:val="1"/>
                <w:color w:val="auto"/>
              </w:rPr>
              <w:t>June 30,</w:t>
            </w:r>
          </w:p>
        </w:tc>
        <w:tc>
          <w:tcPr>
            <w:tcW w:w="860" w:type="dxa"/>
            <w:vAlign w:val="bottom"/>
            <w:tcBorders>
              <w:bottom w:val="single" w:sz="8" w:color="auto"/>
            </w:tcBorders>
          </w:tcPr>
          <w:p>
            <w:pPr>
              <w:spacing w:after="0"/>
              <w:rPr>
                <w:sz w:val="10"/>
                <w:szCs w:val="10"/>
                <w:color w:val="auto"/>
              </w:rPr>
            </w:pPr>
          </w:p>
        </w:tc>
      </w:tr>
      <w:tr>
        <w:trPr>
          <w:trHeight w:val="91"/>
        </w:trPr>
        <w:tc>
          <w:tcPr>
            <w:tcW w:w="53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80" w:type="dxa"/>
            <w:vAlign w:val="bottom"/>
          </w:tcPr>
          <w:p>
            <w:pPr>
              <w:jc w:val="right"/>
              <w:spacing w:after="0" w:line="91" w:lineRule="exact"/>
              <w:rPr>
                <w:sz w:val="20"/>
                <w:szCs w:val="20"/>
                <w:color w:val="auto"/>
              </w:rPr>
            </w:pPr>
            <w:r>
              <w:rPr>
                <w:rFonts w:ascii="Arial" w:cs="Arial" w:eastAsia="Arial" w:hAnsi="Arial"/>
                <w:sz w:val="10"/>
                <w:szCs w:val="10"/>
                <w:b w:val="1"/>
                <w:bCs w:val="1"/>
                <w:color w:val="auto"/>
              </w:rPr>
              <w:t>2021</w:t>
            </w: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tcPr>
          <w:p>
            <w:pPr>
              <w:jc w:val="right"/>
              <w:spacing w:after="0" w:line="91" w:lineRule="exact"/>
              <w:rPr>
                <w:sz w:val="20"/>
                <w:szCs w:val="20"/>
                <w:color w:val="auto"/>
              </w:rPr>
            </w:pPr>
            <w:r>
              <w:rPr>
                <w:rFonts w:ascii="Arial" w:cs="Arial" w:eastAsia="Arial" w:hAnsi="Arial"/>
                <w:sz w:val="10"/>
                <w:szCs w:val="10"/>
                <w:b w:val="1"/>
                <w:bCs w:val="1"/>
                <w:color w:val="auto"/>
              </w:rPr>
              <w:t>2020</w:t>
            </w: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jc w:val="right"/>
              <w:ind w:right="421"/>
              <w:spacing w:after="0" w:line="91" w:lineRule="exact"/>
              <w:rPr>
                <w:sz w:val="20"/>
                <w:szCs w:val="20"/>
                <w:color w:val="auto"/>
              </w:rPr>
            </w:pPr>
            <w:r>
              <w:rPr>
                <w:rFonts w:ascii="Arial" w:cs="Arial" w:eastAsia="Arial" w:hAnsi="Arial"/>
                <w:sz w:val="10"/>
                <w:szCs w:val="10"/>
                <w:b w:val="1"/>
                <w:bCs w:val="1"/>
                <w:color w:val="auto"/>
              </w:rPr>
              <w:t>2021</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jc w:val="right"/>
              <w:ind w:right="419"/>
              <w:spacing w:after="0" w:line="91" w:lineRule="exact"/>
              <w:rPr>
                <w:sz w:val="20"/>
                <w:szCs w:val="20"/>
                <w:color w:val="auto"/>
              </w:rPr>
            </w:pPr>
            <w:r>
              <w:rPr>
                <w:rFonts w:ascii="Arial" w:cs="Arial" w:eastAsia="Arial" w:hAnsi="Arial"/>
                <w:sz w:val="10"/>
                <w:szCs w:val="10"/>
                <w:b w:val="1"/>
                <w:bCs w:val="1"/>
                <w:color w:val="auto"/>
              </w:rPr>
              <w:t>2020</w:t>
            </w:r>
          </w:p>
        </w:tc>
      </w:tr>
      <w:tr>
        <w:trPr>
          <w:trHeight w:val="118"/>
        </w:trPr>
        <w:tc>
          <w:tcPr>
            <w:tcW w:w="538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Revenue</w:t>
            </w:r>
          </w:p>
        </w:tc>
        <w:tc>
          <w:tcPr>
            <w:tcW w:w="9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ind w:right="58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ind w:right="1"/>
              <w:spacing w:after="0" w:line="118"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w:t>
            </w:r>
          </w:p>
        </w:tc>
      </w:tr>
      <w:tr>
        <w:trPr>
          <w:trHeight w:val="118"/>
        </w:trPr>
        <w:tc>
          <w:tcPr>
            <w:tcW w:w="5380" w:type="dxa"/>
            <w:vAlign w:val="bottom"/>
          </w:tcPr>
          <w:p>
            <w:pPr>
              <w:spacing w:after="0" w:line="118" w:lineRule="exact"/>
              <w:rPr>
                <w:sz w:val="20"/>
                <w:szCs w:val="20"/>
                <w:color w:val="auto"/>
              </w:rPr>
            </w:pPr>
            <w:r>
              <w:rPr>
                <w:rFonts w:ascii="Arial" w:cs="Arial" w:eastAsia="Arial" w:hAnsi="Arial"/>
                <w:sz w:val="12"/>
                <w:szCs w:val="12"/>
                <w:color w:val="auto"/>
              </w:rPr>
              <w:t>Operating expenses:</w:t>
            </w:r>
          </w:p>
        </w:tc>
        <w:tc>
          <w:tcPr>
            <w:tcW w:w="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29"/>
        </w:trPr>
        <w:tc>
          <w:tcPr>
            <w:tcW w:w="538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Research and development</w:t>
            </w: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7,459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5,870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16,522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12,051</w:t>
            </w:r>
          </w:p>
        </w:tc>
      </w:tr>
      <w:tr>
        <w:trPr>
          <w:trHeight w:val="129"/>
        </w:trPr>
        <w:tc>
          <w:tcPr>
            <w:tcW w:w="5380" w:type="dxa"/>
            <w:vAlign w:val="bottom"/>
          </w:tcPr>
          <w:p>
            <w:pPr>
              <w:ind w:left="140"/>
              <w:spacing w:after="0" w:line="129" w:lineRule="exact"/>
              <w:rPr>
                <w:sz w:val="20"/>
                <w:szCs w:val="20"/>
                <w:color w:val="auto"/>
              </w:rPr>
            </w:pPr>
            <w:r>
              <w:rPr>
                <w:rFonts w:ascii="Arial" w:cs="Arial" w:eastAsia="Arial" w:hAnsi="Arial"/>
                <w:sz w:val="12"/>
                <w:szCs w:val="12"/>
                <w:color w:val="auto"/>
              </w:rPr>
              <w:t>Sales and marketing</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3,147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1,485</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right"/>
              <w:ind w:right="1"/>
              <w:spacing w:after="0" w:line="129" w:lineRule="exact"/>
              <w:rPr>
                <w:sz w:val="20"/>
                <w:szCs w:val="20"/>
                <w:color w:val="auto"/>
              </w:rPr>
            </w:pPr>
            <w:r>
              <w:rPr>
                <w:rFonts w:ascii="Arial" w:cs="Arial" w:eastAsia="Arial" w:hAnsi="Arial"/>
                <w:sz w:val="12"/>
                <w:szCs w:val="12"/>
                <w:color w:val="auto"/>
              </w:rPr>
              <w:t>7,293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2"/>
                <w:szCs w:val="12"/>
                <w:color w:val="auto"/>
              </w:rPr>
              <w:t>3,180</w:t>
            </w:r>
          </w:p>
        </w:tc>
      </w:tr>
      <w:tr>
        <w:trPr>
          <w:trHeight w:val="129"/>
        </w:trPr>
        <w:tc>
          <w:tcPr>
            <w:tcW w:w="538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General and administrative</w:t>
            </w:r>
          </w:p>
        </w:tc>
        <w:tc>
          <w:tcPr>
            <w:tcW w:w="96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4,200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3,999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9,516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8,073</w:t>
            </w:r>
          </w:p>
        </w:tc>
      </w:tr>
      <w:tr>
        <w:trPr>
          <w:trHeight w:val="118"/>
        </w:trPr>
        <w:tc>
          <w:tcPr>
            <w:tcW w:w="5380" w:type="dxa"/>
            <w:vAlign w:val="bottom"/>
            <w:tcBorders>
              <w:bottom w:val="single" w:sz="8" w:color="CCEEFF"/>
            </w:tcBorders>
          </w:tcPr>
          <w:p>
            <w:pPr>
              <w:spacing w:after="0" w:line="118" w:lineRule="exact"/>
              <w:rPr>
                <w:sz w:val="20"/>
                <w:szCs w:val="20"/>
                <w:color w:val="auto"/>
              </w:rPr>
            </w:pPr>
            <w:r>
              <w:rPr>
                <w:rFonts w:ascii="Arial" w:cs="Arial" w:eastAsia="Arial" w:hAnsi="Arial"/>
                <w:sz w:val="12"/>
                <w:szCs w:val="12"/>
                <w:color w:val="auto"/>
              </w:rPr>
              <w:t>Total operating expenses</w:t>
            </w:r>
          </w:p>
        </w:tc>
        <w:tc>
          <w:tcPr>
            <w:tcW w:w="96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14,806</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11,354</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1"/>
              <w:spacing w:after="0" w:line="118" w:lineRule="exact"/>
              <w:rPr>
                <w:sz w:val="20"/>
                <w:szCs w:val="20"/>
                <w:color w:val="auto"/>
              </w:rPr>
            </w:pPr>
            <w:r>
              <w:rPr>
                <w:rFonts w:ascii="Arial" w:cs="Arial" w:eastAsia="Arial" w:hAnsi="Arial"/>
                <w:sz w:val="12"/>
                <w:szCs w:val="12"/>
                <w:color w:val="auto"/>
              </w:rPr>
              <w:t>33,331</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23,304</w:t>
            </w:r>
          </w:p>
        </w:tc>
      </w:tr>
      <w:tr>
        <w:trPr>
          <w:trHeight w:val="118"/>
        </w:trPr>
        <w:tc>
          <w:tcPr>
            <w:tcW w:w="53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Other income (expense):</w:t>
            </w:r>
          </w:p>
        </w:tc>
        <w:tc>
          <w:tcPr>
            <w:tcW w:w="9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r>
      <w:tr>
        <w:trPr>
          <w:trHeight w:val="129"/>
        </w:trPr>
        <w:tc>
          <w:tcPr>
            <w:tcW w:w="5380" w:type="dxa"/>
            <w:vAlign w:val="bottom"/>
          </w:tcPr>
          <w:p>
            <w:pPr>
              <w:ind w:left="140"/>
              <w:spacing w:after="0" w:line="129" w:lineRule="exact"/>
              <w:rPr>
                <w:sz w:val="20"/>
                <w:szCs w:val="20"/>
                <w:color w:val="auto"/>
              </w:rPr>
            </w:pPr>
            <w:r>
              <w:rPr>
                <w:rFonts w:ascii="Arial" w:cs="Arial" w:eastAsia="Arial" w:hAnsi="Arial"/>
                <w:sz w:val="12"/>
                <w:szCs w:val="12"/>
                <w:color w:val="auto"/>
              </w:rPr>
              <w:t>Interest income (expense), net</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(517)</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21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(631)</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2"/>
                <w:szCs w:val="12"/>
                <w:color w:val="auto"/>
              </w:rPr>
              <w:t>99</w:t>
            </w:r>
          </w:p>
        </w:tc>
      </w:tr>
      <w:tr>
        <w:trPr>
          <w:trHeight w:val="118"/>
        </w:trPr>
        <w:tc>
          <w:tcPr>
            <w:tcW w:w="538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Total other income (expense)</w:t>
            </w:r>
          </w:p>
        </w:tc>
        <w:tc>
          <w:tcPr>
            <w:tcW w:w="9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(517)</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21</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(631)</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99</w:t>
            </w:r>
          </w:p>
        </w:tc>
      </w:tr>
      <w:tr>
        <w:trPr>
          <w:trHeight w:val="126"/>
        </w:trPr>
        <w:tc>
          <w:tcPr>
            <w:tcW w:w="5380" w:type="dxa"/>
            <w:vAlign w:val="bottom"/>
            <w:tcBorders>
              <w:bottom w:val="single" w:sz="8" w:color="CCEEFF"/>
            </w:tcBorders>
          </w:tcPr>
          <w:p>
            <w:pPr>
              <w:spacing w:after="0" w:line="118" w:lineRule="exact"/>
              <w:rPr>
                <w:sz w:val="20"/>
                <w:szCs w:val="20"/>
                <w:color w:val="auto"/>
              </w:rPr>
            </w:pPr>
            <w:r>
              <w:rPr>
                <w:rFonts w:ascii="Arial" w:cs="Arial" w:eastAsia="Arial" w:hAnsi="Arial"/>
                <w:sz w:val="12"/>
                <w:szCs w:val="12"/>
                <w:color w:val="auto"/>
              </w:rPr>
              <w:t>Net loss</w:t>
            </w:r>
          </w:p>
        </w:tc>
        <w:tc>
          <w:tcPr>
            <w:tcW w:w="96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w w:val="93"/>
              </w:rPr>
              <w:t>(15,323)</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w w:val="93"/>
              </w:rPr>
              <w:t>(11,333)</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(33,962)</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(23,205)</w:t>
            </w:r>
          </w:p>
        </w:tc>
      </w:tr>
      <w:tr>
        <w:trPr>
          <w:trHeight w:val="129"/>
        </w:trPr>
        <w:tc>
          <w:tcPr>
            <w:tcW w:w="53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Other comprehensive gain (loss):</w:t>
            </w:r>
          </w:p>
        </w:tc>
        <w:tc>
          <w:tcPr>
            <w:tcW w:w="9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29"/>
        </w:trPr>
        <w:tc>
          <w:tcPr>
            <w:tcW w:w="5380" w:type="dxa"/>
            <w:vAlign w:val="bottom"/>
          </w:tcPr>
          <w:p>
            <w:pPr>
              <w:ind w:left="60"/>
              <w:spacing w:after="0" w:line="129" w:lineRule="exact"/>
              <w:rPr>
                <w:sz w:val="20"/>
                <w:szCs w:val="20"/>
                <w:color w:val="auto"/>
              </w:rPr>
            </w:pPr>
            <w:r>
              <w:rPr>
                <w:rFonts w:ascii="Arial" w:cs="Arial" w:eastAsia="Arial" w:hAnsi="Arial"/>
                <w:sz w:val="12"/>
                <w:szCs w:val="12"/>
                <w:color w:val="auto"/>
              </w:rPr>
              <w:t>Unrealized gain (loss) on available-for-sale securities</w:t>
            </w:r>
          </w:p>
        </w:tc>
        <w:tc>
          <w:tcPr>
            <w:tcW w:w="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gridSpan w:val="2"/>
          </w:tcPr>
          <w:p>
            <w:pPr>
              <w:jc w:val="right"/>
              <w:ind w:right="120"/>
              <w:spacing w:after="0" w:line="129"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rPr>
              <w:t>(17)</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right"/>
              <w:ind w:right="1"/>
              <w:spacing w:after="0" w:line="129" w:lineRule="exact"/>
              <w:rPr>
                <w:sz w:val="20"/>
                <w:szCs w:val="20"/>
                <w:color w:val="auto"/>
              </w:rPr>
            </w:pPr>
            <w:r>
              <w:rPr>
                <w:rFonts w:ascii="Arial" w:cs="Arial" w:eastAsia="Arial" w:hAnsi="Arial"/>
                <w:sz w:val="12"/>
                <w:szCs w:val="12"/>
                <w:color w:val="auto"/>
              </w:rPr>
              <w:t>1</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2"/>
                <w:szCs w:val="12"/>
                <w:color w:val="auto"/>
              </w:rPr>
              <w:t>(4)</w:t>
            </w:r>
          </w:p>
        </w:tc>
      </w:tr>
      <w:tr>
        <w:trPr>
          <w:trHeight w:val="138"/>
        </w:trPr>
        <w:tc>
          <w:tcPr>
            <w:tcW w:w="5380" w:type="dxa"/>
            <w:vAlign w:val="bottom"/>
            <w:tcBorders>
              <w:top w:val="single" w:sz="8" w:color="CCEEFF"/>
              <w:bottom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Comprehensive loss</w:t>
            </w:r>
          </w:p>
        </w:tc>
        <w:tc>
          <w:tcPr>
            <w:tcW w:w="960" w:type="dxa"/>
            <w:vAlign w:val="bottom"/>
            <w:tcBorders>
              <w:top w:val="single" w:sz="8" w:color="CCEEFF"/>
              <w:bottom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w w:val="93"/>
              </w:rPr>
              <w:t>(15,323)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589"/>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w w:val="93"/>
              </w:rPr>
              <w:t>(11,350)</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(33,961)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(23,209)</w:t>
            </w:r>
          </w:p>
        </w:tc>
      </w:tr>
      <w:tr>
        <w:trPr>
          <w:trHeight w:val="117"/>
        </w:trPr>
        <w:tc>
          <w:tcPr>
            <w:tcW w:w="5380" w:type="dxa"/>
            <w:vAlign w:val="bottom"/>
          </w:tcPr>
          <w:p>
            <w:pPr>
              <w:spacing w:after="0" w:line="117" w:lineRule="exact"/>
              <w:rPr>
                <w:sz w:val="20"/>
                <w:szCs w:val="20"/>
                <w:color w:val="auto"/>
              </w:rPr>
            </w:pPr>
            <w:r>
              <w:rPr>
                <w:rFonts w:ascii="Arial" w:cs="Arial" w:eastAsia="Arial" w:hAnsi="Arial"/>
                <w:sz w:val="12"/>
                <w:szCs w:val="12"/>
                <w:color w:val="auto"/>
              </w:rPr>
              <w:t>Net loss per share:</w:t>
            </w:r>
          </w:p>
        </w:tc>
        <w:tc>
          <w:tcPr>
            <w:tcW w:w="9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149"/>
        </w:trPr>
        <w:tc>
          <w:tcPr>
            <w:tcW w:w="53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Basic and diluted net loss per share</w:t>
            </w:r>
          </w:p>
        </w:tc>
        <w:tc>
          <w:tcPr>
            <w:tcW w:w="1640" w:type="dxa"/>
            <w:vAlign w:val="bottom"/>
            <w:gridSpan w:val="2"/>
            <w:shd w:val="clear" w:color="auto" w:fill="CCEEFF"/>
          </w:tcPr>
          <w:p>
            <w:pPr>
              <w:jc w:val="right"/>
              <w:ind w:right="570"/>
              <w:spacing w:after="0" w:line="129" w:lineRule="exact"/>
              <w:rPr>
                <w:sz w:val="20"/>
                <w:szCs w:val="20"/>
                <w:color w:val="auto"/>
              </w:rPr>
            </w:pPr>
            <w:r>
              <w:rPr>
                <w:rFonts w:ascii="Arial" w:cs="Arial" w:eastAsia="Arial" w:hAnsi="Arial"/>
                <w:sz w:val="12"/>
                <w:szCs w:val="12"/>
                <w:color w:val="auto"/>
              </w:rPr>
              <w:t>$</w:t>
            </w:r>
          </w:p>
        </w:tc>
        <w:tc>
          <w:tcPr>
            <w:tcW w:w="5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(0.58)</w:t>
            </w:r>
          </w:p>
        </w:tc>
        <w:tc>
          <w:tcPr>
            <w:tcW w:w="760" w:type="dxa"/>
            <w:vAlign w:val="bottom"/>
            <w:gridSpan w:val="2"/>
            <w:shd w:val="clear" w:color="auto" w:fill="CCEEFF"/>
          </w:tcPr>
          <w:p>
            <w:pPr>
              <w:jc w:val="right"/>
              <w:ind w:right="589"/>
              <w:spacing w:after="0" w:line="129"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(0.53)</w:t>
            </w:r>
          </w:p>
        </w:tc>
        <w:tc>
          <w:tcPr>
            <w:tcW w:w="340" w:type="dxa"/>
            <w:vAlign w:val="bottom"/>
            <w:gridSpan w:val="2"/>
            <w:shd w:val="clear" w:color="auto" w:fill="CCEEFF"/>
          </w:tcPr>
          <w:p>
            <w:pPr>
              <w:jc w:val="right"/>
              <w:ind w:right="169"/>
              <w:spacing w:after="0" w:line="129" w:lineRule="exact"/>
              <w:rPr>
                <w:sz w:val="20"/>
                <w:szCs w:val="20"/>
                <w:color w:val="auto"/>
              </w:rPr>
            </w:pPr>
            <w:r>
              <w:rPr>
                <w:rFonts w:ascii="Arial" w:cs="Arial" w:eastAsia="Arial" w:hAnsi="Arial"/>
                <w:sz w:val="12"/>
                <w:szCs w:val="12"/>
                <w:color w:val="auto"/>
              </w:rPr>
              <w:t>$</w:t>
            </w:r>
          </w:p>
        </w:tc>
        <w:tc>
          <w:tcPr>
            <w:tcW w:w="940" w:type="dxa"/>
            <w:vAlign w:val="bottom"/>
            <w:gridSpan w:val="2"/>
            <w:shd w:val="clear" w:color="auto" w:fill="CCEEFF"/>
          </w:tcPr>
          <w:p>
            <w:pPr>
              <w:jc w:val="right"/>
              <w:ind w:right="60"/>
              <w:spacing w:after="0" w:line="129" w:lineRule="exact"/>
              <w:rPr>
                <w:sz w:val="20"/>
                <w:szCs w:val="20"/>
                <w:color w:val="auto"/>
              </w:rPr>
            </w:pPr>
            <w:r>
              <w:rPr>
                <w:rFonts w:ascii="Arial" w:cs="Arial" w:eastAsia="Arial" w:hAnsi="Arial"/>
                <w:sz w:val="12"/>
                <w:szCs w:val="12"/>
                <w:color w:val="auto"/>
              </w:rPr>
              <w:t>(1.29)</w:t>
            </w:r>
          </w:p>
        </w:tc>
        <w:tc>
          <w:tcPr>
            <w:tcW w:w="360" w:type="dxa"/>
            <w:vAlign w:val="bottom"/>
            <w:gridSpan w:val="2"/>
            <w:shd w:val="clear" w:color="auto" w:fill="CCEEFF"/>
          </w:tcPr>
          <w:p>
            <w:pPr>
              <w:jc w:val="right"/>
              <w:ind w:right="189"/>
              <w:spacing w:after="0" w:line="129"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(1.10)</w:t>
            </w:r>
          </w:p>
        </w:tc>
      </w:tr>
      <w:tr>
        <w:trPr>
          <w:trHeight w:val="124"/>
        </w:trPr>
        <w:tc>
          <w:tcPr>
            <w:tcW w:w="5380" w:type="dxa"/>
            <w:vAlign w:val="bottom"/>
            <w:tcBorders>
              <w:top w:val="single" w:sz="8" w:color="CCEEFF"/>
            </w:tcBorders>
          </w:tcPr>
          <w:p>
            <w:pPr>
              <w:spacing w:after="0" w:line="117" w:lineRule="exact"/>
              <w:rPr>
                <w:sz w:val="20"/>
                <w:szCs w:val="20"/>
                <w:color w:val="auto"/>
              </w:rPr>
            </w:pPr>
            <w:r>
              <w:rPr>
                <w:rFonts w:ascii="Arial" w:cs="Arial" w:eastAsia="Arial" w:hAnsi="Arial"/>
                <w:sz w:val="12"/>
                <w:szCs w:val="12"/>
                <w:color w:val="auto"/>
              </w:rPr>
              <w:t>Weighted average shares used to compute net loss per common share — basic and diluted</w:t>
            </w:r>
          </w:p>
        </w:tc>
        <w:tc>
          <w:tcPr>
            <w:tcW w:w="960" w:type="dxa"/>
            <w:vAlign w:val="bottom"/>
            <w:tcBorders>
              <w:top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26,477</w:t>
            </w:r>
          </w:p>
        </w:tc>
        <w:tc>
          <w:tcPr>
            <w:tcW w:w="8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21,528</w:t>
            </w: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1"/>
              <w:spacing w:after="0" w:line="117" w:lineRule="exact"/>
              <w:rPr>
                <w:sz w:val="20"/>
                <w:szCs w:val="20"/>
                <w:color w:val="auto"/>
              </w:rPr>
            </w:pPr>
            <w:r>
              <w:rPr>
                <w:rFonts w:ascii="Arial" w:cs="Arial" w:eastAsia="Arial" w:hAnsi="Arial"/>
                <w:sz w:val="12"/>
                <w:szCs w:val="12"/>
                <w:color w:val="auto"/>
              </w:rPr>
              <w:t>26,276</w:t>
            </w:r>
          </w:p>
        </w:tc>
        <w:tc>
          <w:tcPr>
            <w:tcW w:w="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30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7" w:lineRule="exact"/>
              <w:rPr>
                <w:sz w:val="20"/>
                <w:szCs w:val="20"/>
                <w:color w:val="auto"/>
              </w:rPr>
            </w:pPr>
            <w:r>
              <w:rPr>
                <w:rFonts w:ascii="Arial" w:cs="Arial" w:eastAsia="Arial" w:hAnsi="Arial"/>
                <w:sz w:val="12"/>
                <w:szCs w:val="12"/>
                <w:color w:val="auto"/>
              </w:rPr>
              <w:t>21,183</w:t>
            </w:r>
          </w:p>
        </w:tc>
      </w:tr>
    </w:tbl>
    <w:p>
      <w:pPr>
        <w:spacing w:after="0" w:line="111" w:lineRule="exact"/>
        <w:rPr>
          <w:sz w:val="20"/>
          <w:szCs w:val="20"/>
          <w:color w:val="auto"/>
        </w:rPr>
      </w:pPr>
    </w:p>
    <w:p>
      <w:pPr>
        <w:ind w:left="3980"/>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139" w:lineRule="exact"/>
        <w:rPr>
          <w:sz w:val="20"/>
          <w:szCs w:val="20"/>
          <w:color w:val="auto"/>
        </w:rPr>
      </w:pPr>
    </w:p>
    <w:p>
      <w:pPr>
        <w:ind w:left="5620"/>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 w:name="page5"/>
    <w:bookmarkEnd w:id="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jc w:val="center"/>
        <w:spacing w:after="0" w:line="233" w:lineRule="auto"/>
        <w:rPr>
          <w:sz w:val="20"/>
          <w:szCs w:val="20"/>
          <w:color w:val="auto"/>
        </w:rPr>
      </w:pPr>
      <w:r>
        <w:rPr>
          <w:rFonts w:ascii="Arial" w:cs="Arial" w:eastAsia="Arial" w:hAnsi="Arial"/>
          <w:sz w:val="12"/>
          <w:szCs w:val="12"/>
          <w:b w:val="1"/>
          <w:bCs w:val="1"/>
          <w:color w:val="auto"/>
        </w:rPr>
        <w:t>Condensed Consolidated Statements of Cash Flows</w:t>
      </w:r>
    </w:p>
    <w:p>
      <w:pPr>
        <w:jc w:val="center"/>
        <w:spacing w:after="0" w:line="225" w:lineRule="auto"/>
        <w:rPr>
          <w:sz w:val="20"/>
          <w:szCs w:val="20"/>
          <w:color w:val="auto"/>
        </w:rPr>
      </w:pPr>
      <w:r>
        <w:rPr>
          <w:rFonts w:ascii="Arial" w:cs="Arial" w:eastAsia="Arial" w:hAnsi="Arial"/>
          <w:sz w:val="12"/>
          <w:szCs w:val="12"/>
          <w:b w:val="1"/>
          <w:bCs w:val="1"/>
          <w:color w:val="auto"/>
        </w:rPr>
        <w:t>(In thousands)</w:t>
      </w: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8" w:lineRule="exact"/>
        <w:rPr>
          <w:sz w:val="20"/>
          <w:szCs w:val="20"/>
          <w:color w:val="auto"/>
        </w:rPr>
      </w:pPr>
    </w:p>
    <w:p>
      <w:pPr>
        <w:jc w:val="center"/>
        <w:ind w:left="8160"/>
        <w:spacing w:after="0"/>
        <w:rPr>
          <w:sz w:val="20"/>
          <w:szCs w:val="20"/>
          <w:color w:val="auto"/>
        </w:rPr>
      </w:pPr>
      <w:r>
        <w:rPr>
          <w:rFonts w:ascii="Arial" w:cs="Arial" w:eastAsia="Arial" w:hAnsi="Arial"/>
          <w:sz w:val="10"/>
          <w:szCs w:val="10"/>
          <w:b w:val="1"/>
          <w:bCs w:val="1"/>
          <w:color w:val="auto"/>
        </w:rPr>
        <w:t>Six-Month Periods Ended</w:t>
      </w:r>
    </w:p>
    <w:p>
      <w:pPr>
        <w:jc w:val="center"/>
        <w:ind w:left="8160"/>
        <w:spacing w:after="0" w:line="221" w:lineRule="auto"/>
        <w:rPr>
          <w:sz w:val="20"/>
          <w:szCs w:val="20"/>
          <w:color w:val="auto"/>
        </w:rPr>
      </w:pPr>
      <w:r>
        <w:rPr>
          <w:rFonts w:ascii="Arial" w:cs="Arial" w:eastAsia="Arial" w:hAnsi="Arial"/>
          <w:sz w:val="10"/>
          <w:szCs w:val="10"/>
          <w:b w:val="1"/>
          <w:bCs w:val="1"/>
          <w:color w:val="auto"/>
        </w:rPr>
        <w:t>June 30,</w:t>
      </w:r>
    </w:p>
    <w:tbl>
      <w:tblPr>
        <w:tblLayout w:type="fixed"/>
        <w:tblInd w:w="0" w:type="dxa"/>
        <w:tblCellMar>
          <w:top w:w="0" w:type="dxa"/>
          <w:left w:w="0" w:type="dxa"/>
          <w:bottom w:w="0" w:type="dxa"/>
          <w:right w:w="0" w:type="dxa"/>
        </w:tblCellMar>
      </w:tblPr>
      <w:tr>
        <w:trPr>
          <w:trHeight w:val="91"/>
        </w:trPr>
        <w:tc>
          <w:tcPr>
            <w:tcW w:w="8160" w:type="dxa"/>
            <w:vAlign w:val="bottom"/>
            <w:tcBorders>
              <w:bottom w:val="single" w:sz="8" w:color="CCEEFF"/>
            </w:tcBorders>
          </w:tcPr>
          <w:p>
            <w:pPr>
              <w:spacing w:after="0"/>
              <w:rPr>
                <w:sz w:val="7"/>
                <w:szCs w:val="7"/>
                <w:color w:val="auto"/>
              </w:rPr>
            </w:pPr>
          </w:p>
        </w:tc>
        <w:tc>
          <w:tcPr>
            <w:tcW w:w="940" w:type="dxa"/>
            <w:vAlign w:val="bottom"/>
            <w:tcBorders>
              <w:top w:val="single" w:sz="8" w:color="auto"/>
              <w:bottom w:val="single" w:sz="8" w:color="auto"/>
            </w:tcBorders>
          </w:tcPr>
          <w:p>
            <w:pPr>
              <w:jc w:val="right"/>
              <w:ind w:right="49"/>
              <w:spacing w:after="0" w:line="91" w:lineRule="exact"/>
              <w:rPr>
                <w:sz w:val="20"/>
                <w:szCs w:val="20"/>
                <w:color w:val="auto"/>
              </w:rPr>
            </w:pPr>
            <w:r>
              <w:rPr>
                <w:rFonts w:ascii="Arial" w:cs="Arial" w:eastAsia="Arial" w:hAnsi="Arial"/>
                <w:sz w:val="10"/>
                <w:szCs w:val="10"/>
                <w:b w:val="1"/>
                <w:bCs w:val="1"/>
                <w:color w:val="auto"/>
              </w:rPr>
              <w:t>2021</w:t>
            </w:r>
          </w:p>
        </w:tc>
        <w:tc>
          <w:tcPr>
            <w:tcW w:w="540" w:type="dxa"/>
            <w:vAlign w:val="bottom"/>
            <w:tcBorders>
              <w:top w:val="single" w:sz="8" w:color="auto"/>
              <w:bottom w:val="single" w:sz="8" w:color="auto"/>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80" w:type="dxa"/>
            <w:vAlign w:val="bottom"/>
            <w:tcBorders>
              <w:top w:val="single" w:sz="8" w:color="auto"/>
              <w:bottom w:val="single" w:sz="8" w:color="CCEEFF"/>
            </w:tcBorders>
          </w:tcPr>
          <w:p>
            <w:pPr>
              <w:spacing w:after="0"/>
              <w:rPr>
                <w:sz w:val="7"/>
                <w:szCs w:val="7"/>
                <w:color w:val="auto"/>
              </w:rPr>
            </w:pPr>
          </w:p>
        </w:tc>
        <w:tc>
          <w:tcPr>
            <w:tcW w:w="360" w:type="dxa"/>
            <w:vAlign w:val="bottom"/>
            <w:tcBorders>
              <w:top w:val="single" w:sz="8" w:color="auto"/>
              <w:bottom w:val="single" w:sz="8" w:color="auto"/>
            </w:tcBorders>
          </w:tcPr>
          <w:p>
            <w:pPr>
              <w:spacing w:after="0"/>
              <w:rPr>
                <w:sz w:val="7"/>
                <w:szCs w:val="7"/>
                <w:color w:val="auto"/>
              </w:rPr>
            </w:pPr>
          </w:p>
        </w:tc>
        <w:tc>
          <w:tcPr>
            <w:tcW w:w="1140" w:type="dxa"/>
            <w:vAlign w:val="bottom"/>
            <w:tcBorders>
              <w:top w:val="single" w:sz="8" w:color="auto"/>
              <w:bottom w:val="single" w:sz="8" w:color="auto"/>
            </w:tcBorders>
          </w:tcPr>
          <w:p>
            <w:pPr>
              <w:jc w:val="right"/>
              <w:ind w:right="579"/>
              <w:spacing w:after="0" w:line="91" w:lineRule="exact"/>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b w:val="1"/>
                <w:bCs w:val="1"/>
                <w:color w:val="auto"/>
              </w:rPr>
              <w:t>Cash flows from operating activities:</w:t>
            </w:r>
          </w:p>
        </w:tc>
        <w:tc>
          <w:tcPr>
            <w:tcW w:w="9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Net loss</w:t>
            </w:r>
          </w:p>
        </w:tc>
        <w:tc>
          <w:tcPr>
            <w:tcW w:w="940" w:type="dxa"/>
            <w:vAlign w:val="bottom"/>
          </w:tcPr>
          <w:p>
            <w:pPr>
              <w:jc w:val="right"/>
              <w:ind w:right="829"/>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(33,962)</w:t>
            </w:r>
          </w:p>
        </w:tc>
        <w:tc>
          <w:tcPr>
            <w:tcW w:w="440" w:type="dxa"/>
            <w:vAlign w:val="bottom"/>
            <w:gridSpan w:val="2"/>
          </w:tcPr>
          <w:p>
            <w:pPr>
              <w:jc w:val="right"/>
              <w:ind w:right="219"/>
              <w:spacing w:after="0" w:line="129" w:lineRule="exact"/>
              <w:rPr>
                <w:sz w:val="20"/>
                <w:szCs w:val="20"/>
                <w:color w:val="auto"/>
              </w:rPr>
            </w:pPr>
            <w:r>
              <w:rPr>
                <w:rFonts w:ascii="Arial" w:cs="Arial" w:eastAsia="Arial" w:hAnsi="Arial"/>
                <w:sz w:val="12"/>
                <w:szCs w:val="12"/>
                <w:color w:val="auto"/>
              </w:rPr>
              <w:t>$</w:t>
            </w: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(23,205)</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Adjustments to reconcile net loss to net cash used in operating activities: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Depreciation</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229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213</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Amortization of intangible assets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333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333</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Stock-based compensation</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9,413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5,038</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Net premium amortization and discount on available-for-sale securities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Loss on disposal of fixed assets</w:t>
            </w:r>
          </w:p>
        </w:tc>
        <w:tc>
          <w:tcPr>
            <w:tcW w:w="940" w:type="dxa"/>
            <w:vAlign w:val="bottom"/>
          </w:tcPr>
          <w:p>
            <w:pPr>
              <w:spacing w:after="0"/>
              <w:rPr>
                <w:sz w:val="11"/>
                <w:szCs w:val="11"/>
                <w:color w:val="auto"/>
              </w:rPr>
            </w:pP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119</w:t>
            </w:r>
          </w:p>
        </w:tc>
      </w:tr>
      <w:tr>
        <w:trPr>
          <w:trHeight w:val="129"/>
        </w:trPr>
        <w:tc>
          <w:tcPr>
            <w:tcW w:w="8160" w:type="dxa"/>
            <w:vAlign w:val="bottom"/>
            <w:shd w:val="clear" w:color="auto" w:fill="CCEEFF"/>
          </w:tcPr>
          <w:p>
            <w:pPr>
              <w:ind w:left="140"/>
              <w:spacing w:after="0" w:line="129" w:lineRule="exact"/>
              <w:rPr>
                <w:sz w:val="20"/>
                <w:szCs w:val="20"/>
                <w:color w:val="auto"/>
              </w:rPr>
            </w:pPr>
            <w:r>
              <w:rPr>
                <w:rFonts w:ascii="Arial" w:cs="Arial" w:eastAsia="Arial" w:hAnsi="Arial"/>
                <w:sz w:val="12"/>
                <w:szCs w:val="12"/>
                <w:color w:val="auto"/>
              </w:rPr>
              <w:t>Gain on U.S. Treasury securities</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w:t>
            </w:r>
          </w:p>
        </w:tc>
      </w:tr>
      <w:tr>
        <w:trPr>
          <w:trHeight w:val="129"/>
        </w:trPr>
        <w:tc>
          <w:tcPr>
            <w:tcW w:w="8160" w:type="dxa"/>
            <w:vAlign w:val="bottom"/>
          </w:tcPr>
          <w:p>
            <w:pPr>
              <w:ind w:left="140"/>
              <w:spacing w:after="0" w:line="129" w:lineRule="exact"/>
              <w:rPr>
                <w:sz w:val="20"/>
                <w:szCs w:val="20"/>
                <w:color w:val="auto"/>
              </w:rPr>
            </w:pPr>
            <w:r>
              <w:rPr>
                <w:rFonts w:ascii="Arial" w:cs="Arial" w:eastAsia="Arial" w:hAnsi="Arial"/>
                <w:sz w:val="12"/>
                <w:szCs w:val="12"/>
                <w:color w:val="auto"/>
              </w:rPr>
              <w:t>Changes in operating assets and liabilities:</w:t>
            </w: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Inventory</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(2,691)</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Prepaid expenses and other current assets</w:t>
            </w: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(2,454)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522</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Other receivables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Right-of-use assets</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319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198</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Other long-term assets</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129</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Accounts payable</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1,041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(758)</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Accrued expenses</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(754)</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393</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Lease liabilities</w:t>
            </w: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(192)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(110)</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Accrued interest on related party note</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629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Other assets</w:t>
            </w:r>
          </w:p>
        </w:tc>
        <w:tc>
          <w:tcPr>
            <w:tcW w:w="940" w:type="dxa"/>
            <w:vAlign w:val="bottom"/>
          </w:tcPr>
          <w:p>
            <w:pPr>
              <w:spacing w:after="0"/>
              <w:rPr>
                <w:sz w:val="11"/>
                <w:szCs w:val="11"/>
                <w:color w:val="auto"/>
              </w:rPr>
            </w:pP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(424)</w:t>
            </w:r>
          </w:p>
        </w:tc>
      </w:tr>
      <w:tr>
        <w:trPr>
          <w:trHeight w:val="118"/>
        </w:trPr>
        <w:tc>
          <w:tcPr>
            <w:tcW w:w="8160" w:type="dxa"/>
            <w:vAlign w:val="bottom"/>
            <w:tcBorders>
              <w:top w:val="single" w:sz="8" w:color="CCEEFF"/>
            </w:tcBorders>
            <w:shd w:val="clear" w:color="auto" w:fill="CCEEFF"/>
          </w:tcPr>
          <w:p>
            <w:pPr>
              <w:ind w:left="440"/>
              <w:spacing w:after="0" w:line="118" w:lineRule="exact"/>
              <w:rPr>
                <w:sz w:val="20"/>
                <w:szCs w:val="20"/>
                <w:color w:val="auto"/>
              </w:rPr>
            </w:pPr>
            <w:r>
              <w:rPr>
                <w:rFonts w:ascii="Arial" w:cs="Arial" w:eastAsia="Arial" w:hAnsi="Arial"/>
                <w:sz w:val="12"/>
                <w:szCs w:val="12"/>
                <w:color w:val="auto"/>
              </w:rPr>
              <w:t>Net cash used in operating activities</w:t>
            </w:r>
          </w:p>
        </w:tc>
        <w:tc>
          <w:tcPr>
            <w:tcW w:w="94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(28,053)</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(17,561)</w:t>
            </w:r>
          </w:p>
        </w:tc>
      </w:tr>
      <w:tr>
        <w:trPr>
          <w:trHeight w:val="118"/>
        </w:trPr>
        <w:tc>
          <w:tcPr>
            <w:tcW w:w="8160" w:type="dxa"/>
            <w:vAlign w:val="bottom"/>
          </w:tcPr>
          <w:p>
            <w:pPr>
              <w:spacing w:after="0" w:line="118" w:lineRule="exact"/>
              <w:rPr>
                <w:sz w:val="20"/>
                <w:szCs w:val="20"/>
                <w:color w:val="auto"/>
              </w:rPr>
            </w:pPr>
            <w:r>
              <w:rPr>
                <w:rFonts w:ascii="Arial" w:cs="Arial" w:eastAsia="Arial" w:hAnsi="Arial"/>
                <w:sz w:val="12"/>
                <w:szCs w:val="12"/>
                <w:b w:val="1"/>
                <w:bCs w:val="1"/>
                <w:color w:val="auto"/>
              </w:rPr>
              <w:t>Cash flows from investing activities:</w:t>
            </w: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Purchases of property and equipment</w:t>
            </w:r>
          </w:p>
        </w:tc>
        <w:tc>
          <w:tcPr>
            <w:tcW w:w="9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rPr>
              <w:t>(146)</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(100)</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Purchases of investments</w:t>
            </w:r>
          </w:p>
        </w:tc>
        <w:tc>
          <w:tcPr>
            <w:tcW w:w="940" w:type="dxa"/>
            <w:vAlign w:val="bottom"/>
          </w:tcPr>
          <w:p>
            <w:pPr>
              <w:spacing w:after="0"/>
              <w:rPr>
                <w:sz w:val="11"/>
                <w:szCs w:val="11"/>
                <w:color w:val="auto"/>
              </w:rPr>
            </w:pP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(3,006)</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Maturities of investments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17,000</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Sale of investments</w:t>
            </w:r>
          </w:p>
        </w:tc>
        <w:tc>
          <w:tcPr>
            <w:tcW w:w="940" w:type="dxa"/>
            <w:vAlign w:val="bottom"/>
          </w:tcPr>
          <w:p>
            <w:pPr>
              <w:spacing w:after="0"/>
              <w:rPr>
                <w:sz w:val="11"/>
                <w:szCs w:val="11"/>
                <w:color w:val="auto"/>
              </w:rPr>
            </w:pPr>
          </w:p>
        </w:tc>
        <w:tc>
          <w:tcPr>
            <w:tcW w:w="620" w:type="dxa"/>
            <w:vAlign w:val="bottom"/>
            <w:gridSpan w:val="2"/>
          </w:tcPr>
          <w:p>
            <w:pPr>
              <w:jc w:val="right"/>
              <w:ind w:right="140"/>
              <w:spacing w:after="0" w:line="129"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4,510</w:t>
            </w:r>
          </w:p>
        </w:tc>
      </w:tr>
      <w:tr>
        <w:trPr>
          <w:trHeight w:val="118"/>
        </w:trPr>
        <w:tc>
          <w:tcPr>
            <w:tcW w:w="8160" w:type="dxa"/>
            <w:vAlign w:val="bottom"/>
            <w:tcBorders>
              <w:top w:val="single" w:sz="8" w:color="CCEEFF"/>
            </w:tcBorders>
            <w:shd w:val="clear" w:color="auto" w:fill="CCEEFF"/>
          </w:tcPr>
          <w:p>
            <w:pPr>
              <w:ind w:left="440"/>
              <w:spacing w:after="0" w:line="118" w:lineRule="exact"/>
              <w:rPr>
                <w:sz w:val="20"/>
                <w:szCs w:val="20"/>
                <w:color w:val="auto"/>
              </w:rPr>
            </w:pPr>
            <w:r>
              <w:rPr>
                <w:rFonts w:ascii="Arial" w:cs="Arial" w:eastAsia="Arial" w:hAnsi="Arial"/>
                <w:sz w:val="12"/>
                <w:szCs w:val="12"/>
                <w:color w:val="auto"/>
              </w:rPr>
              <w:t>Net cash provided by investing activities</w:t>
            </w:r>
          </w:p>
        </w:tc>
        <w:tc>
          <w:tcPr>
            <w:tcW w:w="94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7,854</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18,404</w:t>
            </w:r>
          </w:p>
        </w:tc>
      </w:tr>
      <w:tr>
        <w:trPr>
          <w:trHeight w:val="118"/>
        </w:trPr>
        <w:tc>
          <w:tcPr>
            <w:tcW w:w="8160" w:type="dxa"/>
            <w:vAlign w:val="bottom"/>
          </w:tcPr>
          <w:p>
            <w:pPr>
              <w:spacing w:after="0" w:line="118" w:lineRule="exact"/>
              <w:rPr>
                <w:sz w:val="20"/>
                <w:szCs w:val="20"/>
                <w:color w:val="auto"/>
              </w:rPr>
            </w:pPr>
            <w:r>
              <w:rPr>
                <w:rFonts w:ascii="Arial" w:cs="Arial" w:eastAsia="Arial" w:hAnsi="Arial"/>
                <w:sz w:val="12"/>
                <w:szCs w:val="12"/>
                <w:b w:val="1"/>
                <w:bCs w:val="1"/>
                <w:color w:val="auto"/>
              </w:rPr>
              <w:t>Cash flows from financing activities:</w:t>
            </w:r>
          </w:p>
        </w:tc>
        <w:tc>
          <w:tcPr>
            <w:tcW w:w="9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Proceeds from issuance of common stock under employee stock purchase plan</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421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255</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Proceeds from exercises of warrants</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4,217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Proceeds from exercises of stock options</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9</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Proceeds from issuance of common stock</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48,348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29,759</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Proceeds from insurance loan agreement</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1,730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Tax payments related to shares withheld for vested restricted stock units</w:t>
            </w:r>
          </w:p>
        </w:tc>
        <w:tc>
          <w:tcPr>
            <w:tcW w:w="94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(232)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r>
      <w:tr>
        <w:trPr>
          <w:trHeight w:val="118"/>
        </w:trPr>
        <w:tc>
          <w:tcPr>
            <w:tcW w:w="8160" w:type="dxa"/>
            <w:vAlign w:val="bottom"/>
            <w:tcBorders>
              <w:top w:val="single" w:sz="8" w:color="CCEEFF"/>
            </w:tcBorders>
            <w:shd w:val="clear" w:color="auto" w:fill="CCEEFF"/>
          </w:tcPr>
          <w:p>
            <w:pPr>
              <w:ind w:left="440"/>
              <w:spacing w:after="0" w:line="118" w:lineRule="exact"/>
              <w:rPr>
                <w:sz w:val="20"/>
                <w:szCs w:val="20"/>
                <w:color w:val="auto"/>
              </w:rPr>
            </w:pPr>
            <w:r>
              <w:rPr>
                <w:rFonts w:ascii="Arial" w:cs="Arial" w:eastAsia="Arial" w:hAnsi="Arial"/>
                <w:sz w:val="12"/>
                <w:szCs w:val="12"/>
                <w:color w:val="auto"/>
              </w:rPr>
              <w:t>Net cash provided by financing activities</w:t>
            </w:r>
          </w:p>
        </w:tc>
        <w:tc>
          <w:tcPr>
            <w:tcW w:w="940" w:type="dxa"/>
            <w:vAlign w:val="bottom"/>
            <w:tcBorders>
              <w:top w:val="single" w:sz="8" w:color="auto"/>
              <w:bottom w:val="single" w:sz="8" w:color="auto"/>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55,162</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30,023</w:t>
            </w:r>
          </w:p>
        </w:tc>
      </w:tr>
      <w:tr>
        <w:trPr>
          <w:trHeight w:val="118"/>
        </w:trPr>
        <w:tc>
          <w:tcPr>
            <w:tcW w:w="8160" w:type="dxa"/>
            <w:vAlign w:val="bottom"/>
            <w:tcBorders>
              <w:bottom w:val="single" w:sz="8" w:color="CCEEFF"/>
            </w:tcBorders>
          </w:tcPr>
          <w:p>
            <w:pPr>
              <w:ind w:left="440"/>
              <w:spacing w:after="0" w:line="118" w:lineRule="exact"/>
              <w:rPr>
                <w:sz w:val="20"/>
                <w:szCs w:val="20"/>
                <w:color w:val="auto"/>
              </w:rPr>
            </w:pPr>
            <w:r>
              <w:rPr>
                <w:rFonts w:ascii="Arial" w:cs="Arial" w:eastAsia="Arial" w:hAnsi="Arial"/>
                <w:sz w:val="12"/>
                <w:szCs w:val="12"/>
                <w:color w:val="auto"/>
              </w:rPr>
              <w:t>Net increase in cash</w:t>
            </w: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34,963</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30,866</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Cash and cash equivalents at beginning of period</w:t>
            </w:r>
          </w:p>
        </w:tc>
        <w:tc>
          <w:tcPr>
            <w:tcW w:w="9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12,463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6,899</w:t>
            </w:r>
          </w:p>
        </w:tc>
      </w:tr>
      <w:tr>
        <w:trPr>
          <w:trHeight w:val="126"/>
        </w:trPr>
        <w:tc>
          <w:tcPr>
            <w:tcW w:w="8160" w:type="dxa"/>
            <w:vAlign w:val="bottom"/>
            <w:tcBorders>
              <w:bottom w:val="single" w:sz="8" w:color="CCEEFF"/>
            </w:tcBorders>
          </w:tcPr>
          <w:p>
            <w:pPr>
              <w:spacing w:after="0" w:line="118" w:lineRule="exact"/>
              <w:rPr>
                <w:sz w:val="20"/>
                <w:szCs w:val="20"/>
                <w:color w:val="auto"/>
              </w:rPr>
            </w:pPr>
            <w:r>
              <w:rPr>
                <w:rFonts w:ascii="Arial" w:cs="Arial" w:eastAsia="Arial" w:hAnsi="Arial"/>
                <w:sz w:val="12"/>
                <w:szCs w:val="12"/>
                <w:color w:val="auto"/>
              </w:rPr>
              <w:t>Cash and cash equivalents at end of period</w:t>
            </w:r>
          </w:p>
        </w:tc>
        <w:tc>
          <w:tcPr>
            <w:tcW w:w="940" w:type="dxa"/>
            <w:vAlign w:val="bottom"/>
            <w:tcBorders>
              <w:bottom w:val="single" w:sz="8" w:color="auto"/>
            </w:tcBorders>
          </w:tcPr>
          <w:p>
            <w:pPr>
              <w:jc w:val="right"/>
              <w:ind w:right="82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47,426</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jc w:val="right"/>
              <w:ind w:right="219"/>
              <w:spacing w:after="0" w:line="118" w:lineRule="exact"/>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37,765</w:t>
            </w:r>
          </w:p>
        </w:tc>
      </w:tr>
      <w:tr>
        <w:trPr>
          <w:trHeight w:val="129"/>
        </w:trPr>
        <w:tc>
          <w:tcPr>
            <w:tcW w:w="8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b w:val="1"/>
                <w:bCs w:val="1"/>
                <w:color w:val="auto"/>
              </w:rPr>
              <w:t>Supplemental disclosure of noncash investing and financing activities:</w:t>
            </w:r>
          </w:p>
        </w:tc>
        <w:tc>
          <w:tcPr>
            <w:tcW w:w="9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Equipment purchases included in accounts payable and accrued expenses</w:t>
            </w:r>
          </w:p>
        </w:tc>
        <w:tc>
          <w:tcPr>
            <w:tcW w:w="940" w:type="dxa"/>
            <w:vAlign w:val="bottom"/>
            <w:shd w:val="clear" w:color="auto" w:fill="CCEEFF"/>
          </w:tcPr>
          <w:p>
            <w:pPr>
              <w:jc w:val="right"/>
              <w:ind w:right="82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65</w:t>
            </w:r>
          </w:p>
        </w:tc>
        <w:tc>
          <w:tcPr>
            <w:tcW w:w="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219"/>
              <w:spacing w:after="0" w:line="129" w:lineRule="exact"/>
              <w:rPr>
                <w:sz w:val="20"/>
                <w:szCs w:val="20"/>
                <w:color w:val="auto"/>
              </w:rPr>
            </w:pPr>
            <w:r>
              <w:rPr>
                <w:rFonts w:ascii="Arial" w:cs="Arial" w:eastAsia="Arial" w:hAnsi="Arial"/>
                <w:sz w:val="12"/>
                <w:szCs w:val="12"/>
                <w:color w:val="auto"/>
              </w:rPr>
              <w:t>$</w:t>
            </w: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257</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Change in unrealized gains on available-for-sale securities</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(4)</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Accrued interest settled via issuance of common stock from private placement equity offering from private placement equity offering</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629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Pr>
          <w:p>
            <w:pPr>
              <w:ind w:left="280"/>
              <w:spacing w:after="0" w:line="129" w:lineRule="exact"/>
              <w:rPr>
                <w:sz w:val="20"/>
                <w:szCs w:val="20"/>
                <w:color w:val="auto"/>
              </w:rPr>
            </w:pPr>
            <w:r>
              <w:rPr>
                <w:rFonts w:ascii="Arial" w:cs="Arial" w:eastAsia="Arial" w:hAnsi="Arial"/>
                <w:sz w:val="12"/>
                <w:szCs w:val="12"/>
                <w:color w:val="auto"/>
              </w:rPr>
              <w:t>Related party other receivable from issuance of common stock from private placement equity offering</w:t>
            </w:r>
          </w:p>
        </w:tc>
        <w:tc>
          <w:tcPr>
            <w:tcW w:w="94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2"/>
                <w:szCs w:val="12"/>
                <w:color w:val="auto"/>
              </w:rPr>
              <w:t>8,371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shd w:val="clear" w:color="auto" w:fill="CCEEFF"/>
          </w:tcPr>
          <w:p>
            <w:pPr>
              <w:ind w:left="280"/>
              <w:spacing w:after="0" w:line="129" w:lineRule="exact"/>
              <w:rPr>
                <w:sz w:val="20"/>
                <w:szCs w:val="20"/>
                <w:color w:val="auto"/>
              </w:rPr>
            </w:pPr>
            <w:r>
              <w:rPr>
                <w:rFonts w:ascii="Arial" w:cs="Arial" w:eastAsia="Arial" w:hAnsi="Arial"/>
                <w:sz w:val="12"/>
                <w:szCs w:val="12"/>
                <w:color w:val="auto"/>
              </w:rPr>
              <w:t>Other receivable from issuance of common stock from at-the-market equity offering</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56"/>
        </w:trPr>
        <w:tc>
          <w:tcPr>
            <w:tcW w:w="8160" w:type="dxa"/>
            <w:vAlign w:val="bottom"/>
          </w:tcPr>
          <w:p>
            <w:pPr>
              <w:ind w:left="280"/>
              <w:spacing w:after="0"/>
              <w:rPr>
                <w:sz w:val="20"/>
                <w:szCs w:val="20"/>
                <w:color w:val="auto"/>
              </w:rPr>
            </w:pPr>
            <w:r>
              <w:rPr>
                <w:rFonts w:ascii="Arial" w:cs="Arial" w:eastAsia="Arial" w:hAnsi="Arial"/>
                <w:sz w:val="12"/>
                <w:szCs w:val="12"/>
                <w:color w:val="auto"/>
              </w:rPr>
              <w:t>Issuance costs for rights offering in accounts payable</w:t>
            </w:r>
          </w:p>
        </w:tc>
        <w:tc>
          <w:tcPr>
            <w:tcW w:w="9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261</w:t>
            </w:r>
          </w:p>
        </w:tc>
      </w:tr>
    </w:tbl>
    <w:p>
      <w:pPr>
        <w:spacing w:after="0" w:line="85"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See accompanying notes to the condensed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 w:name="page6"/>
    <w:bookmarkEnd w:id="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jc w:val="center"/>
        <w:spacing w:after="0"/>
        <w:rPr>
          <w:sz w:val="20"/>
          <w:szCs w:val="20"/>
          <w:color w:val="auto"/>
        </w:rPr>
      </w:pPr>
      <w:r>
        <w:rPr>
          <w:rFonts w:ascii="Arial" w:cs="Arial" w:eastAsia="Arial" w:hAnsi="Arial"/>
          <w:sz w:val="12"/>
          <w:szCs w:val="12"/>
          <w:b w:val="1"/>
          <w:bCs w:val="1"/>
          <w:color w:val="auto"/>
        </w:rPr>
        <w:t>(Unaudited)</w:t>
      </w:r>
    </w:p>
    <w:p>
      <w:pPr>
        <w:sectPr>
          <w:pgSz w:w="11900" w:h="16838" w:orient="portrait"/>
          <w:cols w:equalWidth="0" w:num="1">
            <w:col w:w="11300"/>
          </w:cols>
          <w:pgMar w:left="300" w:top="118" w:right="299" w:bottom="1440" w:gutter="0" w:footer="0" w:header="0"/>
        </w:sect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700" w:type="dxa"/>
            <w:vAlign w:val="bottom"/>
          </w:tcPr>
          <w:p>
            <w:pPr>
              <w:spacing w:after="0"/>
              <w:rPr>
                <w:sz w:val="11"/>
                <w:szCs w:val="11"/>
                <w:color w:val="auto"/>
              </w:rPr>
            </w:pPr>
          </w:p>
        </w:tc>
        <w:tc>
          <w:tcPr>
            <w:tcW w:w="2000" w:type="dxa"/>
            <w:vAlign w:val="bottom"/>
            <w:gridSpan w:val="6"/>
          </w:tcPr>
          <w:p>
            <w:pPr>
              <w:ind w:left="60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spacing w:after="0"/>
              <w:rPr>
                <w:sz w:val="20"/>
                <w:szCs w:val="20"/>
                <w:color w:val="auto"/>
              </w:rPr>
            </w:pPr>
            <w:r>
              <w:rPr>
                <w:rFonts w:ascii="Arial" w:cs="Arial" w:eastAsia="Arial" w:hAnsi="Arial"/>
                <w:sz w:val="11"/>
                <w:szCs w:val="11"/>
                <w:color w:val="auto"/>
              </w:rPr>
              <w:t>Balance, March 31, 2021</w:t>
            </w:r>
          </w:p>
        </w:tc>
        <w:tc>
          <w:tcPr>
            <w:tcW w:w="1080" w:type="dxa"/>
            <w:vAlign w:val="bottom"/>
            <w:tcBorders>
              <w:top w:val="single" w:sz="8" w:color="auto"/>
            </w:tcBorders>
            <w:gridSpan w:val="2"/>
          </w:tcPr>
          <w:p>
            <w:pPr>
              <w:ind w:left="300"/>
              <w:spacing w:after="0" w:line="100" w:lineRule="exact"/>
              <w:rPr>
                <w:sz w:val="20"/>
                <w:szCs w:val="20"/>
                <w:color w:val="auto"/>
              </w:rPr>
            </w:pPr>
            <w:r>
              <w:rPr>
                <w:rFonts w:ascii="Arial" w:cs="Arial" w:eastAsia="Arial" w:hAnsi="Arial"/>
                <w:sz w:val="11"/>
                <w:szCs w:val="11"/>
                <w:b w:val="1"/>
                <w:bCs w:val="1"/>
                <w:color w:val="auto"/>
              </w:rPr>
              <w:t>Shares</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165"/>
              <w:spacing w:after="0" w:line="100"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26,401</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26</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700" w:type="dxa"/>
            <w:vAlign w:val="bottom"/>
          </w:tcPr>
          <w:p>
            <w:pPr>
              <w:spacing w:after="0" w:line="78" w:lineRule="exact"/>
              <w:rPr>
                <w:sz w:val="20"/>
                <w:szCs w:val="20"/>
                <w:color w:val="auto"/>
              </w:rPr>
            </w:pPr>
            <w:r>
              <w:rPr>
                <w:rFonts w:ascii="Arial" w:cs="Arial" w:eastAsia="Arial" w:hAnsi="Arial"/>
                <w:sz w:val="9"/>
                <w:szCs w:val="9"/>
                <w:color w:val="auto"/>
              </w:rPr>
              <w:t>Issuance of common stock as part of debt extinguishment and private</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3,049</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restart"/>
          </w:tcPr>
          <w:p>
            <w:pPr>
              <w:jc w:val="center"/>
              <w:ind w:left="545"/>
              <w:spacing w:after="0"/>
              <w:rPr>
                <w:sz w:val="20"/>
                <w:szCs w:val="20"/>
                <w:color w:val="auto"/>
              </w:rPr>
            </w:pPr>
            <w:r>
              <w:rPr>
                <w:rFonts w:ascii="Arial" w:cs="Arial" w:eastAsia="Arial" w:hAnsi="Arial"/>
                <w:sz w:val="11"/>
                <w:szCs w:val="11"/>
                <w:color w:val="auto"/>
                <w:w w:val="97"/>
              </w:rPr>
              <w:t>3</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investment, net of issuance cost of $59</w:t>
            </w: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common stock as part of ATM offering</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131</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common stock upon exercise of stock options</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5</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w w:val="96"/>
              </w:rPr>
              <w:t>Issuance of common stock upon vesting of restricted stock units, net of shares</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22</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center"/>
              <w:ind w:left="465"/>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withheld for employee taxes</w:t>
            </w: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Adjustment to shares issued under employee stock purchase plan</w:t>
            </w:r>
          </w:p>
        </w:tc>
        <w:tc>
          <w:tcPr>
            <w:tcW w:w="10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(2)</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Stock-based compensation expense</w:t>
            </w:r>
          </w:p>
        </w:tc>
        <w:tc>
          <w:tcPr>
            <w:tcW w:w="10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Unrealized gain on available-for-sale securities</w:t>
            </w:r>
          </w:p>
        </w:tc>
        <w:tc>
          <w:tcPr>
            <w:tcW w:w="10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00" w:type="dxa"/>
            <w:vAlign w:val="bottom"/>
          </w:tcPr>
          <w:p>
            <w:pPr>
              <w:spacing w:after="0" w:line="125" w:lineRule="exact"/>
              <w:rPr>
                <w:sz w:val="20"/>
                <w:szCs w:val="20"/>
                <w:color w:val="auto"/>
              </w:rPr>
            </w:pPr>
            <w:r>
              <w:rPr>
                <w:rFonts w:ascii="Arial" w:cs="Arial" w:eastAsia="Arial" w:hAnsi="Arial"/>
                <w:sz w:val="11"/>
                <w:szCs w:val="11"/>
                <w:color w:val="auto"/>
              </w:rPr>
              <w:t>Net loss</w:t>
            </w:r>
          </w:p>
        </w:tc>
        <w:tc>
          <w:tcPr>
            <w:tcW w:w="10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left="465"/>
              <w:spacing w:after="0" w:line="125" w:lineRule="exact"/>
              <w:rPr>
                <w:sz w:val="20"/>
                <w:szCs w:val="20"/>
                <w:color w:val="auto"/>
              </w:rPr>
            </w:pPr>
            <w:r>
              <w:rPr>
                <w:rFonts w:ascii="Arial" w:cs="Arial" w:eastAsia="Arial" w:hAnsi="Arial"/>
                <w:sz w:val="11"/>
                <w:szCs w:val="11"/>
                <w:color w:val="auto"/>
                <w:w w:val="90"/>
              </w:rPr>
              <w:t>—</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Arial" w:cs="Arial" w:eastAsia="Arial" w:hAnsi="Arial"/>
                <w:sz w:val="11"/>
                <w:szCs w:val="11"/>
                <w:color w:val="auto"/>
              </w:rPr>
              <w:t>Balance, June 30, 2021</w:t>
            </w: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29,606</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29</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-655320</wp:posOffset>
            </wp:positionV>
            <wp:extent cx="7175500" cy="704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-514985</wp:posOffset>
            </wp:positionV>
            <wp:extent cx="7175500" cy="14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5500" cy="140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-304165</wp:posOffset>
            </wp:positionV>
            <wp:extent cx="7175500" cy="70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7175500" cy="70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-878205</wp:posOffset>
            </wp:positionV>
            <wp:extent cx="7175500" cy="81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700" w:type="dxa"/>
            <w:vAlign w:val="bottom"/>
          </w:tcPr>
          <w:p>
            <w:pPr>
              <w:spacing w:after="0"/>
              <w:rPr>
                <w:sz w:val="11"/>
                <w:szCs w:val="11"/>
                <w:color w:val="auto"/>
              </w:rPr>
            </w:pPr>
          </w:p>
        </w:tc>
        <w:tc>
          <w:tcPr>
            <w:tcW w:w="2000" w:type="dxa"/>
            <w:vAlign w:val="bottom"/>
            <w:gridSpan w:val="6"/>
          </w:tcPr>
          <w:p>
            <w:pPr>
              <w:ind w:left="60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spacing w:after="0"/>
              <w:rPr>
                <w:sz w:val="20"/>
                <w:szCs w:val="20"/>
                <w:color w:val="auto"/>
              </w:rPr>
            </w:pPr>
            <w:r>
              <w:rPr>
                <w:rFonts w:ascii="Arial" w:cs="Arial" w:eastAsia="Arial" w:hAnsi="Arial"/>
                <w:sz w:val="11"/>
                <w:szCs w:val="11"/>
                <w:color w:val="auto"/>
              </w:rPr>
              <w:t>Balance, December 31, 2020</w:t>
            </w:r>
          </w:p>
        </w:tc>
        <w:tc>
          <w:tcPr>
            <w:tcW w:w="1080" w:type="dxa"/>
            <w:vAlign w:val="bottom"/>
            <w:tcBorders>
              <w:top w:val="single" w:sz="8" w:color="auto"/>
            </w:tcBorders>
            <w:gridSpan w:val="2"/>
          </w:tcPr>
          <w:p>
            <w:pPr>
              <w:ind w:left="300"/>
              <w:spacing w:after="0" w:line="100" w:lineRule="exact"/>
              <w:rPr>
                <w:sz w:val="20"/>
                <w:szCs w:val="20"/>
                <w:color w:val="auto"/>
              </w:rPr>
            </w:pPr>
            <w:r>
              <w:rPr>
                <w:rFonts w:ascii="Arial" w:cs="Arial" w:eastAsia="Arial" w:hAnsi="Arial"/>
                <w:sz w:val="11"/>
                <w:szCs w:val="11"/>
                <w:b w:val="1"/>
                <w:bCs w:val="1"/>
                <w:color w:val="auto"/>
              </w:rPr>
              <w:t>Shares</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165"/>
              <w:spacing w:after="0" w:line="100"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25,550</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700" w:type="dxa"/>
            <w:vAlign w:val="bottom"/>
          </w:tcPr>
          <w:p>
            <w:pPr>
              <w:spacing w:after="0" w:line="78" w:lineRule="exact"/>
              <w:rPr>
                <w:sz w:val="20"/>
                <w:szCs w:val="20"/>
                <w:color w:val="auto"/>
              </w:rPr>
            </w:pPr>
            <w:r>
              <w:rPr>
                <w:rFonts w:ascii="Arial" w:cs="Arial" w:eastAsia="Arial" w:hAnsi="Arial"/>
                <w:sz w:val="9"/>
                <w:szCs w:val="9"/>
                <w:color w:val="auto"/>
              </w:rPr>
              <w:t>Issuance of common stock as part of debt extinguishment and private</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3,049</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restart"/>
          </w:tcPr>
          <w:p>
            <w:pPr>
              <w:jc w:val="center"/>
              <w:ind w:left="545"/>
              <w:spacing w:after="0"/>
              <w:rPr>
                <w:sz w:val="20"/>
                <w:szCs w:val="20"/>
                <w:color w:val="auto"/>
              </w:rPr>
            </w:pPr>
            <w:r>
              <w:rPr>
                <w:rFonts w:ascii="Arial" w:cs="Arial" w:eastAsia="Arial" w:hAnsi="Arial"/>
                <w:sz w:val="11"/>
                <w:szCs w:val="11"/>
                <w:color w:val="auto"/>
                <w:w w:val="97"/>
              </w:rPr>
              <w:t>3</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investment, net of issuance cost of $59</w:t>
            </w: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upon exercise of warrants</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585</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ind w:left="545"/>
              <w:spacing w:after="0" w:line="111" w:lineRule="exact"/>
              <w:rPr>
                <w:sz w:val="20"/>
                <w:szCs w:val="20"/>
                <w:color w:val="auto"/>
              </w:rPr>
            </w:pPr>
            <w:r>
              <w:rPr>
                <w:rFonts w:ascii="Arial" w:cs="Arial" w:eastAsia="Arial" w:hAnsi="Arial"/>
                <w:sz w:val="11"/>
                <w:szCs w:val="11"/>
                <w:color w:val="auto"/>
                <w:w w:val="97"/>
              </w:rPr>
              <w:t>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common stock as part of ATM offering</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288</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common stock upon exercise of stock options</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45</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under employee stock purchase plan</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67</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w w:val="96"/>
              </w:rPr>
              <w:t>Issuance of common stock upon vesting of restricted stock units, net of shares</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22</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restart"/>
          </w:tcPr>
          <w:p>
            <w:pPr>
              <w:jc w:val="center"/>
              <w:ind w:left="465"/>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withheld for employee taxes</w:t>
            </w: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Stock-based compensation expense</w:t>
            </w:r>
          </w:p>
        </w:tc>
        <w:tc>
          <w:tcPr>
            <w:tcW w:w="108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Unrealized gain on available-for-sale securities</w:t>
            </w:r>
          </w:p>
        </w:tc>
        <w:tc>
          <w:tcPr>
            <w:tcW w:w="108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00" w:type="dxa"/>
            <w:vAlign w:val="bottom"/>
          </w:tcPr>
          <w:p>
            <w:pPr>
              <w:spacing w:after="0" w:line="125" w:lineRule="exact"/>
              <w:rPr>
                <w:sz w:val="20"/>
                <w:szCs w:val="20"/>
                <w:color w:val="auto"/>
              </w:rPr>
            </w:pPr>
            <w:r>
              <w:rPr>
                <w:rFonts w:ascii="Arial" w:cs="Arial" w:eastAsia="Arial" w:hAnsi="Arial"/>
                <w:sz w:val="11"/>
                <w:szCs w:val="11"/>
                <w:color w:val="auto"/>
              </w:rPr>
              <w:t>Net loss</w:t>
            </w:r>
          </w:p>
        </w:tc>
        <w:tc>
          <w:tcPr>
            <w:tcW w:w="1080" w:type="dxa"/>
            <w:vAlign w:val="bottom"/>
            <w:gridSpan w:val="2"/>
          </w:tcPr>
          <w:p>
            <w:pPr>
              <w:ind w:left="800"/>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left="465"/>
              <w:spacing w:after="0" w:line="125" w:lineRule="exact"/>
              <w:rPr>
                <w:sz w:val="20"/>
                <w:szCs w:val="20"/>
                <w:color w:val="auto"/>
              </w:rPr>
            </w:pPr>
            <w:r>
              <w:rPr>
                <w:rFonts w:ascii="Arial" w:cs="Arial" w:eastAsia="Arial" w:hAnsi="Arial"/>
                <w:sz w:val="11"/>
                <w:szCs w:val="11"/>
                <w:color w:val="auto"/>
                <w:w w:val="90"/>
              </w:rPr>
              <w:t>—</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Arial" w:cs="Arial" w:eastAsia="Arial" w:hAnsi="Arial"/>
                <w:sz w:val="11"/>
                <w:szCs w:val="11"/>
                <w:color w:val="auto"/>
              </w:rPr>
              <w:t>Balance, June 30, 2021</w:t>
            </w: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29,606</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29</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-725805</wp:posOffset>
            </wp:positionV>
            <wp:extent cx="7175500" cy="70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175500" cy="70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-444500</wp:posOffset>
            </wp:positionV>
            <wp:extent cx="7175500" cy="140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5500" cy="140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-233680</wp:posOffset>
            </wp:positionV>
            <wp:extent cx="7175500" cy="70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-93345</wp:posOffset>
            </wp:positionV>
            <wp:extent cx="7175500" cy="81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5500" cy="81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-948055</wp:posOffset>
            </wp:positionV>
            <wp:extent cx="7175500" cy="81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5"/>
              <w:spacing w:after="0"/>
              <w:rPr>
                <w:sz w:val="20"/>
                <w:szCs w:val="20"/>
                <w:color w:val="auto"/>
              </w:rPr>
            </w:pPr>
            <w:r>
              <w:rPr>
                <w:rFonts w:ascii="Arial" w:cs="Arial" w:eastAsia="Arial" w:hAnsi="Arial"/>
                <w:sz w:val="11"/>
                <w:szCs w:val="11"/>
                <w:b w:val="1"/>
                <w:bCs w:val="1"/>
                <w:color w:val="auto"/>
                <w:w w:val="89"/>
              </w:rPr>
              <w:t>Additional</w:t>
            </w:r>
          </w:p>
        </w:tc>
        <w:tc>
          <w:tcPr>
            <w:tcW w:w="1340" w:type="dxa"/>
            <w:vAlign w:val="bottom"/>
          </w:tcPr>
          <w:p>
            <w:pPr>
              <w:jc w:val="center"/>
              <w:ind w:left="147"/>
              <w:spacing w:after="0"/>
              <w:rPr>
                <w:sz w:val="20"/>
                <w:szCs w:val="20"/>
                <w:color w:val="auto"/>
              </w:rPr>
            </w:pPr>
            <w:r>
              <w:rPr>
                <w:rFonts w:ascii="Arial" w:cs="Arial" w:eastAsia="Arial" w:hAnsi="Arial"/>
                <w:sz w:val="11"/>
                <w:szCs w:val="11"/>
                <w:b w:val="1"/>
                <w:bCs w:val="1"/>
                <w:color w:val="auto"/>
                <w:w w:val="92"/>
              </w:rPr>
              <w:t>Accumulated Other</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0"/>
        </w:trPr>
        <w:tc>
          <w:tcPr>
            <w:tcW w:w="980" w:type="dxa"/>
            <w:vAlign w:val="bottom"/>
          </w:tcPr>
          <w:p>
            <w:pPr>
              <w:jc w:val="right"/>
              <w:ind w:right="505"/>
              <w:spacing w:after="0" w:line="120" w:lineRule="exact"/>
              <w:rPr>
                <w:sz w:val="20"/>
                <w:szCs w:val="20"/>
                <w:color w:val="auto"/>
              </w:rPr>
            </w:pPr>
            <w:r>
              <w:rPr>
                <w:rFonts w:ascii="Arial" w:cs="Arial" w:eastAsia="Arial" w:hAnsi="Arial"/>
                <w:sz w:val="11"/>
                <w:szCs w:val="11"/>
                <w:b w:val="1"/>
                <w:bCs w:val="1"/>
                <w:color w:val="auto"/>
              </w:rPr>
              <w:t>Paid-in</w:t>
            </w:r>
          </w:p>
        </w:tc>
        <w:tc>
          <w:tcPr>
            <w:tcW w:w="1340" w:type="dxa"/>
            <w:vAlign w:val="bottom"/>
          </w:tcPr>
          <w:p>
            <w:pPr>
              <w:jc w:val="center"/>
              <w:ind w:left="147"/>
              <w:spacing w:after="0" w:line="120" w:lineRule="exact"/>
              <w:rPr>
                <w:sz w:val="20"/>
                <w:szCs w:val="20"/>
                <w:color w:val="auto"/>
              </w:rPr>
            </w:pPr>
            <w:r>
              <w:rPr>
                <w:rFonts w:ascii="Arial" w:cs="Arial" w:eastAsia="Arial" w:hAnsi="Arial"/>
                <w:sz w:val="11"/>
                <w:szCs w:val="11"/>
                <w:b w:val="1"/>
                <w:bCs w:val="1"/>
                <w:color w:val="auto"/>
                <w:w w:val="89"/>
              </w:rPr>
              <w:t>Comprehensive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05"/>
              <w:spacing w:after="0" w:line="120"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29"/>
        </w:trPr>
        <w:tc>
          <w:tcPr>
            <w:tcW w:w="980" w:type="dxa"/>
            <w:vAlign w:val="bottom"/>
          </w:tcPr>
          <w:p>
            <w:pPr>
              <w:jc w:val="right"/>
              <w:ind w:right="505"/>
              <w:spacing w:after="0"/>
              <w:rPr>
                <w:sz w:val="20"/>
                <w:szCs w:val="20"/>
                <w:color w:val="auto"/>
              </w:rPr>
            </w:pPr>
            <w:r>
              <w:rPr>
                <w:rFonts w:ascii="Arial" w:cs="Arial" w:eastAsia="Arial" w:hAnsi="Arial"/>
                <w:sz w:val="11"/>
                <w:szCs w:val="11"/>
                <w:b w:val="1"/>
                <w:bCs w:val="1"/>
                <w:color w:val="auto"/>
              </w:rPr>
              <w:t>Capital</w:t>
            </w:r>
          </w:p>
        </w:tc>
        <w:tc>
          <w:tcPr>
            <w:tcW w:w="1340" w:type="dxa"/>
            <w:vAlign w:val="bottom"/>
          </w:tcPr>
          <w:p>
            <w:pPr>
              <w:jc w:val="center"/>
              <w:ind w:left="167"/>
              <w:spacing w:after="0"/>
              <w:rPr>
                <w:sz w:val="20"/>
                <w:szCs w:val="20"/>
                <w:color w:val="auto"/>
              </w:rPr>
            </w:pPr>
            <w:r>
              <w:rPr>
                <w:rFonts w:ascii="Arial" w:cs="Arial" w:eastAsia="Arial" w:hAnsi="Arial"/>
                <w:sz w:val="11"/>
                <w:szCs w:val="11"/>
                <w:b w:val="1"/>
                <w:bCs w:val="1"/>
                <w:color w:val="auto"/>
                <w:w w:val="91"/>
              </w:rPr>
              <w:t>Income (Loss)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08"/>
        </w:trPr>
        <w:tc>
          <w:tcPr>
            <w:tcW w:w="980" w:type="dxa"/>
            <w:vAlign w:val="bottom"/>
          </w:tcPr>
          <w:p>
            <w:pPr>
              <w:jc w:val="right"/>
              <w:ind w:right="125"/>
              <w:spacing w:after="0" w:line="100" w:lineRule="exact"/>
              <w:rPr>
                <w:sz w:val="20"/>
                <w:szCs w:val="20"/>
                <w:color w:val="auto"/>
              </w:rPr>
            </w:pPr>
            <w:r>
              <w:rPr>
                <w:rFonts w:ascii="Arial" w:cs="Arial" w:eastAsia="Arial" w:hAnsi="Arial"/>
                <w:sz w:val="11"/>
                <w:szCs w:val="11"/>
                <w:color w:val="auto"/>
              </w:rPr>
              <w:t>211,550</w:t>
            </w:r>
          </w:p>
        </w:tc>
        <w:tc>
          <w:tcPr>
            <w:tcW w:w="1340" w:type="dxa"/>
            <w:vAlign w:val="bottom"/>
            <w:tcBorders>
              <w:top w:val="single" w:sz="8" w:color="auto"/>
              <w:bottom w:val="single" w:sz="8" w:color="auto"/>
            </w:tcBorders>
          </w:tcPr>
          <w:p>
            <w:pPr>
              <w:jc w:val="right"/>
              <w:ind w:right="1227"/>
              <w:spacing w:after="0" w:line="100" w:lineRule="exact"/>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ind w:left="100"/>
              <w:spacing w:after="0" w:line="100"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0"/>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(191,179)</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20,397</w:t>
            </w:r>
          </w:p>
        </w:tc>
        <w:tc>
          <w:tcPr>
            <w:tcW w:w="0" w:type="dxa"/>
            <w:vAlign w:val="bottom"/>
          </w:tcPr>
          <w:p>
            <w:pPr>
              <w:spacing w:after="0"/>
              <w:rPr>
                <w:sz w:val="1"/>
                <w:szCs w:val="1"/>
                <w:color w:val="auto"/>
              </w:rPr>
            </w:pPr>
          </w:p>
        </w:tc>
      </w:tr>
      <w:tr>
        <w:trPr>
          <w:trHeight w:val="189"/>
        </w:trPr>
        <w:tc>
          <w:tcPr>
            <w:tcW w:w="980" w:type="dxa"/>
            <w:vAlign w:val="bottom"/>
          </w:tcPr>
          <w:p>
            <w:pPr>
              <w:jc w:val="right"/>
              <w:ind w:right="125"/>
              <w:spacing w:after="0"/>
              <w:rPr>
                <w:sz w:val="20"/>
                <w:szCs w:val="20"/>
                <w:color w:val="auto"/>
              </w:rPr>
            </w:pPr>
            <w:r>
              <w:rPr>
                <w:rFonts w:ascii="Arial" w:cs="Arial" w:eastAsia="Arial" w:hAnsi="Arial"/>
                <w:sz w:val="11"/>
                <w:szCs w:val="11"/>
                <w:color w:val="auto"/>
              </w:rPr>
              <w:t>49,938</w:t>
            </w:r>
          </w:p>
        </w:tc>
        <w:tc>
          <w:tcPr>
            <w:tcW w:w="1340" w:type="dxa"/>
            <w:vAlign w:val="bottom"/>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49,941</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Arial" w:cs="Arial" w:eastAsia="Arial" w:hAnsi="Arial"/>
                <w:sz w:val="11"/>
                <w:szCs w:val="11"/>
                <w:color w:val="auto"/>
              </w:rPr>
              <w:t>2,469</w:t>
            </w:r>
          </w:p>
        </w:tc>
        <w:tc>
          <w:tcPr>
            <w:tcW w:w="1340" w:type="dxa"/>
            <w:vAlign w:val="bottom"/>
          </w:tcPr>
          <w:p>
            <w:pPr>
              <w:spacing w:after="0"/>
              <w:rPr>
                <w:sz w:val="9"/>
                <w:szCs w:val="9"/>
                <w:color w:val="auto"/>
              </w:rPr>
            </w:pPr>
          </w:p>
        </w:tc>
        <w:tc>
          <w:tcPr>
            <w:tcW w:w="200" w:type="dxa"/>
            <w:vAlign w:val="bottom"/>
          </w:tcPr>
          <w:p>
            <w:pPr>
              <w:ind w:left="100"/>
              <w:spacing w:after="0" w:line="111"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2,469</w:t>
            </w:r>
          </w:p>
        </w:tc>
        <w:tc>
          <w:tcPr>
            <w:tcW w:w="0" w:type="dxa"/>
            <w:vAlign w:val="bottom"/>
          </w:tcPr>
          <w:p>
            <w:pPr>
              <w:spacing w:after="0"/>
              <w:rPr>
                <w:sz w:val="1"/>
                <w:szCs w:val="1"/>
                <w:color w:val="auto"/>
              </w:rPr>
            </w:pPr>
          </w:p>
        </w:tc>
      </w:tr>
      <w:tr>
        <w:trPr>
          <w:trHeight w:val="139"/>
        </w:trPr>
        <w:tc>
          <w:tcPr>
            <w:tcW w:w="980" w:type="dxa"/>
            <w:vAlign w:val="bottom"/>
          </w:tcPr>
          <w:p>
            <w:pPr>
              <w:jc w:val="right"/>
              <w:ind w:right="125"/>
              <w:spacing w:after="0"/>
              <w:rPr>
                <w:sz w:val="20"/>
                <w:szCs w:val="20"/>
                <w:color w:val="auto"/>
              </w:rPr>
            </w:pPr>
            <w:r>
              <w:rPr>
                <w:rFonts w:ascii="Arial" w:cs="Arial" w:eastAsia="Arial" w:hAnsi="Arial"/>
                <w:sz w:val="11"/>
                <w:szCs w:val="11"/>
                <w:color w:val="auto"/>
              </w:rPr>
              <w:t>59</w:t>
            </w:r>
          </w:p>
        </w:tc>
        <w:tc>
          <w:tcPr>
            <w:tcW w:w="1340" w:type="dxa"/>
            <w:vAlign w:val="bottom"/>
          </w:tcPr>
          <w:p>
            <w:pPr>
              <w:spacing w:after="0"/>
              <w:rPr>
                <w:sz w:val="12"/>
                <w:szCs w:val="12"/>
                <w:color w:val="auto"/>
              </w:rPr>
            </w:pPr>
          </w:p>
        </w:tc>
        <w:tc>
          <w:tcPr>
            <w:tcW w:w="200" w:type="dxa"/>
            <w:vAlign w:val="bottom"/>
          </w:tcPr>
          <w:p>
            <w:pPr>
              <w:ind w:left="10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193"/>
        </w:trPr>
        <w:tc>
          <w:tcPr>
            <w:tcW w:w="980" w:type="dxa"/>
            <w:vAlign w:val="bottom"/>
          </w:tcPr>
          <w:p>
            <w:pPr>
              <w:jc w:val="right"/>
              <w:ind w:right="105"/>
              <w:spacing w:after="0"/>
              <w:rPr>
                <w:sz w:val="20"/>
                <w:szCs w:val="20"/>
                <w:color w:val="auto"/>
              </w:rPr>
            </w:pPr>
            <w:r>
              <w:rPr>
                <w:rFonts w:ascii="Arial" w:cs="Arial" w:eastAsia="Arial" w:hAnsi="Arial"/>
                <w:sz w:val="11"/>
                <w:szCs w:val="11"/>
                <w:color w:val="auto"/>
              </w:rPr>
              <w:t>(232)</w:t>
            </w:r>
          </w:p>
        </w:tc>
        <w:tc>
          <w:tcPr>
            <w:tcW w:w="1340" w:type="dxa"/>
            <w:vAlign w:val="bottom"/>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(232)</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(9)</w:t>
            </w:r>
          </w:p>
        </w:tc>
        <w:tc>
          <w:tcPr>
            <w:tcW w:w="1340" w:type="dxa"/>
            <w:vAlign w:val="bottom"/>
          </w:tcPr>
          <w:p>
            <w:pPr>
              <w:spacing w:after="0"/>
              <w:rPr>
                <w:sz w:val="9"/>
                <w:szCs w:val="9"/>
                <w:color w:val="auto"/>
              </w:rPr>
            </w:pPr>
          </w:p>
        </w:tc>
        <w:tc>
          <w:tcPr>
            <w:tcW w:w="200" w:type="dxa"/>
            <w:vAlign w:val="bottom"/>
          </w:tcPr>
          <w:p>
            <w:pPr>
              <w:ind w:left="100"/>
              <w:spacing w:after="0" w:line="111"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Arial" w:cs="Arial" w:eastAsia="Arial" w:hAnsi="Arial"/>
                <w:sz w:val="11"/>
                <w:szCs w:val="11"/>
                <w:color w:val="auto"/>
              </w:rPr>
              <w:t>2,448</w:t>
            </w:r>
          </w:p>
        </w:tc>
        <w:tc>
          <w:tcPr>
            <w:tcW w:w="1340" w:type="dxa"/>
            <w:vAlign w:val="bottom"/>
          </w:tcPr>
          <w:p>
            <w:pPr>
              <w:spacing w:after="0"/>
              <w:rPr>
                <w:sz w:val="9"/>
                <w:szCs w:val="9"/>
                <w:color w:val="auto"/>
              </w:rPr>
            </w:pPr>
          </w:p>
        </w:tc>
        <w:tc>
          <w:tcPr>
            <w:tcW w:w="200" w:type="dxa"/>
            <w:vAlign w:val="bottom"/>
          </w:tcPr>
          <w:p>
            <w:pPr>
              <w:ind w:left="100"/>
              <w:spacing w:after="0" w:line="111"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2,448</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w:t>
            </w:r>
          </w:p>
        </w:tc>
        <w:tc>
          <w:tcPr>
            <w:tcW w:w="1340" w:type="dxa"/>
            <w:vAlign w:val="bottom"/>
          </w:tcPr>
          <w:p>
            <w:pPr>
              <w:spacing w:after="0"/>
              <w:rPr>
                <w:sz w:val="9"/>
                <w:szCs w:val="9"/>
                <w:color w:val="auto"/>
              </w:rPr>
            </w:pPr>
          </w:p>
        </w:tc>
        <w:tc>
          <w:tcPr>
            <w:tcW w:w="200" w:type="dxa"/>
            <w:vAlign w:val="bottom"/>
          </w:tcPr>
          <w:p>
            <w:pPr>
              <w:ind w:left="100"/>
              <w:spacing w:after="0" w:line="111"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980" w:type="dxa"/>
            <w:vAlign w:val="bottom"/>
          </w:tcPr>
          <w:p>
            <w:pPr>
              <w:jc w:val="right"/>
              <w:ind w:right="105"/>
              <w:spacing w:after="0" w:line="125" w:lineRule="exact"/>
              <w:rPr>
                <w:sz w:val="20"/>
                <w:szCs w:val="20"/>
                <w:color w:val="auto"/>
              </w:rPr>
            </w:pPr>
            <w:r>
              <w:rPr>
                <w:rFonts w:ascii="Arial" w:cs="Arial" w:eastAsia="Arial" w:hAnsi="Arial"/>
                <w:sz w:val="11"/>
                <w:szCs w:val="11"/>
                <w:color w:val="auto"/>
              </w:rPr>
              <w:t>—</w:t>
            </w:r>
          </w:p>
        </w:tc>
        <w:tc>
          <w:tcPr>
            <w:tcW w:w="1340" w:type="dxa"/>
            <w:vAlign w:val="bottom"/>
          </w:tcPr>
          <w:p>
            <w:pPr>
              <w:spacing w:after="0"/>
              <w:rPr>
                <w:sz w:val="10"/>
                <w:szCs w:val="10"/>
                <w:color w:val="auto"/>
              </w:rPr>
            </w:pPr>
          </w:p>
        </w:tc>
        <w:tc>
          <w:tcPr>
            <w:tcW w:w="200" w:type="dxa"/>
            <w:vAlign w:val="bottom"/>
          </w:tcPr>
          <w:p>
            <w:pPr>
              <w:ind w:left="100"/>
              <w:spacing w:after="0" w:line="125"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(15,323)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Arial" w:cs="Arial" w:eastAsia="Arial" w:hAnsi="Arial"/>
                <w:sz w:val="11"/>
                <w:szCs w:val="11"/>
                <w:color w:val="auto"/>
              </w:rPr>
              <w:t>(15,323)</w:t>
            </w:r>
          </w:p>
        </w:tc>
        <w:tc>
          <w:tcPr>
            <w:tcW w:w="0" w:type="dxa"/>
            <w:vAlign w:val="bottom"/>
          </w:tcPr>
          <w:p>
            <w:pPr>
              <w:spacing w:after="0"/>
              <w:rPr>
                <w:sz w:val="1"/>
                <w:szCs w:val="1"/>
                <w:color w:val="auto"/>
              </w:rPr>
            </w:pPr>
          </w:p>
        </w:tc>
      </w:tr>
      <w:tr>
        <w:trPr>
          <w:trHeight w:val="108"/>
        </w:trPr>
        <w:tc>
          <w:tcPr>
            <w:tcW w:w="980" w:type="dxa"/>
            <w:vAlign w:val="bottom"/>
          </w:tcPr>
          <w:p>
            <w:pPr>
              <w:jc w:val="right"/>
              <w:ind w:right="105"/>
              <w:spacing w:after="0" w:line="100" w:lineRule="exact"/>
              <w:rPr>
                <w:sz w:val="20"/>
                <w:szCs w:val="20"/>
                <w:color w:val="auto"/>
              </w:rPr>
            </w:pPr>
            <w:r>
              <w:rPr>
                <w:rFonts w:ascii="Arial" w:cs="Arial" w:eastAsia="Arial" w:hAnsi="Arial"/>
                <w:sz w:val="11"/>
                <w:szCs w:val="11"/>
                <w:color w:val="auto"/>
              </w:rPr>
              <w:t>266,223</w:t>
            </w:r>
          </w:p>
        </w:tc>
        <w:tc>
          <w:tcPr>
            <w:tcW w:w="1340" w:type="dxa"/>
            <w:vAlign w:val="bottom"/>
            <w:tcBorders>
              <w:top w:val="single" w:sz="8" w:color="auto"/>
              <w:bottom w:val="single" w:sz="8" w:color="auto"/>
            </w:tcBorders>
          </w:tcPr>
          <w:p>
            <w:pPr>
              <w:jc w:val="right"/>
              <w:ind w:right="1227"/>
              <w:spacing w:after="0" w:line="100" w:lineRule="exact"/>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ind w:left="100"/>
              <w:spacing w:after="0" w:line="100"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0"/>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(206,502)</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59,750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wp:posOffset>
            </wp:positionV>
            <wp:extent cx="74422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-5080</wp:posOffset>
            </wp:positionV>
            <wp:extent cx="74422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-93345</wp:posOffset>
            </wp:positionV>
            <wp:extent cx="74422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-789940</wp:posOffset>
            </wp:positionV>
            <wp:extent cx="74422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5"/>
              <w:spacing w:after="0"/>
              <w:rPr>
                <w:sz w:val="20"/>
                <w:szCs w:val="20"/>
                <w:color w:val="auto"/>
              </w:rPr>
            </w:pPr>
            <w:r>
              <w:rPr>
                <w:rFonts w:ascii="Arial" w:cs="Arial" w:eastAsia="Arial" w:hAnsi="Arial"/>
                <w:sz w:val="11"/>
                <w:szCs w:val="11"/>
                <w:b w:val="1"/>
                <w:bCs w:val="1"/>
                <w:color w:val="auto"/>
                <w:w w:val="89"/>
              </w:rPr>
              <w:t>Additional</w:t>
            </w:r>
          </w:p>
        </w:tc>
        <w:tc>
          <w:tcPr>
            <w:tcW w:w="1340" w:type="dxa"/>
            <w:vAlign w:val="bottom"/>
          </w:tcPr>
          <w:p>
            <w:pPr>
              <w:jc w:val="center"/>
              <w:ind w:left="146"/>
              <w:spacing w:after="0"/>
              <w:rPr>
                <w:sz w:val="20"/>
                <w:szCs w:val="20"/>
                <w:color w:val="auto"/>
              </w:rPr>
            </w:pPr>
            <w:r>
              <w:rPr>
                <w:rFonts w:ascii="Arial" w:cs="Arial" w:eastAsia="Arial" w:hAnsi="Arial"/>
                <w:sz w:val="11"/>
                <w:szCs w:val="11"/>
                <w:b w:val="1"/>
                <w:bCs w:val="1"/>
                <w:color w:val="auto"/>
                <w:w w:val="92"/>
              </w:rPr>
              <w:t>Accumulated Other</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0"/>
        </w:trPr>
        <w:tc>
          <w:tcPr>
            <w:tcW w:w="980" w:type="dxa"/>
            <w:vAlign w:val="bottom"/>
          </w:tcPr>
          <w:p>
            <w:pPr>
              <w:jc w:val="right"/>
              <w:ind w:right="505"/>
              <w:spacing w:after="0" w:line="120" w:lineRule="exact"/>
              <w:rPr>
                <w:sz w:val="20"/>
                <w:szCs w:val="20"/>
                <w:color w:val="auto"/>
              </w:rPr>
            </w:pPr>
            <w:r>
              <w:rPr>
                <w:rFonts w:ascii="Arial" w:cs="Arial" w:eastAsia="Arial" w:hAnsi="Arial"/>
                <w:sz w:val="11"/>
                <w:szCs w:val="11"/>
                <w:b w:val="1"/>
                <w:bCs w:val="1"/>
                <w:color w:val="auto"/>
              </w:rPr>
              <w:t>Paid-in</w:t>
            </w:r>
          </w:p>
        </w:tc>
        <w:tc>
          <w:tcPr>
            <w:tcW w:w="1340" w:type="dxa"/>
            <w:vAlign w:val="bottom"/>
          </w:tcPr>
          <w:p>
            <w:pPr>
              <w:jc w:val="center"/>
              <w:ind w:left="146"/>
              <w:spacing w:after="0" w:line="120" w:lineRule="exact"/>
              <w:rPr>
                <w:sz w:val="20"/>
                <w:szCs w:val="20"/>
                <w:color w:val="auto"/>
              </w:rPr>
            </w:pPr>
            <w:r>
              <w:rPr>
                <w:rFonts w:ascii="Arial" w:cs="Arial" w:eastAsia="Arial" w:hAnsi="Arial"/>
                <w:sz w:val="11"/>
                <w:szCs w:val="11"/>
                <w:b w:val="1"/>
                <w:bCs w:val="1"/>
                <w:color w:val="auto"/>
                <w:w w:val="89"/>
              </w:rPr>
              <w:t>Comprehensive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05"/>
              <w:spacing w:after="0" w:line="120"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29"/>
        </w:trPr>
        <w:tc>
          <w:tcPr>
            <w:tcW w:w="980" w:type="dxa"/>
            <w:vAlign w:val="bottom"/>
          </w:tcPr>
          <w:p>
            <w:pPr>
              <w:jc w:val="right"/>
              <w:ind w:right="505"/>
              <w:spacing w:after="0"/>
              <w:rPr>
                <w:sz w:val="20"/>
                <w:szCs w:val="20"/>
                <w:color w:val="auto"/>
              </w:rPr>
            </w:pPr>
            <w:r>
              <w:rPr>
                <w:rFonts w:ascii="Arial" w:cs="Arial" w:eastAsia="Arial" w:hAnsi="Arial"/>
                <w:sz w:val="11"/>
                <w:szCs w:val="11"/>
                <w:b w:val="1"/>
                <w:bCs w:val="1"/>
                <w:color w:val="auto"/>
              </w:rPr>
              <w:t>Capital</w:t>
            </w:r>
          </w:p>
        </w:tc>
        <w:tc>
          <w:tcPr>
            <w:tcW w:w="1340" w:type="dxa"/>
            <w:vAlign w:val="bottom"/>
          </w:tcPr>
          <w:p>
            <w:pPr>
              <w:jc w:val="center"/>
              <w:ind w:left="166"/>
              <w:spacing w:after="0"/>
              <w:rPr>
                <w:sz w:val="20"/>
                <w:szCs w:val="20"/>
                <w:color w:val="auto"/>
              </w:rPr>
            </w:pPr>
            <w:r>
              <w:rPr>
                <w:rFonts w:ascii="Arial" w:cs="Arial" w:eastAsia="Arial" w:hAnsi="Arial"/>
                <w:sz w:val="11"/>
                <w:szCs w:val="11"/>
                <w:b w:val="1"/>
                <w:bCs w:val="1"/>
                <w:color w:val="auto"/>
                <w:w w:val="91"/>
              </w:rPr>
              <w:t>Income (Loss)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08"/>
        </w:trPr>
        <w:tc>
          <w:tcPr>
            <w:tcW w:w="980" w:type="dxa"/>
            <w:vAlign w:val="bottom"/>
          </w:tcPr>
          <w:p>
            <w:pPr>
              <w:jc w:val="right"/>
              <w:ind w:right="125"/>
              <w:spacing w:after="0" w:line="100" w:lineRule="exact"/>
              <w:rPr>
                <w:sz w:val="20"/>
                <w:szCs w:val="20"/>
                <w:color w:val="auto"/>
              </w:rPr>
            </w:pPr>
            <w:r>
              <w:rPr>
                <w:rFonts w:ascii="Arial" w:cs="Arial" w:eastAsia="Arial" w:hAnsi="Arial"/>
                <w:sz w:val="11"/>
                <w:szCs w:val="11"/>
                <w:color w:val="auto"/>
              </w:rPr>
              <w:t>195,410</w:t>
            </w:r>
          </w:p>
        </w:tc>
        <w:tc>
          <w:tcPr>
            <w:tcW w:w="1340" w:type="dxa"/>
            <w:vAlign w:val="bottom"/>
            <w:tcBorders>
              <w:top w:val="single" w:sz="8" w:color="auto"/>
              <w:bottom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ind w:left="80"/>
              <w:spacing w:after="0" w:line="100" w:lineRule="exact"/>
              <w:rPr>
                <w:sz w:val="20"/>
                <w:szCs w:val="20"/>
                <w:color w:val="auto"/>
              </w:rPr>
            </w:pPr>
            <w:r>
              <w:rPr>
                <w:rFonts w:ascii="Arial" w:cs="Arial" w:eastAsia="Arial" w:hAnsi="Arial"/>
                <w:sz w:val="11"/>
                <w:szCs w:val="11"/>
                <w:color w:val="auto"/>
                <w:w w:val="74"/>
              </w:rPr>
              <w:t>(1)</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(172,540)</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22,894</w:t>
            </w:r>
          </w:p>
        </w:tc>
        <w:tc>
          <w:tcPr>
            <w:tcW w:w="0" w:type="dxa"/>
            <w:vAlign w:val="bottom"/>
          </w:tcPr>
          <w:p>
            <w:pPr>
              <w:spacing w:after="0"/>
              <w:rPr>
                <w:sz w:val="1"/>
                <w:szCs w:val="1"/>
                <w:color w:val="auto"/>
              </w:rPr>
            </w:pPr>
          </w:p>
        </w:tc>
      </w:tr>
      <w:tr>
        <w:trPr>
          <w:trHeight w:val="189"/>
        </w:trPr>
        <w:tc>
          <w:tcPr>
            <w:tcW w:w="980" w:type="dxa"/>
            <w:vAlign w:val="bottom"/>
          </w:tcPr>
          <w:p>
            <w:pPr>
              <w:jc w:val="right"/>
              <w:ind w:right="125"/>
              <w:spacing w:after="0"/>
              <w:rPr>
                <w:sz w:val="20"/>
                <w:szCs w:val="20"/>
                <w:color w:val="auto"/>
              </w:rPr>
            </w:pPr>
            <w:r>
              <w:rPr>
                <w:rFonts w:ascii="Arial" w:cs="Arial" w:eastAsia="Arial" w:hAnsi="Arial"/>
                <w:sz w:val="11"/>
                <w:szCs w:val="11"/>
                <w:color w:val="auto"/>
              </w:rPr>
              <w:t>49,938</w:t>
            </w:r>
          </w:p>
        </w:tc>
        <w:tc>
          <w:tcPr>
            <w:tcW w:w="1340" w:type="dxa"/>
            <w:vAlign w:val="bottom"/>
          </w:tcPr>
          <w:p>
            <w:pPr>
              <w:spacing w:after="0"/>
              <w:rPr>
                <w:sz w:val="16"/>
                <w:szCs w:val="16"/>
                <w:color w:val="auto"/>
              </w:rPr>
            </w:pPr>
          </w:p>
        </w:tc>
        <w:tc>
          <w:tcPr>
            <w:tcW w:w="520" w:type="dxa"/>
            <w:vAlign w:val="bottom"/>
            <w:gridSpan w:val="3"/>
          </w:tcPr>
          <w:p>
            <w:pPr>
              <w:ind w:left="10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49,941</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Arial" w:cs="Arial" w:eastAsia="Arial" w:hAnsi="Arial"/>
                <w:sz w:val="11"/>
                <w:szCs w:val="11"/>
                <w:color w:val="auto"/>
              </w:rPr>
              <w:t>3,333</w:t>
            </w:r>
          </w:p>
        </w:tc>
        <w:tc>
          <w:tcPr>
            <w:tcW w:w="1340" w:type="dxa"/>
            <w:vAlign w:val="bottom"/>
          </w:tcPr>
          <w:p>
            <w:pPr>
              <w:spacing w:after="0"/>
              <w:rPr>
                <w:sz w:val="9"/>
                <w:szCs w:val="9"/>
                <w:color w:val="auto"/>
              </w:rPr>
            </w:pPr>
          </w:p>
        </w:tc>
        <w:tc>
          <w:tcPr>
            <w:tcW w:w="520" w:type="dxa"/>
            <w:vAlign w:val="bottom"/>
            <w:gridSpan w:val="3"/>
          </w:tcPr>
          <w:p>
            <w:pPr>
              <w:ind w:left="100"/>
              <w:spacing w:after="0" w:line="111" w:lineRule="exact"/>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3,334</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Arial" w:cs="Arial" w:eastAsia="Arial" w:hAnsi="Arial"/>
                <w:sz w:val="11"/>
                <w:szCs w:val="11"/>
                <w:color w:val="auto"/>
              </w:rPr>
              <w:t>7,432</w:t>
            </w:r>
          </w:p>
        </w:tc>
        <w:tc>
          <w:tcPr>
            <w:tcW w:w="1340" w:type="dxa"/>
            <w:vAlign w:val="bottom"/>
          </w:tcPr>
          <w:p>
            <w:pPr>
              <w:spacing w:after="0"/>
              <w:rPr>
                <w:sz w:val="9"/>
                <w:szCs w:val="9"/>
                <w:color w:val="auto"/>
              </w:rPr>
            </w:pPr>
          </w:p>
        </w:tc>
        <w:tc>
          <w:tcPr>
            <w:tcW w:w="520" w:type="dxa"/>
            <w:vAlign w:val="bottom"/>
            <w:gridSpan w:val="3"/>
          </w:tcPr>
          <w:p>
            <w:pPr>
              <w:ind w:left="100"/>
              <w:spacing w:after="0" w:line="111" w:lineRule="exact"/>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7,432</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Arial" w:cs="Arial" w:eastAsia="Arial" w:hAnsi="Arial"/>
                <w:sz w:val="11"/>
                <w:szCs w:val="11"/>
                <w:color w:val="auto"/>
              </w:rPr>
              <w:t>508</w:t>
            </w:r>
          </w:p>
        </w:tc>
        <w:tc>
          <w:tcPr>
            <w:tcW w:w="1340" w:type="dxa"/>
            <w:vAlign w:val="bottom"/>
          </w:tcPr>
          <w:p>
            <w:pPr>
              <w:spacing w:after="0"/>
              <w:rPr>
                <w:sz w:val="9"/>
                <w:szCs w:val="9"/>
                <w:color w:val="auto"/>
              </w:rPr>
            </w:pPr>
          </w:p>
        </w:tc>
        <w:tc>
          <w:tcPr>
            <w:tcW w:w="520" w:type="dxa"/>
            <w:vAlign w:val="bottom"/>
            <w:gridSpan w:val="3"/>
          </w:tcPr>
          <w:p>
            <w:pPr>
              <w:ind w:left="100"/>
              <w:spacing w:after="0" w:line="111" w:lineRule="exact"/>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508</w:t>
            </w:r>
          </w:p>
        </w:tc>
        <w:tc>
          <w:tcPr>
            <w:tcW w:w="0" w:type="dxa"/>
            <w:vAlign w:val="bottom"/>
          </w:tcPr>
          <w:p>
            <w:pPr>
              <w:spacing w:after="0"/>
              <w:rPr>
                <w:sz w:val="1"/>
                <w:szCs w:val="1"/>
                <w:color w:val="auto"/>
              </w:rPr>
            </w:pPr>
          </w:p>
        </w:tc>
      </w:tr>
      <w:tr>
        <w:trPr>
          <w:trHeight w:val="139"/>
        </w:trPr>
        <w:tc>
          <w:tcPr>
            <w:tcW w:w="980" w:type="dxa"/>
            <w:vAlign w:val="bottom"/>
          </w:tcPr>
          <w:p>
            <w:pPr>
              <w:jc w:val="right"/>
              <w:ind w:right="125"/>
              <w:spacing w:after="0"/>
              <w:rPr>
                <w:sz w:val="20"/>
                <w:szCs w:val="20"/>
                <w:color w:val="auto"/>
              </w:rPr>
            </w:pPr>
            <w:r>
              <w:rPr>
                <w:rFonts w:ascii="Arial" w:cs="Arial" w:eastAsia="Arial" w:hAnsi="Arial"/>
                <w:sz w:val="11"/>
                <w:szCs w:val="11"/>
                <w:color w:val="auto"/>
              </w:rPr>
              <w:t>421</w:t>
            </w:r>
          </w:p>
        </w:tc>
        <w:tc>
          <w:tcPr>
            <w:tcW w:w="1340" w:type="dxa"/>
            <w:vAlign w:val="bottom"/>
          </w:tcPr>
          <w:p>
            <w:pPr>
              <w:spacing w:after="0"/>
              <w:rPr>
                <w:sz w:val="12"/>
                <w:szCs w:val="12"/>
                <w:color w:val="auto"/>
              </w:rPr>
            </w:pPr>
          </w:p>
        </w:tc>
        <w:tc>
          <w:tcPr>
            <w:tcW w:w="520" w:type="dxa"/>
            <w:vAlign w:val="bottom"/>
            <w:gridSpan w:val="3"/>
          </w:tcPr>
          <w:p>
            <w:pPr>
              <w:ind w:left="10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421</w:t>
            </w:r>
          </w:p>
        </w:tc>
        <w:tc>
          <w:tcPr>
            <w:tcW w:w="0" w:type="dxa"/>
            <w:vAlign w:val="bottom"/>
          </w:tcPr>
          <w:p>
            <w:pPr>
              <w:spacing w:after="0"/>
              <w:rPr>
                <w:sz w:val="1"/>
                <w:szCs w:val="1"/>
                <w:color w:val="auto"/>
              </w:rPr>
            </w:pPr>
          </w:p>
        </w:tc>
      </w:tr>
      <w:tr>
        <w:trPr>
          <w:trHeight w:val="193"/>
        </w:trPr>
        <w:tc>
          <w:tcPr>
            <w:tcW w:w="980" w:type="dxa"/>
            <w:vAlign w:val="bottom"/>
          </w:tcPr>
          <w:p>
            <w:pPr>
              <w:jc w:val="right"/>
              <w:ind w:right="105"/>
              <w:spacing w:after="0"/>
              <w:rPr>
                <w:sz w:val="20"/>
                <w:szCs w:val="20"/>
                <w:color w:val="auto"/>
              </w:rPr>
            </w:pPr>
            <w:r>
              <w:rPr>
                <w:rFonts w:ascii="Arial" w:cs="Arial" w:eastAsia="Arial" w:hAnsi="Arial"/>
                <w:sz w:val="11"/>
                <w:szCs w:val="11"/>
                <w:color w:val="auto"/>
              </w:rPr>
              <w:t>(232)</w:t>
            </w:r>
          </w:p>
        </w:tc>
        <w:tc>
          <w:tcPr>
            <w:tcW w:w="1340" w:type="dxa"/>
            <w:vAlign w:val="bottom"/>
          </w:tcPr>
          <w:p>
            <w:pPr>
              <w:spacing w:after="0"/>
              <w:rPr>
                <w:sz w:val="16"/>
                <w:szCs w:val="16"/>
                <w:color w:val="auto"/>
              </w:rPr>
            </w:pPr>
          </w:p>
        </w:tc>
        <w:tc>
          <w:tcPr>
            <w:tcW w:w="520" w:type="dxa"/>
            <w:vAlign w:val="bottom"/>
            <w:gridSpan w:val="3"/>
          </w:tcPr>
          <w:p>
            <w:pPr>
              <w:ind w:left="10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(232)</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Arial" w:cs="Arial" w:eastAsia="Arial" w:hAnsi="Arial"/>
                <w:sz w:val="11"/>
                <w:szCs w:val="11"/>
                <w:color w:val="auto"/>
              </w:rPr>
              <w:t>9,413</w:t>
            </w:r>
          </w:p>
        </w:tc>
        <w:tc>
          <w:tcPr>
            <w:tcW w:w="1340" w:type="dxa"/>
            <w:vAlign w:val="bottom"/>
          </w:tcPr>
          <w:p>
            <w:pPr>
              <w:spacing w:after="0"/>
              <w:rPr>
                <w:sz w:val="9"/>
                <w:szCs w:val="9"/>
                <w:color w:val="auto"/>
              </w:rPr>
            </w:pPr>
          </w:p>
        </w:tc>
        <w:tc>
          <w:tcPr>
            <w:tcW w:w="520" w:type="dxa"/>
            <w:vAlign w:val="bottom"/>
            <w:gridSpan w:val="3"/>
          </w:tcPr>
          <w:p>
            <w:pPr>
              <w:ind w:left="100"/>
              <w:spacing w:after="0" w:line="111" w:lineRule="exact"/>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9,413</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w:t>
            </w:r>
          </w:p>
        </w:tc>
        <w:tc>
          <w:tcPr>
            <w:tcW w:w="1340" w:type="dxa"/>
            <w:vAlign w:val="bottom"/>
          </w:tcPr>
          <w:p>
            <w:pPr>
              <w:spacing w:after="0"/>
              <w:rPr>
                <w:sz w:val="9"/>
                <w:szCs w:val="9"/>
                <w:color w:val="auto"/>
              </w:rPr>
            </w:pPr>
          </w:p>
        </w:tc>
        <w:tc>
          <w:tcPr>
            <w:tcW w:w="200" w:type="dxa"/>
            <w:vAlign w:val="bottom"/>
          </w:tcPr>
          <w:p>
            <w:pPr>
              <w:ind w:left="120"/>
              <w:spacing w:after="0" w:line="111" w:lineRule="exact"/>
              <w:rPr>
                <w:sz w:val="20"/>
                <w:szCs w:val="20"/>
                <w:color w:val="auto"/>
              </w:rPr>
            </w:pPr>
            <w:r>
              <w:rPr>
                <w:rFonts w:ascii="Arial" w:cs="Arial" w:eastAsia="Arial" w:hAnsi="Arial"/>
                <w:sz w:val="11"/>
                <w:szCs w:val="11"/>
                <w:color w:val="auto"/>
                <w:w w:val="97"/>
              </w:rPr>
              <w:t>1</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25"/>
        </w:trPr>
        <w:tc>
          <w:tcPr>
            <w:tcW w:w="980" w:type="dxa"/>
            <w:vAlign w:val="bottom"/>
          </w:tcPr>
          <w:p>
            <w:pPr>
              <w:jc w:val="right"/>
              <w:ind w:right="105"/>
              <w:spacing w:after="0" w:line="125" w:lineRule="exact"/>
              <w:rPr>
                <w:sz w:val="20"/>
                <w:szCs w:val="20"/>
                <w:color w:val="auto"/>
              </w:rPr>
            </w:pPr>
            <w:r>
              <w:rPr>
                <w:rFonts w:ascii="Arial" w:cs="Arial" w:eastAsia="Arial" w:hAnsi="Arial"/>
                <w:sz w:val="11"/>
                <w:szCs w:val="11"/>
                <w:color w:val="auto"/>
              </w:rPr>
              <w:t>—</w:t>
            </w:r>
          </w:p>
        </w:tc>
        <w:tc>
          <w:tcPr>
            <w:tcW w:w="1340" w:type="dxa"/>
            <w:vAlign w:val="bottom"/>
          </w:tcPr>
          <w:p>
            <w:pPr>
              <w:spacing w:after="0"/>
              <w:rPr>
                <w:sz w:val="10"/>
                <w:szCs w:val="10"/>
                <w:color w:val="auto"/>
              </w:rPr>
            </w:pPr>
          </w:p>
        </w:tc>
        <w:tc>
          <w:tcPr>
            <w:tcW w:w="520" w:type="dxa"/>
            <w:vAlign w:val="bottom"/>
            <w:gridSpan w:val="3"/>
          </w:tcPr>
          <w:p>
            <w:pPr>
              <w:ind w:left="100"/>
              <w:spacing w:after="0" w:line="125" w:lineRule="exact"/>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(33,962)</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Arial" w:cs="Arial" w:eastAsia="Arial" w:hAnsi="Arial"/>
                <w:sz w:val="11"/>
                <w:szCs w:val="11"/>
                <w:color w:val="auto"/>
              </w:rPr>
              <w:t>(33,962)</w:t>
            </w:r>
          </w:p>
        </w:tc>
        <w:tc>
          <w:tcPr>
            <w:tcW w:w="0" w:type="dxa"/>
            <w:vAlign w:val="bottom"/>
          </w:tcPr>
          <w:p>
            <w:pPr>
              <w:spacing w:after="0"/>
              <w:rPr>
                <w:sz w:val="1"/>
                <w:szCs w:val="1"/>
                <w:color w:val="auto"/>
              </w:rPr>
            </w:pPr>
          </w:p>
        </w:tc>
      </w:tr>
      <w:tr>
        <w:trPr>
          <w:trHeight w:val="108"/>
        </w:trPr>
        <w:tc>
          <w:tcPr>
            <w:tcW w:w="980" w:type="dxa"/>
            <w:vAlign w:val="bottom"/>
          </w:tcPr>
          <w:p>
            <w:pPr>
              <w:jc w:val="right"/>
              <w:ind w:right="105"/>
              <w:spacing w:after="0" w:line="100" w:lineRule="exact"/>
              <w:rPr>
                <w:sz w:val="20"/>
                <w:szCs w:val="20"/>
                <w:color w:val="auto"/>
              </w:rPr>
            </w:pPr>
            <w:r>
              <w:rPr>
                <w:rFonts w:ascii="Arial" w:cs="Arial" w:eastAsia="Arial" w:hAnsi="Arial"/>
                <w:sz w:val="11"/>
                <w:szCs w:val="11"/>
                <w:color w:val="auto"/>
              </w:rPr>
              <w:t>266,223</w:t>
            </w:r>
          </w:p>
        </w:tc>
        <w:tc>
          <w:tcPr>
            <w:tcW w:w="1340" w:type="dxa"/>
            <w:vAlign w:val="bottom"/>
            <w:tcBorders>
              <w:top w:val="single" w:sz="8" w:color="auto"/>
              <w:bottom w:val="single" w:sz="8" w:color="auto"/>
            </w:tcBorders>
          </w:tcPr>
          <w:p>
            <w:pPr>
              <w:jc w:val="right"/>
              <w:ind w:right="1226"/>
              <w:spacing w:after="0" w:line="100" w:lineRule="exact"/>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ind w:left="100"/>
              <w:spacing w:after="0" w:line="100"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0"/>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(206,502)</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59,750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-5080</wp:posOffset>
            </wp:positionV>
            <wp:extent cx="74422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-860425</wp:posOffset>
            </wp:positionV>
            <wp:extent cx="74422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280"/>
            <w:col w:w="5180"/>
          </w:cols>
          <w:pgMar w:left="300" w:top="118" w:right="299" w:bottom="1440" w:gutter="0" w:footer="0" w:header="0"/>
          <w:type w:val="continuous"/>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20090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type w:val="continuous"/>
        </w:sectPr>
      </w:pPr>
    </w:p>
    <w:bookmarkStart w:id="6" w:name="page7"/>
    <w:bookmarkEnd w:id="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700" w:type="dxa"/>
            <w:vAlign w:val="bottom"/>
          </w:tcPr>
          <w:p>
            <w:pPr>
              <w:spacing w:after="0"/>
              <w:rPr>
                <w:sz w:val="11"/>
                <w:szCs w:val="11"/>
                <w:color w:val="auto"/>
              </w:rPr>
            </w:pPr>
          </w:p>
        </w:tc>
        <w:tc>
          <w:tcPr>
            <w:tcW w:w="2000" w:type="dxa"/>
            <w:vAlign w:val="bottom"/>
            <w:gridSpan w:val="6"/>
          </w:tcPr>
          <w:p>
            <w:pPr>
              <w:ind w:left="60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spacing w:after="0"/>
              <w:rPr>
                <w:sz w:val="20"/>
                <w:szCs w:val="20"/>
                <w:color w:val="auto"/>
              </w:rPr>
            </w:pPr>
            <w:r>
              <w:rPr>
                <w:rFonts w:ascii="Arial" w:cs="Arial" w:eastAsia="Arial" w:hAnsi="Arial"/>
                <w:sz w:val="11"/>
                <w:szCs w:val="11"/>
                <w:color w:val="auto"/>
              </w:rPr>
              <w:t>Balance, March 31, 2020</w:t>
            </w:r>
          </w:p>
        </w:tc>
        <w:tc>
          <w:tcPr>
            <w:tcW w:w="1080" w:type="dxa"/>
            <w:vAlign w:val="bottom"/>
            <w:tcBorders>
              <w:top w:val="single" w:sz="8" w:color="auto"/>
            </w:tcBorders>
            <w:gridSpan w:val="2"/>
          </w:tcPr>
          <w:p>
            <w:pPr>
              <w:ind w:left="300"/>
              <w:spacing w:after="0" w:line="100" w:lineRule="exact"/>
              <w:rPr>
                <w:sz w:val="20"/>
                <w:szCs w:val="20"/>
                <w:color w:val="auto"/>
              </w:rPr>
            </w:pPr>
            <w:r>
              <w:rPr>
                <w:rFonts w:ascii="Arial" w:cs="Arial" w:eastAsia="Arial" w:hAnsi="Arial"/>
                <w:sz w:val="11"/>
                <w:szCs w:val="11"/>
                <w:b w:val="1"/>
                <w:bCs w:val="1"/>
                <w:color w:val="auto"/>
              </w:rPr>
              <w:t>Shares</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165"/>
              <w:spacing w:after="0" w:line="100"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20,869</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21</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700" w:type="dxa"/>
            <w:vAlign w:val="bottom"/>
          </w:tcPr>
          <w:p>
            <w:pPr>
              <w:spacing w:after="0" w:line="78" w:lineRule="exact"/>
              <w:rPr>
                <w:sz w:val="20"/>
                <w:szCs w:val="20"/>
                <w:color w:val="auto"/>
              </w:rPr>
            </w:pPr>
            <w:r>
              <w:rPr>
                <w:rFonts w:ascii="Arial" w:cs="Arial" w:eastAsia="Arial" w:hAnsi="Arial"/>
                <w:sz w:val="9"/>
                <w:szCs w:val="9"/>
                <w:color w:val="auto"/>
              </w:rPr>
              <w:t>Issuance of common stock and warrants in connection with rights offering, net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4,280</w:t>
            </w: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vMerge w:val="restart"/>
          </w:tcPr>
          <w:p>
            <w:pPr>
              <w:jc w:val="center"/>
              <w:ind w:left="545"/>
              <w:spacing w:after="0"/>
              <w:rPr>
                <w:sz w:val="20"/>
                <w:szCs w:val="20"/>
                <w:color w:val="auto"/>
              </w:rPr>
            </w:pPr>
            <w:r>
              <w:rPr>
                <w:rFonts w:ascii="Arial" w:cs="Arial" w:eastAsia="Arial" w:hAnsi="Arial"/>
                <w:sz w:val="11"/>
                <w:szCs w:val="11"/>
                <w:color w:val="auto"/>
                <w:w w:val="97"/>
              </w:rPr>
              <w:t>4</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of issuance cost of $501</w:t>
            </w: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Stock-based compensation expense</w:t>
            </w:r>
          </w:p>
        </w:tc>
        <w:tc>
          <w:tcPr>
            <w:tcW w:w="108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Unrealized gain on available-for-sale securities</w:t>
            </w:r>
          </w:p>
        </w:tc>
        <w:tc>
          <w:tcPr>
            <w:tcW w:w="108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00" w:type="dxa"/>
            <w:vAlign w:val="bottom"/>
          </w:tcPr>
          <w:p>
            <w:pPr>
              <w:spacing w:after="0" w:line="125" w:lineRule="exact"/>
              <w:rPr>
                <w:sz w:val="20"/>
                <w:szCs w:val="20"/>
                <w:color w:val="auto"/>
              </w:rPr>
            </w:pPr>
            <w:r>
              <w:rPr>
                <w:rFonts w:ascii="Arial" w:cs="Arial" w:eastAsia="Arial" w:hAnsi="Arial"/>
                <w:sz w:val="11"/>
                <w:szCs w:val="11"/>
                <w:color w:val="auto"/>
              </w:rPr>
              <w:t>Net loss</w:t>
            </w:r>
          </w:p>
        </w:tc>
        <w:tc>
          <w:tcPr>
            <w:tcW w:w="1080" w:type="dxa"/>
            <w:vAlign w:val="bottom"/>
            <w:gridSpan w:val="2"/>
          </w:tcPr>
          <w:p>
            <w:pPr>
              <w:ind w:left="800"/>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left="465"/>
              <w:spacing w:after="0" w:line="125" w:lineRule="exact"/>
              <w:rPr>
                <w:sz w:val="20"/>
                <w:szCs w:val="20"/>
                <w:color w:val="auto"/>
              </w:rPr>
            </w:pPr>
            <w:r>
              <w:rPr>
                <w:rFonts w:ascii="Arial" w:cs="Arial" w:eastAsia="Arial" w:hAnsi="Arial"/>
                <w:sz w:val="11"/>
                <w:szCs w:val="11"/>
                <w:color w:val="auto"/>
                <w:w w:val="90"/>
              </w:rPr>
              <w:t>—</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Arial" w:cs="Arial" w:eastAsia="Arial" w:hAnsi="Arial"/>
                <w:sz w:val="11"/>
                <w:szCs w:val="11"/>
                <w:color w:val="auto"/>
              </w:rPr>
              <w:t>Balance, June 30, 2020</w:t>
            </w: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25,149</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25</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175500" cy="704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7175500" cy="70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-526415</wp:posOffset>
            </wp:positionV>
            <wp:extent cx="7175500" cy="819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3700" w:type="dxa"/>
            <w:vAlign w:val="bottom"/>
          </w:tcPr>
          <w:p>
            <w:pPr>
              <w:spacing w:after="0"/>
              <w:rPr>
                <w:sz w:val="11"/>
                <w:szCs w:val="11"/>
                <w:color w:val="auto"/>
              </w:rPr>
            </w:pPr>
          </w:p>
        </w:tc>
        <w:tc>
          <w:tcPr>
            <w:tcW w:w="2000" w:type="dxa"/>
            <w:vAlign w:val="bottom"/>
            <w:gridSpan w:val="6"/>
          </w:tcPr>
          <w:p>
            <w:pPr>
              <w:ind w:left="600"/>
              <w:spacing w:after="0"/>
              <w:rPr>
                <w:sz w:val="20"/>
                <w:szCs w:val="20"/>
                <w:color w:val="auto"/>
              </w:rPr>
            </w:pPr>
            <w:r>
              <w:rPr>
                <w:rFonts w:ascii="Arial" w:cs="Arial" w:eastAsia="Arial" w:hAnsi="Arial"/>
                <w:sz w:val="11"/>
                <w:szCs w:val="11"/>
                <w:b w:val="1"/>
                <w:bCs w:val="1"/>
                <w:color w:val="auto"/>
              </w:rPr>
              <w:t>Common Stock</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spacing w:after="0"/>
              <w:rPr>
                <w:sz w:val="20"/>
                <w:szCs w:val="20"/>
                <w:color w:val="auto"/>
              </w:rPr>
            </w:pPr>
            <w:r>
              <w:rPr>
                <w:rFonts w:ascii="Arial" w:cs="Arial" w:eastAsia="Arial" w:hAnsi="Arial"/>
                <w:sz w:val="11"/>
                <w:szCs w:val="11"/>
                <w:color w:val="auto"/>
              </w:rPr>
              <w:t>Balance, December 31, 2019</w:t>
            </w:r>
          </w:p>
        </w:tc>
        <w:tc>
          <w:tcPr>
            <w:tcW w:w="1080" w:type="dxa"/>
            <w:vAlign w:val="bottom"/>
            <w:tcBorders>
              <w:top w:val="single" w:sz="8" w:color="auto"/>
            </w:tcBorders>
            <w:gridSpan w:val="2"/>
          </w:tcPr>
          <w:p>
            <w:pPr>
              <w:ind w:left="300"/>
              <w:spacing w:after="0" w:line="100" w:lineRule="exact"/>
              <w:rPr>
                <w:sz w:val="20"/>
                <w:szCs w:val="20"/>
                <w:color w:val="auto"/>
              </w:rPr>
            </w:pPr>
            <w:r>
              <w:rPr>
                <w:rFonts w:ascii="Arial" w:cs="Arial" w:eastAsia="Arial" w:hAnsi="Arial"/>
                <w:sz w:val="11"/>
                <w:szCs w:val="11"/>
                <w:b w:val="1"/>
                <w:bCs w:val="1"/>
                <w:color w:val="auto"/>
              </w:rPr>
              <w:t>Shares</w:t>
            </w: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right"/>
              <w:ind w:right="165"/>
              <w:spacing w:after="0" w:line="100"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700" w:type="dxa"/>
            <w:vAlign w:val="bottom"/>
            <w:vMerge w:val="continue"/>
          </w:tcPr>
          <w:p>
            <w:pPr>
              <w:spacing w:after="0"/>
              <w:rPr>
                <w:sz w:val="9"/>
                <w:szCs w:val="9"/>
                <w:color w:val="auto"/>
              </w:rPr>
            </w:pP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20,825</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21</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700" w:type="dxa"/>
            <w:vAlign w:val="bottom"/>
          </w:tcPr>
          <w:p>
            <w:pPr>
              <w:spacing w:after="0" w:line="96" w:lineRule="exact"/>
              <w:rPr>
                <w:sz w:val="20"/>
                <w:szCs w:val="20"/>
                <w:color w:val="auto"/>
              </w:rPr>
            </w:pPr>
            <w:r>
              <w:rPr>
                <w:rFonts w:ascii="Arial" w:cs="Arial" w:eastAsia="Arial" w:hAnsi="Arial"/>
                <w:sz w:val="11"/>
                <w:szCs w:val="11"/>
                <w:color w:val="auto"/>
              </w:rPr>
              <w:t>Issuance of shares upon exercise of stock options</w:t>
            </w:r>
          </w:p>
        </w:tc>
        <w:tc>
          <w:tcPr>
            <w:tcW w:w="920" w:type="dxa"/>
            <w:vAlign w:val="bottom"/>
          </w:tcPr>
          <w:p>
            <w:pPr>
              <w:jc w:val="right"/>
              <w:spacing w:after="0" w:line="96" w:lineRule="exact"/>
              <w:rPr>
                <w:sz w:val="20"/>
                <w:szCs w:val="20"/>
                <w:color w:val="auto"/>
              </w:rPr>
            </w:pPr>
            <w:r>
              <w:rPr>
                <w:rFonts w:ascii="Arial" w:cs="Arial" w:eastAsia="Arial" w:hAnsi="Arial"/>
                <w:sz w:val="11"/>
                <w:szCs w:val="11"/>
                <w:color w:val="auto"/>
              </w:rPr>
              <w:t>1</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left="545"/>
              <w:spacing w:after="0" w:line="96" w:lineRule="exact"/>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Issuance of shares under employee stock purchase plan</w:t>
            </w:r>
          </w:p>
        </w:tc>
        <w:tc>
          <w:tcPr>
            <w:tcW w:w="920" w:type="dxa"/>
            <w:vAlign w:val="bottom"/>
          </w:tcPr>
          <w:p>
            <w:pPr>
              <w:jc w:val="right"/>
              <w:spacing w:after="0" w:line="111" w:lineRule="exact"/>
              <w:rPr>
                <w:sz w:val="20"/>
                <w:szCs w:val="20"/>
                <w:color w:val="auto"/>
              </w:rPr>
            </w:pPr>
            <w:r>
              <w:rPr>
                <w:rFonts w:ascii="Arial" w:cs="Arial" w:eastAsia="Arial" w:hAnsi="Arial"/>
                <w:sz w:val="11"/>
                <w:szCs w:val="11"/>
                <w:color w:val="auto"/>
              </w:rPr>
              <w:t>43</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w w:val="97"/>
              </w:rPr>
              <w:t>Issuance of common stock and warrants in connection with rights offering, net</w:t>
            </w: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4,280</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center"/>
              <w:ind w:left="545"/>
              <w:spacing w:after="0"/>
              <w:rPr>
                <w:sz w:val="20"/>
                <w:szCs w:val="20"/>
                <w:color w:val="auto"/>
              </w:rPr>
            </w:pPr>
            <w:r>
              <w:rPr>
                <w:rFonts w:ascii="Arial" w:cs="Arial" w:eastAsia="Arial" w:hAnsi="Arial"/>
                <w:sz w:val="11"/>
                <w:szCs w:val="11"/>
                <w:color w:val="auto"/>
                <w:w w:val="97"/>
              </w:rPr>
              <w:t>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of issuance cost of $501</w:t>
            </w:r>
          </w:p>
        </w:tc>
        <w:tc>
          <w:tcPr>
            <w:tcW w:w="9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Stock-based compensation expense</w:t>
            </w:r>
          </w:p>
        </w:tc>
        <w:tc>
          <w:tcPr>
            <w:tcW w:w="108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3700" w:type="dxa"/>
            <w:vAlign w:val="bottom"/>
          </w:tcPr>
          <w:p>
            <w:pPr>
              <w:spacing w:after="0" w:line="111" w:lineRule="exact"/>
              <w:rPr>
                <w:sz w:val="20"/>
                <w:szCs w:val="20"/>
                <w:color w:val="auto"/>
              </w:rPr>
            </w:pPr>
            <w:r>
              <w:rPr>
                <w:rFonts w:ascii="Arial" w:cs="Arial" w:eastAsia="Arial" w:hAnsi="Arial"/>
                <w:sz w:val="11"/>
                <w:szCs w:val="11"/>
                <w:color w:val="auto"/>
              </w:rPr>
              <w:t>Unrealized gain on available-for-sale securities</w:t>
            </w:r>
          </w:p>
        </w:tc>
        <w:tc>
          <w:tcPr>
            <w:tcW w:w="1080" w:type="dxa"/>
            <w:vAlign w:val="bottom"/>
            <w:gridSpan w:val="2"/>
          </w:tcPr>
          <w:p>
            <w:pPr>
              <w:ind w:left="80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center"/>
              <w:ind w:left="465"/>
              <w:spacing w:after="0" w:line="111"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700" w:type="dxa"/>
            <w:vAlign w:val="bottom"/>
          </w:tcPr>
          <w:p>
            <w:pPr>
              <w:spacing w:after="0" w:line="125" w:lineRule="exact"/>
              <w:rPr>
                <w:sz w:val="20"/>
                <w:szCs w:val="20"/>
                <w:color w:val="auto"/>
              </w:rPr>
            </w:pPr>
            <w:r>
              <w:rPr>
                <w:rFonts w:ascii="Arial" w:cs="Arial" w:eastAsia="Arial" w:hAnsi="Arial"/>
                <w:sz w:val="11"/>
                <w:szCs w:val="11"/>
                <w:color w:val="auto"/>
              </w:rPr>
              <w:t>Net loss</w:t>
            </w:r>
          </w:p>
        </w:tc>
        <w:tc>
          <w:tcPr>
            <w:tcW w:w="1080" w:type="dxa"/>
            <w:vAlign w:val="bottom"/>
            <w:gridSpan w:val="2"/>
          </w:tcPr>
          <w:p>
            <w:pPr>
              <w:ind w:left="800"/>
              <w:spacing w:after="0" w:line="125"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left="465"/>
              <w:spacing w:after="0" w:line="125" w:lineRule="exact"/>
              <w:rPr>
                <w:sz w:val="20"/>
                <w:szCs w:val="20"/>
                <w:color w:val="auto"/>
              </w:rPr>
            </w:pPr>
            <w:r>
              <w:rPr>
                <w:rFonts w:ascii="Arial" w:cs="Arial" w:eastAsia="Arial" w:hAnsi="Arial"/>
                <w:sz w:val="11"/>
                <w:szCs w:val="11"/>
                <w:color w:val="auto"/>
                <w:w w:val="90"/>
              </w:rPr>
              <w:t>—</w:t>
            </w:r>
          </w:p>
        </w:tc>
        <w:tc>
          <w:tcPr>
            <w:tcW w:w="1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8"/>
        </w:trPr>
        <w:tc>
          <w:tcPr>
            <w:tcW w:w="3700" w:type="dxa"/>
            <w:vAlign w:val="bottom"/>
          </w:tcPr>
          <w:p>
            <w:pPr>
              <w:spacing w:after="0" w:line="100" w:lineRule="exact"/>
              <w:rPr>
                <w:sz w:val="20"/>
                <w:szCs w:val="20"/>
                <w:color w:val="auto"/>
              </w:rPr>
            </w:pPr>
            <w:r>
              <w:rPr>
                <w:rFonts w:ascii="Arial" w:cs="Arial" w:eastAsia="Arial" w:hAnsi="Arial"/>
                <w:sz w:val="11"/>
                <w:szCs w:val="11"/>
                <w:color w:val="auto"/>
              </w:rPr>
              <w:t>Balance, June 30, 2020</w:t>
            </w:r>
          </w:p>
        </w:tc>
        <w:tc>
          <w:tcPr>
            <w:tcW w:w="9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25,149</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4"/>
                <w:szCs w:val="4"/>
                <w:color w:val="auto"/>
                <w:w w:val="87"/>
              </w:rPr>
              <w:t>$</w:t>
            </w:r>
          </w:p>
        </w:tc>
        <w:tc>
          <w:tcPr>
            <w:tcW w:w="70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25</w:t>
            </w:r>
          </w:p>
        </w:tc>
        <w:tc>
          <w:tcPr>
            <w:tcW w:w="8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-514985</wp:posOffset>
            </wp:positionV>
            <wp:extent cx="7175500" cy="704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-304165</wp:posOffset>
            </wp:positionV>
            <wp:extent cx="7175500" cy="70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-163195</wp:posOffset>
            </wp:positionV>
            <wp:extent cx="7175500" cy="704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5500" cy="704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-678815</wp:posOffset>
            </wp:positionV>
            <wp:extent cx="7175500" cy="81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5"/>
              <w:spacing w:after="0"/>
              <w:rPr>
                <w:sz w:val="20"/>
                <w:szCs w:val="20"/>
                <w:color w:val="auto"/>
              </w:rPr>
            </w:pPr>
            <w:r>
              <w:rPr>
                <w:rFonts w:ascii="Arial" w:cs="Arial" w:eastAsia="Arial" w:hAnsi="Arial"/>
                <w:sz w:val="11"/>
                <w:szCs w:val="11"/>
                <w:b w:val="1"/>
                <w:bCs w:val="1"/>
                <w:color w:val="auto"/>
                <w:w w:val="89"/>
              </w:rPr>
              <w:t>Additional</w:t>
            </w:r>
          </w:p>
        </w:tc>
        <w:tc>
          <w:tcPr>
            <w:tcW w:w="1300" w:type="dxa"/>
            <w:vAlign w:val="bottom"/>
          </w:tcPr>
          <w:p>
            <w:pPr>
              <w:jc w:val="center"/>
              <w:ind w:left="187"/>
              <w:spacing w:after="0"/>
              <w:rPr>
                <w:sz w:val="20"/>
                <w:szCs w:val="20"/>
                <w:color w:val="auto"/>
              </w:rPr>
            </w:pPr>
            <w:r>
              <w:rPr>
                <w:rFonts w:ascii="Arial" w:cs="Arial" w:eastAsia="Arial" w:hAnsi="Arial"/>
                <w:sz w:val="11"/>
                <w:szCs w:val="11"/>
                <w:b w:val="1"/>
                <w:bCs w:val="1"/>
                <w:color w:val="auto"/>
                <w:w w:val="92"/>
              </w:rPr>
              <w:t>Accumulated Other</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0"/>
        </w:trPr>
        <w:tc>
          <w:tcPr>
            <w:tcW w:w="980" w:type="dxa"/>
            <w:vAlign w:val="bottom"/>
          </w:tcPr>
          <w:p>
            <w:pPr>
              <w:jc w:val="right"/>
              <w:ind w:right="505"/>
              <w:spacing w:after="0" w:line="120" w:lineRule="exact"/>
              <w:rPr>
                <w:sz w:val="20"/>
                <w:szCs w:val="20"/>
                <w:color w:val="auto"/>
              </w:rPr>
            </w:pPr>
            <w:r>
              <w:rPr>
                <w:rFonts w:ascii="Arial" w:cs="Arial" w:eastAsia="Arial" w:hAnsi="Arial"/>
                <w:sz w:val="11"/>
                <w:szCs w:val="11"/>
                <w:b w:val="1"/>
                <w:bCs w:val="1"/>
                <w:color w:val="auto"/>
              </w:rPr>
              <w:t>Paid-in</w:t>
            </w:r>
          </w:p>
        </w:tc>
        <w:tc>
          <w:tcPr>
            <w:tcW w:w="1300" w:type="dxa"/>
            <w:vAlign w:val="bottom"/>
          </w:tcPr>
          <w:p>
            <w:pPr>
              <w:jc w:val="center"/>
              <w:ind w:left="187"/>
              <w:spacing w:after="0" w:line="120" w:lineRule="exact"/>
              <w:rPr>
                <w:sz w:val="20"/>
                <w:szCs w:val="20"/>
                <w:color w:val="auto"/>
              </w:rPr>
            </w:pPr>
            <w:r>
              <w:rPr>
                <w:rFonts w:ascii="Arial" w:cs="Arial" w:eastAsia="Arial" w:hAnsi="Arial"/>
                <w:sz w:val="11"/>
                <w:szCs w:val="11"/>
                <w:b w:val="1"/>
                <w:bCs w:val="1"/>
                <w:color w:val="auto"/>
                <w:w w:val="89"/>
              </w:rPr>
              <w:t>Comprehensive</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05"/>
              <w:spacing w:after="0" w:line="120"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29"/>
        </w:trPr>
        <w:tc>
          <w:tcPr>
            <w:tcW w:w="980" w:type="dxa"/>
            <w:vAlign w:val="bottom"/>
          </w:tcPr>
          <w:p>
            <w:pPr>
              <w:jc w:val="right"/>
              <w:ind w:right="505"/>
              <w:spacing w:after="0"/>
              <w:rPr>
                <w:sz w:val="20"/>
                <w:szCs w:val="20"/>
                <w:color w:val="auto"/>
              </w:rPr>
            </w:pPr>
            <w:r>
              <w:rPr>
                <w:rFonts w:ascii="Arial" w:cs="Arial" w:eastAsia="Arial" w:hAnsi="Arial"/>
                <w:sz w:val="11"/>
                <w:szCs w:val="11"/>
                <w:b w:val="1"/>
                <w:bCs w:val="1"/>
                <w:color w:val="auto"/>
              </w:rPr>
              <w:t>Capital</w:t>
            </w:r>
          </w:p>
        </w:tc>
        <w:tc>
          <w:tcPr>
            <w:tcW w:w="1300" w:type="dxa"/>
            <w:vAlign w:val="bottom"/>
          </w:tcPr>
          <w:p>
            <w:pPr>
              <w:jc w:val="center"/>
              <w:ind w:left="207"/>
              <w:spacing w:after="0"/>
              <w:rPr>
                <w:sz w:val="20"/>
                <w:szCs w:val="20"/>
                <w:color w:val="auto"/>
              </w:rPr>
            </w:pPr>
            <w:r>
              <w:rPr>
                <w:rFonts w:ascii="Arial" w:cs="Arial" w:eastAsia="Arial" w:hAnsi="Arial"/>
                <w:sz w:val="11"/>
                <w:szCs w:val="11"/>
                <w:b w:val="1"/>
                <w:bCs w:val="1"/>
                <w:color w:val="auto"/>
                <w:w w:val="91"/>
              </w:rPr>
              <w:t>Income (Loss)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08"/>
        </w:trPr>
        <w:tc>
          <w:tcPr>
            <w:tcW w:w="980" w:type="dxa"/>
            <w:vAlign w:val="bottom"/>
          </w:tcPr>
          <w:p>
            <w:pPr>
              <w:jc w:val="right"/>
              <w:ind w:right="125"/>
              <w:spacing w:after="0" w:line="100" w:lineRule="exact"/>
              <w:rPr>
                <w:sz w:val="20"/>
                <w:szCs w:val="20"/>
                <w:color w:val="auto"/>
              </w:rPr>
            </w:pPr>
            <w:r>
              <w:rPr>
                <w:rFonts w:ascii="Arial" w:cs="Arial" w:eastAsia="Arial" w:hAnsi="Arial"/>
                <w:sz w:val="11"/>
                <w:szCs w:val="11"/>
                <w:color w:val="auto"/>
              </w:rPr>
              <w:t>156,291</w:t>
            </w:r>
          </w:p>
        </w:tc>
        <w:tc>
          <w:tcPr>
            <w:tcW w:w="1300" w:type="dxa"/>
            <w:vAlign w:val="bottom"/>
            <w:tcBorders>
              <w:top w:val="single" w:sz="8" w:color="auto"/>
              <w:bottom w:val="single" w:sz="8" w:color="auto"/>
            </w:tcBorders>
          </w:tcPr>
          <w:p>
            <w:pPr>
              <w:jc w:val="right"/>
              <w:ind w:right="1187"/>
              <w:spacing w:after="0" w:line="100" w:lineRule="exact"/>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0"/>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(134,561)</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21,768</w:t>
            </w:r>
          </w:p>
        </w:tc>
        <w:tc>
          <w:tcPr>
            <w:tcW w:w="0" w:type="dxa"/>
            <w:vAlign w:val="bottom"/>
          </w:tcPr>
          <w:p>
            <w:pPr>
              <w:spacing w:after="0"/>
              <w:rPr>
                <w:sz w:val="1"/>
                <w:szCs w:val="1"/>
                <w:color w:val="auto"/>
              </w:rPr>
            </w:pPr>
          </w:p>
        </w:tc>
      </w:tr>
      <w:tr>
        <w:trPr>
          <w:trHeight w:val="189"/>
        </w:trPr>
        <w:tc>
          <w:tcPr>
            <w:tcW w:w="980" w:type="dxa"/>
            <w:vAlign w:val="bottom"/>
          </w:tcPr>
          <w:p>
            <w:pPr>
              <w:jc w:val="right"/>
              <w:ind w:right="125"/>
              <w:spacing w:after="0"/>
              <w:rPr>
                <w:sz w:val="20"/>
                <w:szCs w:val="20"/>
                <w:color w:val="auto"/>
              </w:rPr>
            </w:pPr>
            <w:r>
              <w:rPr>
                <w:rFonts w:ascii="Arial" w:cs="Arial" w:eastAsia="Arial" w:hAnsi="Arial"/>
                <w:sz w:val="11"/>
                <w:szCs w:val="11"/>
                <w:color w:val="auto"/>
              </w:rPr>
              <w:t>29,494</w:t>
            </w:r>
          </w:p>
        </w:tc>
        <w:tc>
          <w:tcPr>
            <w:tcW w:w="1300" w:type="dxa"/>
            <w:vAlign w:val="bottom"/>
          </w:tcPr>
          <w:p>
            <w:pPr>
              <w:spacing w:after="0"/>
              <w:rPr>
                <w:sz w:val="16"/>
                <w:szCs w:val="16"/>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29,498</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Arial" w:cs="Arial" w:eastAsia="Arial" w:hAnsi="Arial"/>
                <w:sz w:val="11"/>
                <w:szCs w:val="11"/>
                <w:color w:val="auto"/>
              </w:rPr>
              <w:t>2,412</w:t>
            </w:r>
          </w:p>
        </w:tc>
        <w:tc>
          <w:tcPr>
            <w:tcW w:w="1300" w:type="dxa"/>
            <w:vAlign w:val="bottom"/>
          </w:tcPr>
          <w:p>
            <w:pPr>
              <w:spacing w:after="0"/>
              <w:rPr>
                <w:sz w:val="9"/>
                <w:szCs w:val="9"/>
                <w:color w:val="auto"/>
              </w:rPr>
            </w:pPr>
          </w:p>
        </w:tc>
        <w:tc>
          <w:tcPr>
            <w:tcW w:w="3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2,412</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w:t>
            </w:r>
          </w:p>
        </w:tc>
        <w:tc>
          <w:tcPr>
            <w:tcW w:w="1300" w:type="dxa"/>
            <w:vAlign w:val="bottom"/>
          </w:tcPr>
          <w:p>
            <w:pPr>
              <w:spacing w:after="0"/>
              <w:rPr>
                <w:sz w:val="9"/>
                <w:szCs w:val="9"/>
                <w:color w:val="auto"/>
              </w:rPr>
            </w:pPr>
          </w:p>
        </w:tc>
        <w:tc>
          <w:tcPr>
            <w:tcW w:w="320" w:type="dxa"/>
            <w:vAlign w:val="bottom"/>
            <w:gridSpan w:val="2"/>
          </w:tcPr>
          <w:p>
            <w:pPr>
              <w:jc w:val="right"/>
              <w:ind w:right="80"/>
              <w:spacing w:after="0" w:line="111" w:lineRule="exact"/>
              <w:rPr>
                <w:sz w:val="20"/>
                <w:szCs w:val="20"/>
                <w:color w:val="auto"/>
              </w:rPr>
            </w:pPr>
            <w:r>
              <w:rPr>
                <w:rFonts w:ascii="Arial" w:cs="Arial" w:eastAsia="Arial" w:hAnsi="Arial"/>
                <w:sz w:val="11"/>
                <w:szCs w:val="11"/>
                <w:color w:val="auto"/>
              </w:rPr>
              <w:t>(17)</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25"/>
        </w:trPr>
        <w:tc>
          <w:tcPr>
            <w:tcW w:w="980" w:type="dxa"/>
            <w:vAlign w:val="bottom"/>
          </w:tcPr>
          <w:p>
            <w:pPr>
              <w:jc w:val="right"/>
              <w:ind w:right="105"/>
              <w:spacing w:after="0" w:line="125" w:lineRule="exact"/>
              <w:rPr>
                <w:sz w:val="20"/>
                <w:szCs w:val="20"/>
                <w:color w:val="auto"/>
              </w:rPr>
            </w:pPr>
            <w:r>
              <w:rPr>
                <w:rFonts w:ascii="Arial" w:cs="Arial" w:eastAsia="Arial" w:hAnsi="Arial"/>
                <w:sz w:val="11"/>
                <w:szCs w:val="11"/>
                <w:color w:val="auto"/>
              </w:rPr>
              <w:t>—</w:t>
            </w:r>
          </w:p>
        </w:tc>
        <w:tc>
          <w:tcPr>
            <w:tcW w:w="1300" w:type="dxa"/>
            <w:vAlign w:val="bottom"/>
          </w:tcPr>
          <w:p>
            <w:pPr>
              <w:spacing w:after="0"/>
              <w:rPr>
                <w:sz w:val="10"/>
                <w:szCs w:val="10"/>
                <w:color w:val="auto"/>
              </w:rPr>
            </w:pPr>
          </w:p>
        </w:tc>
        <w:tc>
          <w:tcPr>
            <w:tcW w:w="32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(11,333)</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Arial" w:cs="Arial" w:eastAsia="Arial" w:hAnsi="Arial"/>
                <w:sz w:val="11"/>
                <w:szCs w:val="11"/>
                <w:color w:val="auto"/>
              </w:rPr>
              <w:t>(11,333)</w:t>
            </w:r>
          </w:p>
        </w:tc>
        <w:tc>
          <w:tcPr>
            <w:tcW w:w="0" w:type="dxa"/>
            <w:vAlign w:val="bottom"/>
          </w:tcPr>
          <w:p>
            <w:pPr>
              <w:spacing w:after="0"/>
              <w:rPr>
                <w:sz w:val="1"/>
                <w:szCs w:val="1"/>
                <w:color w:val="auto"/>
              </w:rPr>
            </w:pPr>
          </w:p>
        </w:tc>
      </w:tr>
      <w:tr>
        <w:trPr>
          <w:trHeight w:val="108"/>
        </w:trPr>
        <w:tc>
          <w:tcPr>
            <w:tcW w:w="980" w:type="dxa"/>
            <w:vAlign w:val="bottom"/>
          </w:tcPr>
          <w:p>
            <w:pPr>
              <w:jc w:val="right"/>
              <w:ind w:right="125"/>
              <w:spacing w:after="0" w:line="100" w:lineRule="exact"/>
              <w:rPr>
                <w:sz w:val="20"/>
                <w:szCs w:val="20"/>
                <w:color w:val="auto"/>
              </w:rPr>
            </w:pPr>
            <w:r>
              <w:rPr>
                <w:rFonts w:ascii="Arial" w:cs="Arial" w:eastAsia="Arial" w:hAnsi="Arial"/>
                <w:sz w:val="11"/>
                <w:szCs w:val="11"/>
                <w:color w:val="auto"/>
              </w:rPr>
              <w:t>188,197</w:t>
            </w:r>
          </w:p>
        </w:tc>
        <w:tc>
          <w:tcPr>
            <w:tcW w:w="1300" w:type="dxa"/>
            <w:vAlign w:val="bottom"/>
            <w:tcBorders>
              <w:top w:val="single" w:sz="8" w:color="auto"/>
              <w:bottom w:val="single" w:sz="8" w:color="auto"/>
            </w:tcBorders>
          </w:tcPr>
          <w:p>
            <w:pPr>
              <w:jc w:val="right"/>
              <w:ind w:right="1187"/>
              <w:spacing w:after="0" w:line="100" w:lineRule="exact"/>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0"/>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(145,894)</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42,328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wp:posOffset>
            </wp:positionV>
            <wp:extent cx="74422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-5080</wp:posOffset>
            </wp:positionV>
            <wp:extent cx="74422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-93345</wp:posOffset>
            </wp:positionV>
            <wp:extent cx="74422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-438785</wp:posOffset>
            </wp:positionV>
            <wp:extent cx="74422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0" w:type="dxa"/>
            <w:vAlign w:val="bottom"/>
          </w:tcPr>
          <w:p>
            <w:pPr>
              <w:jc w:val="right"/>
              <w:ind w:right="425"/>
              <w:spacing w:after="0"/>
              <w:rPr>
                <w:sz w:val="20"/>
                <w:szCs w:val="20"/>
                <w:color w:val="auto"/>
              </w:rPr>
            </w:pPr>
            <w:r>
              <w:rPr>
                <w:rFonts w:ascii="Arial" w:cs="Arial" w:eastAsia="Arial" w:hAnsi="Arial"/>
                <w:sz w:val="11"/>
                <w:szCs w:val="11"/>
                <w:b w:val="1"/>
                <w:bCs w:val="1"/>
                <w:color w:val="auto"/>
                <w:w w:val="89"/>
              </w:rPr>
              <w:t>Additional</w:t>
            </w:r>
          </w:p>
        </w:tc>
        <w:tc>
          <w:tcPr>
            <w:tcW w:w="1340" w:type="dxa"/>
            <w:vAlign w:val="bottom"/>
          </w:tcPr>
          <w:p>
            <w:pPr>
              <w:jc w:val="center"/>
              <w:ind w:left="146"/>
              <w:spacing w:after="0"/>
              <w:rPr>
                <w:sz w:val="20"/>
                <w:szCs w:val="20"/>
                <w:color w:val="auto"/>
              </w:rPr>
            </w:pPr>
            <w:r>
              <w:rPr>
                <w:rFonts w:ascii="Arial" w:cs="Arial" w:eastAsia="Arial" w:hAnsi="Arial"/>
                <w:sz w:val="11"/>
                <w:szCs w:val="11"/>
                <w:b w:val="1"/>
                <w:bCs w:val="1"/>
                <w:color w:val="auto"/>
                <w:w w:val="92"/>
              </w:rPr>
              <w:t>Accumulated Other</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w w:val="89"/>
              </w:rPr>
              <w:t>Accumulated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20"/>
        </w:trPr>
        <w:tc>
          <w:tcPr>
            <w:tcW w:w="980" w:type="dxa"/>
            <w:vAlign w:val="bottom"/>
          </w:tcPr>
          <w:p>
            <w:pPr>
              <w:jc w:val="right"/>
              <w:ind w:right="505"/>
              <w:spacing w:after="0" w:line="120" w:lineRule="exact"/>
              <w:rPr>
                <w:sz w:val="20"/>
                <w:szCs w:val="20"/>
                <w:color w:val="auto"/>
              </w:rPr>
            </w:pPr>
            <w:r>
              <w:rPr>
                <w:rFonts w:ascii="Arial" w:cs="Arial" w:eastAsia="Arial" w:hAnsi="Arial"/>
                <w:sz w:val="11"/>
                <w:szCs w:val="11"/>
                <w:b w:val="1"/>
                <w:bCs w:val="1"/>
                <w:color w:val="auto"/>
              </w:rPr>
              <w:t>Paid-in</w:t>
            </w:r>
          </w:p>
        </w:tc>
        <w:tc>
          <w:tcPr>
            <w:tcW w:w="1340" w:type="dxa"/>
            <w:vAlign w:val="bottom"/>
          </w:tcPr>
          <w:p>
            <w:pPr>
              <w:jc w:val="center"/>
              <w:ind w:left="146"/>
              <w:spacing w:after="0" w:line="120" w:lineRule="exact"/>
              <w:rPr>
                <w:sz w:val="20"/>
                <w:szCs w:val="20"/>
                <w:color w:val="auto"/>
              </w:rPr>
            </w:pPr>
            <w:r>
              <w:rPr>
                <w:rFonts w:ascii="Arial" w:cs="Arial" w:eastAsia="Arial" w:hAnsi="Arial"/>
                <w:sz w:val="11"/>
                <w:szCs w:val="11"/>
                <w:b w:val="1"/>
                <w:bCs w:val="1"/>
                <w:color w:val="auto"/>
                <w:w w:val="89"/>
              </w:rPr>
              <w:t>Comprehensive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105"/>
              <w:spacing w:after="0" w:line="120" w:lineRule="exact"/>
              <w:rPr>
                <w:sz w:val="20"/>
                <w:szCs w:val="20"/>
                <w:color w:val="auto"/>
              </w:rPr>
            </w:pPr>
            <w:r>
              <w:rPr>
                <w:rFonts w:ascii="Arial" w:cs="Arial" w:eastAsia="Arial" w:hAnsi="Arial"/>
                <w:sz w:val="11"/>
                <w:szCs w:val="11"/>
                <w:b w:val="1"/>
                <w:bCs w:val="1"/>
                <w:color w:val="auto"/>
                <w:w w:val="90"/>
              </w:rPr>
              <w:t>Stockholders’</w:t>
            </w:r>
          </w:p>
        </w:tc>
        <w:tc>
          <w:tcPr>
            <w:tcW w:w="0" w:type="dxa"/>
            <w:vAlign w:val="bottom"/>
          </w:tcPr>
          <w:p>
            <w:pPr>
              <w:spacing w:after="0"/>
              <w:rPr>
                <w:sz w:val="1"/>
                <w:szCs w:val="1"/>
                <w:color w:val="auto"/>
              </w:rPr>
            </w:pPr>
          </w:p>
        </w:tc>
      </w:tr>
      <w:tr>
        <w:trPr>
          <w:trHeight w:val="129"/>
        </w:trPr>
        <w:tc>
          <w:tcPr>
            <w:tcW w:w="980" w:type="dxa"/>
            <w:vAlign w:val="bottom"/>
          </w:tcPr>
          <w:p>
            <w:pPr>
              <w:jc w:val="right"/>
              <w:ind w:right="505"/>
              <w:spacing w:after="0"/>
              <w:rPr>
                <w:sz w:val="20"/>
                <w:szCs w:val="20"/>
                <w:color w:val="auto"/>
              </w:rPr>
            </w:pPr>
            <w:r>
              <w:rPr>
                <w:rFonts w:ascii="Arial" w:cs="Arial" w:eastAsia="Arial" w:hAnsi="Arial"/>
                <w:sz w:val="11"/>
                <w:szCs w:val="11"/>
                <w:b w:val="1"/>
                <w:bCs w:val="1"/>
                <w:color w:val="auto"/>
              </w:rPr>
              <w:t>Capital</w:t>
            </w:r>
          </w:p>
        </w:tc>
        <w:tc>
          <w:tcPr>
            <w:tcW w:w="1340" w:type="dxa"/>
            <w:vAlign w:val="bottom"/>
          </w:tcPr>
          <w:p>
            <w:pPr>
              <w:jc w:val="center"/>
              <w:ind w:left="166"/>
              <w:spacing w:after="0"/>
              <w:rPr>
                <w:sz w:val="20"/>
                <w:szCs w:val="20"/>
                <w:color w:val="auto"/>
              </w:rPr>
            </w:pPr>
            <w:r>
              <w:rPr>
                <w:rFonts w:ascii="Arial" w:cs="Arial" w:eastAsia="Arial" w:hAnsi="Arial"/>
                <w:sz w:val="11"/>
                <w:szCs w:val="11"/>
                <w:b w:val="1"/>
                <w:bCs w:val="1"/>
                <w:color w:val="auto"/>
                <w:w w:val="91"/>
              </w:rPr>
              <w:t>Income (Loss)</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89"/>
              </w:rPr>
              <w:t>Deficit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85"/>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08"/>
        </w:trPr>
        <w:tc>
          <w:tcPr>
            <w:tcW w:w="980" w:type="dxa"/>
            <w:vAlign w:val="bottom"/>
          </w:tcPr>
          <w:p>
            <w:pPr>
              <w:jc w:val="right"/>
              <w:ind w:right="125"/>
              <w:spacing w:after="0" w:line="100" w:lineRule="exact"/>
              <w:rPr>
                <w:sz w:val="20"/>
                <w:szCs w:val="20"/>
                <w:color w:val="auto"/>
              </w:rPr>
            </w:pPr>
            <w:r>
              <w:rPr>
                <w:rFonts w:ascii="Arial" w:cs="Arial" w:eastAsia="Arial" w:hAnsi="Arial"/>
                <w:sz w:val="11"/>
                <w:szCs w:val="11"/>
                <w:color w:val="auto"/>
              </w:rPr>
              <w:t>153,401</w:t>
            </w:r>
          </w:p>
        </w:tc>
        <w:tc>
          <w:tcPr>
            <w:tcW w:w="1340" w:type="dxa"/>
            <w:vAlign w:val="bottom"/>
            <w:tcBorders>
              <w:top w:val="single" w:sz="8" w:color="auto"/>
              <w:bottom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ind w:left="120"/>
              <w:spacing w:after="0" w:line="100" w:lineRule="exact"/>
              <w:rPr>
                <w:sz w:val="20"/>
                <w:szCs w:val="20"/>
                <w:color w:val="auto"/>
              </w:rPr>
            </w:pPr>
            <w:r>
              <w:rPr>
                <w:rFonts w:ascii="Arial" w:cs="Arial" w:eastAsia="Arial" w:hAnsi="Arial"/>
                <w:sz w:val="11"/>
                <w:szCs w:val="11"/>
                <w:color w:val="auto"/>
                <w:w w:val="97"/>
              </w:rPr>
              <w:t>4</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(122,689)</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30,737</w:t>
            </w:r>
          </w:p>
        </w:tc>
        <w:tc>
          <w:tcPr>
            <w:tcW w:w="0" w:type="dxa"/>
            <w:vAlign w:val="bottom"/>
          </w:tcPr>
          <w:p>
            <w:pPr>
              <w:spacing w:after="0"/>
              <w:rPr>
                <w:sz w:val="1"/>
                <w:szCs w:val="1"/>
                <w:color w:val="auto"/>
              </w:rPr>
            </w:pPr>
          </w:p>
        </w:tc>
      </w:tr>
      <w:tr>
        <w:trPr>
          <w:trHeight w:val="96"/>
        </w:trPr>
        <w:tc>
          <w:tcPr>
            <w:tcW w:w="980" w:type="dxa"/>
            <w:vAlign w:val="bottom"/>
          </w:tcPr>
          <w:p>
            <w:pPr>
              <w:jc w:val="right"/>
              <w:ind w:right="125"/>
              <w:spacing w:after="0" w:line="96" w:lineRule="exact"/>
              <w:rPr>
                <w:sz w:val="20"/>
                <w:szCs w:val="20"/>
                <w:color w:val="auto"/>
              </w:rPr>
            </w:pPr>
            <w:r>
              <w:rPr>
                <w:rFonts w:ascii="Arial" w:cs="Arial" w:eastAsia="Arial" w:hAnsi="Arial"/>
                <w:sz w:val="11"/>
                <w:szCs w:val="11"/>
                <w:color w:val="auto"/>
              </w:rPr>
              <w:t>9</w:t>
            </w:r>
          </w:p>
        </w:tc>
        <w:tc>
          <w:tcPr>
            <w:tcW w:w="1340" w:type="dxa"/>
            <w:vAlign w:val="bottom"/>
          </w:tcPr>
          <w:p>
            <w:pPr>
              <w:spacing w:after="0"/>
              <w:rPr>
                <w:sz w:val="8"/>
                <w:szCs w:val="8"/>
                <w:color w:val="auto"/>
              </w:rPr>
            </w:pPr>
          </w:p>
        </w:tc>
        <w:tc>
          <w:tcPr>
            <w:tcW w:w="200" w:type="dxa"/>
            <w:vAlign w:val="bottom"/>
          </w:tcPr>
          <w:p>
            <w:pPr>
              <w:ind w:left="100"/>
              <w:spacing w:after="0" w:line="96"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jc w:val="right"/>
              <w:spacing w:after="0" w:line="96"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jc w:val="right"/>
              <w:spacing w:after="0" w:line="96" w:lineRule="exact"/>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39"/>
        </w:trPr>
        <w:tc>
          <w:tcPr>
            <w:tcW w:w="980" w:type="dxa"/>
            <w:vAlign w:val="bottom"/>
          </w:tcPr>
          <w:p>
            <w:pPr>
              <w:jc w:val="right"/>
              <w:ind w:right="125"/>
              <w:spacing w:after="0"/>
              <w:rPr>
                <w:sz w:val="20"/>
                <w:szCs w:val="20"/>
                <w:color w:val="auto"/>
              </w:rPr>
            </w:pPr>
            <w:r>
              <w:rPr>
                <w:rFonts w:ascii="Arial" w:cs="Arial" w:eastAsia="Arial" w:hAnsi="Arial"/>
                <w:sz w:val="11"/>
                <w:szCs w:val="11"/>
                <w:color w:val="auto"/>
              </w:rPr>
              <w:t>255</w:t>
            </w:r>
          </w:p>
        </w:tc>
        <w:tc>
          <w:tcPr>
            <w:tcW w:w="1340" w:type="dxa"/>
            <w:vAlign w:val="bottom"/>
          </w:tcPr>
          <w:p>
            <w:pPr>
              <w:spacing w:after="0"/>
              <w:rPr>
                <w:sz w:val="12"/>
                <w:szCs w:val="12"/>
                <w:color w:val="auto"/>
              </w:rPr>
            </w:pPr>
          </w:p>
        </w:tc>
        <w:tc>
          <w:tcPr>
            <w:tcW w:w="520" w:type="dxa"/>
            <w:vAlign w:val="bottom"/>
            <w:gridSpan w:val="3"/>
          </w:tcPr>
          <w:p>
            <w:pPr>
              <w:ind w:left="10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255</w:t>
            </w:r>
          </w:p>
        </w:tc>
        <w:tc>
          <w:tcPr>
            <w:tcW w:w="0" w:type="dxa"/>
            <w:vAlign w:val="bottom"/>
          </w:tcPr>
          <w:p>
            <w:pPr>
              <w:spacing w:after="0"/>
              <w:rPr>
                <w:sz w:val="1"/>
                <w:szCs w:val="1"/>
                <w:color w:val="auto"/>
              </w:rPr>
            </w:pPr>
          </w:p>
        </w:tc>
      </w:tr>
      <w:tr>
        <w:trPr>
          <w:trHeight w:val="193"/>
        </w:trPr>
        <w:tc>
          <w:tcPr>
            <w:tcW w:w="980" w:type="dxa"/>
            <w:vAlign w:val="bottom"/>
          </w:tcPr>
          <w:p>
            <w:pPr>
              <w:jc w:val="right"/>
              <w:ind w:right="125"/>
              <w:spacing w:after="0"/>
              <w:rPr>
                <w:sz w:val="20"/>
                <w:szCs w:val="20"/>
                <w:color w:val="auto"/>
              </w:rPr>
            </w:pPr>
            <w:r>
              <w:rPr>
                <w:rFonts w:ascii="Arial" w:cs="Arial" w:eastAsia="Arial" w:hAnsi="Arial"/>
                <w:sz w:val="11"/>
                <w:szCs w:val="11"/>
                <w:color w:val="auto"/>
              </w:rPr>
              <w:t>29,494</w:t>
            </w:r>
          </w:p>
        </w:tc>
        <w:tc>
          <w:tcPr>
            <w:tcW w:w="1340" w:type="dxa"/>
            <w:vAlign w:val="bottom"/>
          </w:tcPr>
          <w:p>
            <w:pPr>
              <w:spacing w:after="0"/>
              <w:rPr>
                <w:sz w:val="16"/>
                <w:szCs w:val="16"/>
                <w:color w:val="auto"/>
              </w:rPr>
            </w:pPr>
          </w:p>
        </w:tc>
        <w:tc>
          <w:tcPr>
            <w:tcW w:w="520" w:type="dxa"/>
            <w:vAlign w:val="bottom"/>
            <w:gridSpan w:val="3"/>
          </w:tcPr>
          <w:p>
            <w:pPr>
              <w:ind w:left="10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29,498</w:t>
            </w:r>
          </w:p>
        </w:tc>
        <w:tc>
          <w:tcPr>
            <w:tcW w:w="0" w:type="dxa"/>
            <w:vAlign w:val="bottom"/>
          </w:tcPr>
          <w:p>
            <w:pPr>
              <w:spacing w:after="0"/>
              <w:rPr>
                <w:sz w:val="1"/>
                <w:szCs w:val="1"/>
                <w:color w:val="auto"/>
              </w:rPr>
            </w:pPr>
          </w:p>
        </w:tc>
      </w:tr>
      <w:tr>
        <w:trPr>
          <w:trHeight w:val="111"/>
        </w:trPr>
        <w:tc>
          <w:tcPr>
            <w:tcW w:w="980" w:type="dxa"/>
            <w:vAlign w:val="bottom"/>
          </w:tcPr>
          <w:p>
            <w:pPr>
              <w:jc w:val="right"/>
              <w:ind w:right="125"/>
              <w:spacing w:after="0" w:line="111" w:lineRule="exact"/>
              <w:rPr>
                <w:sz w:val="20"/>
                <w:szCs w:val="20"/>
                <w:color w:val="auto"/>
              </w:rPr>
            </w:pPr>
            <w:r>
              <w:rPr>
                <w:rFonts w:ascii="Arial" w:cs="Arial" w:eastAsia="Arial" w:hAnsi="Arial"/>
                <w:sz w:val="11"/>
                <w:szCs w:val="11"/>
                <w:color w:val="auto"/>
              </w:rPr>
              <w:t>5,038</w:t>
            </w:r>
          </w:p>
        </w:tc>
        <w:tc>
          <w:tcPr>
            <w:tcW w:w="1340" w:type="dxa"/>
            <w:vAlign w:val="bottom"/>
          </w:tcPr>
          <w:p>
            <w:pPr>
              <w:spacing w:after="0"/>
              <w:rPr>
                <w:sz w:val="9"/>
                <w:szCs w:val="9"/>
                <w:color w:val="auto"/>
              </w:rPr>
            </w:pPr>
          </w:p>
        </w:tc>
        <w:tc>
          <w:tcPr>
            <w:tcW w:w="520" w:type="dxa"/>
            <w:vAlign w:val="bottom"/>
            <w:gridSpan w:val="3"/>
          </w:tcPr>
          <w:p>
            <w:pPr>
              <w:ind w:left="100"/>
              <w:spacing w:after="0" w:line="111" w:lineRule="exact"/>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5,038</w:t>
            </w:r>
          </w:p>
        </w:tc>
        <w:tc>
          <w:tcPr>
            <w:tcW w:w="0" w:type="dxa"/>
            <w:vAlign w:val="bottom"/>
          </w:tcPr>
          <w:p>
            <w:pPr>
              <w:spacing w:after="0"/>
              <w:rPr>
                <w:sz w:val="1"/>
                <w:szCs w:val="1"/>
                <w:color w:val="auto"/>
              </w:rPr>
            </w:pPr>
          </w:p>
        </w:tc>
      </w:tr>
      <w:tr>
        <w:trPr>
          <w:trHeight w:val="111"/>
        </w:trPr>
        <w:tc>
          <w:tcPr>
            <w:tcW w:w="980" w:type="dxa"/>
            <w:vAlign w:val="bottom"/>
          </w:tcPr>
          <w:p>
            <w:pPr>
              <w:jc w:val="right"/>
              <w:ind w:right="105"/>
              <w:spacing w:after="0" w:line="111" w:lineRule="exact"/>
              <w:rPr>
                <w:sz w:val="20"/>
                <w:szCs w:val="20"/>
                <w:color w:val="auto"/>
              </w:rPr>
            </w:pPr>
            <w:r>
              <w:rPr>
                <w:rFonts w:ascii="Arial" w:cs="Arial" w:eastAsia="Arial" w:hAnsi="Arial"/>
                <w:sz w:val="11"/>
                <w:szCs w:val="11"/>
                <w:color w:val="auto"/>
              </w:rPr>
              <w:t>—</w:t>
            </w:r>
          </w:p>
        </w:tc>
        <w:tc>
          <w:tcPr>
            <w:tcW w:w="1340" w:type="dxa"/>
            <w:vAlign w:val="bottom"/>
          </w:tcPr>
          <w:p>
            <w:pPr>
              <w:spacing w:after="0"/>
              <w:rPr>
                <w:sz w:val="9"/>
                <w:szCs w:val="9"/>
                <w:color w:val="auto"/>
              </w:rPr>
            </w:pPr>
          </w:p>
        </w:tc>
        <w:tc>
          <w:tcPr>
            <w:tcW w:w="360" w:type="dxa"/>
            <w:vAlign w:val="bottom"/>
            <w:gridSpan w:val="2"/>
          </w:tcPr>
          <w:p>
            <w:pPr>
              <w:ind w:left="80"/>
              <w:spacing w:after="0" w:line="111" w:lineRule="exact"/>
              <w:rPr>
                <w:sz w:val="20"/>
                <w:szCs w:val="20"/>
                <w:color w:val="auto"/>
              </w:rPr>
            </w:pPr>
            <w:r>
              <w:rPr>
                <w:rFonts w:ascii="Arial" w:cs="Arial" w:eastAsia="Arial" w:hAnsi="Arial"/>
                <w:sz w:val="11"/>
                <w:szCs w:val="11"/>
                <w:color w:val="auto"/>
              </w:rPr>
              <w:t>(4)</w:t>
            </w:r>
          </w:p>
        </w:tc>
        <w:tc>
          <w:tcPr>
            <w:tcW w:w="160" w:type="dxa"/>
            <w:vAlign w:val="bottom"/>
          </w:tcPr>
          <w:p>
            <w:pPr>
              <w:spacing w:after="0"/>
              <w:rPr>
                <w:sz w:val="9"/>
                <w:szCs w:val="9"/>
                <w:color w:val="auto"/>
              </w:rPr>
            </w:pPr>
          </w:p>
        </w:tc>
        <w:tc>
          <w:tcPr>
            <w:tcW w:w="1180" w:type="dxa"/>
            <w:vAlign w:val="bottom"/>
            <w:gridSpan w:val="2"/>
          </w:tcPr>
          <w:p>
            <w:pPr>
              <w:jc w:val="right"/>
              <w:ind w:right="160"/>
              <w:spacing w:after="0" w:line="111"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jc w:val="right"/>
              <w:spacing w:after="0" w:line="111" w:lineRule="exact"/>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25"/>
        </w:trPr>
        <w:tc>
          <w:tcPr>
            <w:tcW w:w="980" w:type="dxa"/>
            <w:vAlign w:val="bottom"/>
          </w:tcPr>
          <w:p>
            <w:pPr>
              <w:jc w:val="right"/>
              <w:ind w:right="105"/>
              <w:spacing w:after="0" w:line="125" w:lineRule="exact"/>
              <w:rPr>
                <w:sz w:val="20"/>
                <w:szCs w:val="20"/>
                <w:color w:val="auto"/>
              </w:rPr>
            </w:pPr>
            <w:r>
              <w:rPr>
                <w:rFonts w:ascii="Arial" w:cs="Arial" w:eastAsia="Arial" w:hAnsi="Arial"/>
                <w:sz w:val="11"/>
                <w:szCs w:val="11"/>
                <w:color w:val="auto"/>
              </w:rPr>
              <w:t>—</w:t>
            </w:r>
          </w:p>
        </w:tc>
        <w:tc>
          <w:tcPr>
            <w:tcW w:w="1340" w:type="dxa"/>
            <w:vAlign w:val="bottom"/>
          </w:tcPr>
          <w:p>
            <w:pPr>
              <w:spacing w:after="0"/>
              <w:rPr>
                <w:sz w:val="10"/>
                <w:szCs w:val="10"/>
                <w:color w:val="auto"/>
              </w:rPr>
            </w:pPr>
          </w:p>
        </w:tc>
        <w:tc>
          <w:tcPr>
            <w:tcW w:w="520" w:type="dxa"/>
            <w:vAlign w:val="bottom"/>
            <w:gridSpan w:val="3"/>
          </w:tcPr>
          <w:p>
            <w:pPr>
              <w:ind w:left="100"/>
              <w:spacing w:after="0" w:line="125" w:lineRule="exact"/>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(23,205)</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right"/>
              <w:spacing w:after="0" w:line="125" w:lineRule="exact"/>
              <w:rPr>
                <w:sz w:val="20"/>
                <w:szCs w:val="20"/>
                <w:color w:val="auto"/>
              </w:rPr>
            </w:pPr>
            <w:r>
              <w:rPr>
                <w:rFonts w:ascii="Arial" w:cs="Arial" w:eastAsia="Arial" w:hAnsi="Arial"/>
                <w:sz w:val="11"/>
                <w:szCs w:val="11"/>
                <w:color w:val="auto"/>
              </w:rPr>
              <w:t>(23,205)</w:t>
            </w:r>
          </w:p>
        </w:tc>
        <w:tc>
          <w:tcPr>
            <w:tcW w:w="0" w:type="dxa"/>
            <w:vAlign w:val="bottom"/>
          </w:tcPr>
          <w:p>
            <w:pPr>
              <w:spacing w:after="0"/>
              <w:rPr>
                <w:sz w:val="1"/>
                <w:szCs w:val="1"/>
                <w:color w:val="auto"/>
              </w:rPr>
            </w:pPr>
          </w:p>
        </w:tc>
      </w:tr>
      <w:tr>
        <w:trPr>
          <w:trHeight w:val="108"/>
        </w:trPr>
        <w:tc>
          <w:tcPr>
            <w:tcW w:w="980" w:type="dxa"/>
            <w:vAlign w:val="bottom"/>
          </w:tcPr>
          <w:p>
            <w:pPr>
              <w:jc w:val="right"/>
              <w:ind w:right="125"/>
              <w:spacing w:after="0" w:line="100" w:lineRule="exact"/>
              <w:rPr>
                <w:sz w:val="20"/>
                <w:szCs w:val="20"/>
                <w:color w:val="auto"/>
              </w:rPr>
            </w:pPr>
            <w:r>
              <w:rPr>
                <w:rFonts w:ascii="Arial" w:cs="Arial" w:eastAsia="Arial" w:hAnsi="Arial"/>
                <w:sz w:val="11"/>
                <w:szCs w:val="11"/>
                <w:color w:val="auto"/>
              </w:rPr>
              <w:t>188,197</w:t>
            </w:r>
          </w:p>
        </w:tc>
        <w:tc>
          <w:tcPr>
            <w:tcW w:w="1340" w:type="dxa"/>
            <w:vAlign w:val="bottom"/>
            <w:tcBorders>
              <w:top w:val="single" w:sz="8" w:color="auto"/>
              <w:bottom w:val="single" w:sz="8" w:color="auto"/>
            </w:tcBorders>
          </w:tcPr>
          <w:p>
            <w:pPr>
              <w:jc w:val="right"/>
              <w:ind w:right="1226"/>
              <w:spacing w:after="0" w:line="100" w:lineRule="exact"/>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ind w:left="100"/>
              <w:spacing w:after="0" w:line="100" w:lineRule="exact"/>
              <w:rPr>
                <w:sz w:val="20"/>
                <w:szCs w:val="20"/>
                <w:color w:val="auto"/>
              </w:rPr>
            </w:pPr>
            <w:r>
              <w:rPr>
                <w:rFonts w:ascii="Arial" w:cs="Arial" w:eastAsia="Arial" w:hAnsi="Arial"/>
                <w:sz w:val="11"/>
                <w:szCs w:val="11"/>
                <w:color w:val="auto"/>
                <w:w w:val="72"/>
              </w:rPr>
              <w:t>—</w:t>
            </w:r>
          </w:p>
        </w:tc>
        <w:tc>
          <w:tcPr>
            <w:tcW w:w="160" w:type="dxa"/>
            <w:vAlign w:val="bottom"/>
          </w:tcPr>
          <w:p>
            <w:pPr>
              <w:spacing w:after="0"/>
              <w:rPr>
                <w:sz w:val="9"/>
                <w:szCs w:val="9"/>
                <w:color w:val="auto"/>
              </w:rPr>
            </w:pPr>
          </w:p>
        </w:tc>
        <w:tc>
          <w:tcPr>
            <w:tcW w:w="160" w:type="dxa"/>
            <w:vAlign w:val="bottom"/>
            <w:tcBorders>
              <w:top w:val="single" w:sz="8" w:color="auto"/>
              <w:bottom w:val="single" w:sz="8" w:color="auto"/>
            </w:tcBorders>
          </w:tcPr>
          <w:p>
            <w:pPr>
              <w:jc w:val="right"/>
              <w:ind w:right="50"/>
              <w:spacing w:after="0" w:line="100" w:lineRule="exact"/>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(145,894)</w:t>
            </w:r>
          </w:p>
        </w:tc>
        <w:tc>
          <w:tcPr>
            <w:tcW w:w="1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
                <w:szCs w:val="1"/>
                <w:color w:val="auto"/>
                <w:w w:val="4294967288"/>
              </w:rPr>
              <w:t>$</w:t>
            </w:r>
          </w:p>
        </w:tc>
        <w:tc>
          <w:tcPr>
            <w:tcW w:w="1020" w:type="dxa"/>
            <w:vAlign w:val="bottom"/>
            <w:tcBorders>
              <w:top w:val="single" w:sz="8" w:color="auto"/>
              <w:bottom w:val="single" w:sz="8" w:color="auto"/>
            </w:tcBorders>
          </w:tcPr>
          <w:p>
            <w:pPr>
              <w:jc w:val="right"/>
              <w:spacing w:after="0" w:line="100" w:lineRule="exact"/>
              <w:rPr>
                <w:sz w:val="20"/>
                <w:szCs w:val="20"/>
                <w:color w:val="auto"/>
              </w:rPr>
            </w:pPr>
            <w:r>
              <w:rPr>
                <w:rFonts w:ascii="Arial" w:cs="Arial" w:eastAsia="Arial" w:hAnsi="Arial"/>
                <w:sz w:val="11"/>
                <w:szCs w:val="11"/>
                <w:color w:val="auto"/>
              </w:rPr>
              <w:t>42,328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-17145</wp:posOffset>
            </wp:positionV>
            <wp:extent cx="74422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-5080</wp:posOffset>
            </wp:positionV>
            <wp:extent cx="74422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-93345</wp:posOffset>
            </wp:positionV>
            <wp:extent cx="74422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44220" cy="571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-591185</wp:posOffset>
            </wp:positionV>
            <wp:extent cx="74422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422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40" w:space="280"/>
            <w:col w:w="5180"/>
          </w:cols>
          <w:pgMar w:left="300" w:top="118" w:right="299" w:bottom="1440" w:gutter="0" w:footer="0" w:header="0"/>
        </w:sectPr>
      </w:pPr>
    </w:p>
    <w:p>
      <w:pPr>
        <w:spacing w:after="0" w:line="49"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See accompanying notes to the condensed consolidated financial statements.</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type w:val="continuous"/>
        </w:sectPr>
      </w:pPr>
    </w:p>
    <w:bookmarkStart w:id="7" w:name="page8"/>
    <w:bookmarkEnd w:id="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PULSE BIOSCIENCES, INC.</w:t>
      </w:r>
    </w:p>
    <w:p>
      <w:pPr>
        <w:jc w:val="center"/>
        <w:spacing w:after="0" w:line="233" w:lineRule="auto"/>
        <w:rPr>
          <w:sz w:val="20"/>
          <w:szCs w:val="20"/>
          <w:color w:val="auto"/>
        </w:rPr>
      </w:pPr>
      <w:r>
        <w:rPr>
          <w:rFonts w:ascii="Arial" w:cs="Arial" w:eastAsia="Arial" w:hAnsi="Arial"/>
          <w:sz w:val="12"/>
          <w:szCs w:val="1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2"/>
          <w:szCs w:val="12"/>
          <w:b w:val="1"/>
          <w:bCs w:val="1"/>
          <w:color w:val="auto"/>
        </w:rPr>
        <w:t>(Unaudited)</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 Description of the Business</w:t>
      </w:r>
    </w:p>
    <w:p>
      <w:pPr>
        <w:spacing w:after="0" w:line="145" w:lineRule="exact"/>
        <w:rPr>
          <w:sz w:val="20"/>
          <w:szCs w:val="20"/>
          <w:color w:val="auto"/>
        </w:rPr>
      </w:pPr>
    </w:p>
    <w:p>
      <w:pPr>
        <w:jc w:val="both"/>
        <w:ind w:firstLine="301"/>
        <w:spacing w:after="0" w:line="208" w:lineRule="auto"/>
        <w:rPr>
          <w:sz w:val="20"/>
          <w:szCs w:val="20"/>
          <w:color w:val="auto"/>
        </w:rPr>
      </w:pPr>
      <w:r>
        <w:rPr>
          <w:rFonts w:ascii="Arial" w:cs="Arial" w:eastAsia="Arial" w:hAnsi="Arial"/>
          <w:sz w:val="12"/>
          <w:szCs w:val="12"/>
          <w:color w:val="auto"/>
        </w:rPr>
        <w:t>Pulse Biosciences, Inc. is a novel bioelectric medicine company committed to health innovation using an entirely new and proprietary energy modality. The Company’s CellFX</w:t>
      </w:r>
      <w:r>
        <w:rPr>
          <w:rFonts w:ascii="Arial" w:cs="Arial" w:eastAsia="Arial" w:hAnsi="Arial"/>
          <w:sz w:val="20"/>
          <w:szCs w:val="20"/>
          <w:color w:val="auto"/>
          <w:vertAlign w:val="superscript"/>
        </w:rPr>
        <w:t>®</w:t>
      </w:r>
      <w:r>
        <w:rPr>
          <w:rFonts w:ascii="Arial" w:cs="Arial" w:eastAsia="Arial" w:hAnsi="Arial"/>
          <w:sz w:val="12"/>
          <w:szCs w:val="12"/>
          <w:color w:val="auto"/>
        </w:rPr>
        <w:t xml:space="preserve"> System is the first commercial product to harness the distinctive advantages of the Company’s proprietary Nano-Pulse Stimulation™ (“NPS”) technology. The CellFX System delivers nano second duration pulses of electrical energy, each less than a millionth of a second long, to non-thermally clear targeted cells while sparing adjacent non-cellular tissue, to treat a variety of medical conditions for which an optimal solution remains unfulfilled.</w:t>
      </w:r>
    </w:p>
    <w:p>
      <w:pPr>
        <w:spacing w:after="0" w:line="10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In February 2021, the Company received 510(k) clearance from the U.S. Food and Drug Administration (the “FDA”) for the CellFX System with initial clearance for a general indication for dermatologic procedures requiring ablation and resurfacing of the skin. In January 2021, the Company received Conformité Européene (CE) marking approval for the CellFX System, which allows for marketing of the system in the European Union (EU), and in June 2021, the Company received Health Canada approval for the CellFX System, which allows for marketing of the system in Canada. The CE mark and and Health Canada approvals allow for use of the CellFX System in dermatological procedures requiring ablation and resurfacing of the skin for the reduction, removal, and/or clearance of cellular-based benign lesions, including SH, SK, and cutaneous non-genital warts. The Company has commenced a controlled launch in these three regions with key opinion leaders in dermatology (Note 9).</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1"/>
          <w:szCs w:val="11"/>
          <w:color w:val="auto"/>
        </w:rPr>
        <w:t>The Company was incorporated in Nevada on May 19, 2014. On June 18, 2018, the Company reincorporated from the State of Nevada to the State of Delaware. The Company is located in Hayward, California.</w:t>
      </w:r>
    </w:p>
    <w:p>
      <w:pPr>
        <w:spacing w:after="0" w:line="132"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Company’s activities are subject to significant risks and uncertainties, including the need for additional capital. The Company has not yet commenced any revenue-generating operations, does not have any cash flows from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 Summary of Significant Accounting Policies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Basis of Presentation</w:t>
      </w:r>
    </w:p>
    <w:p>
      <w:pPr>
        <w:spacing w:after="0" w:line="120"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The accompanying unaudited condensed consolidated financial statements have been prepared on a basis consistent with the Company’s December 31, 2020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December 31, 2020 was derived from the audited consolidated financial statements as of that date but does not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10-K for the year ended December 31, 2020. The results of operations for the three-month and six-month periods ended June 30, 2021 are not necessarily indicative of the results to be expected for the entire year or any future periods.</w:t>
      </w:r>
    </w:p>
    <w:p>
      <w:pPr>
        <w:spacing w:after="0" w:line="103"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Certain prior period balances have been reclassified to conform to the current period presentation in the consolidated financial statements and the accompanying notes. Sales and marketing expenses are reclassified out of general and administrative expenses, both of which are presented as separate line items. Amortization of intangible assets are reclassified to general and administrative expenses.</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Principles of Consolidation</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accompanying condensed consolidated financial statements include the financial statements of Pulse Biosciences, Inc. and its wholly-owned subsidiaries. Intercompany balances and transactions, if any, have been eliminated in consolidation.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8" w:name="page9"/>
    <w:bookmarkEnd w:id="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Use of Estimates</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preparation of financial statements in conformity with U.S. GAAP requires the Company to make estimates and assumptions that affect the amounts reported in the Financial Statements and accompanying notes to the condensed consolidated financial statements. Estimates include, but are not limited to, the valuation of cash equivalents and investments, the valuation and recognition of share-based compensation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Significant Accounting Policies</w:t>
      </w:r>
    </w:p>
    <w:p>
      <w:pPr>
        <w:spacing w:after="0" w:line="120"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Company’s significant accounting policies are described in the Company’s Annual Report on Form 10-K for the year ended December 31, 2020. The Company continually evaluates the accounting policies and estimates used in preparing the consolidated financial statements. During the six-month period ended June 30, 2021, the Company received 510(k) clearance, CE marking approval, and Health Canada clearance for their proprietary CellFX System and began to capitalize inventory in preparation for commercialization.</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i w:val="1"/>
          <w:iCs w:val="1"/>
          <w:color w:val="auto"/>
        </w:rPr>
        <w:t>Valuation of Inventory</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Inventory is stated at lower of cost or net realizable value. The Company establishes the inventory basis by determining the cost based on standard costs approximating the purchase costs on a first-in, first-out basis. Net realizable value is the estimated selling price in the ordinary course of the Company’s business, less reasonably predictable costs of completion, disposal, and transportation. The cost basis of the Company’s inventory will be reduced for any products that are considered excessive or obsolete based upon assumptions about future demand and market conditions. At June 30, 2021, there is no reduction to the balance of inventory for excessive and obsolete inventory.</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Loss per Share</w:t>
      </w:r>
    </w:p>
    <w:p>
      <w:pPr>
        <w:spacing w:after="0" w:line="120"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w:t>
      </w:r>
      <w:r>
        <w:rPr>
          <w:rFonts w:ascii="Arial" w:cs="Arial" w:eastAsia="Arial" w:hAnsi="Arial"/>
          <w:sz w:val="11"/>
          <w:szCs w:val="11"/>
          <w:i w:val="1"/>
          <w:iCs w:val="1"/>
          <w:color w:val="auto"/>
        </w:rPr>
        <w:t>i.e</w:t>
      </w:r>
      <w:r>
        <w:rPr>
          <w:rFonts w:ascii="Arial" w:cs="Arial" w:eastAsia="Arial" w:hAnsi="Arial"/>
          <w:sz w:val="11"/>
          <w:szCs w:val="11"/>
          <w:color w:val="auto"/>
        </w:rPr>
        <w:t>., those that increase income per share or decrease loss per share) are excluded from the calculation of diluted net loss per share.</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Basic and diluted net loss per common share is the same for all periods presented because all warrants, stock options and restricted stock units outstanding are anti-dilutive.</w:t>
      </w:r>
    </w:p>
    <w:p>
      <w:pPr>
        <w:spacing w:after="0" w:line="12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 following outstanding stock options, warrants and restricted stock units were excluded from the computation of diluted net loss per share for the periods presented because including them would have had an anti-dilutive effect:</w:t>
      </w:r>
    </w:p>
    <w:p>
      <w:pPr>
        <w:spacing w:after="0" w:line="122" w:lineRule="exact"/>
        <w:rPr>
          <w:sz w:val="20"/>
          <w:szCs w:val="20"/>
          <w:color w:val="auto"/>
        </w:rPr>
      </w:pPr>
    </w:p>
    <w:p>
      <w:pPr>
        <w:jc w:val="center"/>
        <w:ind w:left="8180"/>
        <w:spacing w:after="0"/>
        <w:rPr>
          <w:sz w:val="20"/>
          <w:szCs w:val="20"/>
          <w:color w:val="auto"/>
        </w:rPr>
      </w:pPr>
      <w:r>
        <w:rPr>
          <w:rFonts w:ascii="Arial" w:cs="Arial" w:eastAsia="Arial" w:hAnsi="Arial"/>
          <w:sz w:val="10"/>
          <w:szCs w:val="10"/>
          <w:b w:val="1"/>
          <w:bCs w:val="1"/>
          <w:color w:val="auto"/>
        </w:rPr>
        <w:t>Six-Month Periods Ended</w:t>
      </w:r>
    </w:p>
    <w:p>
      <w:pPr>
        <w:jc w:val="center"/>
        <w:ind w:left="8180"/>
        <w:spacing w:after="0" w:line="221" w:lineRule="auto"/>
        <w:rPr>
          <w:sz w:val="20"/>
          <w:szCs w:val="20"/>
          <w:color w:val="auto"/>
        </w:rPr>
      </w:pPr>
      <w:r>
        <w:rPr>
          <w:rFonts w:ascii="Arial" w:cs="Arial" w:eastAsia="Arial" w:hAnsi="Arial"/>
          <w:sz w:val="10"/>
          <w:szCs w:val="10"/>
          <w:b w:val="1"/>
          <w:bCs w:val="1"/>
          <w:color w:val="auto"/>
        </w:rPr>
        <w:t>June 30,</w:t>
      </w:r>
    </w:p>
    <w:tbl>
      <w:tblPr>
        <w:tblLayout w:type="fixed"/>
        <w:tblInd w:w="0" w:type="dxa"/>
        <w:tblCellMar>
          <w:top w:w="0" w:type="dxa"/>
          <w:left w:w="0" w:type="dxa"/>
          <w:bottom w:w="0" w:type="dxa"/>
          <w:right w:w="0" w:type="dxa"/>
        </w:tblCellMar>
      </w:tblPr>
      <w:tr>
        <w:trPr>
          <w:trHeight w:val="91"/>
        </w:trPr>
        <w:tc>
          <w:tcPr>
            <w:tcW w:w="8180" w:type="dxa"/>
            <w:vAlign w:val="bottom"/>
            <w:tcBorders>
              <w:bottom w:val="single" w:sz="8" w:color="CCEEFF"/>
            </w:tcBorders>
          </w:tcPr>
          <w:p>
            <w:pPr>
              <w:spacing w:after="0"/>
              <w:rPr>
                <w:sz w:val="7"/>
                <w:szCs w:val="7"/>
                <w:color w:val="auto"/>
              </w:rPr>
            </w:pPr>
          </w:p>
        </w:tc>
        <w:tc>
          <w:tcPr>
            <w:tcW w:w="880" w:type="dxa"/>
            <w:vAlign w:val="bottom"/>
            <w:tcBorders>
              <w:top w:val="single" w:sz="8" w:color="auto"/>
              <w:bottom w:val="single" w:sz="8" w:color="auto"/>
            </w:tcBorders>
          </w:tcPr>
          <w:p>
            <w:pPr>
              <w:jc w:val="right"/>
              <w:ind w:right="11"/>
              <w:spacing w:after="0" w:line="91" w:lineRule="exact"/>
              <w:rPr>
                <w:sz w:val="20"/>
                <w:szCs w:val="20"/>
                <w:color w:val="auto"/>
              </w:rPr>
            </w:pPr>
            <w:r>
              <w:rPr>
                <w:rFonts w:ascii="Arial" w:cs="Arial" w:eastAsia="Arial" w:hAnsi="Arial"/>
                <w:sz w:val="10"/>
                <w:szCs w:val="10"/>
                <w:b w:val="1"/>
                <w:bCs w:val="1"/>
                <w:color w:val="auto"/>
              </w:rPr>
              <w:t>2021</w:t>
            </w:r>
          </w:p>
        </w:tc>
        <w:tc>
          <w:tcPr>
            <w:tcW w:w="580" w:type="dxa"/>
            <w:vAlign w:val="bottom"/>
            <w:tcBorders>
              <w:top w:val="single" w:sz="8" w:color="auto"/>
              <w:bottom w:val="single" w:sz="8" w:color="auto"/>
            </w:tcBorders>
          </w:tcPr>
          <w:p>
            <w:pPr>
              <w:spacing w:after="0"/>
              <w:rPr>
                <w:sz w:val="7"/>
                <w:szCs w:val="7"/>
                <w:color w:val="auto"/>
              </w:rPr>
            </w:pPr>
          </w:p>
        </w:tc>
        <w:tc>
          <w:tcPr>
            <w:tcW w:w="180" w:type="dxa"/>
            <w:vAlign w:val="bottom"/>
            <w:tcBorders>
              <w:top w:val="single" w:sz="8" w:color="auto"/>
              <w:bottom w:val="single" w:sz="8" w:color="CCEEFF"/>
            </w:tcBorders>
          </w:tcPr>
          <w:p>
            <w:pPr>
              <w:spacing w:after="0"/>
              <w:rPr>
                <w:sz w:val="7"/>
                <w:szCs w:val="7"/>
                <w:color w:val="auto"/>
              </w:rPr>
            </w:pPr>
          </w:p>
        </w:tc>
        <w:tc>
          <w:tcPr>
            <w:tcW w:w="1480" w:type="dxa"/>
            <w:vAlign w:val="bottom"/>
            <w:tcBorders>
              <w:top w:val="single" w:sz="8" w:color="auto"/>
              <w:bottom w:val="single" w:sz="8" w:color="auto"/>
            </w:tcBorders>
          </w:tcPr>
          <w:p>
            <w:pPr>
              <w:jc w:val="right"/>
              <w:ind w:right="581"/>
              <w:spacing w:after="0" w:line="91" w:lineRule="exact"/>
              <w:rPr>
                <w:sz w:val="20"/>
                <w:szCs w:val="20"/>
                <w:color w:val="auto"/>
              </w:rPr>
            </w:pPr>
            <w:r>
              <w:rPr>
                <w:rFonts w:ascii="Arial" w:cs="Arial" w:eastAsia="Arial" w:hAnsi="Arial"/>
                <w:sz w:val="10"/>
                <w:szCs w:val="10"/>
                <w:b w:val="1"/>
                <w:bCs w:val="1"/>
                <w:color w:val="auto"/>
              </w:rPr>
              <w:t>2020</w:t>
            </w:r>
          </w:p>
        </w:tc>
      </w:tr>
      <w:tr>
        <w:trPr>
          <w:trHeight w:val="118"/>
        </w:trPr>
        <w:tc>
          <w:tcPr>
            <w:tcW w:w="81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Common stock warrants</w:t>
            </w:r>
          </w:p>
        </w:tc>
        <w:tc>
          <w:tcPr>
            <w:tcW w:w="8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600</w:t>
            </w:r>
          </w:p>
        </w:tc>
        <w:tc>
          <w:tcPr>
            <w:tcW w:w="180" w:type="dxa"/>
            <w:vAlign w:val="bottom"/>
            <w:shd w:val="clear" w:color="auto" w:fill="CCEEFF"/>
          </w:tcPr>
          <w:p>
            <w:pPr>
              <w:spacing w:after="0"/>
              <w:rPr>
                <w:sz w:val="10"/>
                <w:szCs w:val="10"/>
                <w:color w:val="auto"/>
              </w:rPr>
            </w:pPr>
          </w:p>
        </w:tc>
        <w:tc>
          <w:tcPr>
            <w:tcW w:w="148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809,418</w:t>
            </w:r>
          </w:p>
        </w:tc>
      </w:tr>
      <w:tr>
        <w:trPr>
          <w:trHeight w:val="129"/>
        </w:trPr>
        <w:tc>
          <w:tcPr>
            <w:tcW w:w="9060" w:type="dxa"/>
            <w:vAlign w:val="bottom"/>
            <w:gridSpan w:val="2"/>
          </w:tcPr>
          <w:p>
            <w:pPr>
              <w:spacing w:after="0" w:line="129" w:lineRule="exact"/>
              <w:rPr>
                <w:sz w:val="20"/>
                <w:szCs w:val="20"/>
                <w:color w:val="auto"/>
              </w:rPr>
            </w:pPr>
            <w:r>
              <w:rPr>
                <w:rFonts w:ascii="Arial" w:cs="Arial" w:eastAsia="Arial" w:hAnsi="Arial"/>
                <w:sz w:val="12"/>
                <w:szCs w:val="12"/>
                <w:color w:val="auto"/>
              </w:rPr>
              <w:t>Common stock options</w:t>
            </w:r>
          </w:p>
        </w:tc>
        <w:tc>
          <w:tcPr>
            <w:tcW w:w="580" w:type="dxa"/>
            <w:vAlign w:val="bottom"/>
          </w:tcPr>
          <w:p>
            <w:pPr>
              <w:jc w:val="right"/>
              <w:spacing w:after="0" w:line="129" w:lineRule="exact"/>
              <w:rPr>
                <w:sz w:val="20"/>
                <w:szCs w:val="20"/>
                <w:color w:val="auto"/>
              </w:rPr>
            </w:pPr>
            <w:r>
              <w:rPr>
                <w:rFonts w:ascii="Arial" w:cs="Arial" w:eastAsia="Arial" w:hAnsi="Arial"/>
                <w:sz w:val="12"/>
                <w:szCs w:val="12"/>
                <w:color w:val="auto"/>
                <w:w w:val="97"/>
              </w:rPr>
              <w:t>5,827,524</w:t>
            </w:r>
          </w:p>
        </w:tc>
        <w:tc>
          <w:tcPr>
            <w:tcW w:w="180" w:type="dxa"/>
            <w:vAlign w:val="bottom"/>
          </w:tcPr>
          <w:p>
            <w:pPr>
              <w:spacing w:after="0"/>
              <w:rPr>
                <w:sz w:val="11"/>
                <w:szCs w:val="11"/>
                <w:color w:val="auto"/>
              </w:rPr>
            </w:pPr>
          </w:p>
        </w:tc>
        <w:tc>
          <w:tcPr>
            <w:tcW w:w="1480" w:type="dxa"/>
            <w:vAlign w:val="bottom"/>
          </w:tcPr>
          <w:p>
            <w:pPr>
              <w:jc w:val="right"/>
              <w:spacing w:after="0" w:line="129" w:lineRule="exact"/>
              <w:rPr>
                <w:sz w:val="20"/>
                <w:szCs w:val="20"/>
                <w:color w:val="auto"/>
              </w:rPr>
            </w:pPr>
            <w:r>
              <w:rPr>
                <w:rFonts w:ascii="Arial" w:cs="Arial" w:eastAsia="Arial" w:hAnsi="Arial"/>
                <w:sz w:val="12"/>
                <w:szCs w:val="12"/>
                <w:color w:val="auto"/>
              </w:rPr>
              <w:t>5,216,500</w:t>
            </w:r>
          </w:p>
        </w:tc>
      </w:tr>
      <w:tr>
        <w:trPr>
          <w:trHeight w:val="129"/>
        </w:trPr>
        <w:tc>
          <w:tcPr>
            <w:tcW w:w="90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Restricted stock units</w:t>
            </w: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89,273</w:t>
            </w:r>
          </w:p>
        </w:tc>
        <w:tc>
          <w:tcPr>
            <w:tcW w:w="180" w:type="dxa"/>
            <w:vAlign w:val="bottom"/>
            <w:shd w:val="clear" w:color="auto" w:fill="CCEEFF"/>
          </w:tcPr>
          <w:p>
            <w:pPr>
              <w:spacing w:after="0"/>
              <w:rPr>
                <w:sz w:val="11"/>
                <w:szCs w:val="11"/>
                <w:color w:val="auto"/>
              </w:rPr>
            </w:pPr>
          </w:p>
        </w:tc>
        <w:tc>
          <w:tcPr>
            <w:tcW w:w="14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34,402</w:t>
            </w:r>
          </w:p>
        </w:tc>
      </w:tr>
      <w:tr>
        <w:trPr>
          <w:trHeight w:val="126"/>
        </w:trPr>
        <w:tc>
          <w:tcPr>
            <w:tcW w:w="8180" w:type="dxa"/>
            <w:vAlign w:val="bottom"/>
          </w:tcPr>
          <w:p>
            <w:pPr>
              <w:ind w:left="140"/>
              <w:spacing w:after="0" w:line="118" w:lineRule="exact"/>
              <w:rPr>
                <w:sz w:val="20"/>
                <w:szCs w:val="20"/>
                <w:color w:val="auto"/>
              </w:rPr>
            </w:pPr>
            <w:r>
              <w:rPr>
                <w:rFonts w:ascii="Arial" w:cs="Arial" w:eastAsia="Arial" w:hAnsi="Arial"/>
                <w:sz w:val="12"/>
                <w:szCs w:val="12"/>
                <w:color w:val="auto"/>
              </w:rPr>
              <w:t>Total</w:t>
            </w:r>
          </w:p>
        </w:tc>
        <w:tc>
          <w:tcPr>
            <w:tcW w:w="88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w w:val="97"/>
              </w:rPr>
              <w:t>5,917,397</w:t>
            </w:r>
          </w:p>
        </w:tc>
        <w:tc>
          <w:tcPr>
            <w:tcW w:w="180" w:type="dxa"/>
            <w:vAlign w:val="bottom"/>
          </w:tcPr>
          <w:p>
            <w:pPr>
              <w:spacing w:after="0"/>
              <w:rPr>
                <w:sz w:val="10"/>
                <w:szCs w:val="10"/>
                <w:color w:val="auto"/>
              </w:rPr>
            </w:pPr>
          </w:p>
        </w:tc>
        <w:tc>
          <w:tcPr>
            <w:tcW w:w="148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6,060,320</w:t>
            </w:r>
          </w:p>
        </w:tc>
      </w:tr>
    </w:tbl>
    <w:p>
      <w:pPr>
        <w:spacing w:after="0" w:line="249" w:lineRule="exact"/>
        <w:rPr>
          <w:sz w:val="20"/>
          <w:szCs w:val="20"/>
          <w:color w:val="auto"/>
        </w:rPr>
      </w:pPr>
    </w:p>
    <w:p>
      <w:pPr>
        <w:ind w:left="20"/>
        <w:spacing w:after="0"/>
        <w:rPr>
          <w:sz w:val="20"/>
          <w:szCs w:val="20"/>
          <w:color w:val="auto"/>
        </w:rPr>
      </w:pPr>
      <w:r>
        <w:rPr>
          <w:rFonts w:ascii="Arial" w:cs="Arial" w:eastAsia="Arial" w:hAnsi="Arial"/>
          <w:sz w:val="12"/>
          <w:szCs w:val="12"/>
          <w:b w:val="1"/>
          <w:bCs w:val="1"/>
          <w:i w:val="1"/>
          <w:iCs w:val="1"/>
          <w:color w:val="auto"/>
        </w:rPr>
        <w:t>Recent Accounting Pronouncement</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 xml:space="preserve">In December 2019, the Financial Accounting Standards Board (FASB) issued Accounting Standards Update (ASU) 2019-12, </w:t>
      </w:r>
      <w:r>
        <w:rPr>
          <w:rFonts w:ascii="Arial" w:cs="Arial" w:eastAsia="Arial" w:hAnsi="Arial"/>
          <w:sz w:val="12"/>
          <w:szCs w:val="12"/>
          <w:i w:val="1"/>
          <w:iCs w:val="1"/>
          <w:color w:val="auto"/>
        </w:rPr>
        <w:t>Income Taxes (Topic 740): Simplifying the Accounting for Income Taxes</w:t>
      </w:r>
      <w:r>
        <w:rPr>
          <w:rFonts w:ascii="Arial" w:cs="Arial" w:eastAsia="Arial" w:hAnsi="Arial"/>
          <w:sz w:val="12"/>
          <w:szCs w:val="12"/>
          <w:color w:val="auto"/>
        </w:rPr>
        <w:t>, which eliminates certain exceptions related to the general principles in Accounting Standards Codification (ASC) 740 and makes amendments to other areas with the intention of simplifying various aspects related to accounting for income taxes. The new standard is effective for fiscal years beginning after December 15, 2020, including interim periods therein; with early adoption permitted. The Company adopted the Topic 740 effective January 1, 2021. The adoption did not have a material impact on the Company’s financial statements.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9" w:name="page10"/>
    <w:bookmarkEnd w:id="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3. Fair Value of Financial Instruments</w:t>
      </w:r>
    </w:p>
    <w:p>
      <w:pPr>
        <w:spacing w:after="0" w:line="115" w:lineRule="exact"/>
        <w:rPr>
          <w:sz w:val="20"/>
          <w:szCs w:val="20"/>
          <w:color w:val="auto"/>
        </w:rPr>
      </w:pPr>
    </w:p>
    <w:p>
      <w:pPr>
        <w:ind w:right="20" w:firstLine="274"/>
        <w:spacing w:after="0" w:line="255" w:lineRule="auto"/>
        <w:rPr>
          <w:sz w:val="20"/>
          <w:szCs w:val="20"/>
          <w:color w:val="auto"/>
        </w:rPr>
      </w:pPr>
      <w:r>
        <w:rPr>
          <w:rFonts w:ascii="Arial" w:cs="Arial" w:eastAsia="Arial" w:hAnsi="Arial"/>
          <w:sz w:val="12"/>
          <w:szCs w:val="12"/>
          <w:color w:val="auto"/>
        </w:rPr>
        <w:t>The authoritative guidance with respect to fair value established a fair value hierarchy that prioritizes the inputs to valuation techniques used to measure fair value into three levels, and requires that assets and liabilities carried at fair value be classified and disclosed in one of three categories, as presented below.</w:t>
      </w:r>
    </w:p>
    <w:p>
      <w:pPr>
        <w:spacing w:after="0" w:line="94" w:lineRule="exact"/>
        <w:rPr>
          <w:sz w:val="20"/>
          <w:szCs w:val="20"/>
          <w:color w:val="auto"/>
        </w:rPr>
      </w:pPr>
    </w:p>
    <w:p>
      <w:pPr>
        <w:ind w:firstLine="301"/>
        <w:spacing w:after="0" w:line="255" w:lineRule="auto"/>
        <w:rPr>
          <w:sz w:val="20"/>
          <w:szCs w:val="20"/>
          <w:color w:val="auto"/>
        </w:rPr>
      </w:pPr>
      <w:r>
        <w:rPr>
          <w:rFonts w:ascii="Arial" w:cs="Arial" w:eastAsia="Arial" w:hAnsi="Arial"/>
          <w:sz w:val="12"/>
          <w:szCs w:val="12"/>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85" w:lineRule="exact"/>
        <w:rPr>
          <w:sz w:val="20"/>
          <w:szCs w:val="20"/>
          <w:color w:val="auto"/>
        </w:rPr>
      </w:pPr>
    </w:p>
    <w:p>
      <w:pPr>
        <w:ind w:right="20" w:firstLine="301"/>
        <w:spacing w:after="0" w:line="255" w:lineRule="auto"/>
        <w:rPr>
          <w:sz w:val="20"/>
          <w:szCs w:val="20"/>
          <w:color w:val="auto"/>
        </w:rPr>
      </w:pPr>
      <w:r>
        <w:rPr>
          <w:rFonts w:ascii="Arial" w:cs="Arial" w:eastAsia="Arial" w:hAnsi="Arial"/>
          <w:sz w:val="12"/>
          <w:szCs w:val="12"/>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U.S. Treasury Securities, and asset-backed securities.</w:t>
      </w:r>
    </w:p>
    <w:p>
      <w:pPr>
        <w:spacing w:after="0" w:line="85" w:lineRule="exact"/>
        <w:rPr>
          <w:sz w:val="20"/>
          <w:szCs w:val="20"/>
          <w:color w:val="auto"/>
        </w:rPr>
      </w:pPr>
    </w:p>
    <w:p>
      <w:pPr>
        <w:ind w:right="20" w:firstLine="301"/>
        <w:spacing w:after="0" w:line="255" w:lineRule="auto"/>
        <w:rPr>
          <w:sz w:val="20"/>
          <w:szCs w:val="20"/>
          <w:color w:val="auto"/>
        </w:rPr>
      </w:pPr>
      <w:r>
        <w:rPr>
          <w:rFonts w:ascii="Arial" w:cs="Arial" w:eastAsia="Arial" w:hAnsi="Arial"/>
          <w:sz w:val="12"/>
          <w:szCs w:val="12"/>
          <w:color w:val="auto"/>
        </w:rPr>
        <w:t>Level 3 - Unobservable inputs for which there is little or no market data for the asset or liability which requires the reporting entity to develop its own assumptions. The Company did not classify any of its investments within Level 3 of the fair value hierarchy.</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following table sets forth the fair value of the Company’s financial assets measured on a recurring basis as of June 30, 2021 and December 31, 2020, respectively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20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Assets</w:t>
            </w: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89"/>
              </w:rPr>
              <w:t>Classification</w:t>
            </w: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ind w:left="520"/>
              <w:spacing w:after="0"/>
              <w:rPr>
                <w:sz w:val="20"/>
                <w:szCs w:val="20"/>
                <w:color w:val="auto"/>
              </w:rPr>
            </w:pPr>
            <w:r>
              <w:rPr>
                <w:rFonts w:ascii="Arial" w:cs="Arial" w:eastAsia="Arial" w:hAnsi="Arial"/>
                <w:sz w:val="10"/>
                <w:szCs w:val="10"/>
                <w:b w:val="1"/>
                <w:bCs w:val="1"/>
                <w:color w:val="auto"/>
                <w:w w:val="92"/>
              </w:rPr>
              <w:t>June 30, 2021</w:t>
            </w: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0"/>
                <w:szCs w:val="10"/>
                <w:b w:val="1"/>
                <w:bCs w:val="1"/>
                <w:color w:val="auto"/>
              </w:rPr>
              <w:t>December 31, 2020</w:t>
            </w: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80" w:type="dxa"/>
            <w:vAlign w:val="bottom"/>
            <w:gridSpan w:val="2"/>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740" w:type="dxa"/>
            <w:vAlign w:val="bottom"/>
            <w:gridSpan w:val="2"/>
          </w:tcPr>
          <w:p>
            <w:pPr>
              <w:ind w:left="180"/>
              <w:spacing w:after="0" w:line="91" w:lineRule="exact"/>
              <w:rPr>
                <w:sz w:val="20"/>
                <w:szCs w:val="20"/>
                <w:color w:val="auto"/>
              </w:rPr>
            </w:pPr>
            <w:r>
              <w:rPr>
                <w:rFonts w:ascii="Arial" w:cs="Arial" w:eastAsia="Arial" w:hAnsi="Arial"/>
                <w:sz w:val="10"/>
                <w:szCs w:val="10"/>
                <w:b w:val="1"/>
                <w:bCs w:val="1"/>
                <w:color w:val="auto"/>
              </w:rPr>
              <w:t>Level 1</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gridSpan w:val="2"/>
          </w:tcPr>
          <w:p>
            <w:pPr>
              <w:ind w:left="240"/>
              <w:spacing w:after="0" w:line="91" w:lineRule="exact"/>
              <w:rPr>
                <w:sz w:val="20"/>
                <w:szCs w:val="20"/>
                <w:color w:val="auto"/>
              </w:rPr>
            </w:pPr>
            <w:r>
              <w:rPr>
                <w:rFonts w:ascii="Arial" w:cs="Arial" w:eastAsia="Arial" w:hAnsi="Arial"/>
                <w:sz w:val="10"/>
                <w:szCs w:val="10"/>
                <w:b w:val="1"/>
                <w:bCs w:val="1"/>
                <w:color w:val="auto"/>
              </w:rPr>
              <w:t>Level 2</w:t>
            </w:r>
          </w:p>
        </w:tc>
        <w:tc>
          <w:tcPr>
            <w:tcW w:w="280" w:type="dxa"/>
            <w:vAlign w:val="bottom"/>
          </w:tcPr>
          <w:p>
            <w:pPr>
              <w:spacing w:after="0"/>
              <w:rPr>
                <w:sz w:val="7"/>
                <w:szCs w:val="7"/>
                <w:color w:val="auto"/>
              </w:rPr>
            </w:pPr>
          </w:p>
        </w:tc>
        <w:tc>
          <w:tcPr>
            <w:tcW w:w="580" w:type="dxa"/>
            <w:vAlign w:val="bottom"/>
          </w:tcPr>
          <w:p>
            <w:pPr>
              <w:ind w:left="60"/>
              <w:spacing w:after="0" w:line="91" w:lineRule="exact"/>
              <w:rPr>
                <w:sz w:val="20"/>
                <w:szCs w:val="20"/>
                <w:color w:val="auto"/>
              </w:rPr>
            </w:pPr>
            <w:r>
              <w:rPr>
                <w:rFonts w:ascii="Arial" w:cs="Arial" w:eastAsia="Arial" w:hAnsi="Arial"/>
                <w:sz w:val="10"/>
                <w:szCs w:val="10"/>
                <w:b w:val="1"/>
                <w:bCs w:val="1"/>
                <w:color w:val="auto"/>
              </w:rPr>
              <w:t>Level 3</w:t>
            </w: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jc w:val="right"/>
              <w:ind w:right="231"/>
              <w:spacing w:after="0" w:line="91" w:lineRule="exact"/>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gridSpan w:val="2"/>
          </w:tcPr>
          <w:p>
            <w:pPr>
              <w:ind w:left="200"/>
              <w:spacing w:after="0" w:line="91" w:lineRule="exact"/>
              <w:rPr>
                <w:sz w:val="20"/>
                <w:szCs w:val="20"/>
                <w:color w:val="auto"/>
              </w:rPr>
            </w:pPr>
            <w:r>
              <w:rPr>
                <w:rFonts w:ascii="Arial" w:cs="Arial" w:eastAsia="Arial" w:hAnsi="Arial"/>
                <w:sz w:val="10"/>
                <w:szCs w:val="10"/>
                <w:b w:val="1"/>
                <w:bCs w:val="1"/>
                <w:color w:val="auto"/>
              </w:rPr>
              <w:t>Level 1</w:t>
            </w:r>
          </w:p>
        </w:tc>
        <w:tc>
          <w:tcPr>
            <w:tcW w:w="220" w:type="dxa"/>
            <w:vAlign w:val="bottom"/>
          </w:tcPr>
          <w:p>
            <w:pPr>
              <w:spacing w:after="0"/>
              <w:rPr>
                <w:sz w:val="7"/>
                <w:szCs w:val="7"/>
                <w:color w:val="auto"/>
              </w:rPr>
            </w:pPr>
          </w:p>
        </w:tc>
        <w:tc>
          <w:tcPr>
            <w:tcW w:w="720" w:type="dxa"/>
            <w:vAlign w:val="bottom"/>
          </w:tcPr>
          <w:p>
            <w:pPr>
              <w:jc w:val="right"/>
              <w:ind w:right="191"/>
              <w:spacing w:after="0" w:line="91" w:lineRule="exact"/>
              <w:rPr>
                <w:sz w:val="20"/>
                <w:szCs w:val="20"/>
                <w:color w:val="auto"/>
              </w:rPr>
            </w:pPr>
            <w:r>
              <w:rPr>
                <w:rFonts w:ascii="Arial" w:cs="Arial" w:eastAsia="Arial" w:hAnsi="Arial"/>
                <w:sz w:val="10"/>
                <w:szCs w:val="10"/>
                <w:b w:val="1"/>
                <w:bCs w:val="1"/>
                <w:color w:val="auto"/>
              </w:rPr>
              <w:t>Level 2</w:t>
            </w:r>
          </w:p>
        </w:tc>
        <w:tc>
          <w:tcPr>
            <w:tcW w:w="60" w:type="dxa"/>
            <w:vAlign w:val="bottom"/>
          </w:tcPr>
          <w:p>
            <w:pPr>
              <w:spacing w:after="0"/>
              <w:rPr>
                <w:sz w:val="7"/>
                <w:szCs w:val="7"/>
                <w:color w:val="auto"/>
              </w:rPr>
            </w:pPr>
          </w:p>
        </w:tc>
        <w:tc>
          <w:tcPr>
            <w:tcW w:w="780" w:type="dxa"/>
            <w:vAlign w:val="bottom"/>
          </w:tcPr>
          <w:p>
            <w:pPr>
              <w:jc w:val="right"/>
              <w:ind w:right="11"/>
              <w:spacing w:after="0" w:line="91" w:lineRule="exact"/>
              <w:rPr>
                <w:sz w:val="20"/>
                <w:szCs w:val="20"/>
                <w:color w:val="auto"/>
              </w:rPr>
            </w:pPr>
            <w:r>
              <w:rPr>
                <w:rFonts w:ascii="Arial" w:cs="Arial" w:eastAsia="Arial" w:hAnsi="Arial"/>
                <w:sz w:val="10"/>
                <w:szCs w:val="10"/>
                <w:b w:val="1"/>
                <w:bCs w:val="1"/>
                <w:color w:val="auto"/>
              </w:rPr>
              <w:t>Level 3</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jc w:val="right"/>
              <w:ind w:right="251"/>
              <w:spacing w:after="0" w:line="91"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91"/>
        </w:trPr>
        <w:tc>
          <w:tcPr>
            <w:tcW w:w="2020" w:type="dxa"/>
            <w:vAlign w:val="bottom"/>
            <w:tcBorders>
              <w:top w:val="single" w:sz="8" w:color="auto"/>
            </w:tcBorders>
            <w:shd w:val="clear" w:color="auto" w:fill="CCEEFF"/>
          </w:tcPr>
          <w:p>
            <w:pPr>
              <w:spacing w:after="0" w:line="91" w:lineRule="exact"/>
              <w:rPr>
                <w:sz w:val="20"/>
                <w:szCs w:val="20"/>
                <w:color w:val="auto"/>
              </w:rPr>
            </w:pPr>
            <w:r>
              <w:rPr>
                <w:rFonts w:ascii="Arial" w:cs="Arial" w:eastAsia="Arial" w:hAnsi="Arial"/>
                <w:sz w:val="10"/>
                <w:szCs w:val="10"/>
                <w:color w:val="auto"/>
              </w:rPr>
              <w:t>Money market funds</w:t>
            </w:r>
          </w:p>
        </w:tc>
        <w:tc>
          <w:tcPr>
            <w:tcW w:w="60" w:type="dxa"/>
            <w:vAlign w:val="bottom"/>
            <w:tcBorders>
              <w:top w:val="single" w:sz="8" w:color="CCEEFF"/>
            </w:tcBorders>
            <w:shd w:val="clear" w:color="auto" w:fill="CCEEFF"/>
          </w:tcPr>
          <w:p>
            <w:pPr>
              <w:spacing w:after="0"/>
              <w:rPr>
                <w:sz w:val="7"/>
                <w:szCs w:val="7"/>
                <w:color w:val="auto"/>
              </w:rPr>
            </w:pPr>
          </w:p>
        </w:tc>
        <w:tc>
          <w:tcPr>
            <w:tcW w:w="1180" w:type="dxa"/>
            <w:vAlign w:val="bottom"/>
            <w:tcBorders>
              <w:top w:val="single" w:sz="8" w:color="auto"/>
            </w:tcBorders>
            <w:shd w:val="clear" w:color="auto" w:fill="CCEEFF"/>
          </w:tcPr>
          <w:p>
            <w:pPr>
              <w:jc w:val="center"/>
              <w:spacing w:after="0" w:line="91" w:lineRule="exact"/>
              <w:rPr>
                <w:sz w:val="20"/>
                <w:szCs w:val="20"/>
                <w:color w:val="auto"/>
              </w:rPr>
            </w:pPr>
            <w:r>
              <w:rPr>
                <w:rFonts w:ascii="Arial" w:cs="Arial" w:eastAsia="Arial" w:hAnsi="Arial"/>
                <w:sz w:val="10"/>
                <w:szCs w:val="10"/>
                <w:color w:val="auto"/>
                <w:w w:val="86"/>
              </w:rPr>
              <w:t>Cash and cash equivalents</w:t>
            </w:r>
          </w:p>
        </w:tc>
        <w:tc>
          <w:tcPr>
            <w:tcW w:w="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ind w:right="131"/>
              <w:spacing w:after="0" w:line="91"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44,279</w:t>
            </w:r>
          </w:p>
        </w:tc>
        <w:tc>
          <w:tcPr>
            <w:tcW w:w="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gridSpan w:val="2"/>
            <w:shd w:val="clear" w:color="auto" w:fill="CCEEFF"/>
          </w:tcPr>
          <w:p>
            <w:pPr>
              <w:jc w:val="right"/>
              <w:ind w:right="55"/>
              <w:spacing w:after="0" w:line="91" w:lineRule="exact"/>
              <w:rPr>
                <w:sz w:val="20"/>
                <w:szCs w:val="20"/>
                <w:color w:val="auto"/>
              </w:rPr>
            </w:pPr>
            <w:r>
              <w:rPr>
                <w:rFonts w:ascii="Arial" w:cs="Arial" w:eastAsia="Arial" w:hAnsi="Arial"/>
                <w:sz w:val="10"/>
                <w:szCs w:val="10"/>
                <w:color w:val="auto"/>
              </w:rPr>
              <w:t>$</w:t>
            </w:r>
          </w:p>
        </w:tc>
        <w:tc>
          <w:tcPr>
            <w:tcW w:w="800" w:type="dxa"/>
            <w:vAlign w:val="bottom"/>
            <w:tcBorders>
              <w:top w:val="single" w:sz="8" w:color="auto"/>
            </w:tcBorders>
            <w:shd w:val="clear" w:color="auto" w:fill="CCEEFF"/>
          </w:tcPr>
          <w:p>
            <w:pPr>
              <w:ind w:left="70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jc w:val="right"/>
              <w:ind w:right="215"/>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tcBorders>
            <w:shd w:val="clear" w:color="auto" w:fill="CCEEFF"/>
          </w:tcPr>
          <w:p>
            <w:pPr>
              <w:ind w:left="48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jc w:val="right"/>
              <w:ind w:right="151"/>
              <w:spacing w:after="0" w:line="91"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44,279</w:t>
            </w:r>
          </w:p>
        </w:tc>
        <w:tc>
          <w:tcPr>
            <w:tcW w:w="6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7,176</w:t>
            </w:r>
          </w:p>
        </w:tc>
        <w:tc>
          <w:tcPr>
            <w:tcW w:w="8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jc w:val="right"/>
              <w:ind w:right="15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auto"/>
            </w:tcBorders>
            <w:shd w:val="clear" w:color="auto" w:fill="CCEEFF"/>
          </w:tcPr>
          <w:p>
            <w:pPr>
              <w:jc w:val="right"/>
              <w:ind w:right="671"/>
              <w:spacing w:after="0" w:line="91" w:lineRule="exact"/>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tcBorders>
            <w:shd w:val="clear" w:color="auto" w:fill="CCEEFF"/>
          </w:tcPr>
          <w:p>
            <w:pPr>
              <w:ind w:left="4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tcBorders>
            <w:shd w:val="clear" w:color="auto" w:fill="CCEEFF"/>
          </w:tcPr>
          <w:p>
            <w:pPr>
              <w:jc w:val="right"/>
              <w:spacing w:after="0" w:line="91" w:lineRule="exact"/>
              <w:rPr>
                <w:sz w:val="20"/>
                <w:szCs w:val="20"/>
                <w:color w:val="auto"/>
              </w:rPr>
            </w:pPr>
            <w:r>
              <w:rPr>
                <w:rFonts w:ascii="Arial" w:cs="Arial" w:eastAsia="Arial" w:hAnsi="Arial"/>
                <w:sz w:val="10"/>
                <w:szCs w:val="10"/>
                <w:color w:val="auto"/>
              </w:rPr>
              <w:t>7,176</w:t>
            </w:r>
          </w:p>
        </w:tc>
        <w:tc>
          <w:tcPr>
            <w:tcW w:w="0" w:type="dxa"/>
            <w:vAlign w:val="bottom"/>
          </w:tcPr>
          <w:p>
            <w:pPr>
              <w:spacing w:after="0"/>
              <w:rPr>
                <w:sz w:val="1"/>
                <w:szCs w:val="1"/>
                <w:color w:val="auto"/>
              </w:rPr>
            </w:pPr>
          </w:p>
        </w:tc>
      </w:tr>
      <w:tr>
        <w:trPr>
          <w:trHeight w:val="101"/>
        </w:trPr>
        <w:tc>
          <w:tcPr>
            <w:tcW w:w="2080" w:type="dxa"/>
            <w:vAlign w:val="bottom"/>
            <w:gridSpan w:val="2"/>
          </w:tcPr>
          <w:p>
            <w:pPr>
              <w:spacing w:after="0" w:line="102" w:lineRule="exact"/>
              <w:rPr>
                <w:sz w:val="20"/>
                <w:szCs w:val="20"/>
                <w:color w:val="auto"/>
              </w:rPr>
            </w:pPr>
            <w:r>
              <w:rPr>
                <w:rFonts w:ascii="Arial" w:cs="Arial" w:eastAsia="Arial" w:hAnsi="Arial"/>
                <w:sz w:val="10"/>
                <w:szCs w:val="10"/>
                <w:color w:val="auto"/>
              </w:rPr>
              <w:t>U.S. Treasury Securities</w:t>
            </w:r>
          </w:p>
        </w:tc>
        <w:tc>
          <w:tcPr>
            <w:tcW w:w="1480" w:type="dxa"/>
            <w:vAlign w:val="bottom"/>
            <w:gridSpan w:val="3"/>
          </w:tcPr>
          <w:p>
            <w:pPr>
              <w:jc w:val="center"/>
              <w:ind w:right="231"/>
              <w:spacing w:after="0" w:line="102" w:lineRule="exact"/>
              <w:rPr>
                <w:sz w:val="20"/>
                <w:szCs w:val="20"/>
                <w:color w:val="auto"/>
              </w:rPr>
            </w:pPr>
            <w:r>
              <w:rPr>
                <w:rFonts w:ascii="Arial" w:cs="Arial" w:eastAsia="Arial" w:hAnsi="Arial"/>
                <w:sz w:val="10"/>
                <w:szCs w:val="10"/>
                <w:color w:val="auto"/>
                <w:w w:val="86"/>
              </w:rPr>
              <w:t>Cash and cash equivalents</w:t>
            </w:r>
          </w:p>
        </w:tc>
        <w:tc>
          <w:tcPr>
            <w:tcW w:w="740" w:type="dxa"/>
            <w:vAlign w:val="bottom"/>
            <w:gridSpan w:val="2"/>
          </w:tcPr>
          <w:p>
            <w:pPr>
              <w:jc w:val="right"/>
              <w:ind w:right="20"/>
              <w:spacing w:after="0" w:line="102"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tcPr>
          <w:p>
            <w:pPr>
              <w:ind w:left="700"/>
              <w:spacing w:after="0" w:line="102"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8"/>
                <w:szCs w:val="8"/>
                <w:color w:val="auto"/>
              </w:rPr>
            </w:pPr>
          </w:p>
        </w:tc>
        <w:tc>
          <w:tcPr>
            <w:tcW w:w="580" w:type="dxa"/>
            <w:vAlign w:val="bottom"/>
          </w:tcPr>
          <w:p>
            <w:pPr>
              <w:ind w:left="480"/>
              <w:spacing w:after="0" w:line="102" w:lineRule="exact"/>
              <w:rPr>
                <w:sz w:val="20"/>
                <w:szCs w:val="20"/>
                <w:color w:val="auto"/>
              </w:rPr>
            </w:pPr>
            <w:r>
              <w:rPr>
                <w:rFonts w:ascii="Arial" w:cs="Arial" w:eastAsia="Arial" w:hAnsi="Arial"/>
                <w:sz w:val="10"/>
                <w:szCs w:val="10"/>
                <w:color w:val="auto"/>
                <w:w w:val="79"/>
              </w:rPr>
              <w:t>—</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gridSpan w:val="2"/>
          </w:tcPr>
          <w:p>
            <w:pPr>
              <w:jc w:val="right"/>
              <w:ind w:right="60"/>
              <w:spacing w:after="0" w:line="102"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gridSpan w:val="2"/>
          </w:tcPr>
          <w:p>
            <w:pPr>
              <w:ind w:left="640"/>
              <w:spacing w:after="0" w:line="102"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8"/>
                <w:szCs w:val="8"/>
                <w:color w:val="auto"/>
              </w:rPr>
            </w:pPr>
          </w:p>
        </w:tc>
        <w:tc>
          <w:tcPr>
            <w:tcW w:w="720" w:type="dxa"/>
            <w:vAlign w:val="bottom"/>
          </w:tcPr>
          <w:p>
            <w:pPr>
              <w:jc w:val="right"/>
              <w:spacing w:after="0" w:line="102" w:lineRule="exact"/>
              <w:rPr>
                <w:sz w:val="20"/>
                <w:szCs w:val="20"/>
                <w:color w:val="auto"/>
              </w:rPr>
            </w:pPr>
            <w:r>
              <w:rPr>
                <w:rFonts w:ascii="Arial" w:cs="Arial" w:eastAsia="Arial" w:hAnsi="Arial"/>
                <w:sz w:val="10"/>
                <w:szCs w:val="10"/>
                <w:color w:val="auto"/>
              </w:rPr>
              <w:t>2,004</w:t>
            </w: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gridSpan w:val="2"/>
          </w:tcPr>
          <w:p>
            <w:pPr>
              <w:ind w:left="40"/>
              <w:spacing w:after="0" w:line="102"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10"/>
                <w:szCs w:val="10"/>
                <w:color w:val="auto"/>
              </w:rPr>
              <w:t>2,004</w:t>
            </w:r>
          </w:p>
        </w:tc>
        <w:tc>
          <w:tcPr>
            <w:tcW w:w="0" w:type="dxa"/>
            <w:vAlign w:val="bottom"/>
          </w:tcPr>
          <w:p>
            <w:pPr>
              <w:spacing w:after="0"/>
              <w:rPr>
                <w:sz w:val="1"/>
                <w:szCs w:val="1"/>
                <w:color w:val="auto"/>
              </w:rPr>
            </w:pPr>
          </w:p>
        </w:tc>
      </w:tr>
      <w:tr>
        <w:trPr>
          <w:trHeight w:val="101"/>
        </w:trPr>
        <w:tc>
          <w:tcPr>
            <w:tcW w:w="2080" w:type="dxa"/>
            <w:vAlign w:val="bottom"/>
            <w:gridSpan w:val="2"/>
            <w:shd w:val="clear" w:color="auto" w:fill="CCEEFF"/>
          </w:tcPr>
          <w:p>
            <w:pPr>
              <w:spacing w:after="0" w:line="102" w:lineRule="exact"/>
              <w:rPr>
                <w:sz w:val="20"/>
                <w:szCs w:val="20"/>
                <w:color w:val="auto"/>
              </w:rPr>
            </w:pPr>
            <w:r>
              <w:rPr>
                <w:rFonts w:ascii="Arial" w:cs="Arial" w:eastAsia="Arial" w:hAnsi="Arial"/>
                <w:sz w:val="10"/>
                <w:szCs w:val="10"/>
                <w:color w:val="auto"/>
              </w:rPr>
              <w:t>U.S. Treasury Securities</w:t>
            </w:r>
          </w:p>
        </w:tc>
        <w:tc>
          <w:tcPr>
            <w:tcW w:w="1480" w:type="dxa"/>
            <w:vAlign w:val="bottom"/>
            <w:gridSpan w:val="3"/>
            <w:shd w:val="clear" w:color="auto" w:fill="CCEEFF"/>
          </w:tcPr>
          <w:p>
            <w:pPr>
              <w:jc w:val="center"/>
              <w:ind w:right="231"/>
              <w:spacing w:after="0" w:line="102" w:lineRule="exact"/>
              <w:rPr>
                <w:sz w:val="20"/>
                <w:szCs w:val="20"/>
                <w:color w:val="auto"/>
              </w:rPr>
            </w:pPr>
            <w:r>
              <w:rPr>
                <w:rFonts w:ascii="Arial" w:cs="Arial" w:eastAsia="Arial" w:hAnsi="Arial"/>
                <w:sz w:val="10"/>
                <w:szCs w:val="10"/>
                <w:color w:val="auto"/>
                <w:w w:val="88"/>
              </w:rPr>
              <w:t>Investments</w:t>
            </w:r>
          </w:p>
        </w:tc>
        <w:tc>
          <w:tcPr>
            <w:tcW w:w="740" w:type="dxa"/>
            <w:vAlign w:val="bottom"/>
            <w:gridSpan w:val="2"/>
            <w:shd w:val="clear" w:color="auto" w:fill="CCEEFF"/>
          </w:tcPr>
          <w:p>
            <w:pPr>
              <w:jc w:val="right"/>
              <w:ind w:right="20"/>
              <w:spacing w:after="0" w:line="102"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60" w:type="dxa"/>
            <w:vAlign w:val="bottom"/>
            <w:gridSpan w:val="2"/>
            <w:shd w:val="clear" w:color="auto" w:fill="CCEEFF"/>
          </w:tcPr>
          <w:p>
            <w:pPr>
              <w:ind w:left="700"/>
              <w:spacing w:after="0" w:line="102"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8"/>
                <w:szCs w:val="8"/>
                <w:color w:val="auto"/>
              </w:rPr>
            </w:pPr>
          </w:p>
        </w:tc>
        <w:tc>
          <w:tcPr>
            <w:tcW w:w="580" w:type="dxa"/>
            <w:vAlign w:val="bottom"/>
            <w:shd w:val="clear" w:color="auto" w:fill="CCEEFF"/>
          </w:tcPr>
          <w:p>
            <w:pPr>
              <w:ind w:left="480"/>
              <w:spacing w:after="0" w:line="102" w:lineRule="exact"/>
              <w:rPr>
                <w:sz w:val="20"/>
                <w:szCs w:val="20"/>
                <w:color w:val="auto"/>
              </w:rPr>
            </w:pPr>
            <w:r>
              <w:rPr>
                <w:rFonts w:ascii="Arial" w:cs="Arial" w:eastAsia="Arial" w:hAnsi="Arial"/>
                <w:sz w:val="10"/>
                <w:szCs w:val="10"/>
                <w:color w:val="auto"/>
                <w:w w:val="79"/>
              </w:rPr>
              <w:t>—</w:t>
            </w:r>
          </w:p>
        </w:tc>
        <w:tc>
          <w:tcPr>
            <w:tcW w:w="6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740" w:type="dxa"/>
            <w:vAlign w:val="bottom"/>
            <w:gridSpan w:val="2"/>
            <w:shd w:val="clear" w:color="auto" w:fill="CCEEFF"/>
          </w:tcPr>
          <w:p>
            <w:pPr>
              <w:jc w:val="right"/>
              <w:ind w:right="60"/>
              <w:spacing w:after="0" w:line="102"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gridSpan w:val="2"/>
            <w:shd w:val="clear" w:color="auto" w:fill="CCEEFF"/>
          </w:tcPr>
          <w:p>
            <w:pPr>
              <w:ind w:left="640"/>
              <w:spacing w:after="0" w:line="102"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8,012</w:t>
            </w:r>
          </w:p>
        </w:tc>
        <w:tc>
          <w:tcPr>
            <w:tcW w:w="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0" w:type="dxa"/>
            <w:vAlign w:val="bottom"/>
            <w:gridSpan w:val="2"/>
            <w:shd w:val="clear" w:color="auto" w:fill="CCEEFF"/>
          </w:tcPr>
          <w:p>
            <w:pPr>
              <w:ind w:left="40"/>
              <w:spacing w:after="0" w:line="102"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10"/>
                <w:szCs w:val="10"/>
                <w:color w:val="auto"/>
              </w:rPr>
              <w:t>8,012</w:t>
            </w:r>
          </w:p>
        </w:tc>
        <w:tc>
          <w:tcPr>
            <w:tcW w:w="0" w:type="dxa"/>
            <w:vAlign w:val="bottom"/>
          </w:tcPr>
          <w:p>
            <w:pPr>
              <w:spacing w:after="0"/>
              <w:rPr>
                <w:sz w:val="1"/>
                <w:szCs w:val="1"/>
                <w:color w:val="auto"/>
              </w:rPr>
            </w:pPr>
          </w:p>
        </w:tc>
      </w:tr>
      <w:tr>
        <w:trPr>
          <w:trHeight w:val="98"/>
        </w:trPr>
        <w:tc>
          <w:tcPr>
            <w:tcW w:w="2080" w:type="dxa"/>
            <w:vAlign w:val="bottom"/>
            <w:gridSpan w:val="2"/>
          </w:tcPr>
          <w:p>
            <w:pPr>
              <w:spacing w:after="0" w:line="91" w:lineRule="exact"/>
              <w:rPr>
                <w:sz w:val="20"/>
                <w:szCs w:val="20"/>
                <w:color w:val="auto"/>
              </w:rPr>
            </w:pPr>
            <w:r>
              <w:rPr>
                <w:rFonts w:ascii="Arial" w:cs="Arial" w:eastAsia="Arial" w:hAnsi="Arial"/>
                <w:sz w:val="10"/>
                <w:szCs w:val="10"/>
                <w:color w:val="auto"/>
              </w:rPr>
              <w:t>Total assets measured at fair value</w:t>
            </w:r>
          </w:p>
        </w:tc>
        <w:tc>
          <w:tcPr>
            <w:tcW w:w="1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ind w:right="131"/>
              <w:spacing w:after="0" w:line="91" w:lineRule="exact"/>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44,279</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5"/>
                <w:szCs w:val="5"/>
                <w:color w:val="auto"/>
                <w:w w:val="70"/>
              </w:rPr>
              <w:t>$</w:t>
            </w:r>
          </w:p>
        </w:tc>
        <w:tc>
          <w:tcPr>
            <w:tcW w:w="800" w:type="dxa"/>
            <w:vAlign w:val="bottom"/>
            <w:tcBorders>
              <w:top w:val="single" w:sz="8" w:color="auto"/>
              <w:bottom w:val="single" w:sz="8" w:color="auto"/>
            </w:tcBorders>
          </w:tcPr>
          <w:p>
            <w:pPr>
              <w:ind w:left="70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Pr>
          <w:p>
            <w:pPr>
              <w:spacing w:after="0"/>
              <w:rPr>
                <w:sz w:val="8"/>
                <w:szCs w:val="8"/>
                <w:color w:val="auto"/>
              </w:rPr>
            </w:pPr>
          </w:p>
        </w:tc>
        <w:tc>
          <w:tcPr>
            <w:tcW w:w="2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ind w:left="48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Pr>
          <w:p>
            <w:pPr>
              <w:spacing w:after="0"/>
              <w:rPr>
                <w:sz w:val="8"/>
                <w:szCs w:val="8"/>
                <w:color w:val="auto"/>
              </w:rPr>
            </w:pPr>
          </w:p>
        </w:tc>
        <w:tc>
          <w:tcPr>
            <w:tcW w:w="260" w:type="dxa"/>
            <w:vAlign w:val="bottom"/>
            <w:tcBorders>
              <w:top w:val="single" w:sz="8" w:color="auto"/>
              <w:bottom w:val="single" w:sz="8" w:color="auto"/>
            </w:tcBorders>
          </w:tcPr>
          <w:p>
            <w:pPr>
              <w:jc w:val="right"/>
              <w:ind w:right="151"/>
              <w:spacing w:after="0" w:line="91" w:lineRule="exact"/>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44,279</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5"/>
                <w:szCs w:val="5"/>
                <w:color w:val="auto"/>
                <w:w w:val="70"/>
              </w:rPr>
              <w:t>$</w:t>
            </w:r>
          </w:p>
        </w:tc>
        <w:tc>
          <w:tcPr>
            <w:tcW w:w="74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7,176</w:t>
            </w:r>
          </w:p>
        </w:tc>
        <w:tc>
          <w:tcPr>
            <w:tcW w:w="80" w:type="dxa"/>
            <w:vAlign w:val="bottom"/>
          </w:tcPr>
          <w:p>
            <w:pPr>
              <w:spacing w:after="0"/>
              <w:rPr>
                <w:sz w:val="8"/>
                <w:szCs w:val="8"/>
                <w:color w:val="auto"/>
              </w:rPr>
            </w:pPr>
          </w:p>
        </w:tc>
        <w:tc>
          <w:tcPr>
            <w:tcW w:w="22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10,016</w:t>
            </w:r>
          </w:p>
        </w:tc>
        <w:tc>
          <w:tcPr>
            <w:tcW w:w="60" w:type="dxa"/>
            <w:vAlign w:val="bottom"/>
          </w:tcPr>
          <w:p>
            <w:pPr>
              <w:spacing w:after="0"/>
              <w:rPr>
                <w:sz w:val="8"/>
                <w:szCs w:val="8"/>
                <w:color w:val="auto"/>
              </w:rPr>
            </w:pPr>
          </w:p>
        </w:tc>
        <w:tc>
          <w:tcPr>
            <w:tcW w:w="780" w:type="dxa"/>
            <w:vAlign w:val="bottom"/>
            <w:tcBorders>
              <w:top w:val="single" w:sz="8" w:color="auto"/>
              <w:bottom w:val="single" w:sz="8" w:color="auto"/>
            </w:tcBorders>
          </w:tcPr>
          <w:p>
            <w:pPr>
              <w:jc w:val="right"/>
              <w:ind w:right="671"/>
              <w:spacing w:after="0" w:line="91" w:lineRule="exact"/>
              <w:rPr>
                <w:sz w:val="20"/>
                <w:szCs w:val="20"/>
                <w:color w:val="auto"/>
              </w:rPr>
            </w:pPr>
            <w:r>
              <w:rPr>
                <w:rFonts w:ascii="Arial" w:cs="Arial" w:eastAsia="Arial" w:hAnsi="Arial"/>
                <w:sz w:val="10"/>
                <w:szCs w:val="10"/>
                <w:color w:val="auto"/>
                <w:w w:val="71"/>
              </w:rPr>
              <w:t>$</w:t>
            </w:r>
          </w:p>
        </w:tc>
        <w:tc>
          <w:tcPr>
            <w:tcW w:w="140" w:type="dxa"/>
            <w:vAlign w:val="bottom"/>
            <w:tcBorders>
              <w:top w:val="single" w:sz="8" w:color="auto"/>
              <w:bottom w:val="single" w:sz="8" w:color="auto"/>
            </w:tcBorders>
          </w:tcPr>
          <w:p>
            <w:pPr>
              <w:ind w:left="40"/>
              <w:spacing w:after="0" w:line="91" w:lineRule="exact"/>
              <w:rPr>
                <w:sz w:val="20"/>
                <w:szCs w:val="20"/>
                <w:color w:val="auto"/>
              </w:rPr>
            </w:pPr>
            <w:r>
              <w:rPr>
                <w:rFonts w:ascii="Arial" w:cs="Arial" w:eastAsia="Arial" w:hAnsi="Arial"/>
                <w:sz w:val="10"/>
                <w:szCs w:val="10"/>
                <w:color w:val="auto"/>
                <w:w w:val="79"/>
              </w:rPr>
              <w:t>—</w:t>
            </w: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91" w:lineRule="exact"/>
              <w:rPr>
                <w:sz w:val="20"/>
                <w:szCs w:val="20"/>
                <w:color w:val="auto"/>
              </w:rPr>
            </w:pPr>
            <w:r>
              <w:rPr>
                <w:rFonts w:ascii="Arial" w:cs="Arial" w:eastAsia="Arial" w:hAnsi="Arial"/>
                <w:sz w:val="10"/>
                <w:szCs w:val="10"/>
                <w:color w:val="auto"/>
              </w:rPr>
              <w:t>17,192</w:t>
            </w: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Company did not have any financial liabilities measured on a recurring basis as of June 30, 2021 or December 31, 2020.</w:t>
      </w:r>
    </w:p>
    <w:p>
      <w:pPr>
        <w:spacing w:after="0" w:line="120" w:lineRule="exact"/>
        <w:rPr>
          <w:sz w:val="20"/>
          <w:szCs w:val="20"/>
          <w:color w:val="auto"/>
        </w:rPr>
      </w:pPr>
    </w:p>
    <w:p>
      <w:pPr>
        <w:ind w:right="120" w:firstLine="301"/>
        <w:spacing w:after="0" w:line="255" w:lineRule="auto"/>
        <w:rPr>
          <w:sz w:val="20"/>
          <w:szCs w:val="20"/>
          <w:color w:val="auto"/>
        </w:rPr>
      </w:pPr>
      <w:r>
        <w:rPr>
          <w:rFonts w:ascii="Arial" w:cs="Arial" w:eastAsia="Arial" w:hAnsi="Arial"/>
          <w:sz w:val="12"/>
          <w:szCs w:val="12"/>
          <w:color w:val="auto"/>
        </w:rPr>
        <w:t>During the six-month period ended June 30, 2021, there were no transfers between Level 1, Level 2 or Level 3 assets or liabilities reported at fair value on a recurring basis and the valuation techniques used did not change compared to the Company’s established practice.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0" w:name="page11"/>
    <w:bookmarkEnd w:id="1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4. Balance Sheet Components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Property and Equipment, Net</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Property and equipment,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20" w:type="dxa"/>
            <w:vAlign w:val="bottom"/>
            <w:gridSpan w:val="2"/>
          </w:tcPr>
          <w:p>
            <w:pPr>
              <w:ind w:left="240"/>
              <w:spacing w:after="0"/>
              <w:rPr>
                <w:sz w:val="20"/>
                <w:szCs w:val="20"/>
                <w:color w:val="auto"/>
              </w:rPr>
            </w:pPr>
            <w:r>
              <w:rPr>
                <w:rFonts w:ascii="Arial" w:cs="Arial" w:eastAsia="Arial" w:hAnsi="Arial"/>
                <w:sz w:val="10"/>
                <w:szCs w:val="10"/>
                <w:b w:val="1"/>
                <w:bCs w:val="1"/>
                <w:color w:val="auto"/>
              </w:rPr>
              <w:t>June 30,</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jc w:val="right"/>
              <w:ind w:right="401"/>
              <w:spacing w:after="0"/>
              <w:rPr>
                <w:sz w:val="20"/>
                <w:szCs w:val="20"/>
                <w:color w:val="auto"/>
              </w:rPr>
            </w:pPr>
            <w:r>
              <w:rPr>
                <w:rFonts w:ascii="Arial" w:cs="Arial" w:eastAsia="Arial" w:hAnsi="Arial"/>
                <w:sz w:val="10"/>
                <w:szCs w:val="10"/>
                <w:b w:val="1"/>
                <w:bCs w:val="1"/>
                <w:color w:val="auto"/>
              </w:rPr>
              <w:t>December 31,</w:t>
            </w:r>
          </w:p>
        </w:tc>
      </w:tr>
      <w:tr>
        <w:trPr>
          <w:trHeight w:val="116"/>
        </w:trPr>
        <w:tc>
          <w:tcPr>
            <w:tcW w:w="81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2021</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Leasehold improvements</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ind w:right="1"/>
              <w:spacing w:after="0" w:line="118" w:lineRule="exact"/>
              <w:rPr>
                <w:sz w:val="20"/>
                <w:szCs w:val="20"/>
                <w:color w:val="auto"/>
              </w:rPr>
            </w:pPr>
            <w:r>
              <w:rPr>
                <w:rFonts w:ascii="Arial" w:cs="Arial" w:eastAsia="Arial" w:hAnsi="Arial"/>
                <w:sz w:val="12"/>
                <w:szCs w:val="12"/>
                <w:color w:val="auto"/>
              </w:rPr>
              <w:t>2,827</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2,805</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Laboratory equipment</w:t>
            </w:r>
          </w:p>
        </w:tc>
        <w:tc>
          <w:tcPr>
            <w:tcW w:w="320" w:type="dxa"/>
            <w:vAlign w:val="bottom"/>
          </w:tcPr>
          <w:p>
            <w:pPr>
              <w:spacing w:after="0"/>
              <w:rPr>
                <w:sz w:val="11"/>
                <w:szCs w:val="11"/>
                <w:color w:val="auto"/>
              </w:rPr>
            </w:pPr>
          </w:p>
        </w:tc>
        <w:tc>
          <w:tcPr>
            <w:tcW w:w="1160" w:type="dxa"/>
            <w:vAlign w:val="bottom"/>
          </w:tcPr>
          <w:p>
            <w:pPr>
              <w:jc w:val="right"/>
              <w:ind w:right="1"/>
              <w:spacing w:after="0" w:line="129" w:lineRule="exact"/>
              <w:rPr>
                <w:sz w:val="20"/>
                <w:szCs w:val="20"/>
                <w:color w:val="auto"/>
              </w:rPr>
            </w:pPr>
            <w:r>
              <w:rPr>
                <w:rFonts w:ascii="Arial" w:cs="Arial" w:eastAsia="Arial" w:hAnsi="Arial"/>
                <w:sz w:val="12"/>
                <w:szCs w:val="12"/>
                <w:color w:val="auto"/>
              </w:rPr>
              <w:t>986</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878</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Furniture, fixtures, and equipment</w:t>
            </w: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569</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517</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Software</w:t>
            </w:r>
          </w:p>
        </w:tc>
        <w:tc>
          <w:tcPr>
            <w:tcW w:w="320" w:type="dxa"/>
            <w:vAlign w:val="bottom"/>
          </w:tcPr>
          <w:p>
            <w:pPr>
              <w:spacing w:after="0"/>
              <w:rPr>
                <w:sz w:val="11"/>
                <w:szCs w:val="11"/>
                <w:color w:val="auto"/>
              </w:rPr>
            </w:pPr>
          </w:p>
        </w:tc>
        <w:tc>
          <w:tcPr>
            <w:tcW w:w="1160" w:type="dxa"/>
            <w:vAlign w:val="bottom"/>
          </w:tcPr>
          <w:p>
            <w:pPr>
              <w:jc w:val="right"/>
              <w:ind w:right="1"/>
              <w:spacing w:after="0" w:line="129" w:lineRule="exact"/>
              <w:rPr>
                <w:sz w:val="20"/>
                <w:szCs w:val="20"/>
                <w:color w:val="auto"/>
              </w:rPr>
            </w:pPr>
            <w:r>
              <w:rPr>
                <w:rFonts w:ascii="Arial" w:cs="Arial" w:eastAsia="Arial" w:hAnsi="Arial"/>
                <w:sz w:val="12"/>
                <w:szCs w:val="12"/>
                <w:color w:val="auto"/>
              </w:rPr>
              <w:t>154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128</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Construction in progress</w:t>
            </w:r>
          </w:p>
        </w:tc>
        <w:tc>
          <w:tcPr>
            <w:tcW w:w="32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69</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66</w:t>
            </w:r>
          </w:p>
        </w:tc>
      </w:tr>
      <w:tr>
        <w:trPr>
          <w:trHeight w:val="118"/>
        </w:trPr>
        <w:tc>
          <w:tcPr>
            <w:tcW w:w="816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1"/>
              <w:spacing w:after="0" w:line="118" w:lineRule="exact"/>
              <w:rPr>
                <w:sz w:val="20"/>
                <w:szCs w:val="20"/>
                <w:color w:val="auto"/>
              </w:rPr>
            </w:pPr>
            <w:r>
              <w:rPr>
                <w:rFonts w:ascii="Arial" w:cs="Arial" w:eastAsia="Arial" w:hAnsi="Arial"/>
                <w:sz w:val="12"/>
                <w:szCs w:val="12"/>
                <w:color w:val="auto"/>
              </w:rPr>
              <w:t>4,605</w:t>
            </w:r>
          </w:p>
        </w:tc>
        <w:tc>
          <w:tcPr>
            <w:tcW w:w="1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4,394</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Less: Accumulated depreciation</w:t>
            </w:r>
          </w:p>
        </w:tc>
        <w:tc>
          <w:tcPr>
            <w:tcW w:w="320" w:type="dxa"/>
            <w:vAlign w:val="bottom"/>
            <w:tcBorders>
              <w:bottom w:val="single" w:sz="8" w:color="auto"/>
            </w:tcBorders>
            <w:shd w:val="clear" w:color="auto" w:fill="CCEEFF"/>
          </w:tcPr>
          <w:p>
            <w:pPr>
              <w:spacing w:after="0"/>
              <w:rPr>
                <w:sz w:val="10"/>
                <w:szCs w:val="10"/>
                <w:color w:val="auto"/>
              </w:rPr>
            </w:pPr>
          </w:p>
        </w:tc>
        <w:tc>
          <w:tcPr>
            <w:tcW w:w="116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(2,145)</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(1,916)</w:t>
            </w:r>
          </w:p>
        </w:tc>
      </w:tr>
      <w:tr>
        <w:trPr>
          <w:trHeight w:val="126"/>
        </w:trPr>
        <w:tc>
          <w:tcPr>
            <w:tcW w:w="8160" w:type="dxa"/>
            <w:vAlign w:val="bottom"/>
          </w:tcPr>
          <w:p>
            <w:pPr>
              <w:ind w:left="140"/>
              <w:spacing w:after="0" w:line="118" w:lineRule="exact"/>
              <w:rPr>
                <w:sz w:val="20"/>
                <w:szCs w:val="20"/>
                <w:color w:val="auto"/>
              </w:rPr>
            </w:pPr>
            <w:r>
              <w:rPr>
                <w:rFonts w:ascii="Arial" w:cs="Arial" w:eastAsia="Arial" w:hAnsi="Arial"/>
                <w:sz w:val="12"/>
                <w:szCs w:val="12"/>
                <w:color w:val="auto"/>
              </w:rPr>
              <w:t>Property and equipment, net</w:t>
            </w: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ind w:right="1"/>
              <w:spacing w:after="0" w:line="118" w:lineRule="exact"/>
              <w:rPr>
                <w:sz w:val="20"/>
                <w:szCs w:val="20"/>
                <w:color w:val="auto"/>
              </w:rPr>
            </w:pPr>
            <w:r>
              <w:rPr>
                <w:rFonts w:ascii="Arial" w:cs="Arial" w:eastAsia="Arial" w:hAnsi="Arial"/>
                <w:sz w:val="12"/>
                <w:szCs w:val="12"/>
                <w:color w:val="auto"/>
              </w:rPr>
              <w:t>2,460</w:t>
            </w: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2,478</w:t>
            </w:r>
          </w:p>
        </w:tc>
      </w:tr>
    </w:tbl>
    <w:p>
      <w:pPr>
        <w:spacing w:after="0" w:line="111" w:lineRule="exact"/>
        <w:rPr>
          <w:sz w:val="20"/>
          <w:szCs w:val="20"/>
          <w:color w:val="auto"/>
        </w:rPr>
      </w:pPr>
    </w:p>
    <w:p>
      <w:pPr>
        <w:ind w:left="300" w:right="1520"/>
        <w:spacing w:after="0" w:line="449" w:lineRule="auto"/>
        <w:rPr>
          <w:sz w:val="20"/>
          <w:szCs w:val="20"/>
          <w:color w:val="auto"/>
        </w:rPr>
      </w:pPr>
      <w:r>
        <w:rPr>
          <w:rFonts w:ascii="Arial" w:cs="Arial" w:eastAsia="Arial" w:hAnsi="Arial"/>
          <w:sz w:val="12"/>
          <w:szCs w:val="12"/>
          <w:color w:val="auto"/>
        </w:rPr>
        <w:t xml:space="preserve">Depreciation expense was $0.1 million for each of the three-month periods ended June 30, 2021 and 2020 and was $0.2 million for each of the six-month periods ended June 30, 2021 and 2020. </w:t>
      </w:r>
      <w:r>
        <w:rPr>
          <w:rFonts w:ascii="Arial" w:cs="Arial" w:eastAsia="Arial" w:hAnsi="Arial"/>
          <w:sz w:val="12"/>
          <w:szCs w:val="12"/>
          <w:b w:val="1"/>
          <w:bCs w:val="1"/>
          <w:color w:val="auto"/>
        </w:rPr>
        <w:t>Intangible Assets, Net</w:t>
      </w:r>
    </w:p>
    <w:p>
      <w:pPr>
        <w:jc w:val="both"/>
        <w:ind w:firstLine="301"/>
        <w:spacing w:after="0" w:line="272" w:lineRule="auto"/>
        <w:rPr>
          <w:sz w:val="20"/>
          <w:szCs w:val="20"/>
          <w:color w:val="auto"/>
        </w:rPr>
      </w:pPr>
      <w:r>
        <w:rPr>
          <w:rFonts w:ascii="Arial" w:cs="Arial" w:eastAsia="Arial" w:hAnsi="Arial"/>
          <w:sz w:val="11"/>
          <w:szCs w:val="11"/>
          <w:color w:val="auto"/>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spacing w:after="0" w:line="7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Intangible assets,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1040" w:type="dxa"/>
            <w:vAlign w:val="bottom"/>
          </w:tcPr>
          <w:p>
            <w:pPr>
              <w:jc w:val="right"/>
              <w:ind w:right="70"/>
              <w:spacing w:after="0"/>
              <w:rPr>
                <w:sz w:val="20"/>
                <w:szCs w:val="20"/>
                <w:color w:val="auto"/>
              </w:rPr>
            </w:pPr>
            <w:r>
              <w:rPr>
                <w:rFonts w:ascii="Arial" w:cs="Arial" w:eastAsia="Arial" w:hAnsi="Arial"/>
                <w:sz w:val="10"/>
                <w:szCs w:val="10"/>
                <w:b w:val="1"/>
                <w:bCs w:val="1"/>
                <w:color w:val="auto"/>
              </w:rPr>
              <w:t>June 30,</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401"/>
              <w:spacing w:after="0"/>
              <w:rPr>
                <w:sz w:val="20"/>
                <w:szCs w:val="20"/>
                <w:color w:val="auto"/>
              </w:rPr>
            </w:pPr>
            <w:r>
              <w:rPr>
                <w:rFonts w:ascii="Arial" w:cs="Arial" w:eastAsia="Arial" w:hAnsi="Arial"/>
                <w:sz w:val="10"/>
                <w:szCs w:val="10"/>
                <w:b w:val="1"/>
                <w:bCs w:val="1"/>
                <w:color w:val="auto"/>
              </w:rPr>
              <w:t>December 31,</w:t>
            </w:r>
          </w:p>
        </w:tc>
      </w:tr>
      <w:tr>
        <w:trPr>
          <w:trHeight w:val="116"/>
        </w:trPr>
        <w:tc>
          <w:tcPr>
            <w:tcW w:w="816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Acquired patents and licenses</w:t>
            </w:r>
          </w:p>
        </w:tc>
        <w:tc>
          <w:tcPr>
            <w:tcW w:w="1040" w:type="dxa"/>
            <w:vAlign w:val="bottom"/>
            <w:shd w:val="clear" w:color="auto" w:fill="CCEEFF"/>
          </w:tcPr>
          <w:p>
            <w:pPr>
              <w:jc w:val="right"/>
              <w:ind w:right="93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3"/>
              <w:spacing w:after="0" w:line="118" w:lineRule="exact"/>
              <w:rPr>
                <w:sz w:val="20"/>
                <w:szCs w:val="20"/>
                <w:color w:val="auto"/>
              </w:rPr>
            </w:pPr>
            <w:r>
              <w:rPr>
                <w:rFonts w:ascii="Arial" w:cs="Arial" w:eastAsia="Arial" w:hAnsi="Arial"/>
                <w:sz w:val="12"/>
                <w:szCs w:val="12"/>
                <w:color w:val="auto"/>
              </w:rPr>
              <w:t>7,985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7,985</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Less: Accumulated amortization</w:t>
            </w:r>
          </w:p>
        </w:tc>
        <w:tc>
          <w:tcPr>
            <w:tcW w:w="1040" w:type="dxa"/>
            <w:vAlign w:val="bottom"/>
          </w:tcPr>
          <w:p>
            <w:pPr>
              <w:spacing w:after="0"/>
              <w:rPr>
                <w:sz w:val="11"/>
                <w:szCs w:val="11"/>
                <w:color w:val="auto"/>
              </w:rPr>
            </w:pPr>
          </w:p>
        </w:tc>
        <w:tc>
          <w:tcPr>
            <w:tcW w:w="52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(4,436)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(4,103)</w:t>
            </w:r>
          </w:p>
        </w:tc>
      </w:tr>
      <w:tr>
        <w:trPr>
          <w:trHeight w:val="138"/>
        </w:trPr>
        <w:tc>
          <w:tcPr>
            <w:tcW w:w="8160" w:type="dxa"/>
            <w:vAlign w:val="bottom"/>
            <w:tcBorders>
              <w:top w:val="single" w:sz="8" w:color="CCEEFF"/>
              <w:bottom w:val="single" w:sz="8" w:color="CCEEFF"/>
            </w:tcBorders>
            <w:shd w:val="clear" w:color="auto" w:fill="CCEEFF"/>
          </w:tcPr>
          <w:p>
            <w:pPr>
              <w:ind w:left="140"/>
              <w:spacing w:after="0" w:line="118" w:lineRule="exact"/>
              <w:rPr>
                <w:sz w:val="20"/>
                <w:szCs w:val="20"/>
                <w:color w:val="auto"/>
              </w:rPr>
            </w:pPr>
            <w:r>
              <w:rPr>
                <w:rFonts w:ascii="Arial" w:cs="Arial" w:eastAsia="Arial" w:hAnsi="Arial"/>
                <w:sz w:val="12"/>
                <w:szCs w:val="12"/>
                <w:color w:val="auto"/>
              </w:rPr>
              <w:t>Intangible assets, net</w:t>
            </w:r>
          </w:p>
        </w:tc>
        <w:tc>
          <w:tcPr>
            <w:tcW w:w="104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CEEFF"/>
          </w:tcPr>
          <w:p>
            <w:pPr>
              <w:jc w:val="right"/>
              <w:ind w:right="3"/>
              <w:spacing w:after="0" w:line="118" w:lineRule="exact"/>
              <w:rPr>
                <w:sz w:val="20"/>
                <w:szCs w:val="20"/>
                <w:color w:val="auto"/>
              </w:rPr>
            </w:pPr>
            <w:r>
              <w:rPr>
                <w:rFonts w:ascii="Arial" w:cs="Arial" w:eastAsia="Arial" w:hAnsi="Arial"/>
                <w:sz w:val="12"/>
                <w:szCs w:val="12"/>
                <w:color w:val="auto"/>
              </w:rPr>
              <w:t>3,549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3,882</w:t>
            </w:r>
          </w:p>
        </w:tc>
      </w:tr>
      <w:tr>
        <w:trPr>
          <w:trHeight w:val="254"/>
        </w:trPr>
        <w:tc>
          <w:tcPr>
            <w:tcW w:w="8160" w:type="dxa"/>
            <w:vAlign w:val="bottom"/>
          </w:tcPr>
          <w:p>
            <w:pPr>
              <w:ind w:left="260"/>
              <w:spacing w:after="0"/>
              <w:rPr>
                <w:sz w:val="20"/>
                <w:szCs w:val="20"/>
                <w:color w:val="auto"/>
              </w:rPr>
            </w:pPr>
            <w:r>
              <w:rPr>
                <w:rFonts w:ascii="Arial" w:cs="Arial" w:eastAsia="Arial" w:hAnsi="Arial"/>
                <w:sz w:val="12"/>
                <w:szCs w:val="12"/>
                <w:color w:val="auto"/>
              </w:rPr>
              <w:t>A schedule of the amortization of intangible assets for the remainder of 2021 and the succeeding five fiscal years is as follows (in thousands):</w:t>
            </w:r>
          </w:p>
        </w:tc>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68"/>
        </w:trPr>
        <w:tc>
          <w:tcPr>
            <w:tcW w:w="8160" w:type="dxa"/>
            <w:vAlign w:val="bottom"/>
          </w:tcPr>
          <w:p>
            <w:pPr>
              <w:spacing w:after="0"/>
              <w:rPr>
                <w:sz w:val="20"/>
                <w:szCs w:val="20"/>
                <w:color w:val="auto"/>
              </w:rPr>
            </w:pPr>
            <w:r>
              <w:rPr>
                <w:rFonts w:ascii="Arial" w:cs="Arial" w:eastAsia="Arial" w:hAnsi="Arial"/>
                <w:sz w:val="12"/>
                <w:szCs w:val="12"/>
                <w:color w:val="auto"/>
              </w:rPr>
              <w:t>Year Ending December 31:</w:t>
            </w:r>
          </w:p>
        </w:tc>
        <w:tc>
          <w:tcPr>
            <w:tcW w:w="10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2021 (remaining 6 months)</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323"/>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333</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2022</w:t>
            </w: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2023</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2024</w:t>
            </w: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2025</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665</w:t>
            </w:r>
          </w:p>
        </w:tc>
      </w:tr>
      <w:tr>
        <w:trPr>
          <w:trHeight w:val="129"/>
        </w:trPr>
        <w:tc>
          <w:tcPr>
            <w:tcW w:w="816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color w:val="auto"/>
              </w:rPr>
              <w:t>2026</w:t>
            </w:r>
          </w:p>
        </w:tc>
        <w:tc>
          <w:tcPr>
            <w:tcW w:w="104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556</w:t>
            </w:r>
          </w:p>
        </w:tc>
      </w:tr>
      <w:tr>
        <w:trPr>
          <w:trHeight w:val="138"/>
        </w:trPr>
        <w:tc>
          <w:tcPr>
            <w:tcW w:w="8160" w:type="dxa"/>
            <w:vAlign w:val="bottom"/>
            <w:tcBorders>
              <w:bottom w:val="single" w:sz="8" w:color="CCEEFF"/>
            </w:tcBorders>
            <w:shd w:val="clear" w:color="auto" w:fill="CCEEFF"/>
          </w:tcPr>
          <w:p>
            <w:pPr>
              <w:ind w:left="140"/>
              <w:spacing w:after="0" w:line="118" w:lineRule="exact"/>
              <w:rPr>
                <w:sz w:val="20"/>
                <w:szCs w:val="20"/>
                <w:color w:val="auto"/>
              </w:rPr>
            </w:pPr>
            <w:r>
              <w:rPr>
                <w:rFonts w:ascii="Arial" w:cs="Arial" w:eastAsia="Arial" w:hAnsi="Arial"/>
                <w:sz w:val="12"/>
                <w:szCs w:val="12"/>
                <w:color w:val="auto"/>
              </w:rPr>
              <w:t>Total</w:t>
            </w:r>
          </w:p>
        </w:tc>
        <w:tc>
          <w:tcPr>
            <w:tcW w:w="10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323"/>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3,549</w:t>
            </w:r>
          </w:p>
        </w:tc>
      </w:tr>
      <w:tr>
        <w:trPr>
          <w:trHeight w:val="383"/>
        </w:trPr>
        <w:tc>
          <w:tcPr>
            <w:tcW w:w="8160" w:type="dxa"/>
            <w:vAlign w:val="bottom"/>
          </w:tcPr>
          <w:p>
            <w:pPr>
              <w:ind w:left="5580"/>
              <w:spacing w:after="0"/>
              <w:rPr>
                <w:sz w:val="20"/>
                <w:szCs w:val="20"/>
                <w:color w:val="auto"/>
              </w:rPr>
            </w:pPr>
            <w:r>
              <w:rPr>
                <w:rFonts w:ascii="Arial" w:cs="Arial" w:eastAsia="Arial" w:hAnsi="Arial"/>
                <w:sz w:val="12"/>
                <w:szCs w:val="12"/>
                <w:color w:val="auto"/>
              </w:rPr>
              <w:t>11</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3"/>
        </w:trPr>
        <w:tc>
          <w:tcPr>
            <w:tcW w:w="81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12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7153275</wp:posOffset>
            </wp:positionH>
            <wp:positionV relativeFrom="paragraph">
              <wp:posOffset>-23495</wp:posOffset>
            </wp:positionV>
            <wp:extent cx="3111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-23495</wp:posOffset>
            </wp:positionV>
            <wp:extent cx="31115"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1" w:name="page12"/>
    <w:bookmarkEnd w:id="1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ind w:left="300"/>
        <w:spacing w:after="0"/>
        <w:rPr>
          <w:sz w:val="20"/>
          <w:szCs w:val="20"/>
          <w:color w:val="auto"/>
        </w:rPr>
      </w:pPr>
      <w:r>
        <w:rPr>
          <w:rFonts w:ascii="Arial" w:cs="Arial" w:eastAsia="Arial" w:hAnsi="Arial"/>
          <w:sz w:val="12"/>
          <w:szCs w:val="12"/>
          <w:b w:val="1"/>
          <w:bCs w:val="1"/>
          <w:color w:val="auto"/>
        </w:rPr>
        <w:t>Accrued Expenses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Accrued expenses consisted of the following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60" w:type="dxa"/>
            <w:vAlign w:val="bottom"/>
          </w:tcPr>
          <w:p>
            <w:pPr>
              <w:spacing w:after="0"/>
              <w:rPr>
                <w:sz w:val="10"/>
                <w:szCs w:val="10"/>
                <w:color w:val="auto"/>
              </w:rPr>
            </w:pPr>
          </w:p>
        </w:tc>
        <w:tc>
          <w:tcPr>
            <w:tcW w:w="1040" w:type="dxa"/>
            <w:vAlign w:val="bottom"/>
          </w:tcPr>
          <w:p>
            <w:pPr>
              <w:jc w:val="right"/>
              <w:ind w:right="70"/>
              <w:spacing w:after="0"/>
              <w:rPr>
                <w:sz w:val="20"/>
                <w:szCs w:val="20"/>
                <w:color w:val="auto"/>
              </w:rPr>
            </w:pPr>
            <w:r>
              <w:rPr>
                <w:rFonts w:ascii="Arial" w:cs="Arial" w:eastAsia="Arial" w:hAnsi="Arial"/>
                <w:sz w:val="10"/>
                <w:szCs w:val="10"/>
                <w:b w:val="1"/>
                <w:bCs w:val="1"/>
                <w:color w:val="auto"/>
              </w:rPr>
              <w:t>June 30,</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jc w:val="right"/>
              <w:ind w:right="401"/>
              <w:spacing w:after="0"/>
              <w:rPr>
                <w:sz w:val="20"/>
                <w:szCs w:val="20"/>
                <w:color w:val="auto"/>
              </w:rPr>
            </w:pPr>
            <w:r>
              <w:rPr>
                <w:rFonts w:ascii="Arial" w:cs="Arial" w:eastAsia="Arial" w:hAnsi="Arial"/>
                <w:sz w:val="10"/>
                <w:szCs w:val="10"/>
                <w:b w:val="1"/>
                <w:bCs w:val="1"/>
                <w:color w:val="auto"/>
              </w:rPr>
              <w:t>December 31,</w:t>
            </w:r>
          </w:p>
        </w:tc>
      </w:tr>
      <w:tr>
        <w:trPr>
          <w:trHeight w:val="116"/>
        </w:trPr>
        <w:tc>
          <w:tcPr>
            <w:tcW w:w="816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b w:val="1"/>
                <w:bCs w:val="1"/>
                <w:color w:val="auto"/>
              </w:rPr>
              <w:t>2021</w:t>
            </w:r>
          </w:p>
        </w:tc>
        <w:tc>
          <w:tcPr>
            <w:tcW w:w="44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2020</w:t>
            </w:r>
          </w:p>
        </w:tc>
      </w:tr>
      <w:tr>
        <w:trPr>
          <w:trHeight w:val="118"/>
        </w:trPr>
        <w:tc>
          <w:tcPr>
            <w:tcW w:w="816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Compensation</w:t>
            </w:r>
          </w:p>
        </w:tc>
        <w:tc>
          <w:tcPr>
            <w:tcW w:w="1040" w:type="dxa"/>
            <w:vAlign w:val="bottom"/>
            <w:shd w:val="clear" w:color="auto" w:fill="CCEEFF"/>
          </w:tcPr>
          <w:p>
            <w:pPr>
              <w:jc w:val="right"/>
              <w:ind w:right="93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3,353</w:t>
            </w: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3,324</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Director and officer liability insurance (Note 10)</w:t>
            </w:r>
          </w:p>
        </w:tc>
        <w:tc>
          <w:tcPr>
            <w:tcW w:w="104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1,563</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Clinical trial costs and fees</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312</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188</w:t>
            </w:r>
          </w:p>
        </w:tc>
      </w:tr>
      <w:tr>
        <w:trPr>
          <w:trHeight w:val="129"/>
        </w:trPr>
        <w:tc>
          <w:tcPr>
            <w:tcW w:w="8160" w:type="dxa"/>
            <w:vAlign w:val="bottom"/>
          </w:tcPr>
          <w:p>
            <w:pPr>
              <w:spacing w:after="0" w:line="129" w:lineRule="exact"/>
              <w:rPr>
                <w:sz w:val="20"/>
                <w:szCs w:val="20"/>
                <w:color w:val="auto"/>
              </w:rPr>
            </w:pPr>
            <w:r>
              <w:rPr>
                <w:rFonts w:ascii="Arial" w:cs="Arial" w:eastAsia="Arial" w:hAnsi="Arial"/>
                <w:sz w:val="12"/>
                <w:szCs w:val="12"/>
                <w:color w:val="auto"/>
              </w:rPr>
              <w:t>Professional fees</w:t>
            </w:r>
          </w:p>
        </w:tc>
        <w:tc>
          <w:tcPr>
            <w:tcW w:w="1040" w:type="dxa"/>
            <w:vAlign w:val="bottom"/>
          </w:tcPr>
          <w:p>
            <w:pPr>
              <w:spacing w:after="0"/>
              <w:rPr>
                <w:sz w:val="11"/>
                <w:szCs w:val="11"/>
                <w:color w:val="auto"/>
              </w:rPr>
            </w:pPr>
          </w:p>
        </w:tc>
        <w:tc>
          <w:tcPr>
            <w:tcW w:w="440" w:type="dxa"/>
            <w:vAlign w:val="bottom"/>
          </w:tcPr>
          <w:p>
            <w:pPr>
              <w:jc w:val="right"/>
              <w:spacing w:after="0" w:line="129" w:lineRule="exact"/>
              <w:rPr>
                <w:sz w:val="20"/>
                <w:szCs w:val="20"/>
                <w:color w:val="auto"/>
              </w:rPr>
            </w:pPr>
            <w:r>
              <w:rPr>
                <w:rFonts w:ascii="Arial" w:cs="Arial" w:eastAsia="Arial" w:hAnsi="Arial"/>
                <w:sz w:val="12"/>
                <w:szCs w:val="12"/>
                <w:color w:val="auto"/>
              </w:rPr>
              <w:t>74</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right"/>
              <w:spacing w:after="0" w:line="129" w:lineRule="exact"/>
              <w:rPr>
                <w:sz w:val="20"/>
                <w:szCs w:val="20"/>
                <w:color w:val="auto"/>
              </w:rPr>
            </w:pPr>
            <w:r>
              <w:rPr>
                <w:rFonts w:ascii="Arial" w:cs="Arial" w:eastAsia="Arial" w:hAnsi="Arial"/>
                <w:sz w:val="12"/>
                <w:szCs w:val="12"/>
                <w:color w:val="auto"/>
              </w:rPr>
              <w:t>87</w:t>
            </w:r>
          </w:p>
        </w:tc>
      </w:tr>
      <w:tr>
        <w:trPr>
          <w:trHeight w:val="129"/>
        </w:trPr>
        <w:tc>
          <w:tcPr>
            <w:tcW w:w="816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Controlled launch (Note 9)</w:t>
            </w: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563</w:t>
            </w: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r>
      <w:tr>
        <w:trPr>
          <w:trHeight w:val="129"/>
        </w:trPr>
        <w:tc>
          <w:tcPr>
            <w:tcW w:w="8160" w:type="dxa"/>
            <w:vAlign w:val="bottom"/>
            <w:tcBorders>
              <w:bottom w:val="single" w:sz="8" w:color="CCEEFF"/>
            </w:tcBorders>
          </w:tcPr>
          <w:p>
            <w:pPr>
              <w:spacing w:after="0" w:line="129" w:lineRule="exact"/>
              <w:rPr>
                <w:sz w:val="20"/>
                <w:szCs w:val="20"/>
                <w:color w:val="auto"/>
              </w:rPr>
            </w:pPr>
            <w:r>
              <w:rPr>
                <w:rFonts w:ascii="Arial" w:cs="Arial" w:eastAsia="Arial" w:hAnsi="Arial"/>
                <w:sz w:val="12"/>
                <w:szCs w:val="12"/>
                <w:color w:val="auto"/>
              </w:rPr>
              <w:t>Other</w:t>
            </w:r>
          </w:p>
        </w:tc>
        <w:tc>
          <w:tcPr>
            <w:tcW w:w="10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270</w:t>
            </w:r>
          </w:p>
        </w:tc>
        <w:tc>
          <w:tcPr>
            <w:tcW w:w="16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164</w:t>
            </w:r>
          </w:p>
        </w:tc>
      </w:tr>
      <w:tr>
        <w:trPr>
          <w:trHeight w:val="126"/>
        </w:trPr>
        <w:tc>
          <w:tcPr>
            <w:tcW w:w="8160" w:type="dxa"/>
            <w:vAlign w:val="bottom"/>
            <w:tcBorders>
              <w:bottom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Total accrued expenses</w:t>
            </w:r>
          </w:p>
        </w:tc>
        <w:tc>
          <w:tcPr>
            <w:tcW w:w="10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4,572</w:t>
            </w:r>
          </w:p>
        </w:tc>
        <w:tc>
          <w:tcPr>
            <w:tcW w:w="1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ind w:right="119"/>
              <w:spacing w:after="0" w:line="118" w:lineRule="exact"/>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5,326</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5. Goodwill</w:t>
      </w:r>
    </w:p>
    <w:p>
      <w:pPr>
        <w:spacing w:after="0" w:line="134" w:lineRule="exact"/>
        <w:rPr>
          <w:sz w:val="20"/>
          <w:szCs w:val="20"/>
          <w:color w:val="auto"/>
        </w:rPr>
      </w:pPr>
    </w:p>
    <w:p>
      <w:pPr>
        <w:jc w:val="both"/>
        <w:ind w:firstLine="248"/>
        <w:spacing w:after="0" w:line="300" w:lineRule="auto"/>
        <w:rPr>
          <w:sz w:val="20"/>
          <w:szCs w:val="20"/>
          <w:color w:val="auto"/>
        </w:rPr>
      </w:pPr>
      <w:r>
        <w:rPr>
          <w:rFonts w:ascii="Arial" w:cs="Arial" w:eastAsia="Arial" w:hAnsi="Arial"/>
          <w:sz w:val="11"/>
          <w:szCs w:val="11"/>
          <w:color w:val="auto"/>
        </w:rPr>
        <w:t xml:space="preserve">In 2014, the Company acquired three companies, ThelioPulse, Inc., BioElectroMed Corp. and NanoBlate Corp. (the acquisitions), for aggregate consideration of $5.5 million. In accordance with ASC Topic 805, </w:t>
      </w:r>
      <w:r>
        <w:rPr>
          <w:rFonts w:ascii="Arial" w:cs="Arial" w:eastAsia="Arial" w:hAnsi="Arial"/>
          <w:sz w:val="11"/>
          <w:szCs w:val="11"/>
          <w:i w:val="1"/>
          <w:iCs w:val="1"/>
          <w:color w:val="auto"/>
        </w:rPr>
        <w:t>Business</w:t>
      </w:r>
      <w:r>
        <w:rPr>
          <w:rFonts w:ascii="Arial" w:cs="Arial" w:eastAsia="Arial" w:hAnsi="Arial"/>
          <w:sz w:val="11"/>
          <w:szCs w:val="11"/>
          <w:color w:val="auto"/>
        </w:rPr>
        <w:t xml:space="preserve"> </w:t>
      </w:r>
      <w:r>
        <w:rPr>
          <w:rFonts w:ascii="Arial" w:cs="Arial" w:eastAsia="Arial" w:hAnsi="Arial"/>
          <w:sz w:val="11"/>
          <w:szCs w:val="11"/>
          <w:i w:val="1"/>
          <w:iCs w:val="1"/>
          <w:color w:val="auto"/>
        </w:rPr>
        <w:t>Combinations</w:t>
      </w:r>
      <w:r>
        <w:rPr>
          <w:rFonts w:ascii="Arial" w:cs="Arial" w:eastAsia="Arial" w:hAnsi="Arial"/>
          <w:sz w:val="11"/>
          <w:szCs w:val="11"/>
          <w:color w:val="auto"/>
        </w:rPr>
        <w:t>, the Company recorded goodwill of $2.8 million in connection with the acquisitions as the consideration paid exceeded the fair value of the net tangible assets and the intangible assets acquired.</w:t>
      </w:r>
    </w:p>
    <w:p>
      <w:pPr>
        <w:spacing w:after="0" w:line="80" w:lineRule="exact"/>
        <w:rPr>
          <w:sz w:val="20"/>
          <w:szCs w:val="20"/>
          <w:color w:val="auto"/>
        </w:rPr>
      </w:pPr>
    </w:p>
    <w:p>
      <w:pPr>
        <w:jc w:val="both"/>
        <w:ind w:firstLine="248"/>
        <w:spacing w:after="0" w:line="300" w:lineRule="auto"/>
        <w:rPr>
          <w:sz w:val="20"/>
          <w:szCs w:val="20"/>
          <w:color w:val="auto"/>
        </w:rPr>
      </w:pPr>
      <w:r>
        <w:rPr>
          <w:rFonts w:ascii="Arial" w:cs="Arial" w:eastAsia="Arial" w:hAnsi="Arial"/>
          <w:sz w:val="11"/>
          <w:szCs w:val="11"/>
          <w:color w:val="auto"/>
        </w:rPr>
        <w:t>The Company reviews goodwill for impairment at least annually or whenever changes in circumstances indicate that the carrying amount of goodwill may not be recoverable. Based on the Company’s annual impairment test as of December 31, 2020 the Company determined that no impairment of goodwill existed and was not aware of any indicators of impairment at such date. In addition, there were no indicators of impairment at June 30, 2021.</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6. Stockholders’ Equity and Stock-Based Compensation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Private Placement Securities Purchase Agreement</w:t>
      </w:r>
    </w:p>
    <w:p>
      <w:pPr>
        <w:spacing w:after="0" w:line="120"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On June 30, 2021, the Company entered into a Securities Purchase Agreement with Robert W. Duggan, the Company’s largest stockholder and Board Chairman, pursuant to which the Company issued and sold to Mr. Duggan 3,048,780 shares of the Company’s common stock, par value $0.001 per share, in a private placement (the “Private Placement”), at a price per share of $16.40, which was the market closing price on the date of the transaction. These shares were paid for through (i) the conversion of $41 million aggregate principal amount, together with all accrued and unpaid interest outstanding, owed to Mr. Duggan under the Loan Agreement by and between the Company and Mr. Duggan (Note 8), and (ii) cash in the amount of approximately $8.4 million. Upon the closing of this Private Placement and satisfaction of the outstanding debt, the Loan Agreement terminated, without any early termination fees or penalties being owed by the Company, and no additional amounts were owed to Mr. Duggan under the Loan Agreement. As of June 30, 2021, the Company had not yet received the approximately $8.4 million cash amount and recorded the balance as other receivable on the balance sheet. However, the cash proceeds from the sale were subsequently received by the Company in July 2021.</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2"/>
          <w:szCs w:val="12"/>
          <w:color w:val="auto"/>
        </w:rPr>
        <w:t>As of June 30, 2021, and after giving effect to this Private Placement, Mr. Duggan is the beneficial owner of approximately 51% of the Company’s outstanding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At-the-Market Equity Offering</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On February 4, 2021, the Company entered into a sales agreement (Sales Agreement) with Stifel, Nicolaus &amp; Company, Inc. (Stifel) as sales agent, pursuant to which the Company may offer and sell, from time to time, through Stifel, up to $60.0 million in shares of common stock, by any method permitted by law deemed to be an “at-the-market” offering as defined in Rule 415 promulgated under the Securities Act of 1933, as amended. The Company has no obligation to make any sales of its common stock pursuant to such Sales Agreement. During the six-month period ended June 30, 2021, the Company issued and sold 288,490 shares of common stock under the Sales Agreement. The shares were sold at a weighted average price of $27.73 per share for aggregate net proceeds of approximately $7.4 million, after deducting sales commissions and offering costs payable by the Company. During the three-month period ended June 30, 2021, the Company issued and sold 130,748 shares of common stock under the Sales Agreement. The shares were sold at a weighted average price of $19.82 per share for aggregate net proceeds of approximately $2.5 million, after deducting sales commissions and offering costs payable by the Company.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2" w:name="page13"/>
    <w:bookmarkEnd w:id="1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Rights Offering</w:t>
      </w:r>
    </w:p>
    <w:p>
      <w:pPr>
        <w:spacing w:after="0" w:line="120" w:lineRule="exact"/>
        <w:rPr>
          <w:sz w:val="20"/>
          <w:szCs w:val="20"/>
          <w:color w:val="auto"/>
        </w:rPr>
      </w:pPr>
    </w:p>
    <w:p>
      <w:pPr>
        <w:jc w:val="both"/>
        <w:ind w:right="20" w:firstLine="336"/>
        <w:spacing w:after="0" w:line="300" w:lineRule="auto"/>
        <w:rPr>
          <w:sz w:val="20"/>
          <w:szCs w:val="20"/>
          <w:color w:val="auto"/>
        </w:rPr>
      </w:pPr>
      <w:r>
        <w:rPr>
          <w:rFonts w:ascii="Arial" w:cs="Arial" w:eastAsia="Arial" w:hAnsi="Arial"/>
          <w:sz w:val="11"/>
          <w:szCs w:val="11"/>
          <w:color w:val="auto"/>
        </w:rPr>
        <w:t>In June 2020, the Company completed a rights offering to purchase up to $30 million of units, each unit consisting of one share of the Company’s common stock, par value $0.001 per share, and 0.15 warrants to purchase shares of common stock (the Units) at a price of $7.01 per Unit (the Rights Offering). The common stock and warrants comprising the Units separated upon the closing of the Rights Offering and were issued separately.</w:t>
      </w:r>
    </w:p>
    <w:p>
      <w:pPr>
        <w:spacing w:after="0" w:line="62" w:lineRule="exact"/>
        <w:rPr>
          <w:sz w:val="20"/>
          <w:szCs w:val="20"/>
          <w:color w:val="auto"/>
        </w:rPr>
      </w:pPr>
    </w:p>
    <w:p>
      <w:pPr>
        <w:jc w:val="both"/>
        <w:ind w:firstLine="336"/>
        <w:spacing w:after="0" w:line="233" w:lineRule="auto"/>
        <w:rPr>
          <w:sz w:val="20"/>
          <w:szCs w:val="20"/>
          <w:color w:val="auto"/>
        </w:rPr>
      </w:pPr>
      <w:r>
        <w:rPr>
          <w:rFonts w:ascii="Arial" w:cs="Arial" w:eastAsia="Arial" w:hAnsi="Arial"/>
          <w:sz w:val="12"/>
          <w:szCs w:val="12"/>
          <w:color w:val="auto"/>
        </w:rPr>
        <w:t>A total of 4,279,600 shares of common stock and 641,571 warrants (Rights Offering Warrants) were issued and sold in the Rights Offering for net proceeds of approximately $29.4 million. Each warrant was exercisable for one share of the Company’s common stock at an exercise price equal to $7.01, the subscription price for the Units. The Rights Offering Warrants were exercisable immediately and expired on the fifth anniversary of the completion of the Rights Offering, or June 16, 2025, subject to certain redemption rights by the Company. The Rights Offering Warrants were subject to redemption by the Company, on or after December 16, 2020, six months after the issue date, for $0.01 per warrant, with not less than 30 days written notice, if the volume weighted average price of our common stock equaled or exceeded 200% of the exercise price for the Rights Offering Warrants for 10 consecutive trading days.</w:t>
      </w:r>
    </w:p>
    <w:p>
      <w:pPr>
        <w:spacing w:after="0" w:line="9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Common Stock Warrants</w:t>
      </w:r>
    </w:p>
    <w:p>
      <w:pPr>
        <w:spacing w:after="0" w:line="130" w:lineRule="exact"/>
        <w:rPr>
          <w:sz w:val="20"/>
          <w:szCs w:val="20"/>
          <w:color w:val="auto"/>
        </w:rPr>
      </w:pPr>
    </w:p>
    <w:p>
      <w:pPr>
        <w:jc w:val="both"/>
        <w:ind w:firstLine="336"/>
        <w:spacing w:after="0" w:line="236" w:lineRule="auto"/>
        <w:rPr>
          <w:sz w:val="20"/>
          <w:szCs w:val="20"/>
          <w:color w:val="auto"/>
        </w:rPr>
      </w:pPr>
      <w:r>
        <w:rPr>
          <w:rFonts w:ascii="Arial" w:cs="Arial" w:eastAsia="Arial" w:hAnsi="Arial"/>
          <w:sz w:val="12"/>
          <w:szCs w:val="12"/>
          <w:color w:val="auto"/>
        </w:rPr>
        <w:t>In connection with a private placement in November 2014 of the Company’s common stock, par value $0.001 per share, the Company issued warrants as compensation to the placement agent to purchase a total of 299,625 shares of its common stock at an exercise price of $2.67 per share (Private Placement Warrants). The Private Placement Warrants are exercisable for period of seven years from issuance. In March 2021, warrants to purchase 45,638 shares of common stock were net exercised, resulting in the issuance of 40,563 shares of common stock. As of June 30, 2021, there were Private Placement Warrants to purchase up to 600 shares of common stock still outstanding.</w:t>
      </w:r>
    </w:p>
    <w:p>
      <w:pPr>
        <w:spacing w:after="0" w:line="112" w:lineRule="exact"/>
        <w:rPr>
          <w:sz w:val="20"/>
          <w:szCs w:val="20"/>
          <w:color w:val="auto"/>
        </w:rPr>
      </w:pPr>
    </w:p>
    <w:p>
      <w:pPr>
        <w:jc w:val="both"/>
        <w:ind w:firstLine="443"/>
        <w:spacing w:after="0" w:line="239" w:lineRule="auto"/>
        <w:rPr>
          <w:sz w:val="20"/>
          <w:szCs w:val="20"/>
          <w:color w:val="auto"/>
        </w:rPr>
      </w:pPr>
      <w:r>
        <w:rPr>
          <w:rFonts w:ascii="Arial" w:cs="Arial" w:eastAsia="Arial" w:hAnsi="Arial"/>
          <w:sz w:val="12"/>
          <w:szCs w:val="12"/>
          <w:color w:val="auto"/>
        </w:rPr>
        <w:t>In connection with the closing of the Company’s initial public offering in May 2016, the Company issued warrants as compensation to its underwriters, to purchase a total of 574,985 shares of its common stock at an exercise price of $5.00 per share (IPO Warrants). The IPO Warrants were exercisable for a period of five years from issuance. In March 2021, warrants to purchase 85,385 shares of common stock were net exercised, resulting in the issuance of 68,958 shares of common stock. As of June 30, 2021, there were no IPO Warrants outstanding.</w:t>
      </w:r>
    </w:p>
    <w:p>
      <w:pPr>
        <w:spacing w:after="0" w:line="104" w:lineRule="exact"/>
        <w:rPr>
          <w:sz w:val="20"/>
          <w:szCs w:val="20"/>
          <w:color w:val="auto"/>
        </w:rPr>
      </w:pPr>
    </w:p>
    <w:p>
      <w:pPr>
        <w:jc w:val="both"/>
        <w:ind w:right="20" w:firstLine="443"/>
        <w:spacing w:after="0" w:line="236" w:lineRule="auto"/>
        <w:rPr>
          <w:sz w:val="20"/>
          <w:szCs w:val="20"/>
          <w:color w:val="auto"/>
        </w:rPr>
      </w:pPr>
      <w:r>
        <w:rPr>
          <w:rFonts w:ascii="Arial" w:cs="Arial" w:eastAsia="Arial" w:hAnsi="Arial"/>
          <w:sz w:val="12"/>
          <w:szCs w:val="12"/>
          <w:color w:val="auto"/>
        </w:rPr>
        <w:t>In connection with the Rights Offering, the Company issued warrants to purchase a total of 641,571 shares of its common stock at an exercise price of $7.01. On December 31, 2020, the Company met the requirements for redemption of these warrants and delivered a notice of redemption to redeem all of the outstanding warrants that remained unexercised at February 5, 2021, for the redemption price of $0.01 per warrant. Pursuant to the redemption, the Company redeemed 5,139 warrants. Prior to the February 5, 2021 redemption date, 636,432 warrants were exercised, generating approximately $4.5 million of total gross proceeds to the Company. As of June 30, 2021, there were no Rights Offering Warrants outstanding.</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Plans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2017 Equity Incentive Plan and 2017 Inducement Equity Incentive Plan</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Board of Directors of the Company (the “Board”) previously adopted, and the Company’s stockholders approved, the Company’s 2017 Equity Incentive Plan (the “2017 Plan”).</w:t>
      </w:r>
    </w:p>
    <w:p>
      <w:pPr>
        <w:spacing w:after="0" w:line="130" w:lineRule="exact"/>
        <w:rPr>
          <w:sz w:val="20"/>
          <w:szCs w:val="20"/>
          <w:color w:val="auto"/>
        </w:rPr>
      </w:pPr>
    </w:p>
    <w:p>
      <w:pPr>
        <w:jc w:val="both"/>
        <w:ind w:firstLine="248"/>
        <w:spacing w:after="0" w:line="252" w:lineRule="auto"/>
        <w:rPr>
          <w:sz w:val="20"/>
          <w:szCs w:val="20"/>
          <w:color w:val="auto"/>
        </w:rPr>
      </w:pPr>
      <w:r>
        <w:rPr>
          <w:rFonts w:ascii="Arial" w:cs="Arial" w:eastAsia="Arial" w:hAnsi="Arial"/>
          <w:sz w:val="11"/>
          <w:szCs w:val="11"/>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may determine. Subject to an annual evergreen increase and adjustment in the case of certain capitalization events, the Company initially reserved 1,500,000 shares of the Company’s common stock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Effective January 1, 2021, the Company’s Board authorized an increase in the number of shares of common stock available under the 2017 Plan by 1,022,002 shares pursuant to the evergreen provision of the 2017 Plan. Pursuant to the 2017 Plan, the 2021 share increase is determined based on the least of (i) 1,200,000 shares, (ii) 4% of the Company’s common stock outstanding at December 31 of the immediately preceding year, or (iii) such number of shares as determined by the Board. As of June 30, 2021, 634,902 shares of common stock remained available for issuance under the 2017 Plan.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3" w:name="page14"/>
    <w:bookmarkEnd w:id="1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64" w:lineRule="exact"/>
        <w:rPr>
          <w:sz w:val="20"/>
          <w:szCs w:val="20"/>
          <w:color w:val="auto"/>
        </w:rPr>
      </w:pPr>
    </w:p>
    <w:p>
      <w:pPr>
        <w:jc w:val="both"/>
        <w:ind w:firstLine="248"/>
        <w:spacing w:after="0" w:line="254" w:lineRule="auto"/>
        <w:rPr>
          <w:sz w:val="20"/>
          <w:szCs w:val="20"/>
          <w:color w:val="auto"/>
        </w:rPr>
      </w:pPr>
      <w:r>
        <w:rPr>
          <w:rFonts w:ascii="Arial" w:cs="Arial" w:eastAsia="Arial" w:hAnsi="Arial"/>
          <w:sz w:val="11"/>
          <w:szCs w:val="11"/>
          <w:color w:val="auto"/>
        </w:rPr>
        <w:t>During November 2017, the Board adopted the 2017 Inducement Equity Incentive Plan (the “Inducement Plan”) and reserved 1,000,000 shares of the Company’s common stock for issuance pursuant to equity awards granted under the Inducement Plan. The Inducement Plan was adopted without stockholder approval. The Inducement Plan has a 10-year term, and provides for the grant of equity-based awards, including nonstatutory stock options, restricted stock units, restricted stock, stock appreciation rights, performance shares and performance units, and its terms are substantially similar to the 2017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per year starting upon the first anniversary of the grant. Equity-based awards issued under the Inducement Plan are only issuable to individuals not previously engaged as employees or as non-employee directors of the Company prior to the Inducement Plan’s adoption date. In May 2021, the Board approved an amendment to the Inducement Plan to reserve an additional 1,000,000 shares of the Company’s common stock for issuance pursuant to the Inducement Plan. As of June 30, 2021, 1,030,846 shares of common stock remained available for issuance under the Inducement Plan.</w:t>
      </w:r>
    </w:p>
    <w:p>
      <w:pPr>
        <w:spacing w:after="0" w:line="96" w:lineRule="exact"/>
        <w:rPr>
          <w:sz w:val="20"/>
          <w:szCs w:val="20"/>
          <w:color w:val="auto"/>
        </w:rPr>
      </w:pPr>
    </w:p>
    <w:p>
      <w:pPr>
        <w:jc w:val="both"/>
        <w:ind w:firstLine="301"/>
        <w:spacing w:after="0" w:line="300" w:lineRule="auto"/>
        <w:rPr>
          <w:sz w:val="20"/>
          <w:szCs w:val="20"/>
          <w:color w:val="auto"/>
        </w:rPr>
      </w:pPr>
      <w:r>
        <w:rPr>
          <w:rFonts w:ascii="Arial" w:cs="Arial" w:eastAsia="Arial" w:hAnsi="Arial"/>
          <w:sz w:val="11"/>
          <w:szCs w:val="11"/>
          <w:color w:val="auto"/>
        </w:rPr>
        <w:t>Certain stock options awarded to the Company’s executives and other key employees contain performance conditions related to certain financial measures and achievements of strategic/operational milestones (performance options). As of June 30, 2021, not all of the performance conditions are probable to be achieved. Compensation expense has only been recognized for those conditions that are assumed to be probable.</w:t>
      </w:r>
    </w:p>
    <w:p>
      <w:pPr>
        <w:spacing w:after="0" w:line="71"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During February 2021, Management and the Compensation Committee approved of a modification to certain vesting conditions of outstanding performance options. The Company had not recognized any compensation expense in relation to these performance options as the performance condition was previously deemed to be improbable. However, upon modification those specific performance conditions are now deemed probable and fully vested. As such, during the six-month period ended June 30, 2021, the full expense in relation to the amended performance conditions was recognized resulting in $4.2 million of additional stock-compensation expense.</w:t>
      </w:r>
    </w:p>
    <w:p>
      <w:pPr>
        <w:spacing w:after="0" w:line="8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A summary of stock option activity under the 2015 Plan, 2017 Plan and Inducement Plan for the six-months ended June 30, 2021 is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5340" w:type="dxa"/>
            <w:vAlign w:val="bottom"/>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tcPr>
          <w:p>
            <w:pPr>
              <w:jc w:val="right"/>
              <w:ind w:right="409"/>
              <w:spacing w:after="0"/>
              <w:rPr>
                <w:sz w:val="20"/>
                <w:szCs w:val="20"/>
                <w:color w:val="auto"/>
              </w:rPr>
            </w:pPr>
            <w:r>
              <w:rPr>
                <w:rFonts w:ascii="Arial" w:cs="Arial" w:eastAsia="Arial" w:hAnsi="Arial"/>
                <w:sz w:val="10"/>
                <w:szCs w:val="10"/>
                <w:b w:val="1"/>
                <w:bCs w:val="1"/>
                <w:color w:val="auto"/>
              </w:rPr>
              <w:t>Stock Options Outstanding</w:t>
            </w:r>
          </w:p>
        </w:tc>
        <w:tc>
          <w:tcPr>
            <w:tcW w:w="1940" w:type="dxa"/>
            <w:vAlign w:val="bottom"/>
            <w:tcBorders>
              <w:bottom w:val="single" w:sz="8" w:color="auto"/>
            </w:tcBorders>
          </w:tcPr>
          <w:p>
            <w:pPr>
              <w:spacing w:after="0"/>
              <w:rPr>
                <w:sz w:val="10"/>
                <w:szCs w:val="10"/>
                <w:color w:val="auto"/>
              </w:rPr>
            </w:pPr>
          </w:p>
        </w:tc>
      </w:tr>
      <w:tr>
        <w:trPr>
          <w:trHeight w:val="76"/>
        </w:trPr>
        <w:tc>
          <w:tcPr>
            <w:tcW w:w="534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940" w:type="dxa"/>
            <w:vAlign w:val="bottom"/>
          </w:tcPr>
          <w:p>
            <w:pPr>
              <w:jc w:val="center"/>
              <w:ind w:right="367"/>
              <w:spacing w:after="0" w:line="76" w:lineRule="exact"/>
              <w:rPr>
                <w:sz w:val="20"/>
                <w:szCs w:val="20"/>
                <w:color w:val="auto"/>
              </w:rPr>
            </w:pPr>
            <w:r>
              <w:rPr>
                <w:rFonts w:ascii="Arial" w:cs="Arial" w:eastAsia="Arial" w:hAnsi="Arial"/>
                <w:sz w:val="7"/>
                <w:szCs w:val="7"/>
                <w:b w:val="1"/>
                <w:bCs w:val="1"/>
                <w:color w:val="auto"/>
              </w:rPr>
              <w:t>Weighted</w:t>
            </w:r>
          </w:p>
        </w:tc>
      </w:tr>
      <w:tr>
        <w:trPr>
          <w:trHeight w:val="101"/>
        </w:trPr>
        <w:tc>
          <w:tcPr>
            <w:tcW w:w="5340" w:type="dxa"/>
            <w:vAlign w:val="bottom"/>
          </w:tcPr>
          <w:p>
            <w:pPr>
              <w:spacing w:after="0"/>
              <w:rPr>
                <w:sz w:val="8"/>
                <w:szCs w:val="8"/>
                <w:color w:val="auto"/>
              </w:rPr>
            </w:pPr>
          </w:p>
        </w:tc>
        <w:tc>
          <w:tcPr>
            <w:tcW w:w="2080" w:type="dxa"/>
            <w:vAlign w:val="bottom"/>
          </w:tcPr>
          <w:p>
            <w:pPr>
              <w:ind w:left="1360"/>
              <w:spacing w:after="0" w:line="102" w:lineRule="exact"/>
              <w:rPr>
                <w:sz w:val="20"/>
                <w:szCs w:val="20"/>
                <w:color w:val="auto"/>
              </w:rPr>
            </w:pPr>
            <w:r>
              <w:rPr>
                <w:rFonts w:ascii="Arial" w:cs="Arial" w:eastAsia="Arial" w:hAnsi="Arial"/>
                <w:sz w:val="10"/>
                <w:szCs w:val="10"/>
                <w:b w:val="1"/>
                <w:bCs w:val="1"/>
                <w:color w:val="auto"/>
              </w:rPr>
              <w:t>Number</w:t>
            </w: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940" w:type="dxa"/>
            <w:vAlign w:val="bottom"/>
          </w:tcPr>
          <w:p>
            <w:pPr>
              <w:jc w:val="center"/>
              <w:ind w:right="347"/>
              <w:spacing w:after="0" w:line="102" w:lineRule="exact"/>
              <w:rPr>
                <w:sz w:val="20"/>
                <w:szCs w:val="20"/>
                <w:color w:val="auto"/>
              </w:rPr>
            </w:pPr>
            <w:r>
              <w:rPr>
                <w:rFonts w:ascii="Arial" w:cs="Arial" w:eastAsia="Arial" w:hAnsi="Arial"/>
                <w:sz w:val="10"/>
                <w:szCs w:val="10"/>
                <w:b w:val="1"/>
                <w:bCs w:val="1"/>
                <w:color w:val="auto"/>
                <w:w w:val="89"/>
              </w:rPr>
              <w:t>average</w:t>
            </w:r>
          </w:p>
        </w:tc>
      </w:tr>
      <w:tr>
        <w:trPr>
          <w:trHeight w:val="116"/>
        </w:trPr>
        <w:tc>
          <w:tcPr>
            <w:tcW w:w="5340" w:type="dxa"/>
            <w:vAlign w:val="bottom"/>
            <w:tcBorders>
              <w:bottom w:val="single" w:sz="8" w:color="CCEEFF"/>
            </w:tcBorders>
          </w:tcPr>
          <w:p>
            <w:pPr>
              <w:spacing w:after="0"/>
              <w:rPr>
                <w:sz w:val="10"/>
                <w:szCs w:val="10"/>
                <w:color w:val="auto"/>
              </w:rPr>
            </w:pPr>
          </w:p>
        </w:tc>
        <w:tc>
          <w:tcPr>
            <w:tcW w:w="2080" w:type="dxa"/>
            <w:vAlign w:val="bottom"/>
            <w:tcBorders>
              <w:bottom w:val="single" w:sz="8" w:color="auto"/>
            </w:tcBorders>
          </w:tcPr>
          <w:p>
            <w:pPr>
              <w:ind w:left="1360"/>
              <w:spacing w:after="0"/>
              <w:rPr>
                <w:sz w:val="20"/>
                <w:szCs w:val="20"/>
                <w:color w:val="auto"/>
              </w:rPr>
            </w:pPr>
            <w:r>
              <w:rPr>
                <w:rFonts w:ascii="Arial" w:cs="Arial" w:eastAsia="Arial" w:hAnsi="Arial"/>
                <w:sz w:val="10"/>
                <w:szCs w:val="10"/>
                <w:b w:val="1"/>
                <w:bCs w:val="1"/>
                <w:color w:val="auto"/>
              </w:rPr>
              <w:t>of shares</w:t>
            </w:r>
          </w:p>
        </w:tc>
        <w:tc>
          <w:tcPr>
            <w:tcW w:w="1020" w:type="dxa"/>
            <w:vAlign w:val="bottom"/>
            <w:tcBorders>
              <w:bottom w:val="single" w:sz="8" w:color="auto"/>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jc w:val="center"/>
              <w:ind w:right="347"/>
              <w:spacing w:after="0"/>
              <w:rPr>
                <w:sz w:val="20"/>
                <w:szCs w:val="20"/>
                <w:color w:val="auto"/>
              </w:rPr>
            </w:pPr>
            <w:r>
              <w:rPr>
                <w:rFonts w:ascii="Arial" w:cs="Arial" w:eastAsia="Arial" w:hAnsi="Arial"/>
                <w:sz w:val="10"/>
                <w:szCs w:val="10"/>
                <w:b w:val="1"/>
                <w:bCs w:val="1"/>
                <w:color w:val="auto"/>
                <w:w w:val="86"/>
              </w:rPr>
              <w:t>exercise price</w:t>
            </w:r>
          </w:p>
        </w:tc>
      </w:tr>
      <w:tr>
        <w:trPr>
          <w:trHeight w:val="118"/>
        </w:trPr>
        <w:tc>
          <w:tcPr>
            <w:tcW w:w="534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Balances — December 31, 2020</w:t>
            </w:r>
          </w:p>
        </w:tc>
        <w:tc>
          <w:tcPr>
            <w:tcW w:w="20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5,039,194</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1940" w:type="dxa"/>
            <w:vAlign w:val="bottom"/>
            <w:shd w:val="clear" w:color="auto" w:fill="CCEEFF"/>
          </w:tcPr>
          <w:p>
            <w:pPr>
              <w:jc w:val="right"/>
              <w:spacing w:after="0" w:line="118" w:lineRule="exact"/>
              <w:rPr>
                <w:sz w:val="20"/>
                <w:szCs w:val="20"/>
                <w:color w:val="auto"/>
              </w:rPr>
            </w:pPr>
            <w:r>
              <w:rPr>
                <w:rFonts w:ascii="Arial" w:cs="Arial" w:eastAsia="Arial" w:hAnsi="Arial"/>
                <w:sz w:val="12"/>
                <w:szCs w:val="12"/>
                <w:color w:val="auto"/>
              </w:rPr>
              <w:t>14.26</w:t>
            </w:r>
          </w:p>
        </w:tc>
      </w:tr>
      <w:tr>
        <w:trPr>
          <w:trHeight w:val="129"/>
        </w:trPr>
        <w:tc>
          <w:tcPr>
            <w:tcW w:w="7420" w:type="dxa"/>
            <w:vAlign w:val="bottom"/>
            <w:gridSpan w:val="2"/>
          </w:tcPr>
          <w:p>
            <w:pPr>
              <w:spacing w:after="0" w:line="129" w:lineRule="exact"/>
              <w:rPr>
                <w:sz w:val="20"/>
                <w:szCs w:val="20"/>
                <w:color w:val="auto"/>
              </w:rPr>
            </w:pPr>
            <w:r>
              <w:rPr>
                <w:rFonts w:ascii="Arial" w:cs="Arial" w:eastAsia="Arial" w:hAnsi="Arial"/>
                <w:sz w:val="12"/>
                <w:szCs w:val="12"/>
                <w:color w:val="auto"/>
              </w:rPr>
              <w:t>Options granted</w:t>
            </w:r>
          </w:p>
        </w:tc>
        <w:tc>
          <w:tcPr>
            <w:tcW w:w="1020" w:type="dxa"/>
            <w:vAlign w:val="bottom"/>
          </w:tcPr>
          <w:p>
            <w:pPr>
              <w:jc w:val="right"/>
              <w:spacing w:after="0" w:line="129" w:lineRule="exact"/>
              <w:rPr>
                <w:sz w:val="20"/>
                <w:szCs w:val="20"/>
                <w:color w:val="auto"/>
              </w:rPr>
            </w:pPr>
            <w:r>
              <w:rPr>
                <w:rFonts w:ascii="Arial" w:cs="Arial" w:eastAsia="Arial" w:hAnsi="Arial"/>
                <w:sz w:val="12"/>
                <w:szCs w:val="12"/>
                <w:color w:val="auto"/>
              </w:rPr>
              <w:t>976,078</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29"/>
        </w:trPr>
        <w:tc>
          <w:tcPr>
            <w:tcW w:w="74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Options exercised</w:t>
            </w:r>
          </w:p>
        </w:tc>
        <w:tc>
          <w:tcPr>
            <w:tcW w:w="118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(44,981)</w:t>
            </w: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r>
      <w:tr>
        <w:trPr>
          <w:trHeight w:val="129"/>
        </w:trPr>
        <w:tc>
          <w:tcPr>
            <w:tcW w:w="7420" w:type="dxa"/>
            <w:vAlign w:val="bottom"/>
            <w:gridSpan w:val="2"/>
          </w:tcPr>
          <w:p>
            <w:pPr>
              <w:spacing w:after="0" w:line="129" w:lineRule="exact"/>
              <w:rPr>
                <w:sz w:val="20"/>
                <w:szCs w:val="20"/>
                <w:color w:val="auto"/>
              </w:rPr>
            </w:pPr>
            <w:r>
              <w:rPr>
                <w:rFonts w:ascii="Arial" w:cs="Arial" w:eastAsia="Arial" w:hAnsi="Arial"/>
                <w:sz w:val="12"/>
                <w:szCs w:val="12"/>
                <w:color w:val="auto"/>
              </w:rPr>
              <w:t>Options canceled</w:t>
            </w:r>
          </w:p>
        </w:tc>
        <w:tc>
          <w:tcPr>
            <w:tcW w:w="1180" w:type="dxa"/>
            <w:vAlign w:val="bottom"/>
            <w:gridSpan w:val="2"/>
          </w:tcPr>
          <w:p>
            <w:pPr>
              <w:jc w:val="right"/>
              <w:ind w:right="160"/>
              <w:spacing w:after="0" w:line="129" w:lineRule="exact"/>
              <w:rPr>
                <w:sz w:val="20"/>
                <w:szCs w:val="20"/>
                <w:color w:val="auto"/>
              </w:rPr>
            </w:pPr>
            <w:r>
              <w:rPr>
                <w:rFonts w:ascii="Arial" w:cs="Arial" w:eastAsia="Arial" w:hAnsi="Arial"/>
                <w:sz w:val="12"/>
                <w:szCs w:val="12"/>
                <w:color w:val="auto"/>
              </w:rPr>
              <w:t>(80,029)</w:t>
            </w:r>
          </w:p>
        </w:tc>
        <w:tc>
          <w:tcPr>
            <w:tcW w:w="760" w:type="dxa"/>
            <w:vAlign w:val="bottom"/>
          </w:tcPr>
          <w:p>
            <w:pPr>
              <w:spacing w:after="0"/>
              <w:rPr>
                <w:sz w:val="11"/>
                <w:szCs w:val="11"/>
                <w:color w:val="auto"/>
              </w:rPr>
            </w:pPr>
          </w:p>
        </w:tc>
        <w:tc>
          <w:tcPr>
            <w:tcW w:w="1940" w:type="dxa"/>
            <w:vAlign w:val="bottom"/>
          </w:tcPr>
          <w:p>
            <w:pPr>
              <w:spacing w:after="0"/>
              <w:rPr>
                <w:sz w:val="11"/>
                <w:szCs w:val="11"/>
                <w:color w:val="auto"/>
              </w:rPr>
            </w:pPr>
          </w:p>
        </w:tc>
      </w:tr>
      <w:tr>
        <w:trPr>
          <w:trHeight w:val="129"/>
        </w:trPr>
        <w:tc>
          <w:tcPr>
            <w:tcW w:w="742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Options expired</w:t>
            </w:r>
          </w:p>
        </w:tc>
        <w:tc>
          <w:tcPr>
            <w:tcW w:w="118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2"/>
                <w:szCs w:val="12"/>
                <w:color w:val="auto"/>
              </w:rPr>
              <w:t>(62,738)</w:t>
            </w:r>
          </w:p>
        </w:tc>
        <w:tc>
          <w:tcPr>
            <w:tcW w:w="76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r>
      <w:tr>
        <w:trPr>
          <w:trHeight w:val="126"/>
        </w:trPr>
        <w:tc>
          <w:tcPr>
            <w:tcW w:w="5340" w:type="dxa"/>
            <w:vAlign w:val="bottom"/>
            <w:tcBorders>
              <w:bottom w:val="single" w:sz="8" w:color="CCEEFF"/>
            </w:tcBorders>
          </w:tcPr>
          <w:p>
            <w:pPr>
              <w:spacing w:after="0" w:line="118" w:lineRule="exact"/>
              <w:rPr>
                <w:sz w:val="20"/>
                <w:szCs w:val="20"/>
                <w:color w:val="auto"/>
              </w:rPr>
            </w:pPr>
            <w:r>
              <w:rPr>
                <w:rFonts w:ascii="Arial" w:cs="Arial" w:eastAsia="Arial" w:hAnsi="Arial"/>
                <w:sz w:val="12"/>
                <w:szCs w:val="12"/>
                <w:color w:val="auto"/>
              </w:rPr>
              <w:t>Balances — June 30, 2021</w:t>
            </w:r>
          </w:p>
        </w:tc>
        <w:tc>
          <w:tcPr>
            <w:tcW w:w="2080" w:type="dxa"/>
            <w:vAlign w:val="bottom"/>
            <w:tcBorders>
              <w:top w:val="single" w:sz="8" w:color="auto"/>
              <w:bottom w:val="single" w:sz="8" w:color="auto"/>
            </w:tcBorders>
          </w:tcPr>
          <w:p>
            <w:pPr>
              <w:spacing w:after="0"/>
              <w:rPr>
                <w:sz w:val="10"/>
                <w:szCs w:val="10"/>
                <w:color w:val="auto"/>
              </w:rPr>
            </w:pPr>
          </w:p>
        </w:tc>
        <w:tc>
          <w:tcPr>
            <w:tcW w:w="102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5,827,524</w:t>
            </w:r>
          </w:p>
        </w:tc>
        <w:tc>
          <w:tcPr>
            <w:tcW w:w="16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jc w:val="right"/>
              <w:ind w:right="649"/>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CCEEFF"/>
            </w:tcBorders>
          </w:tcPr>
          <w:p>
            <w:pPr>
              <w:jc w:val="right"/>
              <w:spacing w:after="0" w:line="118" w:lineRule="exact"/>
              <w:rPr>
                <w:sz w:val="20"/>
                <w:szCs w:val="20"/>
                <w:color w:val="auto"/>
              </w:rPr>
            </w:pPr>
            <w:r>
              <w:rPr>
                <w:rFonts w:ascii="Arial" w:cs="Arial" w:eastAsia="Arial" w:hAnsi="Arial"/>
                <w:sz w:val="12"/>
                <w:szCs w:val="12"/>
                <w:color w:val="auto"/>
              </w:rPr>
              <w:t>15.64</w:t>
            </w:r>
          </w:p>
        </w:tc>
      </w:tr>
      <w:tr>
        <w:trPr>
          <w:trHeight w:val="137"/>
        </w:trPr>
        <w:tc>
          <w:tcPr>
            <w:tcW w:w="53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2"/>
                <w:szCs w:val="12"/>
                <w:color w:val="auto"/>
              </w:rPr>
              <w:t>Exercisable — June 30, 2021</w:t>
            </w:r>
          </w:p>
        </w:tc>
        <w:tc>
          <w:tcPr>
            <w:tcW w:w="208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3,042,982</w:t>
            </w:r>
          </w:p>
        </w:tc>
        <w:tc>
          <w:tcPr>
            <w:tcW w:w="1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jc w:val="right"/>
              <w:ind w:right="649"/>
              <w:spacing w:after="0"/>
              <w:rPr>
                <w:sz w:val="20"/>
                <w:szCs w:val="20"/>
                <w:color w:val="auto"/>
              </w:rPr>
            </w:pPr>
            <w:r>
              <w:rPr>
                <w:rFonts w:ascii="Arial" w:cs="Arial" w:eastAsia="Arial" w:hAnsi="Arial"/>
                <w:sz w:val="10"/>
                <w:szCs w:val="10"/>
                <w:color w:val="auto"/>
                <w:w w:val="71"/>
              </w:rPr>
              <w:t>$</w:t>
            </w:r>
          </w:p>
        </w:tc>
        <w:tc>
          <w:tcPr>
            <w:tcW w:w="194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16.00</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2017 Employee Stock Purchase Plan</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The Board previously adopted and the stockholders approved the Company’s 2017 Employee Stock Purchase Plan (the “2017 ESPP”).</w:t>
      </w:r>
    </w:p>
    <w:p>
      <w:pPr>
        <w:spacing w:after="0" w:line="120" w:lineRule="exact"/>
        <w:rPr>
          <w:sz w:val="20"/>
          <w:szCs w:val="20"/>
          <w:color w:val="auto"/>
        </w:rPr>
      </w:pPr>
    </w:p>
    <w:p>
      <w:pPr>
        <w:jc w:val="both"/>
        <w:ind w:firstLine="248"/>
        <w:spacing w:after="0" w:line="232" w:lineRule="auto"/>
        <w:rPr>
          <w:sz w:val="20"/>
          <w:szCs w:val="20"/>
          <w:color w:val="auto"/>
        </w:rPr>
      </w:pPr>
      <w:r>
        <w:rPr>
          <w:rFonts w:ascii="Arial" w:cs="Arial" w:eastAsia="Arial" w:hAnsi="Arial"/>
          <w:sz w:val="12"/>
          <w:szCs w:val="12"/>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2017 ESPP. Pursuant to the 2017 ESPP, the annual share increase pursuant to the evergreen provision is determined based on the least of (i) 450,000 shares, (ii) 1.5% of the Company’s common stock outstanding at December 31 of the immediately preceding year, or (iii) such number of shares as determined by the Board. Effective January 1, 2021, pursuant to the evergreen provision of the 2017 ESPP, the number of shares of common stock available under the 2017 ESPP was increased by 383,250 shares. During the six-month period ended June 30, 2021, the Company issued 66,525 shares of common stock under the 2017 ESPP. As of June 30, 2021, 673,949 shares of common stock remained available for issuance under the 2017 ESPP.</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4" w:name="page15"/>
    <w:bookmarkEnd w:id="1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Total stock-based compensation expense consisted of the following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20" w:type="dxa"/>
            <w:vAlign w:val="bottom"/>
            <w:gridSpan w:val="4"/>
          </w:tcPr>
          <w:p>
            <w:pPr>
              <w:jc w:val="right"/>
              <w:ind w:right="149"/>
              <w:spacing w:after="0"/>
              <w:rPr>
                <w:sz w:val="20"/>
                <w:szCs w:val="20"/>
                <w:color w:val="auto"/>
              </w:rPr>
            </w:pPr>
            <w:r>
              <w:rPr>
                <w:rFonts w:ascii="Arial" w:cs="Arial" w:eastAsia="Arial" w:hAnsi="Arial"/>
                <w:sz w:val="10"/>
                <w:szCs w:val="10"/>
                <w:b w:val="1"/>
                <w:bCs w:val="1"/>
                <w:color w:val="auto"/>
              </w:rPr>
              <w:t>Three-Month Periods Ended</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60" w:type="dxa"/>
            <w:vAlign w:val="bottom"/>
            <w:gridSpan w:val="4"/>
          </w:tcPr>
          <w:p>
            <w:pPr>
              <w:jc w:val="right"/>
              <w:ind w:right="254"/>
              <w:spacing w:after="0"/>
              <w:rPr>
                <w:sz w:val="20"/>
                <w:szCs w:val="20"/>
                <w:color w:val="auto"/>
              </w:rPr>
            </w:pPr>
            <w:r>
              <w:rPr>
                <w:rFonts w:ascii="Arial" w:cs="Arial" w:eastAsia="Arial" w:hAnsi="Arial"/>
                <w:sz w:val="10"/>
                <w:szCs w:val="10"/>
                <w:b w:val="1"/>
                <w:bCs w:val="1"/>
                <w:color w:val="auto"/>
                <w:w w:val="87"/>
              </w:rPr>
              <w:t>Six-Month Periods Ended</w:t>
            </w:r>
          </w:p>
        </w:tc>
        <w:tc>
          <w:tcPr>
            <w:tcW w:w="400" w:type="dxa"/>
            <w:vAlign w:val="bottom"/>
          </w:tcPr>
          <w:p>
            <w:pPr>
              <w:spacing w:after="0"/>
              <w:rPr>
                <w:sz w:val="10"/>
                <w:szCs w:val="10"/>
                <w:color w:val="auto"/>
              </w:rPr>
            </w:pPr>
          </w:p>
        </w:tc>
      </w:tr>
      <w:tr>
        <w:trPr>
          <w:trHeight w:val="116"/>
        </w:trPr>
        <w:tc>
          <w:tcPr>
            <w:tcW w:w="424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589"/>
              <w:spacing w:after="0"/>
              <w:rPr>
                <w:sz w:val="20"/>
                <w:szCs w:val="20"/>
                <w:color w:val="auto"/>
              </w:rPr>
            </w:pPr>
            <w:r>
              <w:rPr>
                <w:rFonts w:ascii="Arial" w:cs="Arial" w:eastAsia="Arial" w:hAnsi="Arial"/>
                <w:sz w:val="10"/>
                <w:szCs w:val="10"/>
                <w:b w:val="1"/>
                <w:bCs w:val="1"/>
                <w:color w:val="auto"/>
              </w:rPr>
              <w:t>June 30,</w:t>
            </w:r>
          </w:p>
        </w:tc>
        <w:tc>
          <w:tcPr>
            <w:tcW w:w="4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0"/>
                <w:szCs w:val="10"/>
                <w:b w:val="1"/>
                <w:bCs w:val="1"/>
                <w:color w:val="auto"/>
              </w:rPr>
              <w:t>June 30,</w:t>
            </w:r>
          </w:p>
        </w:tc>
        <w:tc>
          <w:tcPr>
            <w:tcW w:w="400" w:type="dxa"/>
            <w:vAlign w:val="bottom"/>
            <w:tcBorders>
              <w:bottom w:val="single" w:sz="8" w:color="auto"/>
            </w:tcBorders>
          </w:tcPr>
          <w:p>
            <w:pPr>
              <w:spacing w:after="0"/>
              <w:rPr>
                <w:sz w:val="10"/>
                <w:szCs w:val="10"/>
                <w:color w:val="auto"/>
              </w:rPr>
            </w:pPr>
          </w:p>
        </w:tc>
      </w:tr>
      <w:tr>
        <w:trPr>
          <w:trHeight w:val="91"/>
        </w:trPr>
        <w:tc>
          <w:tcPr>
            <w:tcW w:w="4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740" w:type="dxa"/>
            <w:vAlign w:val="bottom"/>
          </w:tcPr>
          <w:p>
            <w:pPr>
              <w:jc w:val="right"/>
              <w:ind w:right="10"/>
              <w:spacing w:after="0" w:line="91" w:lineRule="exact"/>
              <w:rPr>
                <w:sz w:val="20"/>
                <w:szCs w:val="20"/>
                <w:color w:val="auto"/>
              </w:rPr>
            </w:pPr>
            <w:r>
              <w:rPr>
                <w:rFonts w:ascii="Arial" w:cs="Arial" w:eastAsia="Arial" w:hAnsi="Arial"/>
                <w:sz w:val="10"/>
                <w:szCs w:val="10"/>
                <w:b w:val="1"/>
                <w:bCs w:val="1"/>
                <w:color w:val="auto"/>
              </w:rPr>
              <w:t>2021</w:t>
            </w:r>
          </w:p>
        </w:tc>
        <w:tc>
          <w:tcPr>
            <w:tcW w:w="400" w:type="dxa"/>
            <w:vAlign w:val="bottom"/>
          </w:tcPr>
          <w:p>
            <w:pPr>
              <w:spacing w:after="0"/>
              <w:rPr>
                <w:sz w:val="7"/>
                <w:szCs w:val="7"/>
                <w:color w:val="auto"/>
              </w:rPr>
            </w:pPr>
          </w:p>
        </w:tc>
        <w:tc>
          <w:tcPr>
            <w:tcW w:w="880" w:type="dxa"/>
            <w:vAlign w:val="bottom"/>
            <w:gridSpan w:val="2"/>
          </w:tcPr>
          <w:p>
            <w:pPr>
              <w:jc w:val="right"/>
              <w:ind w:right="29"/>
              <w:spacing w:after="0" w:line="91" w:lineRule="exact"/>
              <w:rPr>
                <w:sz w:val="20"/>
                <w:szCs w:val="20"/>
                <w:color w:val="auto"/>
              </w:rPr>
            </w:pPr>
            <w:r>
              <w:rPr>
                <w:rFonts w:ascii="Arial" w:cs="Arial" w:eastAsia="Arial" w:hAnsi="Arial"/>
                <w:sz w:val="10"/>
                <w:szCs w:val="10"/>
                <w:b w:val="1"/>
                <w:bCs w:val="1"/>
                <w:color w:val="auto"/>
              </w:rPr>
              <w:t>2020</w:t>
            </w: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jc w:val="right"/>
              <w:spacing w:after="0" w:line="91" w:lineRule="exact"/>
              <w:rPr>
                <w:sz w:val="20"/>
                <w:szCs w:val="20"/>
                <w:color w:val="auto"/>
              </w:rPr>
            </w:pPr>
            <w:r>
              <w:rPr>
                <w:rFonts w:ascii="Arial" w:cs="Arial" w:eastAsia="Arial" w:hAnsi="Arial"/>
                <w:sz w:val="10"/>
                <w:szCs w:val="10"/>
                <w:b w:val="1"/>
                <w:bCs w:val="1"/>
                <w:color w:val="auto"/>
              </w:rPr>
              <w:t>2021</w:t>
            </w: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tcPr>
          <w:p>
            <w:pPr>
              <w:jc w:val="right"/>
              <w:ind w:right="54"/>
              <w:spacing w:after="0" w:line="91" w:lineRule="exact"/>
              <w:rPr>
                <w:sz w:val="20"/>
                <w:szCs w:val="20"/>
                <w:color w:val="auto"/>
              </w:rPr>
            </w:pPr>
            <w:r>
              <w:rPr>
                <w:rFonts w:ascii="Arial" w:cs="Arial" w:eastAsia="Arial" w:hAnsi="Arial"/>
                <w:sz w:val="10"/>
                <w:szCs w:val="10"/>
                <w:b w:val="1"/>
                <w:bCs w:val="1"/>
                <w:color w:val="auto"/>
              </w:rPr>
              <w:t>2020</w:t>
            </w:r>
          </w:p>
        </w:tc>
        <w:tc>
          <w:tcPr>
            <w:tcW w:w="400" w:type="dxa"/>
            <w:vAlign w:val="bottom"/>
          </w:tcPr>
          <w:p>
            <w:pPr>
              <w:spacing w:after="0"/>
              <w:rPr>
                <w:sz w:val="7"/>
                <w:szCs w:val="7"/>
                <w:color w:val="auto"/>
              </w:rPr>
            </w:pPr>
          </w:p>
        </w:tc>
      </w:tr>
      <w:tr>
        <w:trPr>
          <w:trHeight w:val="118"/>
        </w:trPr>
        <w:tc>
          <w:tcPr>
            <w:tcW w:w="424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2"/>
                <w:szCs w:val="12"/>
                <w:color w:val="auto"/>
              </w:rPr>
              <w:t>Research and development</w:t>
            </w:r>
          </w:p>
        </w:tc>
        <w:tc>
          <w:tcPr>
            <w:tcW w:w="20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ind w:right="630"/>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1,002</w:t>
            </w:r>
          </w:p>
        </w:tc>
        <w:tc>
          <w:tcPr>
            <w:tcW w:w="1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ind w:right="629"/>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897</w:t>
            </w: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ind w:right="56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ind w:right="3"/>
              <w:spacing w:after="0" w:line="118" w:lineRule="exact"/>
              <w:rPr>
                <w:sz w:val="20"/>
                <w:szCs w:val="20"/>
                <w:color w:val="auto"/>
              </w:rPr>
            </w:pPr>
            <w:r>
              <w:rPr>
                <w:rFonts w:ascii="Arial" w:cs="Arial" w:eastAsia="Arial" w:hAnsi="Arial"/>
                <w:sz w:val="12"/>
                <w:szCs w:val="12"/>
                <w:color w:val="auto"/>
              </w:rPr>
              <w:t>4,168</w:t>
            </w: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ind w:right="674"/>
              <w:spacing w:after="0"/>
              <w:rPr>
                <w:sz w:val="20"/>
                <w:szCs w:val="20"/>
                <w:color w:val="auto"/>
              </w:rPr>
            </w:pPr>
            <w:r>
              <w:rPr>
                <w:rFonts w:ascii="Arial" w:cs="Arial" w:eastAsia="Arial" w:hAnsi="Arial"/>
                <w:sz w:val="5"/>
                <w:szCs w:val="5"/>
                <w:color w:val="auto"/>
                <w:w w:val="70"/>
              </w:rPr>
              <w:t>$</w:t>
            </w:r>
          </w:p>
        </w:tc>
        <w:tc>
          <w:tcPr>
            <w:tcW w:w="400" w:type="dxa"/>
            <w:vAlign w:val="bottom"/>
            <w:tcBorders>
              <w:top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1,774</w:t>
            </w:r>
          </w:p>
        </w:tc>
      </w:tr>
      <w:tr>
        <w:trPr>
          <w:trHeight w:val="129"/>
        </w:trPr>
        <w:tc>
          <w:tcPr>
            <w:tcW w:w="4240" w:type="dxa"/>
            <w:vAlign w:val="bottom"/>
          </w:tcPr>
          <w:p>
            <w:pPr>
              <w:spacing w:after="0" w:line="129" w:lineRule="exact"/>
              <w:rPr>
                <w:sz w:val="20"/>
                <w:szCs w:val="20"/>
                <w:color w:val="auto"/>
              </w:rPr>
            </w:pPr>
            <w:r>
              <w:rPr>
                <w:rFonts w:ascii="Arial" w:cs="Arial" w:eastAsia="Arial" w:hAnsi="Arial"/>
                <w:sz w:val="12"/>
                <w:szCs w:val="12"/>
                <w:color w:val="auto"/>
              </w:rPr>
              <w:t>Sales and marketing</w:t>
            </w:r>
          </w:p>
        </w:tc>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2"/>
                <w:szCs w:val="12"/>
                <w:color w:val="auto"/>
              </w:rPr>
              <w:t>500</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2"/>
                <w:szCs w:val="12"/>
                <w:color w:val="auto"/>
              </w:rPr>
              <w:t>280</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jc w:val="right"/>
              <w:ind w:right="3"/>
              <w:spacing w:after="0" w:line="129" w:lineRule="exact"/>
              <w:rPr>
                <w:sz w:val="20"/>
                <w:szCs w:val="20"/>
                <w:color w:val="auto"/>
              </w:rPr>
            </w:pPr>
            <w:r>
              <w:rPr>
                <w:rFonts w:ascii="Arial" w:cs="Arial" w:eastAsia="Arial" w:hAnsi="Arial"/>
                <w:sz w:val="12"/>
                <w:szCs w:val="12"/>
                <w:color w:val="auto"/>
              </w:rPr>
              <w:t>2,261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0" w:type="dxa"/>
            <w:vAlign w:val="bottom"/>
          </w:tcPr>
          <w:p>
            <w:pPr>
              <w:jc w:val="right"/>
              <w:spacing w:after="0" w:line="129" w:lineRule="exact"/>
              <w:rPr>
                <w:sz w:val="20"/>
                <w:szCs w:val="20"/>
                <w:color w:val="auto"/>
              </w:rPr>
            </w:pPr>
            <w:r>
              <w:rPr>
                <w:rFonts w:ascii="Arial" w:cs="Arial" w:eastAsia="Arial" w:hAnsi="Arial"/>
                <w:sz w:val="12"/>
                <w:szCs w:val="12"/>
                <w:color w:val="auto"/>
              </w:rPr>
              <w:t>590</w:t>
            </w:r>
          </w:p>
        </w:tc>
      </w:tr>
      <w:tr>
        <w:trPr>
          <w:trHeight w:val="129"/>
        </w:trPr>
        <w:tc>
          <w:tcPr>
            <w:tcW w:w="42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General and administrative</w:t>
            </w:r>
          </w:p>
        </w:tc>
        <w:tc>
          <w:tcPr>
            <w:tcW w:w="208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946</w:t>
            </w:r>
          </w:p>
        </w:tc>
        <w:tc>
          <w:tcPr>
            <w:tcW w:w="14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1,235</w:t>
            </w:r>
          </w:p>
        </w:tc>
        <w:tc>
          <w:tcPr>
            <w:tcW w:w="12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3"/>
              <w:spacing w:after="0" w:line="129" w:lineRule="exact"/>
              <w:rPr>
                <w:sz w:val="20"/>
                <w:szCs w:val="20"/>
                <w:color w:val="auto"/>
              </w:rPr>
            </w:pPr>
            <w:r>
              <w:rPr>
                <w:rFonts w:ascii="Arial" w:cs="Arial" w:eastAsia="Arial" w:hAnsi="Arial"/>
                <w:sz w:val="12"/>
                <w:szCs w:val="12"/>
                <w:color w:val="auto"/>
              </w:rPr>
              <w:t>2,984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2,674</w:t>
            </w:r>
          </w:p>
        </w:tc>
      </w:tr>
      <w:tr>
        <w:trPr>
          <w:trHeight w:val="126"/>
        </w:trPr>
        <w:tc>
          <w:tcPr>
            <w:tcW w:w="4240" w:type="dxa"/>
            <w:vAlign w:val="bottom"/>
          </w:tcPr>
          <w:p>
            <w:pPr>
              <w:ind w:left="140"/>
              <w:spacing w:after="0" w:line="118" w:lineRule="exact"/>
              <w:rPr>
                <w:sz w:val="20"/>
                <w:szCs w:val="20"/>
                <w:color w:val="auto"/>
              </w:rPr>
            </w:pPr>
            <w:r>
              <w:rPr>
                <w:rFonts w:ascii="Arial" w:cs="Arial" w:eastAsia="Arial" w:hAnsi="Arial"/>
                <w:sz w:val="12"/>
                <w:szCs w:val="12"/>
                <w:color w:val="auto"/>
              </w:rPr>
              <w:t>Total stock-based compensation expense</w:t>
            </w:r>
          </w:p>
        </w:tc>
        <w:tc>
          <w:tcPr>
            <w:tcW w:w="2080" w:type="dxa"/>
            <w:vAlign w:val="bottom"/>
          </w:tcPr>
          <w:p>
            <w:pPr>
              <w:spacing w:after="0"/>
              <w:rPr>
                <w:sz w:val="10"/>
                <w:szCs w:val="10"/>
                <w:color w:val="auto"/>
              </w:rPr>
            </w:pPr>
          </w:p>
        </w:tc>
        <w:tc>
          <w:tcPr>
            <w:tcW w:w="740" w:type="dxa"/>
            <w:vAlign w:val="bottom"/>
            <w:tcBorders>
              <w:bottom w:val="single" w:sz="8" w:color="auto"/>
            </w:tcBorders>
          </w:tcPr>
          <w:p>
            <w:pPr>
              <w:jc w:val="right"/>
              <w:ind w:right="630"/>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2,448</w:t>
            </w:r>
          </w:p>
        </w:tc>
        <w:tc>
          <w:tcPr>
            <w:tcW w:w="140" w:type="dxa"/>
            <w:vAlign w:val="bottom"/>
          </w:tcPr>
          <w:p>
            <w:pPr>
              <w:spacing w:after="0"/>
              <w:rPr>
                <w:sz w:val="10"/>
                <w:szCs w:val="10"/>
                <w:color w:val="auto"/>
              </w:rPr>
            </w:pPr>
          </w:p>
        </w:tc>
        <w:tc>
          <w:tcPr>
            <w:tcW w:w="740" w:type="dxa"/>
            <w:vAlign w:val="bottom"/>
            <w:tcBorders>
              <w:bottom w:val="single" w:sz="8" w:color="auto"/>
            </w:tcBorders>
          </w:tcPr>
          <w:p>
            <w:pPr>
              <w:jc w:val="right"/>
              <w:ind w:right="629"/>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2,412</w:t>
            </w:r>
          </w:p>
        </w:tc>
        <w:tc>
          <w:tcPr>
            <w:tcW w:w="120" w:type="dxa"/>
            <w:vAlign w:val="bottom"/>
          </w:tcPr>
          <w:p>
            <w:pPr>
              <w:spacing w:after="0"/>
              <w:rPr>
                <w:sz w:val="10"/>
                <w:szCs w:val="10"/>
                <w:color w:val="auto"/>
              </w:rPr>
            </w:pPr>
          </w:p>
        </w:tc>
        <w:tc>
          <w:tcPr>
            <w:tcW w:w="680" w:type="dxa"/>
            <w:vAlign w:val="bottom"/>
            <w:tcBorders>
              <w:bottom w:val="single" w:sz="8" w:color="auto"/>
            </w:tcBorders>
          </w:tcPr>
          <w:p>
            <w:pPr>
              <w:jc w:val="right"/>
              <w:ind w:right="569"/>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ind w:right="3"/>
              <w:spacing w:after="0" w:line="118" w:lineRule="exact"/>
              <w:rPr>
                <w:sz w:val="20"/>
                <w:szCs w:val="20"/>
                <w:color w:val="auto"/>
              </w:rPr>
            </w:pPr>
            <w:r>
              <w:rPr>
                <w:rFonts w:ascii="Arial" w:cs="Arial" w:eastAsia="Arial" w:hAnsi="Arial"/>
                <w:sz w:val="12"/>
                <w:szCs w:val="12"/>
                <w:color w:val="auto"/>
              </w:rPr>
              <w:t>9,413</w:t>
            </w:r>
          </w:p>
        </w:tc>
        <w:tc>
          <w:tcPr>
            <w:tcW w:w="1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674"/>
              <w:spacing w:after="0"/>
              <w:rPr>
                <w:sz w:val="20"/>
                <w:szCs w:val="20"/>
                <w:color w:val="auto"/>
              </w:rPr>
            </w:pPr>
            <w:r>
              <w:rPr>
                <w:rFonts w:ascii="Arial" w:cs="Arial" w:eastAsia="Arial" w:hAnsi="Arial"/>
                <w:sz w:val="5"/>
                <w:szCs w:val="5"/>
                <w:color w:val="auto"/>
                <w:w w:val="70"/>
              </w:rPr>
              <w:t>$</w:t>
            </w:r>
          </w:p>
        </w:tc>
        <w:tc>
          <w:tcPr>
            <w:tcW w:w="4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5,038</w:t>
            </w:r>
          </w:p>
        </w:tc>
      </w:tr>
    </w:tbl>
    <w:p>
      <w:pPr>
        <w:spacing w:after="0" w:line="111"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The Company estimated the fair value of employee stock options on the grant date using the Black-Scholes option pricing model. The estimated fair value of employee stock options is amortized on a straight-line basis over the requisite service period of the awards. The Company reviews, and when deemed appropriate, updates the assumptions used on a periodic basis. Due to the limited trading history of the Company’s common stock, the Company utilizes a portfolio of comparable companies to estimate volatility. The fair value of employee stock options was estimated using the following weighted-average assumptions: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5" w:name="page16"/>
    <w:bookmarkEnd w:id="1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780" w:type="dxa"/>
            <w:vAlign w:val="bottom"/>
          </w:tcPr>
          <w:p>
            <w:pPr>
              <w:spacing w:after="0"/>
              <w:rPr>
                <w:sz w:val="10"/>
                <w:szCs w:val="10"/>
                <w:color w:val="auto"/>
              </w:rPr>
            </w:pPr>
          </w:p>
        </w:tc>
        <w:tc>
          <w:tcPr>
            <w:tcW w:w="3020" w:type="dxa"/>
            <w:vAlign w:val="bottom"/>
            <w:tcBorders>
              <w:bottom w:val="single" w:sz="8" w:color="auto"/>
            </w:tcBorders>
            <w:gridSpan w:val="3"/>
          </w:tcPr>
          <w:p>
            <w:pPr>
              <w:ind w:left="1320"/>
              <w:spacing w:after="0"/>
              <w:rPr>
                <w:sz w:val="20"/>
                <w:szCs w:val="20"/>
                <w:color w:val="auto"/>
              </w:rPr>
            </w:pPr>
            <w:r>
              <w:rPr>
                <w:rFonts w:ascii="Arial" w:cs="Arial" w:eastAsia="Arial" w:hAnsi="Arial"/>
                <w:sz w:val="10"/>
                <w:szCs w:val="10"/>
                <w:b w:val="1"/>
                <w:bCs w:val="1"/>
                <w:color w:val="auto"/>
                <w:w w:val="95"/>
              </w:rPr>
              <w:t>Three-Month Periods Ended June 30,</w:t>
            </w:r>
          </w:p>
        </w:tc>
        <w:tc>
          <w:tcPr>
            <w:tcW w:w="12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080" w:type="dxa"/>
            <w:vAlign w:val="bottom"/>
            <w:tcBorders>
              <w:bottom w:val="single" w:sz="8" w:color="auto"/>
            </w:tcBorders>
            <w:gridSpan w:val="3"/>
          </w:tcPr>
          <w:p>
            <w:pPr>
              <w:ind w:left="800"/>
              <w:spacing w:after="0"/>
              <w:rPr>
                <w:sz w:val="20"/>
                <w:szCs w:val="20"/>
                <w:color w:val="auto"/>
              </w:rPr>
            </w:pPr>
            <w:r>
              <w:rPr>
                <w:rFonts w:ascii="Arial" w:cs="Arial" w:eastAsia="Arial" w:hAnsi="Arial"/>
                <w:sz w:val="10"/>
                <w:szCs w:val="10"/>
                <w:b w:val="1"/>
                <w:bCs w:val="1"/>
                <w:color w:val="auto"/>
              </w:rPr>
              <w:t>Six-Month Periods Ended June 30,</w:t>
            </w:r>
          </w:p>
        </w:tc>
      </w:tr>
      <w:tr>
        <w:trPr>
          <w:trHeight w:val="91"/>
        </w:trPr>
        <w:tc>
          <w:tcPr>
            <w:tcW w:w="3780" w:type="dxa"/>
            <w:vAlign w:val="bottom"/>
            <w:tcBorders>
              <w:bottom w:val="single" w:sz="8" w:color="CCEEFF"/>
            </w:tcBorders>
          </w:tcPr>
          <w:p>
            <w:pPr>
              <w:spacing w:after="0"/>
              <w:rPr>
                <w:sz w:val="7"/>
                <w:szCs w:val="7"/>
                <w:color w:val="auto"/>
              </w:rPr>
            </w:pPr>
          </w:p>
        </w:tc>
        <w:tc>
          <w:tcPr>
            <w:tcW w:w="2180" w:type="dxa"/>
            <w:vAlign w:val="bottom"/>
            <w:tcBorders>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0"/>
              </w:rPr>
              <w:t>2021</w:t>
            </w:r>
          </w:p>
        </w:tc>
        <w:tc>
          <w:tcPr>
            <w:tcW w:w="40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jc w:val="center"/>
              <w:ind w:right="381"/>
              <w:spacing w:after="0" w:line="91" w:lineRule="exact"/>
              <w:rPr>
                <w:sz w:val="20"/>
                <w:szCs w:val="20"/>
                <w:color w:val="auto"/>
              </w:rPr>
            </w:pPr>
            <w:r>
              <w:rPr>
                <w:rFonts w:ascii="Arial" w:cs="Arial" w:eastAsia="Arial" w:hAnsi="Arial"/>
                <w:sz w:val="10"/>
                <w:szCs w:val="10"/>
                <w:b w:val="1"/>
                <w:bCs w:val="1"/>
                <w:color w:val="auto"/>
                <w:w w:val="80"/>
              </w:rPr>
              <w:t>2020</w:t>
            </w:r>
          </w:p>
        </w:tc>
        <w:tc>
          <w:tcPr>
            <w:tcW w:w="20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2021</w:t>
            </w:r>
          </w:p>
        </w:tc>
        <w:tc>
          <w:tcPr>
            <w:tcW w:w="40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2020</w:t>
            </w:r>
          </w:p>
        </w:tc>
      </w:tr>
      <w:tr>
        <w:trPr>
          <w:trHeight w:val="118"/>
        </w:trPr>
        <w:tc>
          <w:tcPr>
            <w:tcW w:w="37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Expected term in years</w:t>
            </w:r>
          </w:p>
        </w:tc>
        <w:tc>
          <w:tcPr>
            <w:tcW w:w="218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5"/>
              </w:rPr>
              <w:t>5.3 - 6.1</w:t>
            </w:r>
          </w:p>
        </w:tc>
        <w:tc>
          <w:tcPr>
            <w:tcW w:w="4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20" w:type="dxa"/>
            <w:vAlign w:val="bottom"/>
            <w:shd w:val="clear" w:color="auto" w:fill="CCEEFF"/>
          </w:tcPr>
          <w:p>
            <w:pPr>
              <w:jc w:val="center"/>
              <w:ind w:right="381"/>
              <w:spacing w:after="0" w:line="118" w:lineRule="exact"/>
              <w:rPr>
                <w:sz w:val="20"/>
                <w:szCs w:val="20"/>
                <w:color w:val="auto"/>
              </w:rPr>
            </w:pPr>
            <w:r>
              <w:rPr>
                <w:rFonts w:ascii="Arial" w:cs="Arial" w:eastAsia="Arial" w:hAnsi="Arial"/>
                <w:sz w:val="12"/>
                <w:szCs w:val="12"/>
                <w:color w:val="auto"/>
                <w:w w:val="95"/>
              </w:rPr>
              <w:t>5.3 - 6.1</w:t>
            </w: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0"/>
              </w:rPr>
              <w:t>5.3 - 6.1</w:t>
            </w:r>
          </w:p>
        </w:tc>
        <w:tc>
          <w:tcPr>
            <w:tcW w:w="400" w:type="dxa"/>
            <w:vAlign w:val="bottom"/>
            <w:shd w:val="clear" w:color="auto" w:fill="CCEEFF"/>
          </w:tcPr>
          <w:p>
            <w:pPr>
              <w:spacing w:after="0"/>
              <w:rPr>
                <w:sz w:val="10"/>
                <w:szCs w:val="10"/>
                <w:color w:val="auto"/>
              </w:rPr>
            </w:pPr>
          </w:p>
        </w:tc>
        <w:tc>
          <w:tcPr>
            <w:tcW w:w="134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5"/>
              </w:rPr>
              <w:t>5.3 - 6.1</w:t>
            </w:r>
          </w:p>
        </w:tc>
      </w:tr>
      <w:tr>
        <w:trPr>
          <w:trHeight w:val="129"/>
        </w:trPr>
        <w:tc>
          <w:tcPr>
            <w:tcW w:w="3780" w:type="dxa"/>
            <w:vAlign w:val="bottom"/>
          </w:tcPr>
          <w:p>
            <w:pPr>
              <w:spacing w:after="0" w:line="129" w:lineRule="exact"/>
              <w:rPr>
                <w:sz w:val="20"/>
                <w:szCs w:val="20"/>
                <w:color w:val="auto"/>
              </w:rPr>
            </w:pPr>
            <w:r>
              <w:rPr>
                <w:rFonts w:ascii="Arial" w:cs="Arial" w:eastAsia="Arial" w:hAnsi="Arial"/>
                <w:sz w:val="12"/>
                <w:szCs w:val="12"/>
                <w:color w:val="auto"/>
              </w:rPr>
              <w:t>Expected volatility</w:t>
            </w:r>
          </w:p>
        </w:tc>
        <w:tc>
          <w:tcPr>
            <w:tcW w:w="2180" w:type="dxa"/>
            <w:vAlign w:val="bottom"/>
          </w:tcPr>
          <w:p>
            <w:pPr>
              <w:jc w:val="center"/>
              <w:spacing w:after="0" w:line="129" w:lineRule="exact"/>
              <w:rPr>
                <w:sz w:val="20"/>
                <w:szCs w:val="20"/>
                <w:color w:val="auto"/>
              </w:rPr>
            </w:pPr>
            <w:r>
              <w:rPr>
                <w:rFonts w:ascii="Arial" w:cs="Arial" w:eastAsia="Arial" w:hAnsi="Arial"/>
                <w:sz w:val="12"/>
                <w:szCs w:val="12"/>
                <w:color w:val="auto"/>
                <w:w w:val="91"/>
              </w:rPr>
              <w:t>78%</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tcPr>
          <w:p>
            <w:pPr>
              <w:jc w:val="center"/>
              <w:ind w:right="381"/>
              <w:spacing w:after="0" w:line="129" w:lineRule="exact"/>
              <w:rPr>
                <w:sz w:val="20"/>
                <w:szCs w:val="20"/>
                <w:color w:val="auto"/>
              </w:rPr>
            </w:pPr>
            <w:r>
              <w:rPr>
                <w:rFonts w:ascii="Arial" w:cs="Arial" w:eastAsia="Arial" w:hAnsi="Arial"/>
                <w:sz w:val="12"/>
                <w:szCs w:val="12"/>
                <w:color w:val="auto"/>
                <w:w w:val="91"/>
              </w:rPr>
              <w:t>70%</w:t>
            </w:r>
          </w:p>
        </w:tc>
        <w:tc>
          <w:tcPr>
            <w:tcW w:w="2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Arial" w:cs="Arial" w:eastAsia="Arial" w:hAnsi="Arial"/>
                <w:sz w:val="12"/>
                <w:szCs w:val="12"/>
                <w:color w:val="auto"/>
                <w:w w:val="99"/>
              </w:rPr>
              <w:t>78%</w:t>
            </w:r>
          </w:p>
        </w:tc>
        <w:tc>
          <w:tcPr>
            <w:tcW w:w="4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Arial" w:cs="Arial" w:eastAsia="Arial" w:hAnsi="Arial"/>
                <w:sz w:val="12"/>
                <w:szCs w:val="12"/>
                <w:color w:val="auto"/>
                <w:w w:val="91"/>
              </w:rPr>
              <w:t>70%</w:t>
            </w:r>
          </w:p>
        </w:tc>
      </w:tr>
      <w:tr>
        <w:trPr>
          <w:trHeight w:val="129"/>
        </w:trPr>
        <w:tc>
          <w:tcPr>
            <w:tcW w:w="37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Risk-free interest rate</w:t>
            </w:r>
          </w:p>
        </w:tc>
        <w:tc>
          <w:tcPr>
            <w:tcW w:w="21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1"/>
              </w:rPr>
              <w:t>0.9 - 1.0%</w:t>
            </w:r>
          </w:p>
        </w:tc>
        <w:tc>
          <w:tcPr>
            <w:tcW w:w="4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20" w:type="dxa"/>
            <w:vAlign w:val="bottom"/>
            <w:shd w:val="clear" w:color="auto" w:fill="CCEEFF"/>
          </w:tcPr>
          <w:p>
            <w:pPr>
              <w:jc w:val="center"/>
              <w:ind w:right="381"/>
              <w:spacing w:after="0" w:line="129" w:lineRule="exact"/>
              <w:rPr>
                <w:sz w:val="20"/>
                <w:szCs w:val="20"/>
                <w:color w:val="auto"/>
              </w:rPr>
            </w:pPr>
            <w:r>
              <w:rPr>
                <w:rFonts w:ascii="Arial" w:cs="Arial" w:eastAsia="Arial" w:hAnsi="Arial"/>
                <w:sz w:val="12"/>
                <w:szCs w:val="12"/>
                <w:color w:val="auto"/>
                <w:w w:val="91"/>
              </w:rPr>
              <w:t>0.4 - 0.5%</w:t>
            </w: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4"/>
              </w:rPr>
              <w:t>0.9 - 1.1%</w:t>
            </w: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4"/>
              </w:rPr>
              <w:t>0.4 - 0.5%</w:t>
            </w:r>
          </w:p>
        </w:tc>
      </w:tr>
      <w:tr>
        <w:trPr>
          <w:trHeight w:val="156"/>
        </w:trPr>
        <w:tc>
          <w:tcPr>
            <w:tcW w:w="3780" w:type="dxa"/>
            <w:vAlign w:val="bottom"/>
          </w:tcPr>
          <w:p>
            <w:pPr>
              <w:spacing w:after="0"/>
              <w:rPr>
                <w:sz w:val="20"/>
                <w:szCs w:val="20"/>
                <w:color w:val="auto"/>
              </w:rPr>
            </w:pPr>
            <w:r>
              <w:rPr>
                <w:rFonts w:ascii="Arial" w:cs="Arial" w:eastAsia="Arial" w:hAnsi="Arial"/>
                <w:sz w:val="12"/>
                <w:szCs w:val="12"/>
                <w:color w:val="auto"/>
              </w:rPr>
              <w:t>Dividend yield</w:t>
            </w:r>
          </w:p>
        </w:tc>
        <w:tc>
          <w:tcPr>
            <w:tcW w:w="3020" w:type="dxa"/>
            <w:vAlign w:val="bottom"/>
            <w:gridSpan w:val="3"/>
          </w:tcPr>
          <w:p>
            <w:pPr>
              <w:jc w:val="center"/>
              <w:ind w:right="840"/>
              <w:spacing w:after="0"/>
              <w:rPr>
                <w:sz w:val="20"/>
                <w:szCs w:val="20"/>
                <w:color w:val="auto"/>
              </w:rPr>
            </w:pPr>
            <w:r>
              <w:rPr>
                <w:rFonts w:ascii="Arial" w:cs="Arial" w:eastAsia="Arial" w:hAnsi="Arial"/>
                <w:sz w:val="12"/>
                <w:szCs w:val="12"/>
                <w:color w:val="auto"/>
              </w:rPr>
              <w:t>—</w:t>
            </w:r>
          </w:p>
        </w:tc>
        <w:tc>
          <w:tcPr>
            <w:tcW w:w="1420" w:type="dxa"/>
            <w:vAlign w:val="bottom"/>
            <w:gridSpan w:val="2"/>
          </w:tcPr>
          <w:p>
            <w:pPr>
              <w:jc w:val="center"/>
              <w:ind w:right="640"/>
              <w:spacing w:after="0"/>
              <w:rPr>
                <w:sz w:val="20"/>
                <w:szCs w:val="20"/>
                <w:color w:val="auto"/>
              </w:rPr>
            </w:pPr>
            <w:r>
              <w:rPr>
                <w:rFonts w:ascii="Arial" w:cs="Arial" w:eastAsia="Arial" w:hAnsi="Arial"/>
                <w:sz w:val="12"/>
                <w:szCs w:val="12"/>
                <w:color w:val="auto"/>
              </w:rPr>
              <w:t>—</w:t>
            </w:r>
          </w:p>
        </w:tc>
        <w:tc>
          <w:tcPr>
            <w:tcW w:w="1740" w:type="dxa"/>
            <w:vAlign w:val="bottom"/>
            <w:gridSpan w:val="2"/>
          </w:tcPr>
          <w:p>
            <w:pPr>
              <w:jc w:val="center"/>
              <w:ind w:right="420"/>
              <w:spacing w:after="0"/>
              <w:rPr>
                <w:sz w:val="20"/>
                <w:szCs w:val="20"/>
                <w:color w:val="auto"/>
              </w:rPr>
            </w:pPr>
            <w:r>
              <w:rPr>
                <w:rFonts w:ascii="Arial" w:cs="Arial" w:eastAsia="Arial" w:hAnsi="Arial"/>
                <w:sz w:val="12"/>
                <w:szCs w:val="12"/>
                <w:color w:val="auto"/>
                <w:w w:val="99"/>
              </w:rPr>
              <w:t>—</w:t>
            </w:r>
          </w:p>
        </w:tc>
        <w:tc>
          <w:tcPr>
            <w:tcW w:w="134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85"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Company estimated the fair value of ESPP on the grant date using the Black-Scholes option pricing model. The estimated fair value of ESPP is amortized on a straight-line basis over the requisite service period of the awards. The Company reviews, and when deemed appropriate, updates the assumptions used on a periodic basis. The Company utilizes its estimated volatility in the Black-Scholes option pricing model to determine the fair value of ESPP. The fair value of ESPP was estimated using the following weighted-average assumptions: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3780" w:type="dxa"/>
            <w:vAlign w:val="bottom"/>
          </w:tcPr>
          <w:p>
            <w:pPr>
              <w:spacing w:after="0"/>
              <w:rPr>
                <w:sz w:val="10"/>
                <w:szCs w:val="10"/>
                <w:color w:val="auto"/>
              </w:rPr>
            </w:pPr>
          </w:p>
        </w:tc>
        <w:tc>
          <w:tcPr>
            <w:tcW w:w="3020" w:type="dxa"/>
            <w:vAlign w:val="bottom"/>
            <w:tcBorders>
              <w:bottom w:val="single" w:sz="8" w:color="auto"/>
            </w:tcBorders>
            <w:gridSpan w:val="3"/>
          </w:tcPr>
          <w:p>
            <w:pPr>
              <w:ind w:left="1320"/>
              <w:spacing w:after="0"/>
              <w:rPr>
                <w:sz w:val="20"/>
                <w:szCs w:val="20"/>
                <w:color w:val="auto"/>
              </w:rPr>
            </w:pPr>
            <w:r>
              <w:rPr>
                <w:rFonts w:ascii="Arial" w:cs="Arial" w:eastAsia="Arial" w:hAnsi="Arial"/>
                <w:sz w:val="10"/>
                <w:szCs w:val="10"/>
                <w:b w:val="1"/>
                <w:bCs w:val="1"/>
                <w:color w:val="auto"/>
                <w:w w:val="95"/>
              </w:rPr>
              <w:t>Three-Month Periods Ended June 30,</w:t>
            </w:r>
          </w:p>
        </w:tc>
        <w:tc>
          <w:tcPr>
            <w:tcW w:w="12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080" w:type="dxa"/>
            <w:vAlign w:val="bottom"/>
            <w:tcBorders>
              <w:bottom w:val="single" w:sz="8" w:color="auto"/>
            </w:tcBorders>
            <w:gridSpan w:val="3"/>
          </w:tcPr>
          <w:p>
            <w:pPr>
              <w:ind w:left="800"/>
              <w:spacing w:after="0"/>
              <w:rPr>
                <w:sz w:val="20"/>
                <w:szCs w:val="20"/>
                <w:color w:val="auto"/>
              </w:rPr>
            </w:pPr>
            <w:r>
              <w:rPr>
                <w:rFonts w:ascii="Arial" w:cs="Arial" w:eastAsia="Arial" w:hAnsi="Arial"/>
                <w:sz w:val="10"/>
                <w:szCs w:val="10"/>
                <w:b w:val="1"/>
                <w:bCs w:val="1"/>
                <w:color w:val="auto"/>
              </w:rPr>
              <w:t>Six-Month Periods Ended June 30,</w:t>
            </w:r>
          </w:p>
        </w:tc>
      </w:tr>
      <w:tr>
        <w:trPr>
          <w:trHeight w:val="91"/>
        </w:trPr>
        <w:tc>
          <w:tcPr>
            <w:tcW w:w="3780" w:type="dxa"/>
            <w:vAlign w:val="bottom"/>
            <w:tcBorders>
              <w:bottom w:val="single" w:sz="8" w:color="CCEEFF"/>
            </w:tcBorders>
          </w:tcPr>
          <w:p>
            <w:pPr>
              <w:spacing w:after="0"/>
              <w:rPr>
                <w:sz w:val="7"/>
                <w:szCs w:val="7"/>
                <w:color w:val="auto"/>
              </w:rPr>
            </w:pPr>
          </w:p>
        </w:tc>
        <w:tc>
          <w:tcPr>
            <w:tcW w:w="2180" w:type="dxa"/>
            <w:vAlign w:val="bottom"/>
            <w:tcBorders>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0"/>
              </w:rPr>
              <w:t>2021</w:t>
            </w:r>
          </w:p>
        </w:tc>
        <w:tc>
          <w:tcPr>
            <w:tcW w:w="400" w:type="dxa"/>
            <w:vAlign w:val="bottom"/>
            <w:tcBorders>
              <w:bottom w:val="single" w:sz="8" w:color="CCEEFF"/>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jc w:val="center"/>
              <w:ind w:right="381"/>
              <w:spacing w:after="0" w:line="91" w:lineRule="exact"/>
              <w:rPr>
                <w:sz w:val="20"/>
                <w:szCs w:val="20"/>
                <w:color w:val="auto"/>
              </w:rPr>
            </w:pPr>
            <w:r>
              <w:rPr>
                <w:rFonts w:ascii="Arial" w:cs="Arial" w:eastAsia="Arial" w:hAnsi="Arial"/>
                <w:sz w:val="10"/>
                <w:szCs w:val="10"/>
                <w:b w:val="1"/>
                <w:bCs w:val="1"/>
                <w:color w:val="auto"/>
                <w:w w:val="80"/>
              </w:rPr>
              <w:t>2020</w:t>
            </w:r>
          </w:p>
        </w:tc>
        <w:tc>
          <w:tcPr>
            <w:tcW w:w="20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2021</w:t>
            </w:r>
          </w:p>
        </w:tc>
        <w:tc>
          <w:tcPr>
            <w:tcW w:w="400" w:type="dxa"/>
            <w:vAlign w:val="bottom"/>
            <w:tcBorders>
              <w:bottom w:val="single" w:sz="8" w:color="CCEEFF"/>
            </w:tcBorders>
          </w:tcPr>
          <w:p>
            <w:pPr>
              <w:spacing w:after="0"/>
              <w:rPr>
                <w:sz w:val="7"/>
                <w:szCs w:val="7"/>
                <w:color w:val="auto"/>
              </w:rPr>
            </w:pPr>
          </w:p>
        </w:tc>
        <w:tc>
          <w:tcPr>
            <w:tcW w:w="1340" w:type="dxa"/>
            <w:vAlign w:val="bottom"/>
            <w:tcBorders>
              <w:bottom w:val="single" w:sz="8" w:color="auto"/>
            </w:tcBorders>
          </w:tcPr>
          <w:p>
            <w:pPr>
              <w:jc w:val="center"/>
              <w:spacing w:after="0" w:line="91" w:lineRule="exact"/>
              <w:rPr>
                <w:sz w:val="20"/>
                <w:szCs w:val="20"/>
                <w:color w:val="auto"/>
              </w:rPr>
            </w:pPr>
            <w:r>
              <w:rPr>
                <w:rFonts w:ascii="Arial" w:cs="Arial" w:eastAsia="Arial" w:hAnsi="Arial"/>
                <w:sz w:val="10"/>
                <w:szCs w:val="10"/>
                <w:b w:val="1"/>
                <w:bCs w:val="1"/>
                <w:color w:val="auto"/>
                <w:w w:val="89"/>
              </w:rPr>
              <w:t>2020</w:t>
            </w:r>
          </w:p>
        </w:tc>
      </w:tr>
      <w:tr>
        <w:trPr>
          <w:trHeight w:val="118"/>
        </w:trPr>
        <w:tc>
          <w:tcPr>
            <w:tcW w:w="3780" w:type="dxa"/>
            <w:vAlign w:val="bottom"/>
            <w:shd w:val="clear" w:color="auto" w:fill="CCEEFF"/>
          </w:tcPr>
          <w:p>
            <w:pPr>
              <w:spacing w:after="0" w:line="118" w:lineRule="exact"/>
              <w:rPr>
                <w:sz w:val="20"/>
                <w:szCs w:val="20"/>
                <w:color w:val="auto"/>
              </w:rPr>
            </w:pPr>
            <w:r>
              <w:rPr>
                <w:rFonts w:ascii="Arial" w:cs="Arial" w:eastAsia="Arial" w:hAnsi="Arial"/>
                <w:sz w:val="12"/>
                <w:szCs w:val="12"/>
                <w:color w:val="auto"/>
              </w:rPr>
              <w:t>Expected term in years</w:t>
            </w:r>
          </w:p>
        </w:tc>
        <w:tc>
          <w:tcPr>
            <w:tcW w:w="218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5"/>
              </w:rPr>
              <w:t>0.5 - 1.0</w:t>
            </w:r>
          </w:p>
        </w:tc>
        <w:tc>
          <w:tcPr>
            <w:tcW w:w="4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20" w:type="dxa"/>
            <w:vAlign w:val="bottom"/>
            <w:shd w:val="clear" w:color="auto" w:fill="CCEEFF"/>
          </w:tcPr>
          <w:p>
            <w:pPr>
              <w:jc w:val="center"/>
              <w:ind w:right="381"/>
              <w:spacing w:after="0" w:line="118" w:lineRule="exact"/>
              <w:rPr>
                <w:sz w:val="20"/>
                <w:szCs w:val="20"/>
                <w:color w:val="auto"/>
              </w:rPr>
            </w:pPr>
            <w:r>
              <w:rPr>
                <w:rFonts w:ascii="Arial" w:cs="Arial" w:eastAsia="Arial" w:hAnsi="Arial"/>
                <w:sz w:val="12"/>
                <w:szCs w:val="12"/>
                <w:color w:val="auto"/>
                <w:w w:val="95"/>
              </w:rPr>
              <w:t>0.5 - 1.0</w:t>
            </w:r>
          </w:p>
        </w:tc>
        <w:tc>
          <w:tcPr>
            <w:tcW w:w="200" w:type="dxa"/>
            <w:vAlign w:val="bottom"/>
            <w:shd w:val="clear" w:color="auto" w:fill="CCEEFF"/>
          </w:tcPr>
          <w:p>
            <w:pPr>
              <w:spacing w:after="0"/>
              <w:rPr>
                <w:sz w:val="10"/>
                <w:szCs w:val="10"/>
                <w:color w:val="auto"/>
              </w:rPr>
            </w:pPr>
          </w:p>
        </w:tc>
        <w:tc>
          <w:tcPr>
            <w:tcW w:w="134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0"/>
              </w:rPr>
              <w:t>0.5 - 1.0</w:t>
            </w:r>
          </w:p>
        </w:tc>
        <w:tc>
          <w:tcPr>
            <w:tcW w:w="400" w:type="dxa"/>
            <w:vAlign w:val="bottom"/>
            <w:shd w:val="clear" w:color="auto" w:fill="CCEEFF"/>
          </w:tcPr>
          <w:p>
            <w:pPr>
              <w:spacing w:after="0"/>
              <w:rPr>
                <w:sz w:val="10"/>
                <w:szCs w:val="10"/>
                <w:color w:val="auto"/>
              </w:rPr>
            </w:pPr>
          </w:p>
        </w:tc>
        <w:tc>
          <w:tcPr>
            <w:tcW w:w="1340" w:type="dxa"/>
            <w:vAlign w:val="bottom"/>
            <w:shd w:val="clear" w:color="auto" w:fill="CCEEFF"/>
          </w:tcPr>
          <w:p>
            <w:pPr>
              <w:jc w:val="center"/>
              <w:spacing w:after="0" w:line="118" w:lineRule="exact"/>
              <w:rPr>
                <w:sz w:val="20"/>
                <w:szCs w:val="20"/>
                <w:color w:val="auto"/>
              </w:rPr>
            </w:pPr>
            <w:r>
              <w:rPr>
                <w:rFonts w:ascii="Arial" w:cs="Arial" w:eastAsia="Arial" w:hAnsi="Arial"/>
                <w:sz w:val="12"/>
                <w:szCs w:val="12"/>
                <w:color w:val="auto"/>
                <w:w w:val="95"/>
              </w:rPr>
              <w:t>0.5 - 1.0</w:t>
            </w:r>
          </w:p>
        </w:tc>
      </w:tr>
      <w:tr>
        <w:trPr>
          <w:trHeight w:val="129"/>
        </w:trPr>
        <w:tc>
          <w:tcPr>
            <w:tcW w:w="3780" w:type="dxa"/>
            <w:vAlign w:val="bottom"/>
          </w:tcPr>
          <w:p>
            <w:pPr>
              <w:spacing w:after="0" w:line="129" w:lineRule="exact"/>
              <w:rPr>
                <w:sz w:val="20"/>
                <w:szCs w:val="20"/>
                <w:color w:val="auto"/>
              </w:rPr>
            </w:pPr>
            <w:r>
              <w:rPr>
                <w:rFonts w:ascii="Arial" w:cs="Arial" w:eastAsia="Arial" w:hAnsi="Arial"/>
                <w:sz w:val="12"/>
                <w:szCs w:val="12"/>
                <w:color w:val="auto"/>
              </w:rPr>
              <w:t>Expected volatility</w:t>
            </w:r>
          </w:p>
        </w:tc>
        <w:tc>
          <w:tcPr>
            <w:tcW w:w="2180" w:type="dxa"/>
            <w:vAlign w:val="bottom"/>
          </w:tcPr>
          <w:p>
            <w:pPr>
              <w:jc w:val="center"/>
              <w:spacing w:after="0" w:line="129" w:lineRule="exact"/>
              <w:rPr>
                <w:sz w:val="20"/>
                <w:szCs w:val="20"/>
                <w:color w:val="auto"/>
              </w:rPr>
            </w:pPr>
            <w:r>
              <w:rPr>
                <w:rFonts w:ascii="Arial" w:cs="Arial" w:eastAsia="Arial" w:hAnsi="Arial"/>
                <w:sz w:val="12"/>
                <w:szCs w:val="12"/>
                <w:color w:val="auto"/>
                <w:w w:val="91"/>
              </w:rPr>
              <w:t>78%</w:t>
            </w: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tcPr>
          <w:p>
            <w:pPr>
              <w:jc w:val="center"/>
              <w:ind w:right="381"/>
              <w:spacing w:after="0" w:line="129" w:lineRule="exact"/>
              <w:rPr>
                <w:sz w:val="20"/>
                <w:szCs w:val="20"/>
                <w:color w:val="auto"/>
              </w:rPr>
            </w:pPr>
            <w:r>
              <w:rPr>
                <w:rFonts w:ascii="Arial" w:cs="Arial" w:eastAsia="Arial" w:hAnsi="Arial"/>
                <w:sz w:val="12"/>
                <w:szCs w:val="12"/>
                <w:color w:val="auto"/>
                <w:w w:val="91"/>
              </w:rPr>
              <w:t>70%</w:t>
            </w:r>
          </w:p>
        </w:tc>
        <w:tc>
          <w:tcPr>
            <w:tcW w:w="2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Arial" w:cs="Arial" w:eastAsia="Arial" w:hAnsi="Arial"/>
                <w:sz w:val="12"/>
                <w:szCs w:val="12"/>
                <w:color w:val="auto"/>
                <w:w w:val="99"/>
              </w:rPr>
              <w:t>78%</w:t>
            </w:r>
          </w:p>
        </w:tc>
        <w:tc>
          <w:tcPr>
            <w:tcW w:w="40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Arial" w:cs="Arial" w:eastAsia="Arial" w:hAnsi="Arial"/>
                <w:sz w:val="12"/>
                <w:szCs w:val="12"/>
                <w:color w:val="auto"/>
                <w:w w:val="91"/>
              </w:rPr>
              <w:t>70%</w:t>
            </w:r>
          </w:p>
        </w:tc>
      </w:tr>
      <w:tr>
        <w:trPr>
          <w:trHeight w:val="129"/>
        </w:trPr>
        <w:tc>
          <w:tcPr>
            <w:tcW w:w="378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Risk-free interest rate</w:t>
            </w:r>
          </w:p>
        </w:tc>
        <w:tc>
          <w:tcPr>
            <w:tcW w:w="218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1"/>
              </w:rPr>
              <w:t>0.07 - 0.08%</w:t>
            </w:r>
          </w:p>
        </w:tc>
        <w:tc>
          <w:tcPr>
            <w:tcW w:w="4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20" w:type="dxa"/>
            <w:vAlign w:val="bottom"/>
            <w:shd w:val="clear" w:color="auto" w:fill="CCEEFF"/>
          </w:tcPr>
          <w:p>
            <w:pPr>
              <w:jc w:val="center"/>
              <w:ind w:right="381"/>
              <w:spacing w:after="0" w:line="129" w:lineRule="exact"/>
              <w:rPr>
                <w:sz w:val="20"/>
                <w:szCs w:val="20"/>
                <w:color w:val="auto"/>
              </w:rPr>
            </w:pPr>
            <w:r>
              <w:rPr>
                <w:rFonts w:ascii="Arial" w:cs="Arial" w:eastAsia="Arial" w:hAnsi="Arial"/>
                <w:sz w:val="12"/>
                <w:szCs w:val="12"/>
                <w:color w:val="auto"/>
                <w:w w:val="91"/>
              </w:rPr>
              <w:t>0.9 - 1.0%</w:t>
            </w: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1"/>
              </w:rPr>
              <w:t>0.07 - 0.1%</w:t>
            </w:r>
          </w:p>
        </w:tc>
        <w:tc>
          <w:tcPr>
            <w:tcW w:w="400" w:type="dxa"/>
            <w:vAlign w:val="bottom"/>
            <w:shd w:val="clear" w:color="auto" w:fill="CCEEFF"/>
          </w:tcPr>
          <w:p>
            <w:pPr>
              <w:spacing w:after="0"/>
              <w:rPr>
                <w:sz w:val="11"/>
                <w:szCs w:val="11"/>
                <w:color w:val="auto"/>
              </w:rPr>
            </w:pPr>
          </w:p>
        </w:tc>
        <w:tc>
          <w:tcPr>
            <w:tcW w:w="1340" w:type="dxa"/>
            <w:vAlign w:val="bottom"/>
            <w:shd w:val="clear" w:color="auto" w:fill="CCEEFF"/>
          </w:tcPr>
          <w:p>
            <w:pPr>
              <w:jc w:val="center"/>
              <w:spacing w:after="0" w:line="129" w:lineRule="exact"/>
              <w:rPr>
                <w:sz w:val="20"/>
                <w:szCs w:val="20"/>
                <w:color w:val="auto"/>
              </w:rPr>
            </w:pPr>
            <w:r>
              <w:rPr>
                <w:rFonts w:ascii="Arial" w:cs="Arial" w:eastAsia="Arial" w:hAnsi="Arial"/>
                <w:sz w:val="12"/>
                <w:szCs w:val="12"/>
                <w:color w:val="auto"/>
                <w:w w:val="94"/>
              </w:rPr>
              <w:t>0.9 - 1.0%</w:t>
            </w:r>
          </w:p>
        </w:tc>
      </w:tr>
      <w:tr>
        <w:trPr>
          <w:trHeight w:val="156"/>
        </w:trPr>
        <w:tc>
          <w:tcPr>
            <w:tcW w:w="3780" w:type="dxa"/>
            <w:vAlign w:val="bottom"/>
          </w:tcPr>
          <w:p>
            <w:pPr>
              <w:spacing w:after="0"/>
              <w:rPr>
                <w:sz w:val="20"/>
                <w:szCs w:val="20"/>
                <w:color w:val="auto"/>
              </w:rPr>
            </w:pPr>
            <w:r>
              <w:rPr>
                <w:rFonts w:ascii="Arial" w:cs="Arial" w:eastAsia="Arial" w:hAnsi="Arial"/>
                <w:sz w:val="12"/>
                <w:szCs w:val="12"/>
                <w:color w:val="auto"/>
              </w:rPr>
              <w:t>Dividend yield</w:t>
            </w:r>
          </w:p>
        </w:tc>
        <w:tc>
          <w:tcPr>
            <w:tcW w:w="3020" w:type="dxa"/>
            <w:vAlign w:val="bottom"/>
            <w:gridSpan w:val="3"/>
          </w:tcPr>
          <w:p>
            <w:pPr>
              <w:jc w:val="center"/>
              <w:ind w:right="840"/>
              <w:spacing w:after="0"/>
              <w:rPr>
                <w:sz w:val="20"/>
                <w:szCs w:val="20"/>
                <w:color w:val="auto"/>
              </w:rPr>
            </w:pPr>
            <w:r>
              <w:rPr>
                <w:rFonts w:ascii="Arial" w:cs="Arial" w:eastAsia="Arial" w:hAnsi="Arial"/>
                <w:sz w:val="12"/>
                <w:szCs w:val="12"/>
                <w:color w:val="auto"/>
              </w:rPr>
              <w:t>—</w:t>
            </w:r>
          </w:p>
        </w:tc>
        <w:tc>
          <w:tcPr>
            <w:tcW w:w="1420" w:type="dxa"/>
            <w:vAlign w:val="bottom"/>
            <w:gridSpan w:val="2"/>
          </w:tcPr>
          <w:p>
            <w:pPr>
              <w:jc w:val="center"/>
              <w:ind w:right="640"/>
              <w:spacing w:after="0"/>
              <w:rPr>
                <w:sz w:val="20"/>
                <w:szCs w:val="20"/>
                <w:color w:val="auto"/>
              </w:rPr>
            </w:pPr>
            <w:r>
              <w:rPr>
                <w:rFonts w:ascii="Arial" w:cs="Arial" w:eastAsia="Arial" w:hAnsi="Arial"/>
                <w:sz w:val="12"/>
                <w:szCs w:val="12"/>
                <w:color w:val="auto"/>
              </w:rPr>
              <w:t>—</w:t>
            </w:r>
          </w:p>
        </w:tc>
        <w:tc>
          <w:tcPr>
            <w:tcW w:w="1740" w:type="dxa"/>
            <w:vAlign w:val="bottom"/>
            <w:gridSpan w:val="2"/>
          </w:tcPr>
          <w:p>
            <w:pPr>
              <w:jc w:val="center"/>
              <w:ind w:right="420"/>
              <w:spacing w:after="0"/>
              <w:rPr>
                <w:sz w:val="20"/>
                <w:szCs w:val="20"/>
                <w:color w:val="auto"/>
              </w:rPr>
            </w:pPr>
            <w:r>
              <w:rPr>
                <w:rFonts w:ascii="Arial" w:cs="Arial" w:eastAsia="Arial" w:hAnsi="Arial"/>
                <w:sz w:val="12"/>
                <w:szCs w:val="12"/>
                <w:color w:val="auto"/>
                <w:w w:val="99"/>
              </w:rPr>
              <w:t>—</w:t>
            </w:r>
          </w:p>
        </w:tc>
        <w:tc>
          <w:tcPr>
            <w:tcW w:w="1340" w:type="dxa"/>
            <w:vAlign w:val="bottom"/>
          </w:tcPr>
          <w:p>
            <w:pPr>
              <w:jc w:val="center"/>
              <w:spacing w:after="0"/>
              <w:rPr>
                <w:sz w:val="20"/>
                <w:szCs w:val="20"/>
                <w:color w:val="auto"/>
              </w:rPr>
            </w:pPr>
            <w:r>
              <w:rPr>
                <w:rFonts w:ascii="Arial" w:cs="Arial" w:eastAsia="Arial" w:hAnsi="Arial"/>
                <w:sz w:val="12"/>
                <w:szCs w:val="12"/>
                <w:color w:val="auto"/>
                <w:w w:val="99"/>
              </w:rPr>
              <w:t>—</w:t>
            </w:r>
          </w:p>
        </w:tc>
      </w:tr>
    </w:tbl>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7. Research Grants and Agreements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Sponsored Research Agreement</w:t>
      </w:r>
    </w:p>
    <w:p>
      <w:pPr>
        <w:spacing w:after="0" w:line="12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 Company may sponsor research activities (SRAs) performed by Old Dominion University’s Frank Reidy Center (ODURF). ODURF is compensated by the Company for its conduct of each study in accordance with the budget and payment terms set forth in the applicable task order.</w:t>
      </w:r>
    </w:p>
    <w:p>
      <w:pPr>
        <w:spacing w:after="0" w:line="85" w:lineRule="exact"/>
        <w:rPr>
          <w:sz w:val="20"/>
          <w:szCs w:val="20"/>
          <w:color w:val="auto"/>
        </w:rPr>
      </w:pPr>
    </w:p>
    <w:p>
      <w:pPr>
        <w:jc w:val="both"/>
        <w:ind w:right="20" w:firstLine="301"/>
        <w:spacing w:after="0" w:line="236" w:lineRule="auto"/>
        <w:rPr>
          <w:sz w:val="20"/>
          <w:szCs w:val="20"/>
          <w:color w:val="auto"/>
        </w:rPr>
      </w:pPr>
      <w:r>
        <w:rPr>
          <w:rFonts w:ascii="Arial" w:cs="Arial" w:eastAsia="Arial" w:hAnsi="Arial"/>
          <w:sz w:val="12"/>
          <w:szCs w:val="12"/>
          <w:color w:val="auto"/>
        </w:rPr>
        <w:t>In March 2021, the Company agreed to sponsor a task order in the amount of $0.3 million for research performed during the subsequent 12-month period to be funded through monthly payments to ODURF. In May 2021, the Company agreed to sponsor an additional task order in the amount of $0.3 million for research performed during the subsequent 12-month period to be funded through monthly payments to ODURF. Payments will be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w:t>
      </w:r>
    </w:p>
    <w:p>
      <w:pPr>
        <w:spacing w:after="0" w:line="9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During the three-month periods ended June 30, 2021 and 2020, the Company incurred costs relating to the SRAs equal to $0.1 million and $0.2 million, respectively; and during the six-month periods ended June 30, 2021 and 2020, incurred costs equal to $0.1 million and $0.4 million, respectively.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6" w:name="page17"/>
    <w:bookmarkEnd w:id="16"/>
    <w:p>
      <w:pPr>
        <w:ind w:left="6"/>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3" w:lineRule="exact"/>
        <w:rPr>
          <w:sz w:val="20"/>
          <w:szCs w:val="20"/>
          <w:color w:val="auto"/>
        </w:rPr>
      </w:pPr>
    </w:p>
    <w:p>
      <w:pPr>
        <w:ind w:left="306" w:right="9400" w:hanging="306"/>
        <w:spacing w:after="0" w:line="533" w:lineRule="auto"/>
        <w:tabs>
          <w:tab w:leader="none" w:pos="159" w:val="left"/>
        </w:tabs>
        <w:numPr>
          <w:ilvl w:val="0"/>
          <w:numId w:val="3"/>
        </w:numPr>
        <w:rPr>
          <w:rFonts w:ascii="Arial" w:cs="Arial" w:eastAsia="Arial" w:hAnsi="Arial"/>
          <w:sz w:val="10"/>
          <w:szCs w:val="10"/>
          <w:b w:val="1"/>
          <w:bCs w:val="1"/>
          <w:color w:val="auto"/>
        </w:rPr>
      </w:pPr>
      <w:r>
        <w:rPr>
          <w:rFonts w:ascii="Arial" w:cs="Arial" w:eastAsia="Arial" w:hAnsi="Arial"/>
          <w:sz w:val="10"/>
          <w:szCs w:val="10"/>
          <w:b w:val="1"/>
          <w:bCs w:val="1"/>
          <w:color w:val="auto"/>
        </w:rPr>
        <w:t xml:space="preserve">Commitments and Contingencies </w:t>
      </w:r>
      <w:r>
        <w:rPr>
          <w:rFonts w:ascii="Arial" w:cs="Arial" w:eastAsia="Arial" w:hAnsi="Arial"/>
          <w:sz w:val="10"/>
          <w:szCs w:val="10"/>
          <w:b w:val="1"/>
          <w:bCs w:val="1"/>
          <w:i w:val="1"/>
          <w:iCs w:val="1"/>
          <w:color w:val="auto"/>
        </w:rPr>
        <w:t>Loan Agreement</w:t>
      </w:r>
    </w:p>
    <w:p>
      <w:pPr>
        <w:spacing w:after="0" w:line="1" w:lineRule="exact"/>
        <w:rPr>
          <w:sz w:val="20"/>
          <w:szCs w:val="20"/>
          <w:color w:val="auto"/>
        </w:rPr>
      </w:pPr>
    </w:p>
    <w:p>
      <w:pPr>
        <w:ind w:left="6" w:firstLine="274"/>
        <w:spacing w:after="0" w:line="230" w:lineRule="auto"/>
        <w:rPr>
          <w:sz w:val="20"/>
          <w:szCs w:val="20"/>
          <w:color w:val="auto"/>
        </w:rPr>
      </w:pPr>
      <w:r>
        <w:rPr>
          <w:rFonts w:ascii="Arial" w:cs="Arial" w:eastAsia="Arial" w:hAnsi="Arial"/>
          <w:sz w:val="12"/>
          <w:szCs w:val="12"/>
          <w:color w:val="auto"/>
        </w:rPr>
        <w:t>On March 11, 2021, the Company and Robert W. Duggan, the Board Chairman, entered into a Loan Agreement in connection with Mr. Duggan lending the principal sum of $41.0 million to the Company. The Loan Agreement bore interest at a rate per annum equal to 5.0%, payable quarterly commencing on July 1, 2021. The interest rate payable under the Loan Agreement increases to 7.0% upon the occurrence of an Event of Default or a Material Adverse Effect, each as defined in the Loan Agreement. All unpaid principal amount of the Loan Agreement, together with any then unpaid and accrued interest, shall be payable at the earlier of (i) June 11, 2022 or (ii) when, upon the occurrence and during the continuance of an Event of Default, such amounts are declared due and payable by Mr. Duggan or made automatically due and payable, in each case, in accordance with the terms thereof, including any applicable cure periods as set forth in the Loan Agreement. A late payment fee equal to 2.0% will be applied to any payments received later than one (1) business day after the expiration of the applicable cure period. Upon five business days prior written notice to Mr. Duggan, the Company may prepay all or any portion of the amounts borrowed under the Loan Agreement, without premium or penalty. The Loan Agreement subjects the Company to certain affirmative and negative covenants. In addition, the Loan Agreement contains certain Events of Default. During the six-month periods ended June 30, 2021, the Company recorded $0.6 million of interest expense in relation to this Loan Agreement.</w:t>
      </w:r>
    </w:p>
    <w:p>
      <w:pPr>
        <w:spacing w:after="0" w:line="104" w:lineRule="exact"/>
        <w:rPr>
          <w:sz w:val="20"/>
          <w:szCs w:val="20"/>
          <w:color w:val="auto"/>
        </w:rPr>
      </w:pPr>
    </w:p>
    <w:p>
      <w:pPr>
        <w:ind w:left="6" w:right="200" w:firstLine="274"/>
        <w:spacing w:after="0" w:line="255" w:lineRule="auto"/>
        <w:rPr>
          <w:sz w:val="20"/>
          <w:szCs w:val="20"/>
          <w:color w:val="auto"/>
        </w:rPr>
      </w:pPr>
      <w:r>
        <w:rPr>
          <w:rFonts w:ascii="Arial" w:cs="Arial" w:eastAsia="Arial" w:hAnsi="Arial"/>
          <w:sz w:val="12"/>
          <w:szCs w:val="12"/>
          <w:color w:val="auto"/>
        </w:rPr>
        <w:t>In June 2021, the Loan Agreement was terminated and $41.0 million principal, together with approximately $0.6 million of accrued and unpaid interest, was fully settled via issuance of the Company’s common stock at a price per share of $16.40. Refer to Note 6 for additional details of the private placement sale.</w:t>
      </w:r>
    </w:p>
    <w:p>
      <w:pPr>
        <w:spacing w:after="0" w:line="94" w:lineRule="exact"/>
        <w:rPr>
          <w:sz w:val="20"/>
          <w:szCs w:val="20"/>
          <w:color w:val="auto"/>
        </w:rPr>
      </w:pPr>
    </w:p>
    <w:p>
      <w:pPr>
        <w:ind w:left="306"/>
        <w:spacing w:after="0"/>
        <w:rPr>
          <w:sz w:val="20"/>
          <w:szCs w:val="20"/>
          <w:color w:val="auto"/>
        </w:rPr>
      </w:pPr>
      <w:r>
        <w:rPr>
          <w:rFonts w:ascii="Arial" w:cs="Arial" w:eastAsia="Arial" w:hAnsi="Arial"/>
          <w:sz w:val="12"/>
          <w:szCs w:val="12"/>
          <w:b w:val="1"/>
          <w:bCs w:val="1"/>
          <w:i w:val="1"/>
          <w:iCs w:val="1"/>
          <w:color w:val="auto"/>
        </w:rPr>
        <w:t>Insurance Loan Agreement</w:t>
      </w:r>
    </w:p>
    <w:p>
      <w:pPr>
        <w:spacing w:after="0" w:line="120" w:lineRule="exact"/>
        <w:rPr>
          <w:sz w:val="20"/>
          <w:szCs w:val="20"/>
          <w:color w:val="auto"/>
        </w:rPr>
      </w:pPr>
    </w:p>
    <w:p>
      <w:pPr>
        <w:ind w:left="6" w:right="240" w:firstLine="274"/>
        <w:spacing w:after="0" w:line="272" w:lineRule="auto"/>
        <w:rPr>
          <w:sz w:val="20"/>
          <w:szCs w:val="20"/>
          <w:color w:val="auto"/>
        </w:rPr>
      </w:pPr>
      <w:r>
        <w:rPr>
          <w:rFonts w:ascii="Arial" w:cs="Arial" w:eastAsia="Arial" w:hAnsi="Arial"/>
          <w:sz w:val="11"/>
          <w:szCs w:val="11"/>
          <w:color w:val="auto"/>
        </w:rPr>
        <w:t>On May 13, 2021, the Company secured its annual director and officer liability insurance policy. The total premiums for the policy are approximately $2.6 million, of which the Company made a down payment of $0.7 million and financed the balance of $1.9 million via an Insurance Loan Agreement. The Insurance Loan Agreement has an annual interest rate of 3.69% and requires monthly payments through February 2022, upon which the Insurance Loan Agreement will be paid in full. The outstanding principal portion of the Insurance Loan Agreement, together with any accrued and unpaid interest, is recorded as a note payable in the balance sheet.</w:t>
      </w:r>
    </w:p>
    <w:p>
      <w:pPr>
        <w:spacing w:after="0" w:line="77" w:lineRule="exact"/>
        <w:rPr>
          <w:sz w:val="20"/>
          <w:szCs w:val="20"/>
          <w:color w:val="auto"/>
        </w:rPr>
      </w:pPr>
    </w:p>
    <w:p>
      <w:pPr>
        <w:ind w:left="266"/>
        <w:spacing w:after="0"/>
        <w:rPr>
          <w:sz w:val="20"/>
          <w:szCs w:val="20"/>
          <w:color w:val="auto"/>
        </w:rPr>
      </w:pPr>
      <w:r>
        <w:rPr>
          <w:rFonts w:ascii="Arial" w:cs="Arial" w:eastAsia="Arial" w:hAnsi="Arial"/>
          <w:sz w:val="12"/>
          <w:szCs w:val="12"/>
          <w:b w:val="1"/>
          <w:bCs w:val="1"/>
          <w:i w:val="1"/>
          <w:iCs w:val="1"/>
          <w:color w:val="auto"/>
        </w:rPr>
        <w:t>Operating Leases</w:t>
      </w:r>
    </w:p>
    <w:p>
      <w:pPr>
        <w:spacing w:after="0" w:line="120" w:lineRule="exact"/>
        <w:rPr>
          <w:sz w:val="20"/>
          <w:szCs w:val="20"/>
          <w:color w:val="auto"/>
        </w:rPr>
      </w:pPr>
    </w:p>
    <w:p>
      <w:pPr>
        <w:ind w:left="306"/>
        <w:spacing w:after="0"/>
        <w:rPr>
          <w:sz w:val="20"/>
          <w:szCs w:val="20"/>
          <w:color w:val="auto"/>
        </w:rPr>
      </w:pPr>
      <w:r>
        <w:rPr>
          <w:rFonts w:ascii="Arial" w:cs="Arial" w:eastAsia="Arial" w:hAnsi="Arial"/>
          <w:sz w:val="11"/>
          <w:szCs w:val="11"/>
          <w:color w:val="auto"/>
        </w:rPr>
        <w:t>In January 2017, the Company entered into a five-year lease (the “Existing Lease”) for approximately 15,700 square feet for its corporate headquarters located in Hayward, California. The lease commenced in July 2017.</w:t>
      </w:r>
    </w:p>
    <w:p>
      <w:pPr>
        <w:spacing w:after="0" w:line="132" w:lineRule="exact"/>
        <w:rPr>
          <w:sz w:val="20"/>
          <w:szCs w:val="20"/>
          <w:color w:val="auto"/>
        </w:rPr>
      </w:pPr>
    </w:p>
    <w:p>
      <w:pPr>
        <w:jc w:val="both"/>
        <w:ind w:left="6" w:firstLine="301"/>
        <w:spacing w:after="0" w:line="300" w:lineRule="auto"/>
        <w:rPr>
          <w:sz w:val="20"/>
          <w:szCs w:val="20"/>
          <w:color w:val="auto"/>
        </w:rPr>
      </w:pPr>
      <w:r>
        <w:rPr>
          <w:rFonts w:ascii="Arial" w:cs="Arial" w:eastAsia="Arial" w:hAnsi="Arial"/>
          <w:sz w:val="11"/>
          <w:szCs w:val="11"/>
          <w:color w:val="auto"/>
        </w:rPr>
        <w:t>In May 2019, the Company entered into Lease Amendment 1 (the “Lease Amendment”) in relation to the Existing Lease and added the lease of new premises of approximately 13,300 square feet and 21,300 square feet, (Expansion Premises 1 and Expansion Premises 2, respectively). Additionally, the term of the Existing Lease was extended to be coterminous with Expansion Premises 1 and Expansion Premises 2, effective October 2029.</w:t>
      </w:r>
    </w:p>
    <w:p>
      <w:pPr>
        <w:spacing w:after="0" w:line="71" w:lineRule="exact"/>
        <w:rPr>
          <w:sz w:val="20"/>
          <w:szCs w:val="20"/>
          <w:color w:val="auto"/>
        </w:rPr>
      </w:pPr>
    </w:p>
    <w:p>
      <w:pPr>
        <w:jc w:val="both"/>
        <w:ind w:left="6" w:firstLine="301"/>
        <w:spacing w:after="0" w:line="236" w:lineRule="auto"/>
        <w:rPr>
          <w:sz w:val="20"/>
          <w:szCs w:val="20"/>
          <w:color w:val="auto"/>
        </w:rPr>
      </w:pPr>
      <w:r>
        <w:rPr>
          <w:rFonts w:ascii="Arial" w:cs="Arial" w:eastAsia="Arial" w:hAnsi="Arial"/>
          <w:sz w:val="12"/>
          <w:szCs w:val="12"/>
          <w:color w:val="auto"/>
        </w:rPr>
        <w:t>The Company evaluated the lease amendment under the provisions of ASC 842. It concluded that the Lease Amendment would be accounted for as a single contract with the Existing Lease because the additional lease payments due to the Lease Amendment was not commensurate with the right-of-use (the “ROU”) asset granted to the Company. Though the Lease Amendment was accounted for as a single contract, the Existing Premises, Expansion Premises 1 (occupied in November 2019) and Expansion Premises 2 (occupied in May 2020) are accounted for as separate lease components. Accordingly, the Company measured and allocated consideration to each lease component as of the modification date.</w:t>
      </w:r>
    </w:p>
    <w:p>
      <w:pPr>
        <w:spacing w:after="0" w:line="103"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133985</wp:posOffset>
            </wp:positionV>
            <wp:extent cx="720090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286"/>
          </w:cols>
          <w:pgMar w:left="294" w:top="118" w:right="31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38"/>
        </w:trPr>
        <w:tc>
          <w:tcPr>
            <w:tcW w:w="920" w:type="dxa"/>
            <w:vAlign w:val="bottom"/>
            <w:tcBorders>
              <w:bottom w:val="single" w:sz="8" w:color="0563C1"/>
            </w:tcBorders>
          </w:tcPr>
          <w:p>
            <w:pPr>
              <w:spacing w:after="0"/>
              <w:rPr>
                <w:rFonts w:ascii="Arial" w:cs="Arial" w:eastAsia="Arial" w:hAnsi="Arial"/>
                <w:sz w:val="12"/>
                <w:szCs w:val="12"/>
                <w:b w:val="1"/>
                <w:bCs w:val="1"/>
                <w:color w:val="0563C1"/>
                <w:w w:val="88"/>
              </w:rPr>
            </w:pPr>
            <w:hyperlink w:anchor="page2">
              <w:r>
                <w:rPr>
                  <w:rFonts w:ascii="Arial" w:cs="Arial" w:eastAsia="Arial" w:hAnsi="Arial"/>
                  <w:sz w:val="12"/>
                  <w:szCs w:val="12"/>
                  <w:b w:val="1"/>
                  <w:bCs w:val="1"/>
                  <w:color w:val="0563C1"/>
                  <w:w w:val="88"/>
                </w:rPr>
                <w:t>Table of Contents</w:t>
              </w:r>
            </w:hyperlink>
          </w:p>
        </w:tc>
        <w:tc>
          <w:tcPr>
            <w:tcW w:w="8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486"/>
        </w:trPr>
        <w:tc>
          <w:tcPr>
            <w:tcW w:w="9360" w:type="dxa"/>
            <w:vAlign w:val="bottom"/>
            <w:gridSpan w:val="2"/>
          </w:tcPr>
          <w:p>
            <w:pPr>
              <w:ind w:left="300"/>
              <w:spacing w:after="0"/>
              <w:rPr>
                <w:sz w:val="20"/>
                <w:szCs w:val="20"/>
                <w:color w:val="auto"/>
              </w:rPr>
            </w:pPr>
            <w:r>
              <w:rPr>
                <w:rFonts w:ascii="Arial" w:cs="Arial" w:eastAsia="Arial" w:hAnsi="Arial"/>
                <w:sz w:val="12"/>
                <w:szCs w:val="12"/>
                <w:color w:val="auto"/>
              </w:rPr>
              <w:t>Information related to the Company’s ROU assets and related lease liabilities are as follows (in thousands, except for remaining lease term and discount rate):</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8"/>
        </w:trPr>
        <w:tc>
          <w:tcPr>
            <w:tcW w:w="9360" w:type="dxa"/>
            <w:vAlign w:val="bottom"/>
            <w:gridSpan w:val="2"/>
          </w:tcPr>
          <w:p>
            <w:pPr>
              <w:spacing w:after="0"/>
              <w:rPr>
                <w:sz w:val="20"/>
                <w:szCs w:val="20"/>
                <w:color w:val="auto"/>
              </w:rPr>
            </w:pPr>
            <w:r>
              <w:rPr>
                <w:rFonts w:ascii="Arial" w:cs="Arial" w:eastAsia="Arial" w:hAnsi="Arial"/>
                <w:sz w:val="12"/>
                <w:szCs w:val="12"/>
                <w:color w:val="auto"/>
              </w:rPr>
              <w:t>Year Ending December 31:</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9"/>
        </w:trPr>
        <w:tc>
          <w:tcPr>
            <w:tcW w:w="93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2021 (remaining 6 months)</w:t>
            </w:r>
          </w:p>
        </w:tc>
        <w:tc>
          <w:tcPr>
            <w:tcW w:w="8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894</w:t>
            </w:r>
          </w:p>
        </w:tc>
      </w:tr>
      <w:tr>
        <w:trPr>
          <w:trHeight w:val="129"/>
        </w:trPr>
        <w:tc>
          <w:tcPr>
            <w:tcW w:w="920" w:type="dxa"/>
            <w:vAlign w:val="bottom"/>
          </w:tcPr>
          <w:p>
            <w:pPr>
              <w:spacing w:after="0" w:line="129" w:lineRule="exact"/>
              <w:rPr>
                <w:sz w:val="20"/>
                <w:szCs w:val="20"/>
                <w:color w:val="auto"/>
              </w:rPr>
            </w:pPr>
            <w:r>
              <w:rPr>
                <w:rFonts w:ascii="Arial" w:cs="Arial" w:eastAsia="Arial" w:hAnsi="Arial"/>
                <w:sz w:val="12"/>
                <w:szCs w:val="12"/>
                <w:color w:val="auto"/>
              </w:rPr>
              <w:t>2022</w:t>
            </w:r>
          </w:p>
        </w:tc>
        <w:tc>
          <w:tcPr>
            <w:tcW w:w="8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1,806</w:t>
            </w:r>
          </w:p>
        </w:tc>
      </w:tr>
      <w:tr>
        <w:trPr>
          <w:trHeight w:val="129"/>
        </w:trPr>
        <w:tc>
          <w:tcPr>
            <w:tcW w:w="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2023</w:t>
            </w:r>
          </w:p>
        </w:tc>
        <w:tc>
          <w:tcPr>
            <w:tcW w:w="8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1,845</w:t>
            </w:r>
          </w:p>
        </w:tc>
      </w:tr>
      <w:tr>
        <w:trPr>
          <w:trHeight w:val="129"/>
        </w:trPr>
        <w:tc>
          <w:tcPr>
            <w:tcW w:w="920" w:type="dxa"/>
            <w:vAlign w:val="bottom"/>
          </w:tcPr>
          <w:p>
            <w:pPr>
              <w:spacing w:after="0" w:line="129" w:lineRule="exact"/>
              <w:rPr>
                <w:sz w:val="20"/>
                <w:szCs w:val="20"/>
                <w:color w:val="auto"/>
              </w:rPr>
            </w:pPr>
            <w:r>
              <w:rPr>
                <w:rFonts w:ascii="Arial" w:cs="Arial" w:eastAsia="Arial" w:hAnsi="Arial"/>
                <w:sz w:val="12"/>
                <w:szCs w:val="12"/>
                <w:color w:val="auto"/>
              </w:rPr>
              <w:t>2024</w:t>
            </w:r>
          </w:p>
        </w:tc>
        <w:tc>
          <w:tcPr>
            <w:tcW w:w="8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1,910</w:t>
            </w:r>
          </w:p>
        </w:tc>
      </w:tr>
      <w:tr>
        <w:trPr>
          <w:trHeight w:val="129"/>
        </w:trPr>
        <w:tc>
          <w:tcPr>
            <w:tcW w:w="92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2025</w:t>
            </w:r>
          </w:p>
        </w:tc>
        <w:tc>
          <w:tcPr>
            <w:tcW w:w="8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1,976</w:t>
            </w:r>
          </w:p>
        </w:tc>
      </w:tr>
      <w:tr>
        <w:trPr>
          <w:trHeight w:val="129"/>
        </w:trPr>
        <w:tc>
          <w:tcPr>
            <w:tcW w:w="920" w:type="dxa"/>
            <w:vAlign w:val="bottom"/>
          </w:tcPr>
          <w:p>
            <w:pPr>
              <w:spacing w:after="0" w:line="129" w:lineRule="exact"/>
              <w:rPr>
                <w:sz w:val="20"/>
                <w:szCs w:val="20"/>
                <w:color w:val="auto"/>
              </w:rPr>
            </w:pPr>
            <w:r>
              <w:rPr>
                <w:rFonts w:ascii="Arial" w:cs="Arial" w:eastAsia="Arial" w:hAnsi="Arial"/>
                <w:sz w:val="12"/>
                <w:szCs w:val="12"/>
                <w:color w:val="auto"/>
              </w:rPr>
              <w:t>2026</w:t>
            </w:r>
          </w:p>
        </w:tc>
        <w:tc>
          <w:tcPr>
            <w:tcW w:w="8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2"/>
                <w:szCs w:val="12"/>
                <w:color w:val="auto"/>
              </w:rPr>
              <w:t>2,046</w:t>
            </w:r>
          </w:p>
        </w:tc>
      </w:tr>
      <w:tr>
        <w:trPr>
          <w:trHeight w:val="129"/>
        </w:trPr>
        <w:tc>
          <w:tcPr>
            <w:tcW w:w="93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Thereafter</w:t>
            </w:r>
          </w:p>
        </w:tc>
        <w:tc>
          <w:tcPr>
            <w:tcW w:w="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6,191</w:t>
            </w:r>
          </w:p>
        </w:tc>
      </w:tr>
      <w:tr>
        <w:trPr>
          <w:trHeight w:val="118"/>
        </w:trPr>
        <w:tc>
          <w:tcPr>
            <w:tcW w:w="9360" w:type="dxa"/>
            <w:vAlign w:val="bottom"/>
            <w:gridSpan w:val="2"/>
          </w:tcPr>
          <w:p>
            <w:pPr>
              <w:spacing w:after="0" w:line="118" w:lineRule="exact"/>
              <w:rPr>
                <w:sz w:val="20"/>
                <w:szCs w:val="20"/>
                <w:color w:val="auto"/>
              </w:rPr>
            </w:pPr>
            <w:r>
              <w:rPr>
                <w:rFonts w:ascii="Arial" w:cs="Arial" w:eastAsia="Arial" w:hAnsi="Arial"/>
                <w:sz w:val="12"/>
                <w:szCs w:val="12"/>
                <w:color w:val="auto"/>
              </w:rPr>
              <w:t>Total lease payments</w:t>
            </w:r>
          </w:p>
        </w:tc>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40" w:type="dxa"/>
            <w:vAlign w:val="bottom"/>
          </w:tcPr>
          <w:p>
            <w:pPr>
              <w:jc w:val="right"/>
              <w:spacing w:after="0" w:line="118" w:lineRule="exact"/>
              <w:rPr>
                <w:sz w:val="20"/>
                <w:szCs w:val="20"/>
                <w:color w:val="auto"/>
              </w:rPr>
            </w:pPr>
            <w:r>
              <w:rPr>
                <w:rFonts w:ascii="Arial" w:cs="Arial" w:eastAsia="Arial" w:hAnsi="Arial"/>
                <w:sz w:val="12"/>
                <w:szCs w:val="12"/>
                <w:color w:val="auto"/>
              </w:rPr>
              <w:t>16,668</w:t>
            </w:r>
          </w:p>
        </w:tc>
      </w:tr>
      <w:tr>
        <w:trPr>
          <w:trHeight w:val="129"/>
        </w:trPr>
        <w:tc>
          <w:tcPr>
            <w:tcW w:w="936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Less imputed interest</w:t>
            </w:r>
          </w:p>
        </w:tc>
        <w:tc>
          <w:tcPr>
            <w:tcW w:w="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(5,504)</w:t>
            </w:r>
          </w:p>
        </w:tc>
      </w:tr>
      <w:tr>
        <w:trPr>
          <w:trHeight w:val="126"/>
        </w:trPr>
        <w:tc>
          <w:tcPr>
            <w:tcW w:w="9360" w:type="dxa"/>
            <w:vAlign w:val="bottom"/>
            <w:gridSpan w:val="2"/>
          </w:tcPr>
          <w:p>
            <w:pPr>
              <w:spacing w:after="0" w:line="118" w:lineRule="exact"/>
              <w:rPr>
                <w:sz w:val="20"/>
                <w:szCs w:val="20"/>
                <w:color w:val="auto"/>
              </w:rPr>
            </w:pPr>
            <w:r>
              <w:rPr>
                <w:rFonts w:ascii="Arial" w:cs="Arial" w:eastAsia="Arial" w:hAnsi="Arial"/>
                <w:sz w:val="12"/>
                <w:szCs w:val="12"/>
                <w:color w:val="auto"/>
              </w:rPr>
              <w:t>Total lease liabilities</w:t>
            </w:r>
          </w:p>
        </w:tc>
        <w:tc>
          <w:tcPr>
            <w:tcW w:w="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line="118" w:lineRule="exact"/>
              <w:rPr>
                <w:sz w:val="20"/>
                <w:szCs w:val="20"/>
                <w:color w:val="auto"/>
              </w:rPr>
            </w:pPr>
            <w:r>
              <w:rPr>
                <w:rFonts w:ascii="Arial" w:cs="Arial" w:eastAsia="Arial" w:hAnsi="Arial"/>
                <w:sz w:val="12"/>
                <w:szCs w:val="12"/>
                <w:color w:val="auto"/>
              </w:rPr>
              <w:t>$</w:t>
            </w:r>
          </w:p>
        </w:tc>
        <w:tc>
          <w:tcPr>
            <w:tcW w:w="11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11,164</w:t>
            </w:r>
          </w:p>
        </w:tc>
      </w:tr>
    </w:tbl>
    <w:p>
      <w:pPr>
        <w:spacing w:after="0" w:line="126" w:lineRule="exact"/>
        <w:rPr>
          <w:sz w:val="20"/>
          <w:szCs w:val="20"/>
          <w:color w:val="auto"/>
        </w:rPr>
      </w:pPr>
    </w:p>
    <w:p>
      <w:pPr>
        <w:sectPr>
          <w:pgSz w:w="11900" w:h="16838" w:orient="portrait"/>
          <w:cols w:equalWidth="0" w:num="1">
            <w:col w:w="11300"/>
          </w:cols>
          <w:pgMar w:left="300" w:top="112" w:right="299" w:bottom="1440" w:gutter="0" w:footer="0" w:header="0"/>
        </w:sectPr>
      </w:pPr>
    </w:p>
    <w:p>
      <w:pPr>
        <w:spacing w:after="0"/>
        <w:rPr>
          <w:sz w:val="20"/>
          <w:szCs w:val="20"/>
          <w:color w:val="auto"/>
        </w:rPr>
      </w:pPr>
      <w:r>
        <w:rPr>
          <w:rFonts w:ascii="Arial" w:cs="Arial" w:eastAsia="Arial" w:hAnsi="Arial"/>
          <w:sz w:val="12"/>
          <w:szCs w:val="12"/>
          <w:b w:val="1"/>
          <w:bCs w:val="1"/>
          <w:color w:val="auto"/>
        </w:rPr>
        <w:t>Other supplemental information:</w:t>
      </w:r>
    </w:p>
    <w:p>
      <w:pPr>
        <w:spacing w:after="0" w:line="233" w:lineRule="auto"/>
        <w:rPr>
          <w:sz w:val="20"/>
          <w:szCs w:val="20"/>
          <w:color w:val="auto"/>
        </w:rPr>
      </w:pPr>
      <w:r>
        <w:rPr>
          <w:rFonts w:ascii="Arial" w:cs="Arial" w:eastAsia="Arial" w:hAnsi="Arial"/>
          <w:sz w:val="12"/>
          <w:szCs w:val="12"/>
          <w:color w:val="auto"/>
        </w:rPr>
        <w:t>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75500" cy="819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Non-current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7175500" cy="939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5500" cy="9398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2"/>
          <w:szCs w:val="12"/>
          <w:color w:val="auto"/>
        </w:rPr>
        <w:t>Total lease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1"/>
          <w:szCs w:val="11"/>
          <w:color w:val="auto"/>
        </w:rPr>
        <w:t>Cash paid for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7175500" cy="819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0"/>
          <w:szCs w:val="10"/>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7175500" cy="81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Weighted average discount rate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00" w:type="dxa"/>
            <w:vAlign w:val="bottom"/>
            <w:gridSpan w:val="2"/>
          </w:tcPr>
          <w:p>
            <w:pPr>
              <w:jc w:val="right"/>
              <w:ind w:right="714"/>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719</w:t>
            </w:r>
          </w:p>
        </w:tc>
      </w:tr>
      <w:tr>
        <w:trPr>
          <w:trHeight w:val="147"/>
        </w:trPr>
        <w:tc>
          <w:tcPr>
            <w:tcW w:w="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10,445</w:t>
            </w:r>
          </w:p>
        </w:tc>
      </w:tr>
      <w:tr>
        <w:trPr>
          <w:trHeight w:val="126"/>
        </w:trPr>
        <w:tc>
          <w:tcPr>
            <w:tcW w:w="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714"/>
              <w:spacing w:after="0"/>
              <w:rPr>
                <w:sz w:val="20"/>
                <w:szCs w:val="20"/>
                <w:color w:val="auto"/>
              </w:rPr>
            </w:pPr>
            <w:r>
              <w:rPr>
                <w:rFonts w:ascii="Arial" w:cs="Arial" w:eastAsia="Arial" w:hAnsi="Arial"/>
                <w:sz w:val="5"/>
                <w:szCs w:val="5"/>
                <w:color w:val="auto"/>
                <w:w w:val="70"/>
              </w:rPr>
              <w:t>$</w:t>
            </w:r>
          </w:p>
        </w:tc>
        <w:tc>
          <w:tcPr>
            <w:tcW w:w="11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11,164</w:t>
            </w:r>
          </w:p>
        </w:tc>
      </w:tr>
      <w:tr>
        <w:trPr>
          <w:trHeight w:val="267"/>
        </w:trPr>
        <w:tc>
          <w:tcPr>
            <w:tcW w:w="800" w:type="dxa"/>
            <w:vAlign w:val="bottom"/>
            <w:gridSpan w:val="2"/>
          </w:tcPr>
          <w:p>
            <w:pPr>
              <w:jc w:val="right"/>
              <w:ind w:right="714"/>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2"/>
                <w:szCs w:val="12"/>
                <w:color w:val="auto"/>
              </w:rPr>
              <w:t>749</w:t>
            </w:r>
          </w:p>
        </w:tc>
      </w:tr>
      <w:tr>
        <w:trPr>
          <w:trHeight w:val="232"/>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8.34</w:t>
            </w:r>
          </w:p>
        </w:tc>
      </w:tr>
      <w:tr>
        <w:trPr>
          <w:trHeight w:val="156"/>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10%</w:t>
            </w:r>
          </w:p>
        </w:tc>
      </w:tr>
    </w:tbl>
    <w:p>
      <w:pPr>
        <w:spacing w:after="0" w:line="94" w:lineRule="exact"/>
        <w:rPr>
          <w:sz w:val="20"/>
          <w:szCs w:val="20"/>
          <w:color w:val="auto"/>
        </w:rPr>
      </w:pPr>
    </w:p>
    <w:p>
      <w:pPr>
        <w:sectPr>
          <w:pgSz w:w="11900" w:h="16838" w:orient="portrait"/>
          <w:cols w:equalWidth="0" w:num="2">
            <w:col w:w="8640" w:space="720"/>
            <w:col w:w="1940"/>
          </w:cols>
          <w:pgMar w:left="300" w:top="112" w:right="299" w:bottom="1440" w:gutter="0" w:footer="0" w:header="0"/>
          <w:type w:val="continuous"/>
        </w:sectPr>
      </w:pPr>
    </w:p>
    <w:p>
      <w:pPr>
        <w:jc w:val="both"/>
        <w:ind w:right="20" w:firstLine="301"/>
        <w:spacing w:after="0" w:line="255" w:lineRule="auto"/>
        <w:rPr>
          <w:sz w:val="20"/>
          <w:szCs w:val="20"/>
          <w:color w:val="auto"/>
        </w:rPr>
      </w:pPr>
      <w:r>
        <w:rPr>
          <w:rFonts w:ascii="Arial" w:cs="Arial" w:eastAsia="Arial" w:hAnsi="Arial"/>
          <w:sz w:val="12"/>
          <w:szCs w:val="12"/>
          <w:color w:val="auto"/>
        </w:rPr>
        <w:t>Rent expense, including common area maintenance charges, was $0.5 million for each of the three-month periods ended June 30, 2021 and 2020; and was approximately $1.0 million and $0.7 million during the six-month periods ended June 30, 2021 and 2020, respectively.</w:t>
      </w:r>
    </w:p>
    <w:p>
      <w:pPr>
        <w:spacing w:after="0" w:line="8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Legal Proceedings</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From time to time, the Company may be involved in a variety of claims, lawsuits, investigations, and proceedings relating to securities laws, product liability, patent infringement, contract disputes, and other matters relating to various claims that arise in the normal course of the Company’s business. The Company currently believes that these ordinary course matters are not material to the condensed consolidated financial statements of the business; however, the results of litigation and claims are inherently unpredictable.</w:t>
      </w: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9.  Controlled Launch</w:t>
      </w:r>
    </w:p>
    <w:p>
      <w:pPr>
        <w:spacing w:after="0" w:line="12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In February 2021, the Company received 510(k) clearance from the U.S. FDA for its proprietary CellFX System with initial clearance for a general dermatologic indication. In January 2021, the Company received CE marking approval for the CellFX System, which allows for marketing of the system in the EU for treatment of general dermatologic conditions, including SH, SK, and cutaneous non-genital warts. Additionally, in June 2021 the Company received Health Canada approval for the CellFX System, which allows for marketing of the system in Canada for use in dermatological procedures requiring ablation and resurfacing of the skin for the reduction, removal, and/or clearance of cellular-based benign lesions. Having obtained clearance in these three regions, the Company has commenced a controlled launch of the CellFX System in the U.S., EU, and Canada via their CellFX Expectations Excelled Program (the Program).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2" w:right="299" w:bottom="1440" w:gutter="0" w:footer="0" w:header="0"/>
          <w:type w:val="continuous"/>
        </w:sectPr>
      </w:pPr>
    </w:p>
    <w:bookmarkStart w:id="18" w:name="page19"/>
    <w:bookmarkEnd w:id="1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51" w:lineRule="auto"/>
        <w:rPr>
          <w:sz w:val="20"/>
          <w:szCs w:val="20"/>
          <w:color w:val="auto"/>
        </w:rPr>
      </w:pPr>
      <w:r>
        <w:rPr>
          <w:rFonts w:ascii="Arial" w:cs="Arial" w:eastAsia="Arial" w:hAnsi="Arial"/>
          <w:sz w:val="11"/>
          <w:szCs w:val="11"/>
          <w:color w:val="auto"/>
        </w:rPr>
        <w:t>The Company selected a total of approximately 80 key opinion leaders in dermatology across the U.S., EU and Canada to be the first physicians (consultants) to launch the CellFX System and the associated CellFX commercial procedures into their respective markets and geographies. The Company has executed consulting agreements to retain these key opinion leaders to participate in the Program. According to the Program plan, the Company provides and sets-up the CellFX System at each consultant’s site and provides the consultant with the necessary related products and components, free of charge, to complete the requirements of the Program. Each CellFX System and any un-used component products remain the property of the Company throughout the Program. The consultant identifies and recruits up to 40 or 50 patients, dependent on the contract, for participation in the Program, performing the CellFX procedure on each of the appropriately selected patients. Under the program, the key opinion leader consultants and their patients complete evaluation surveys about their experiences with the CellFX System and provide other information helpful to the Company. Upon completion of the procedures and the survey feedback, the consultants earn either credits which can be used towards the future purchase of the CellFX System or, in some jurisdictions, fair payment for their time and effort completing the paperwork required under the Program. Credits earned and, if applicable, any other payments earned are limited to a maximum amount dependent on number of patient procedures performed. Upon completion of the maximum number of patient procedures, the consultant may choose to either enter into a purchase agreement with the Company, where they may use the credits earned (or other payments earned, as applicable) towards purchase of the CellFX System, or they shall return the CellFX System to the Company.</w:t>
      </w:r>
    </w:p>
    <w:p>
      <w:pPr>
        <w:spacing w:after="0" w:line="101" w:lineRule="exact"/>
        <w:rPr>
          <w:sz w:val="20"/>
          <w:szCs w:val="20"/>
          <w:color w:val="auto"/>
        </w:rPr>
      </w:pPr>
    </w:p>
    <w:p>
      <w:pPr>
        <w:jc w:val="both"/>
        <w:ind w:firstLine="301"/>
        <w:spacing w:after="0" w:line="300" w:lineRule="auto"/>
        <w:rPr>
          <w:sz w:val="20"/>
          <w:szCs w:val="20"/>
          <w:color w:val="auto"/>
        </w:rPr>
      </w:pPr>
      <w:r>
        <w:rPr>
          <w:rFonts w:ascii="Arial" w:cs="Arial" w:eastAsia="Arial" w:hAnsi="Arial"/>
          <w:sz w:val="11"/>
          <w:szCs w:val="11"/>
          <w:color w:val="auto"/>
        </w:rPr>
        <w:t>As patient procedures and surveys have been completed under the Program, the Company has been accruing for the value of the credits earned, which have been recorded in accrued expenses, with a corresponding charge to marketing expense. During the three-month and six-month periods ended June 30, 2021, the Company recorded $0.4 million and $0.6 million, respectively, of sales and marketing expense in relation to the Program.</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10.  Related Party Transactions</w:t>
      </w:r>
    </w:p>
    <w:p>
      <w:pPr>
        <w:spacing w:after="0" w:line="12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Kenneth A. Clark, a director of the Company since November 2017, is a member of the law firm of Wilson Sonsini Goodrich and Rosati (WSGR), which also serves as the outside corporate counsel to the Company. During the three and six-month periods ended June 30, 2021, the Company incurred expenses reported in general and administrative in the consolidated statement of operations for legal services rendered by WSGR totaling approximately $0.2 million and $0.4 million, respectively. In June 2020, the Company incurred approximately $0.4 million of legal expenses in connection with the rights offering which was offset against the gross proceeds. During the three and six-month periods ended June 30, 2021, the Company incurred an additional $0.1 million and $0.2 million, respectively, of legal expenses in connection with the at-the-market equity offering which was offset against the gross proceeds (Note 6).</w:t>
      </w:r>
    </w:p>
    <w:p>
      <w:pPr>
        <w:spacing w:after="0" w:line="96"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In May 2020 the Company determined not to renew its director and officer liability insurance policies due to disproportionately high premiums quoted by insurance companies. Instead, Robert W. Duggan, majority stockholder and Board Chairman, and the Company entered into a letter agreement, dated May 12, 2020 (the “Letter Agreement”), pursuant to which Mr. Duggan agreed with the Company to personally provide indemnity coverage on substantially the same terms as the Company’s prior coverage program for a one-year period, and deposited security for such obligations. On May 13, 2021, in accordance with terms of the Letter Agreement, the Company paid Mr. Duggan the amount of $2.5 million. The Company did not enter into a new Letter Agreement with Mr. Duggan for the subsequent policy period, and in May 2021 secured its director and officer liability insurance through third-party insurance carriers.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In June 2020, the Company completed the Rights Offering (Note 6). Mr. Duggan participated in the Rights Offering and purchased an aggregate of 2,561,873 Units.</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On March 11, 2021, the Company and Mr. Duggan entered into a Loan Agreement in connection with Mr. Duggan lending the principal sum of $41.0 million to the Company (Note 8).</w:t>
      </w:r>
    </w:p>
    <w:p>
      <w:pPr>
        <w:spacing w:after="0" w:line="111" w:lineRule="exact"/>
        <w:rPr>
          <w:sz w:val="20"/>
          <w:szCs w:val="20"/>
          <w:color w:val="auto"/>
        </w:rPr>
      </w:pPr>
    </w:p>
    <w:p>
      <w:pPr>
        <w:jc w:val="both"/>
        <w:ind w:right="20" w:firstLine="301"/>
        <w:spacing w:after="0" w:line="233" w:lineRule="auto"/>
        <w:rPr>
          <w:sz w:val="20"/>
          <w:szCs w:val="20"/>
          <w:color w:val="auto"/>
        </w:rPr>
      </w:pPr>
      <w:r>
        <w:rPr>
          <w:rFonts w:ascii="Arial" w:cs="Arial" w:eastAsia="Arial" w:hAnsi="Arial"/>
          <w:sz w:val="12"/>
          <w:szCs w:val="12"/>
          <w:color w:val="auto"/>
        </w:rPr>
        <w:t>On June 30, 2021, the Company and Mr. Duggan entered into a Securities Purchase Agreement (Note 6), pursuant to which the Company issued and sold to Mr. Duggan 3,048,780 shares of the Company’s common stock, par value $0.001 per share, in a Private Placement, at a price per share of $16.40, for an aggregate investment in the amount of $50.0 million. The shares were paid for through (i) the conversion of $41 million aggregate principal amount, together with all accrued and unpaid interest outstanding, owed to Mr. Duggan under the Loan Agreement by and between the Company and Mr. Duggan (Note 8), and (ii) cash in the amount of approximately $8.4 million. Upon the closing of this Private Placement and satisfaction of the outstanding debt, the Loan Agreement terminated, without any early termination fees or penalties being owed by the Company, and no additional amounts were owed to Mr. Duggan under the Loan Agreement.</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As of June 30, 2021, and after giving effect to this Private Placement, Mr. Duggan was the beneficial owner of approximately 51% of the Company’s outstanding stock.</w:t>
      </w:r>
    </w:p>
    <w:p>
      <w:pPr>
        <w:spacing w:after="0" w:line="12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19" w:name="page20"/>
    <w:bookmarkEnd w:id="1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5" w:lineRule="exact"/>
        <w:rPr>
          <w:sz w:val="20"/>
          <w:szCs w:val="20"/>
          <w:color w:val="auto"/>
        </w:rPr>
      </w:pPr>
    </w:p>
    <w:p>
      <w:pPr>
        <w:jc w:val="both"/>
        <w:spacing w:after="0" w:line="238" w:lineRule="auto"/>
        <w:rPr>
          <w:sz w:val="20"/>
          <w:szCs w:val="20"/>
          <w:color w:val="auto"/>
        </w:rPr>
      </w:pPr>
      <w:r>
        <w:rPr>
          <w:rFonts w:ascii="Arial" w:cs="Arial" w:eastAsia="Arial" w:hAnsi="Arial"/>
          <w:sz w:val="12"/>
          <w:szCs w:val="12"/>
          <w:i w:val="1"/>
          <w:iCs w:val="1"/>
          <w:color w:val="auto"/>
        </w:rPr>
        <w:t>You should read the following discussion and analysis of our financial condition and results of operations together with our condensed consolidated financial statements and the related notes included in this Quarterly Report on Form 10-Q and those in our Annual Report on Form 10-K.</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1"/>
          <w:szCs w:val="11"/>
          <w:i w:val="1"/>
          <w:iCs w:val="1"/>
          <w:color w:val="auto"/>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the anticipated mix of our revenues between procedure and system revenues, our financing plans and future capital requirements, anticipated costs of revenue, anticipated expenses, the effect of recent accounting pronouncements, our investments, anticipated cash flows, our ability to finance operations from cash flows and similar matters, the impact of the recent COVID-19 coronavirus pandemic and related public health measures on our business, and statements based on current expectations, estimates, forecasts and projections about the economies and markets in which we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45" w:lineRule="exact"/>
        <w:rPr>
          <w:sz w:val="20"/>
          <w:szCs w:val="20"/>
          <w:color w:val="auto"/>
        </w:rPr>
      </w:pPr>
    </w:p>
    <w:p>
      <w:pPr>
        <w:jc w:val="both"/>
        <w:ind w:firstLine="301"/>
        <w:spacing w:after="0" w:line="208" w:lineRule="auto"/>
        <w:rPr>
          <w:sz w:val="20"/>
          <w:szCs w:val="20"/>
          <w:color w:val="auto"/>
        </w:rPr>
      </w:pPr>
      <w:r>
        <w:rPr>
          <w:rFonts w:ascii="Arial" w:cs="Arial" w:eastAsia="Arial" w:hAnsi="Arial"/>
          <w:sz w:val="12"/>
          <w:szCs w:val="12"/>
          <w:color w:val="auto"/>
        </w:rPr>
        <w:t>We are a novel bioelectric medicine company committed to health innovation using an entirely new and proprietary energy modality. Our CellFX</w:t>
      </w:r>
      <w:r>
        <w:rPr>
          <w:rFonts w:ascii="Arial" w:cs="Arial" w:eastAsia="Arial" w:hAnsi="Arial"/>
          <w:sz w:val="20"/>
          <w:szCs w:val="20"/>
          <w:color w:val="auto"/>
          <w:vertAlign w:val="superscript"/>
        </w:rPr>
        <w:t>®</w:t>
      </w:r>
      <w:r>
        <w:rPr>
          <w:rFonts w:ascii="Arial" w:cs="Arial" w:eastAsia="Arial" w:hAnsi="Arial"/>
          <w:sz w:val="12"/>
          <w:szCs w:val="12"/>
          <w:color w:val="auto"/>
        </w:rPr>
        <w:t xml:space="preserve"> System is the first commercial product to harness the distinctive advantages of our proprietary Nano-Pulse Stimulation technology. The CellFX System delivers nano second duration pulses of electrical energy, each less than a millionth of a second long, to non-thermally clear targeted cells while sparing adjacent non-cellular tissue, to treat a variety of medical conditions for which an optimal solution remains unfulfilled.</w:t>
      </w:r>
    </w:p>
    <w:p>
      <w:pPr>
        <w:spacing w:after="0" w:line="104"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In February 2021, we received 510(k) clearance from the FDA for our proprietary CellFX System with initial clearance for a general indication for dermatologic procedures requiring ablation and resurfacing of the skin. With FDA clearance, in February 2021 we commenced a controlled launch in the United States with key opinion leaders in dermatology. Following this general dermatologic indication, we plan to pursue specific indications for the CellFX System, starting with an indication for the treatment of SH lesions. This will require an additional 510(k) submission, as will each subsequent indication, and will likely be based on comparative clinical data.</w:t>
      </w:r>
    </w:p>
    <w:p>
      <w:pPr>
        <w:spacing w:after="0" w:line="87"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In January 2021, we received CE marking approval for the CellFX System, which allows us to market the system in the European Union, and in June 2021, we received Health Canada approval for the CellFX System, which allows for marketing of the system in Canada. We have initiated a controlled launch to medical practices within these two regions for use in dermatological procedures requiring ablation and resurfacing of the skin for the reduction, removal, and/or clearance of cellular-based benign lesions, including SH, SK, and cutaneous non-genital warts.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Plan of Operation</w:t>
      </w:r>
    </w:p>
    <w:p>
      <w:pPr>
        <w:spacing w:after="0" w:line="12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We plan to establish ourselves as a medical therapy company with a local, non-thermal, and drug-free treatment platform that initiates cell death in targeted tissue by a process of cell signaling and also induces an adaptive immune response to the targeted tissue. In order to accomplish this, we plan to:</w:t>
      </w:r>
    </w:p>
    <w:p>
      <w:pPr>
        <w:spacing w:after="0" w:line="94" w:lineRule="exact"/>
        <w:rPr>
          <w:sz w:val="20"/>
          <w:szCs w:val="20"/>
          <w:color w:val="auto"/>
        </w:rPr>
      </w:pPr>
    </w:p>
    <w:p>
      <w:pPr>
        <w:ind w:left="440"/>
        <w:spacing w:after="0" w:line="255" w:lineRule="auto"/>
        <w:rPr>
          <w:sz w:val="20"/>
          <w:szCs w:val="20"/>
          <w:color w:val="auto"/>
        </w:rPr>
      </w:pPr>
      <w:r>
        <w:rPr>
          <w:rFonts w:ascii="Arial" w:cs="Arial" w:eastAsia="Arial" w:hAnsi="Arial"/>
          <w:sz w:val="12"/>
          <w:szCs w:val="12"/>
          <w:color w:val="auto"/>
        </w:rPr>
        <w:t>Improve our technology by continuing our research and product development efforts. We expect to develop interchangeable tissue applicators to target different tissue types that will leverage the novel characteristics of our technology platform.</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0" w:name="page21"/>
    <w:bookmarkEnd w:id="2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440"/>
        <w:spacing w:after="0" w:line="255" w:lineRule="auto"/>
        <w:rPr>
          <w:sz w:val="20"/>
          <w:szCs w:val="20"/>
          <w:color w:val="auto"/>
        </w:rPr>
      </w:pPr>
      <w:r>
        <w:rPr>
          <w:rFonts w:ascii="Arial" w:cs="Arial" w:eastAsia="Arial" w:hAnsi="Arial"/>
          <w:sz w:val="12"/>
          <w:szCs w:val="12"/>
          <w:color w:val="auto"/>
        </w:rPr>
        <w:t>Further explore and understand the benefits of our NPS technology platform with the objectives of broadening the currently planned cosmetic and therapeutic applications and identifying new applications. We anticipate that results of our clinical studies will enable us to recognize certain unmet medical needs that may be addressed by our technology.</w:t>
      </w:r>
    </w:p>
    <w:p>
      <w:pPr>
        <w:spacing w:after="0" w:line="94"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Continue to protect and expand our intellectual property portfolio with respect to NPS technology, which we expect will increase our ability to deter competitors and position our company for favorable licensing and partnering opportunities.</w:t>
      </w:r>
    </w:p>
    <w:p>
      <w:pPr>
        <w:spacing w:after="0" w:line="94" w:lineRule="exact"/>
        <w:rPr>
          <w:sz w:val="20"/>
          <w:szCs w:val="20"/>
          <w:color w:val="auto"/>
        </w:rPr>
      </w:pPr>
    </w:p>
    <w:p>
      <w:pPr>
        <w:ind w:left="440"/>
        <w:spacing w:after="0" w:line="255" w:lineRule="auto"/>
        <w:rPr>
          <w:sz w:val="20"/>
          <w:szCs w:val="20"/>
          <w:color w:val="auto"/>
        </w:rPr>
      </w:pPr>
      <w:r>
        <w:rPr>
          <w:rFonts w:ascii="Arial" w:cs="Arial" w:eastAsia="Arial" w:hAnsi="Arial"/>
          <w:sz w:val="12"/>
          <w:szCs w:val="12"/>
          <w:color w:val="auto"/>
        </w:rPr>
        <w:t>Partner with medical or biomedical device companies for certain applications which we anticipate may accelerate product development and acceptance into target market areas and allow us to gain the sales and marketing advantages of one or more established distribution infrastructures.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COVID-19 Pandemic</w:t>
      </w:r>
    </w:p>
    <w:p>
      <w:pPr>
        <w:spacing w:after="0" w:line="124"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Our clinical trials may be affected by the COVID-19 pandemic. Site initiation and patient enrollment may be delayed, for example, due to prioritization of hospital resources toward the COVID-19 pandemic, travel restrictions imposed by governments, and the inability to access sites for initiation and monitoring. Also, it is possible that delivery from some of our suppliers of certain materials used in the production of our product candidates could be delayed due to COVID-19 which could affect our ability to obtain sufficient materials for our product candidates. COVID-19 has and will continue to adversely affect global economies and financial markets, resulting in an economic downturn that could affect demand for our product candidates and impact our operating results. Even after the COVID-19 pandemic has subsided, we may continue to experience an adverse impact to our business as a result of the continued global economic impact of the pandemic. We cannot anticipate all of the ways in which health epidemics such as COVID-19 could adversely impact our business. Although we are continuing to monitor and assess the effects of the COVID-19 pandemic on our business, the ultimate impact of the COVID-19 pandemic or a similar health epidemic is highly uncertain and subject to change. See the Risk Factors section for further discussion of the possible impact of the COVID-19 pandemic on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2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The discussion and analysis of our financial condition and results of operations are based upon our unaudited condensed consolidated financial statements, which have been prepared in accordance with the rules and regulations of the SEC. The preparation of these condensed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05"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Our significant accounting policies and estimates are described in our Annual Report on Form 10-K for the year ended December 31, 2020. We continually evaluate the accounting policies and estimates used in preparing the consolidated financial statements. During the six-month period ended June 30, 2021, the Company received 510(k) clearance, CE marking approval, and Health Canada clearance for the CellFX System and began to capitalize inventory in preparation of commercialization.</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Valuation of Inventory</w:t>
      </w:r>
    </w:p>
    <w:p>
      <w:pPr>
        <w:spacing w:after="0" w:line="120"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Inventory is stated at lower of cost or net realizable value. We established the inventory basis by determining the cost based on standard costs approximating the purchase costs on a first-in, first-out basis. Net realizable value is the estimated selling price in the ordinary course of our business, less reasonably predictable costs of completion, disposal, and transportation. The cost basis of our inventory will be reduced for any products that are considered excessive or obsolete based upon assumptions about future demand and market conditions. At June 30, 2021, there is no reduction to the balance of inventory for excessive and obsolete inventory.</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Refer to “Recent Accounting Pronouncements” in Note 2 of Notes to Condensed Consolidated Financial Statements of this Quarterly Report.</w:t>
      </w:r>
    </w:p>
    <w:p>
      <w:pPr>
        <w:spacing w:after="0" w:line="12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1" w:name="page22"/>
    <w:bookmarkEnd w:id="21"/>
    <w:p>
      <w:pPr>
        <w:ind w:left="6"/>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2"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Segment and Geographical Information</w:t>
      </w:r>
    </w:p>
    <w:p>
      <w:pPr>
        <w:spacing w:after="0" w:line="124" w:lineRule="exact"/>
        <w:rPr>
          <w:sz w:val="20"/>
          <w:szCs w:val="20"/>
          <w:color w:val="auto"/>
        </w:rPr>
      </w:pPr>
    </w:p>
    <w:p>
      <w:pPr>
        <w:ind w:left="6" w:firstLine="301"/>
        <w:spacing w:after="0" w:line="255" w:lineRule="auto"/>
        <w:rPr>
          <w:sz w:val="20"/>
          <w:szCs w:val="20"/>
          <w:color w:val="auto"/>
        </w:rPr>
      </w:pPr>
      <w:r>
        <w:rPr>
          <w:rFonts w:ascii="Arial" w:cs="Arial" w:eastAsia="Arial" w:hAnsi="Arial"/>
          <w:sz w:val="12"/>
          <w:szCs w:val="12"/>
          <w:color w:val="auto"/>
        </w:rPr>
        <w:t>We operate and manage our business as one reportable and operating segment. Our Chief Executive Officer, who is the chief operating decision maker, reviews financial information on an aggregate basis for purposes of allocating resources and evaluating financial performance. All of our long-lived assets are based in the United States.</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Results of Operations</w:t>
      </w:r>
    </w:p>
    <w:p>
      <w:pPr>
        <w:spacing w:after="0" w:line="124" w:lineRule="exact"/>
        <w:rPr>
          <w:sz w:val="20"/>
          <w:szCs w:val="20"/>
          <w:color w:val="auto"/>
        </w:rPr>
      </w:pPr>
    </w:p>
    <w:p>
      <w:pPr>
        <w:ind w:left="6"/>
        <w:spacing w:after="0"/>
        <w:rPr>
          <w:sz w:val="20"/>
          <w:szCs w:val="20"/>
          <w:color w:val="auto"/>
        </w:rPr>
      </w:pPr>
      <w:r>
        <w:rPr>
          <w:rFonts w:ascii="Arial" w:cs="Arial" w:eastAsia="Arial" w:hAnsi="Arial"/>
          <w:sz w:val="12"/>
          <w:szCs w:val="12"/>
          <w:b w:val="1"/>
          <w:bCs w:val="1"/>
          <w:i w:val="1"/>
          <w:iCs w:val="1"/>
          <w:color w:val="auto"/>
        </w:rPr>
        <w:t>Comparison of the three-month periods ended June 30, 2021 and 2020</w:t>
      </w:r>
    </w:p>
    <w:p>
      <w:pPr>
        <w:spacing w:after="0" w:line="111" w:lineRule="exact"/>
        <w:rPr>
          <w:sz w:val="20"/>
          <w:szCs w:val="20"/>
          <w:color w:val="auto"/>
        </w:rPr>
      </w:pPr>
    </w:p>
    <w:p>
      <w:pPr>
        <w:ind w:left="306"/>
        <w:spacing w:after="0"/>
        <w:rPr>
          <w:sz w:val="20"/>
          <w:szCs w:val="20"/>
          <w:color w:val="auto"/>
        </w:rPr>
      </w:pPr>
      <w:r>
        <w:rPr>
          <w:rFonts w:ascii="Arial" w:cs="Arial" w:eastAsia="Arial" w:hAnsi="Arial"/>
          <w:sz w:val="12"/>
          <w:szCs w:val="12"/>
          <w:color w:val="auto"/>
        </w:rPr>
        <w:t>Our condensed consolidated statements of operations as discussed herein are presented below:</w:t>
      </w:r>
    </w:p>
    <w:p>
      <w:pPr>
        <w:spacing w:after="0" w:line="147"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60" w:type="dxa"/>
            <w:vAlign w:val="bottom"/>
            <w:gridSpan w:val="4"/>
          </w:tcPr>
          <w:p>
            <w:pPr>
              <w:jc w:val="right"/>
              <w:spacing w:after="0"/>
              <w:rPr>
                <w:sz w:val="20"/>
                <w:szCs w:val="20"/>
                <w:color w:val="auto"/>
              </w:rPr>
            </w:pPr>
            <w:r>
              <w:rPr>
                <w:rFonts w:ascii="Arial" w:cs="Arial" w:eastAsia="Arial" w:hAnsi="Arial"/>
                <w:sz w:val="10"/>
                <w:szCs w:val="10"/>
                <w:b w:val="1"/>
                <w:bCs w:val="1"/>
                <w:color w:val="auto"/>
              </w:rPr>
              <w:t>Three-Month Periods Ended</w:t>
            </w: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w w:val="84"/>
              </w:rPr>
              <w:t>(in thousands)</w:t>
            </w:r>
          </w:p>
        </w:tc>
        <w:tc>
          <w:tcPr>
            <w:tcW w:w="3480" w:type="dxa"/>
            <w:vAlign w:val="bottom"/>
            <w:vMerge w:val="restart"/>
          </w:tcPr>
          <w:p>
            <w:pPr>
              <w:spacing w:after="0"/>
              <w:rPr>
                <w:sz w:val="10"/>
                <w:szCs w:val="10"/>
                <w:color w:val="auto"/>
              </w:rPr>
            </w:pPr>
          </w:p>
        </w:tc>
        <w:tc>
          <w:tcPr>
            <w:tcW w:w="24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4"/>
          </w:tcPr>
          <w:p>
            <w:pPr>
              <w:jc w:val="right"/>
              <w:ind w:right="429"/>
              <w:spacing w:after="0"/>
              <w:rPr>
                <w:sz w:val="20"/>
                <w:szCs w:val="20"/>
                <w:color w:val="auto"/>
              </w:rPr>
            </w:pPr>
            <w:r>
              <w:rPr>
                <w:rFonts w:ascii="Arial" w:cs="Arial" w:eastAsia="Arial" w:hAnsi="Arial"/>
                <w:sz w:val="10"/>
                <w:szCs w:val="10"/>
                <w:b w:val="1"/>
                <w:bCs w:val="1"/>
                <w:color w:val="auto"/>
              </w:rPr>
              <w:t>June 30,</w:t>
            </w:r>
          </w:p>
        </w:tc>
        <w:tc>
          <w:tcPr>
            <w:tcW w:w="90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restart"/>
          </w:tcPr>
          <w:p>
            <w:pPr>
              <w:jc w:val="right"/>
              <w:ind w:right="48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348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62"/>
              <w:spacing w:after="0" w:line="82" w:lineRule="exact"/>
              <w:rPr>
                <w:sz w:val="20"/>
                <w:szCs w:val="20"/>
                <w:color w:val="auto"/>
              </w:rPr>
            </w:pPr>
            <w:r>
              <w:rPr>
                <w:rFonts w:ascii="Arial" w:cs="Arial" w:eastAsia="Arial" w:hAnsi="Arial"/>
                <w:sz w:val="9"/>
                <w:szCs w:val="9"/>
                <w:b w:val="1"/>
                <w:bCs w:val="1"/>
                <w:color w:val="auto"/>
              </w:rPr>
              <w:t>2021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jc w:val="right"/>
              <w:ind w:right="541"/>
              <w:spacing w:after="0" w:line="82" w:lineRule="exact"/>
              <w:rPr>
                <w:sz w:val="20"/>
                <w:szCs w:val="20"/>
                <w:color w:val="auto"/>
              </w:rPr>
            </w:pPr>
            <w:r>
              <w:rPr>
                <w:rFonts w:ascii="Arial" w:cs="Arial" w:eastAsia="Arial" w:hAnsi="Arial"/>
                <w:sz w:val="9"/>
                <w:szCs w:val="9"/>
                <w:b w:val="1"/>
                <w:bCs w:val="1"/>
                <w:color w:val="auto"/>
              </w:rPr>
              <w:t>2020*</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80" w:type="dxa"/>
            <w:vAlign w:val="bottom"/>
            <w:tcBorders>
              <w:top w:val="single" w:sz="8" w:color="CCEEFF"/>
            </w:tcBorders>
            <w:gridSpan w:val="2"/>
            <w:shd w:val="clear" w:color="auto" w:fill="CCEEFF"/>
          </w:tcPr>
          <w:p>
            <w:pPr>
              <w:spacing w:after="0" w:line="108" w:lineRule="exact"/>
              <w:rPr>
                <w:sz w:val="20"/>
                <w:szCs w:val="20"/>
                <w:color w:val="auto"/>
              </w:rPr>
            </w:pPr>
            <w:r>
              <w:rPr>
                <w:rFonts w:ascii="Arial" w:cs="Arial" w:eastAsia="Arial" w:hAnsi="Arial"/>
                <w:sz w:val="12"/>
                <w:szCs w:val="12"/>
                <w:color w:val="auto"/>
              </w:rPr>
              <w:t>Revenue</w:t>
            </w:r>
          </w:p>
        </w:tc>
        <w:tc>
          <w:tcPr>
            <w:tcW w:w="24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bottom w:val="single" w:sz="8" w:color="auto"/>
            </w:tcBorders>
            <w:shd w:val="clear" w:color="auto" w:fill="CCEEFF"/>
          </w:tcPr>
          <w:p>
            <w:pPr>
              <w:jc w:val="right"/>
              <w:ind w:right="229"/>
              <w:spacing w:after="0" w:line="108" w:lineRule="exact"/>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ind w:right="449"/>
              <w:spacing w:after="0" w:line="108" w:lineRule="exact"/>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080" w:type="dxa"/>
            <w:vAlign w:val="bottom"/>
            <w:gridSpan w:val="2"/>
          </w:tcPr>
          <w:p>
            <w:pPr>
              <w:spacing w:after="0" w:line="128" w:lineRule="exact"/>
              <w:rPr>
                <w:sz w:val="20"/>
                <w:szCs w:val="20"/>
                <w:color w:val="auto"/>
              </w:rPr>
            </w:pPr>
            <w:r>
              <w:rPr>
                <w:rFonts w:ascii="Arial" w:cs="Arial" w:eastAsia="Arial" w:hAnsi="Arial"/>
                <w:sz w:val="12"/>
                <w:szCs w:val="12"/>
                <w:color w:val="auto"/>
              </w:rPr>
              <w:t>Operating expenses:</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80" w:type="dxa"/>
            <w:vAlign w:val="bottom"/>
            <w:gridSpan w:val="2"/>
            <w:shd w:val="clear" w:color="auto" w:fill="CCEEFF"/>
          </w:tcPr>
          <w:p>
            <w:pPr>
              <w:ind w:left="140"/>
              <w:spacing w:after="0" w:line="129" w:lineRule="exact"/>
              <w:rPr>
                <w:sz w:val="20"/>
                <w:szCs w:val="20"/>
                <w:color w:val="auto"/>
              </w:rPr>
            </w:pPr>
            <w:r>
              <w:rPr>
                <w:rFonts w:ascii="Arial" w:cs="Arial" w:eastAsia="Arial" w:hAnsi="Arial"/>
                <w:sz w:val="12"/>
                <w:szCs w:val="12"/>
                <w:color w:val="auto"/>
              </w:rPr>
              <w:t>Research and development</w:t>
            </w:r>
          </w:p>
        </w:tc>
        <w:tc>
          <w:tcPr>
            <w:tcW w:w="2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7,459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5,870</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1,589</w:t>
            </w:r>
          </w:p>
        </w:tc>
        <w:tc>
          <w:tcPr>
            <w:tcW w:w="0" w:type="dxa"/>
            <w:vAlign w:val="bottom"/>
          </w:tcPr>
          <w:p>
            <w:pPr>
              <w:spacing w:after="0"/>
              <w:rPr>
                <w:sz w:val="1"/>
                <w:szCs w:val="1"/>
                <w:color w:val="auto"/>
              </w:rPr>
            </w:pPr>
          </w:p>
        </w:tc>
      </w:tr>
      <w:tr>
        <w:trPr>
          <w:trHeight w:val="129"/>
        </w:trPr>
        <w:tc>
          <w:tcPr>
            <w:tcW w:w="408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Sales and marketing</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2"/>
                <w:szCs w:val="12"/>
                <w:color w:val="auto"/>
              </w:rPr>
              <w:t>3,147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2"/>
                <w:szCs w:val="12"/>
                <w:color w:val="auto"/>
              </w:rPr>
              <w:t>1,485</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1,662</w:t>
            </w:r>
          </w:p>
        </w:tc>
        <w:tc>
          <w:tcPr>
            <w:tcW w:w="0" w:type="dxa"/>
            <w:vAlign w:val="bottom"/>
          </w:tcPr>
          <w:p>
            <w:pPr>
              <w:spacing w:after="0"/>
              <w:rPr>
                <w:sz w:val="1"/>
                <w:szCs w:val="1"/>
                <w:color w:val="auto"/>
              </w:rPr>
            </w:pPr>
          </w:p>
        </w:tc>
      </w:tr>
      <w:tr>
        <w:trPr>
          <w:trHeight w:val="129"/>
        </w:trPr>
        <w:tc>
          <w:tcPr>
            <w:tcW w:w="4080" w:type="dxa"/>
            <w:vAlign w:val="bottom"/>
            <w:gridSpan w:val="2"/>
            <w:shd w:val="clear" w:color="auto" w:fill="CCEEFF"/>
          </w:tcPr>
          <w:p>
            <w:pPr>
              <w:ind w:left="140"/>
              <w:spacing w:after="0" w:line="129" w:lineRule="exact"/>
              <w:rPr>
                <w:sz w:val="20"/>
                <w:szCs w:val="20"/>
                <w:color w:val="auto"/>
              </w:rPr>
            </w:pPr>
            <w:r>
              <w:rPr>
                <w:rFonts w:ascii="Arial" w:cs="Arial" w:eastAsia="Arial" w:hAnsi="Arial"/>
                <w:sz w:val="12"/>
                <w:szCs w:val="12"/>
                <w:color w:val="auto"/>
              </w:rPr>
              <w:t>General and administrative</w:t>
            </w:r>
          </w:p>
        </w:tc>
        <w:tc>
          <w:tcPr>
            <w:tcW w:w="24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4,200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3,999</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201</w:t>
            </w:r>
          </w:p>
        </w:tc>
        <w:tc>
          <w:tcPr>
            <w:tcW w:w="0" w:type="dxa"/>
            <w:vAlign w:val="bottom"/>
          </w:tcPr>
          <w:p>
            <w:pPr>
              <w:spacing w:after="0"/>
              <w:rPr>
                <w:sz w:val="1"/>
                <w:szCs w:val="1"/>
                <w:color w:val="auto"/>
              </w:rPr>
            </w:pPr>
          </w:p>
        </w:tc>
      </w:tr>
      <w:tr>
        <w:trPr>
          <w:trHeight w:val="118"/>
        </w:trPr>
        <w:tc>
          <w:tcPr>
            <w:tcW w:w="4080" w:type="dxa"/>
            <w:vAlign w:val="bottom"/>
            <w:tcBorders>
              <w:bottom w:val="single" w:sz="8" w:color="CCEEFF"/>
            </w:tcBorders>
            <w:gridSpan w:val="2"/>
          </w:tcPr>
          <w:p>
            <w:pPr>
              <w:ind w:left="280"/>
              <w:spacing w:after="0" w:line="118" w:lineRule="exact"/>
              <w:rPr>
                <w:sz w:val="20"/>
                <w:szCs w:val="20"/>
                <w:color w:val="auto"/>
              </w:rPr>
            </w:pPr>
            <w:r>
              <w:rPr>
                <w:rFonts w:ascii="Arial" w:cs="Arial" w:eastAsia="Arial" w:hAnsi="Arial"/>
                <w:sz w:val="12"/>
                <w:szCs w:val="12"/>
                <w:color w:val="auto"/>
              </w:rPr>
              <w:t>Total operating expenses</w:t>
            </w:r>
          </w:p>
        </w:tc>
        <w:tc>
          <w:tcPr>
            <w:tcW w:w="246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14,806</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11,354</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3,452</w:t>
            </w:r>
          </w:p>
        </w:tc>
        <w:tc>
          <w:tcPr>
            <w:tcW w:w="0" w:type="dxa"/>
            <w:vAlign w:val="bottom"/>
          </w:tcPr>
          <w:p>
            <w:pPr>
              <w:spacing w:after="0"/>
              <w:rPr>
                <w:sz w:val="1"/>
                <w:szCs w:val="1"/>
                <w:color w:val="auto"/>
              </w:rPr>
            </w:pPr>
          </w:p>
        </w:tc>
      </w:tr>
      <w:tr>
        <w:trPr>
          <w:trHeight w:val="118"/>
        </w:trPr>
        <w:tc>
          <w:tcPr>
            <w:tcW w:w="408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color w:val="auto"/>
              </w:rPr>
              <w:t>Other income (expense):</w:t>
            </w:r>
          </w:p>
        </w:tc>
        <w:tc>
          <w:tcPr>
            <w:tcW w:w="2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8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Interest income (expense), net</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(517)</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2"/>
                <w:szCs w:val="12"/>
                <w:color w:val="auto"/>
              </w:rPr>
              <w:t>21</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(538)</w:t>
            </w:r>
          </w:p>
        </w:tc>
        <w:tc>
          <w:tcPr>
            <w:tcW w:w="0" w:type="dxa"/>
            <w:vAlign w:val="bottom"/>
          </w:tcPr>
          <w:p>
            <w:pPr>
              <w:spacing w:after="0"/>
              <w:rPr>
                <w:sz w:val="1"/>
                <w:szCs w:val="1"/>
                <w:color w:val="auto"/>
              </w:rPr>
            </w:pPr>
          </w:p>
        </w:tc>
      </w:tr>
      <w:tr>
        <w:trPr>
          <w:trHeight w:val="118"/>
        </w:trPr>
        <w:tc>
          <w:tcPr>
            <w:tcW w:w="408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2"/>
                <w:szCs w:val="12"/>
                <w:color w:val="auto"/>
              </w:rPr>
              <w:t>Total other income (expense)</w:t>
            </w:r>
          </w:p>
        </w:tc>
        <w:tc>
          <w:tcPr>
            <w:tcW w:w="24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(517)</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21</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(538)</w:t>
            </w:r>
          </w:p>
        </w:tc>
        <w:tc>
          <w:tcPr>
            <w:tcW w:w="0" w:type="dxa"/>
            <w:vAlign w:val="bottom"/>
          </w:tcPr>
          <w:p>
            <w:pPr>
              <w:spacing w:after="0"/>
              <w:rPr>
                <w:sz w:val="1"/>
                <w:szCs w:val="1"/>
                <w:color w:val="auto"/>
              </w:rPr>
            </w:pPr>
          </w:p>
        </w:tc>
      </w:tr>
      <w:tr>
        <w:trPr>
          <w:trHeight w:val="118"/>
        </w:trPr>
        <w:tc>
          <w:tcPr>
            <w:tcW w:w="4080" w:type="dxa"/>
            <w:vAlign w:val="bottom"/>
            <w:gridSpan w:val="2"/>
          </w:tcPr>
          <w:p>
            <w:pPr>
              <w:spacing w:after="0" w:line="118" w:lineRule="exact"/>
              <w:rPr>
                <w:sz w:val="20"/>
                <w:szCs w:val="20"/>
                <w:color w:val="auto"/>
              </w:rPr>
            </w:pPr>
            <w:r>
              <w:rPr>
                <w:rFonts w:ascii="Arial" w:cs="Arial" w:eastAsia="Arial" w:hAnsi="Arial"/>
                <w:sz w:val="12"/>
                <w:szCs w:val="12"/>
                <w:color w:val="auto"/>
              </w:rPr>
              <w:t>Net loss</w:t>
            </w:r>
          </w:p>
        </w:tc>
        <w:tc>
          <w:tcPr>
            <w:tcW w:w="2460" w:type="dxa"/>
            <w:vAlign w:val="bottom"/>
          </w:tcPr>
          <w:p>
            <w:pPr>
              <w:spacing w:after="0"/>
              <w:rPr>
                <w:sz w:val="10"/>
                <w:szCs w:val="10"/>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(15,323)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bottom w:val="single" w:sz="8" w:color="auto"/>
            </w:tcBorders>
          </w:tcPr>
          <w:p>
            <w:pPr>
              <w:jc w:val="right"/>
              <w:ind w:right="4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(11,333)</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(3,990)</w:t>
            </w:r>
          </w:p>
        </w:tc>
        <w:tc>
          <w:tcPr>
            <w:tcW w:w="0" w:type="dxa"/>
            <w:vAlign w:val="bottom"/>
          </w:tcPr>
          <w:p>
            <w:pPr>
              <w:spacing w:after="0"/>
              <w:rPr>
                <w:sz w:val="1"/>
                <w:szCs w:val="1"/>
                <w:color w:val="auto"/>
              </w:rPr>
            </w:pPr>
          </w:p>
        </w:tc>
      </w:tr>
    </w:tbl>
    <w:p>
      <w:pPr>
        <w:ind w:left="6" w:right="20" w:hanging="6"/>
        <w:spacing w:after="0" w:line="255" w:lineRule="auto"/>
        <w:tabs>
          <w:tab w:leader="none" w:pos="117" w:val="left"/>
        </w:tabs>
        <w:numPr>
          <w:ilvl w:val="0"/>
          <w:numId w:val="4"/>
        </w:numPr>
        <w:rPr>
          <w:rFonts w:ascii="Arial" w:cs="Arial" w:eastAsia="Arial" w:hAnsi="Arial"/>
          <w:sz w:val="12"/>
          <w:szCs w:val="12"/>
          <w:color w:val="auto"/>
        </w:rPr>
      </w:pPr>
      <w:r>
        <w:rPr>
          <w:rFonts w:ascii="Arial" w:cs="Arial" w:eastAsia="Arial" w:hAnsi="Arial"/>
          <w:sz w:val="12"/>
          <w:szCs w:val="12"/>
          <w:color w:val="auto"/>
        </w:rPr>
        <w:t>Certain 2020 amounts have been reclassified to conform to the current period presentation. Sales and marketing expenses have been reclassified out of general and administrative and presented as a separate line item. Amortization of intangible assets have been reclassified to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-179705</wp:posOffset>
            </wp:positionV>
            <wp:extent cx="301688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16885" cy="5715"/>
                    </a:xfrm>
                    <a:prstGeom prst="rect">
                      <a:avLst/>
                    </a:prstGeom>
                    <a:noFill/>
                  </pic:spPr>
                </pic:pic>
              </a:graphicData>
            </a:graphic>
          </wp:anchor>
        </w:drawing>
      </w:r>
    </w:p>
    <w:p>
      <w:pPr>
        <w:spacing w:after="0" w:line="70"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Research and Development</w:t>
      </w:r>
    </w:p>
    <w:p>
      <w:pPr>
        <w:spacing w:after="0" w:line="124" w:lineRule="exact"/>
        <w:rPr>
          <w:sz w:val="20"/>
          <w:szCs w:val="20"/>
          <w:color w:val="auto"/>
        </w:rPr>
      </w:pPr>
    </w:p>
    <w:p>
      <w:pPr>
        <w:jc w:val="both"/>
        <w:ind w:left="6" w:firstLine="301"/>
        <w:spacing w:after="0" w:line="233" w:lineRule="auto"/>
        <w:rPr>
          <w:sz w:val="20"/>
          <w:szCs w:val="20"/>
          <w:color w:val="auto"/>
        </w:rPr>
      </w:pPr>
      <w:r>
        <w:rPr>
          <w:rFonts w:ascii="Arial" w:cs="Arial" w:eastAsia="Arial" w:hAnsi="Arial"/>
          <w:sz w:val="12"/>
          <w:szCs w:val="12"/>
          <w:color w:val="auto"/>
        </w:rPr>
        <w:t>Research and development expenses consist of compensation and other related employee expenses for research and development personnel, clinical trials and consulting costs related to the design, development and enhancement of our potential future products, prototype material and devices. Research and development expenses increased by $1.6 million to $7.5 million for the three-month period ended June 30, 2021, from $5.9 million during the same period in 2020 primarily due to $0.9 million of increased compensation and other employee related expenses, $0.5 million of increased clinical trial and other outside research costs, and $0.2 million in prototype material and devices. Compensation costs increased primarily due to headcount growth, while consulting and outside services increased primarily due to new application development, medical research and studies. Additionally, research and development expenses were partially offset by manufacturing absorption related to inventory production.</w:t>
      </w:r>
    </w:p>
    <w:p>
      <w:pPr>
        <w:spacing w:after="0" w:line="101"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Sales and Marketing</w:t>
      </w:r>
    </w:p>
    <w:p>
      <w:pPr>
        <w:spacing w:after="0" w:line="115" w:lineRule="exact"/>
        <w:rPr>
          <w:sz w:val="20"/>
          <w:szCs w:val="20"/>
          <w:color w:val="auto"/>
        </w:rPr>
      </w:pPr>
    </w:p>
    <w:p>
      <w:pPr>
        <w:jc w:val="both"/>
        <w:ind w:left="6" w:firstLine="301"/>
        <w:spacing w:after="0" w:line="233" w:lineRule="auto"/>
        <w:rPr>
          <w:sz w:val="20"/>
          <w:szCs w:val="20"/>
          <w:color w:val="auto"/>
        </w:rPr>
      </w:pPr>
      <w:r>
        <w:rPr>
          <w:rFonts w:ascii="Arial" w:cs="Arial" w:eastAsia="Arial" w:hAnsi="Arial"/>
          <w:sz w:val="12"/>
          <w:szCs w:val="12"/>
          <w:color w:val="auto"/>
        </w:rPr>
        <w:t>Sales and marketing expenses consist of compensation and other related employee expenses for sales and marketing personnel, expenses associated with advertising and training, and marketing studies including our controlled launch program. Sales and marketing expenses increased by $1.7 million to $3.1 million for the three-month period ended June 30, 2021, from $1.5 million during the same period in 2020 primarily due to $0.8 million of increased compensation and other employee related expenses related to increased headcount, $0.4 million of controlled launch expenses, $0.2 million of increased paid services primarily related to market research studies and commercial preparations, and $0.2 million of increased stock-based compensation. The increases in sales and marketing activities are attributable to our FDA clearance, CE marking approval, and Health Canada clearance as we commercialize our CellFX System.</w:t>
      </w:r>
    </w:p>
    <w:p>
      <w:pPr>
        <w:spacing w:after="0" w:line="105"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133985</wp:posOffset>
            </wp:positionV>
            <wp:extent cx="720090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6"/>
          </w:cols>
          <w:pgMar w:left="294" w:top="118" w:right="299" w:bottom="1440" w:gutter="0" w:footer="0" w:header="0"/>
        </w:sectPr>
      </w:pPr>
    </w:p>
    <w:bookmarkStart w:id="22" w:name="page23"/>
    <w:bookmarkEnd w:id="22"/>
    <w:p>
      <w:pPr>
        <w:ind w:left="6"/>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1"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General and Administrative</w:t>
      </w:r>
    </w:p>
    <w:p>
      <w:pPr>
        <w:spacing w:after="0" w:line="115" w:lineRule="exact"/>
        <w:rPr>
          <w:sz w:val="20"/>
          <w:szCs w:val="20"/>
          <w:color w:val="auto"/>
        </w:rPr>
      </w:pPr>
    </w:p>
    <w:p>
      <w:pPr>
        <w:jc w:val="both"/>
        <w:ind w:left="6" w:right="20" w:firstLine="301"/>
        <w:spacing w:after="0" w:line="236" w:lineRule="auto"/>
        <w:rPr>
          <w:sz w:val="20"/>
          <w:szCs w:val="20"/>
          <w:color w:val="auto"/>
        </w:rPr>
      </w:pPr>
      <w:r>
        <w:rPr>
          <w:rFonts w:ascii="Arial" w:cs="Arial" w:eastAsia="Arial" w:hAnsi="Arial"/>
          <w:sz w:val="12"/>
          <w:szCs w:val="12"/>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increased by $0.2 million to $4.2 million for the three-month period ended June 30, 2021, from $4.0 million during the same period in 2020 primarily due to $0.5 million of increased compensation and other employee related expenses driven largely by headcount growth and $0.1 million of increased paid services. These increases were offset by $0.3 million of reduced stock-based compensation.</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Other Income (Expense)</w:t>
      </w:r>
    </w:p>
    <w:p>
      <w:pPr>
        <w:spacing w:after="0" w:line="115" w:lineRule="exact"/>
        <w:rPr>
          <w:sz w:val="20"/>
          <w:szCs w:val="20"/>
          <w:color w:val="auto"/>
        </w:rPr>
      </w:pPr>
    </w:p>
    <w:p>
      <w:pPr>
        <w:jc w:val="both"/>
        <w:ind w:left="6" w:firstLine="301"/>
        <w:spacing w:after="0" w:line="255" w:lineRule="auto"/>
        <w:rPr>
          <w:sz w:val="20"/>
          <w:szCs w:val="20"/>
          <w:color w:val="auto"/>
        </w:rPr>
      </w:pPr>
      <w:r>
        <w:rPr>
          <w:rFonts w:ascii="Arial" w:cs="Arial" w:eastAsia="Arial" w:hAnsi="Arial"/>
          <w:sz w:val="12"/>
          <w:szCs w:val="12"/>
          <w:color w:val="auto"/>
        </w:rPr>
        <w:t>Interest expense increased by $0.5 million to $0.5 million for the three-month period ended June 30, 2021, from zero during the same period in 2020 due to the Loan Agreement entered into in March 2021 and Insurance Loan Agreement entered into in May 2021. Interest income decreased by $0.02 million primarily due to decreased investment activity.</w:t>
      </w:r>
    </w:p>
    <w:p>
      <w:pPr>
        <w:spacing w:after="0" w:line="85" w:lineRule="exact"/>
        <w:rPr>
          <w:sz w:val="20"/>
          <w:szCs w:val="20"/>
          <w:color w:val="auto"/>
        </w:rPr>
      </w:pPr>
    </w:p>
    <w:p>
      <w:pPr>
        <w:ind w:left="6"/>
        <w:spacing w:after="0"/>
        <w:rPr>
          <w:sz w:val="20"/>
          <w:szCs w:val="20"/>
          <w:color w:val="auto"/>
        </w:rPr>
      </w:pPr>
      <w:r>
        <w:rPr>
          <w:rFonts w:ascii="Arial" w:cs="Arial" w:eastAsia="Arial" w:hAnsi="Arial"/>
          <w:sz w:val="12"/>
          <w:szCs w:val="12"/>
          <w:b w:val="1"/>
          <w:bCs w:val="1"/>
          <w:i w:val="1"/>
          <w:iCs w:val="1"/>
          <w:color w:val="auto"/>
        </w:rPr>
        <w:t>Comparison of the six-month periods ended June 30, 2021 and 2020</w:t>
      </w:r>
    </w:p>
    <w:p>
      <w:pPr>
        <w:spacing w:after="0" w:line="120" w:lineRule="exact"/>
        <w:rPr>
          <w:sz w:val="20"/>
          <w:szCs w:val="20"/>
          <w:color w:val="auto"/>
        </w:rPr>
      </w:pPr>
    </w:p>
    <w:p>
      <w:pPr>
        <w:ind w:left="306"/>
        <w:spacing w:after="0"/>
        <w:rPr>
          <w:sz w:val="20"/>
          <w:szCs w:val="20"/>
          <w:color w:val="auto"/>
        </w:rPr>
      </w:pPr>
      <w:r>
        <w:rPr>
          <w:rFonts w:ascii="Arial" w:cs="Arial" w:eastAsia="Arial" w:hAnsi="Arial"/>
          <w:sz w:val="12"/>
          <w:szCs w:val="12"/>
          <w:color w:val="auto"/>
        </w:rPr>
        <w:t>Our condensed consolidated statements of operations as discussed herein are presented below:</w:t>
      </w:r>
    </w:p>
    <w:p>
      <w:pPr>
        <w:spacing w:after="0" w:line="9"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4"/>
          </w:tcPr>
          <w:p>
            <w:pPr>
              <w:jc w:val="right"/>
              <w:ind w:right="29"/>
              <w:spacing w:after="0"/>
              <w:rPr>
                <w:sz w:val="20"/>
                <w:szCs w:val="20"/>
                <w:color w:val="auto"/>
              </w:rPr>
            </w:pPr>
            <w:r>
              <w:rPr>
                <w:rFonts w:ascii="Arial" w:cs="Arial" w:eastAsia="Arial" w:hAnsi="Arial"/>
                <w:sz w:val="10"/>
                <w:szCs w:val="10"/>
                <w:b w:val="1"/>
                <w:bCs w:val="1"/>
                <w:color w:val="auto"/>
              </w:rPr>
              <w:t>Six-Month Periods Ended</w:t>
            </w: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w w:val="84"/>
              </w:rPr>
              <w:t>(in thousands)</w:t>
            </w:r>
          </w:p>
        </w:tc>
        <w:tc>
          <w:tcPr>
            <w:tcW w:w="3480" w:type="dxa"/>
            <w:vAlign w:val="bottom"/>
            <w:vMerge w:val="restart"/>
          </w:tcPr>
          <w:p>
            <w:pPr>
              <w:spacing w:after="0"/>
              <w:rPr>
                <w:sz w:val="10"/>
                <w:szCs w:val="10"/>
                <w:color w:val="auto"/>
              </w:rPr>
            </w:pPr>
          </w:p>
        </w:tc>
        <w:tc>
          <w:tcPr>
            <w:tcW w:w="24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4"/>
          </w:tcPr>
          <w:p>
            <w:pPr>
              <w:jc w:val="right"/>
              <w:ind w:right="409"/>
              <w:spacing w:after="0"/>
              <w:rPr>
                <w:sz w:val="20"/>
                <w:szCs w:val="20"/>
                <w:color w:val="auto"/>
              </w:rPr>
            </w:pPr>
            <w:r>
              <w:rPr>
                <w:rFonts w:ascii="Arial" w:cs="Arial" w:eastAsia="Arial" w:hAnsi="Arial"/>
                <w:sz w:val="10"/>
                <w:szCs w:val="10"/>
                <w:b w:val="1"/>
                <w:bCs w:val="1"/>
                <w:color w:val="auto"/>
              </w:rPr>
              <w:t>June 30,</w:t>
            </w:r>
          </w:p>
        </w:tc>
        <w:tc>
          <w:tcPr>
            <w:tcW w:w="9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vMerge w:val="restart"/>
          </w:tcPr>
          <w:p>
            <w:pPr>
              <w:jc w:val="right"/>
              <w:ind w:right="480"/>
              <w:spacing w:after="0"/>
              <w:rPr>
                <w:sz w:val="20"/>
                <w:szCs w:val="20"/>
                <w:color w:val="auto"/>
              </w:rPr>
            </w:pPr>
            <w:r>
              <w:rPr>
                <w:rFonts w:ascii="Arial" w:cs="Arial" w:eastAsia="Arial" w:hAnsi="Arial"/>
                <w:sz w:val="10"/>
                <w:szCs w:val="10"/>
                <w:b w:val="1"/>
                <w:bCs w:val="1"/>
                <w:color w:val="auto"/>
              </w:rPr>
              <w:t>$ Change</w:t>
            </w: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348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62"/>
              <w:spacing w:after="0" w:line="82" w:lineRule="exact"/>
              <w:rPr>
                <w:sz w:val="20"/>
                <w:szCs w:val="20"/>
                <w:color w:val="auto"/>
              </w:rPr>
            </w:pPr>
            <w:r>
              <w:rPr>
                <w:rFonts w:ascii="Arial" w:cs="Arial" w:eastAsia="Arial" w:hAnsi="Arial"/>
                <w:sz w:val="9"/>
                <w:szCs w:val="9"/>
                <w:b w:val="1"/>
                <w:bCs w:val="1"/>
                <w:color w:val="auto"/>
              </w:rPr>
              <w:t>2021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jc w:val="right"/>
              <w:ind w:right="581"/>
              <w:spacing w:after="0" w:line="82" w:lineRule="exact"/>
              <w:rPr>
                <w:sz w:val="20"/>
                <w:szCs w:val="20"/>
                <w:color w:val="auto"/>
              </w:rPr>
            </w:pPr>
            <w:r>
              <w:rPr>
                <w:rFonts w:ascii="Arial" w:cs="Arial" w:eastAsia="Arial" w:hAnsi="Arial"/>
                <w:sz w:val="9"/>
                <w:szCs w:val="9"/>
                <w:b w:val="1"/>
                <w:bCs w:val="1"/>
                <w:color w:val="auto"/>
              </w:rPr>
              <w:t>2020</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80" w:type="dxa"/>
            <w:vAlign w:val="bottom"/>
            <w:tcBorders>
              <w:top w:val="single" w:sz="8" w:color="CCEEFF"/>
            </w:tcBorders>
            <w:gridSpan w:val="2"/>
            <w:shd w:val="clear" w:color="auto" w:fill="CCEEFF"/>
          </w:tcPr>
          <w:p>
            <w:pPr>
              <w:spacing w:after="0" w:line="108" w:lineRule="exact"/>
              <w:rPr>
                <w:sz w:val="20"/>
                <w:szCs w:val="20"/>
                <w:color w:val="auto"/>
              </w:rPr>
            </w:pPr>
            <w:r>
              <w:rPr>
                <w:rFonts w:ascii="Arial" w:cs="Arial" w:eastAsia="Arial" w:hAnsi="Arial"/>
                <w:sz w:val="12"/>
                <w:szCs w:val="12"/>
                <w:color w:val="auto"/>
              </w:rPr>
              <w:t>Revenue</w:t>
            </w:r>
          </w:p>
        </w:tc>
        <w:tc>
          <w:tcPr>
            <w:tcW w:w="246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bottom w:val="single" w:sz="8" w:color="auto"/>
            </w:tcBorders>
            <w:shd w:val="clear" w:color="auto" w:fill="CCEEFF"/>
          </w:tcPr>
          <w:p>
            <w:pPr>
              <w:jc w:val="right"/>
              <w:ind w:right="229"/>
              <w:spacing w:after="0" w:line="108" w:lineRule="exact"/>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auto"/>
            </w:tcBorders>
            <w:shd w:val="clear" w:color="auto" w:fill="CCEEFF"/>
          </w:tcPr>
          <w:p>
            <w:pPr>
              <w:jc w:val="right"/>
              <w:ind w:right="429"/>
              <w:spacing w:after="0" w:line="108" w:lineRule="exact"/>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8"/>
        </w:trPr>
        <w:tc>
          <w:tcPr>
            <w:tcW w:w="4080" w:type="dxa"/>
            <w:vAlign w:val="bottom"/>
            <w:gridSpan w:val="2"/>
          </w:tcPr>
          <w:p>
            <w:pPr>
              <w:spacing w:after="0" w:line="128" w:lineRule="exact"/>
              <w:rPr>
                <w:sz w:val="20"/>
                <w:szCs w:val="20"/>
                <w:color w:val="auto"/>
              </w:rPr>
            </w:pPr>
            <w:r>
              <w:rPr>
                <w:rFonts w:ascii="Arial" w:cs="Arial" w:eastAsia="Arial" w:hAnsi="Arial"/>
                <w:sz w:val="12"/>
                <w:szCs w:val="12"/>
                <w:color w:val="auto"/>
              </w:rPr>
              <w:t>Operating expenses:</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80" w:type="dxa"/>
            <w:vAlign w:val="bottom"/>
            <w:gridSpan w:val="2"/>
            <w:shd w:val="clear" w:color="auto" w:fill="CCEEFF"/>
          </w:tcPr>
          <w:p>
            <w:pPr>
              <w:ind w:left="140"/>
              <w:spacing w:after="0" w:line="129" w:lineRule="exact"/>
              <w:rPr>
                <w:sz w:val="20"/>
                <w:szCs w:val="20"/>
                <w:color w:val="auto"/>
              </w:rPr>
            </w:pPr>
            <w:r>
              <w:rPr>
                <w:rFonts w:ascii="Arial" w:cs="Arial" w:eastAsia="Arial" w:hAnsi="Arial"/>
                <w:sz w:val="12"/>
                <w:szCs w:val="12"/>
                <w:color w:val="auto"/>
              </w:rPr>
              <w:t>Research and development</w:t>
            </w:r>
          </w:p>
        </w:tc>
        <w:tc>
          <w:tcPr>
            <w:tcW w:w="2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16,522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12,051</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4,471</w:t>
            </w:r>
          </w:p>
        </w:tc>
        <w:tc>
          <w:tcPr>
            <w:tcW w:w="0" w:type="dxa"/>
            <w:vAlign w:val="bottom"/>
          </w:tcPr>
          <w:p>
            <w:pPr>
              <w:spacing w:after="0"/>
              <w:rPr>
                <w:sz w:val="1"/>
                <w:szCs w:val="1"/>
                <w:color w:val="auto"/>
              </w:rPr>
            </w:pPr>
          </w:p>
        </w:tc>
      </w:tr>
      <w:tr>
        <w:trPr>
          <w:trHeight w:val="129"/>
        </w:trPr>
        <w:tc>
          <w:tcPr>
            <w:tcW w:w="408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Sales and marketing</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2"/>
                <w:szCs w:val="12"/>
                <w:color w:val="auto"/>
              </w:rPr>
              <w:t>7,293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2"/>
                <w:szCs w:val="12"/>
                <w:color w:val="auto"/>
              </w:rPr>
              <w:t>3,180</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4,113</w:t>
            </w:r>
          </w:p>
        </w:tc>
        <w:tc>
          <w:tcPr>
            <w:tcW w:w="0" w:type="dxa"/>
            <w:vAlign w:val="bottom"/>
          </w:tcPr>
          <w:p>
            <w:pPr>
              <w:spacing w:after="0"/>
              <w:rPr>
                <w:sz w:val="1"/>
                <w:szCs w:val="1"/>
                <w:color w:val="auto"/>
              </w:rPr>
            </w:pPr>
          </w:p>
        </w:tc>
      </w:tr>
      <w:tr>
        <w:trPr>
          <w:trHeight w:val="129"/>
        </w:trPr>
        <w:tc>
          <w:tcPr>
            <w:tcW w:w="4080" w:type="dxa"/>
            <w:vAlign w:val="bottom"/>
            <w:gridSpan w:val="2"/>
            <w:shd w:val="clear" w:color="auto" w:fill="CCEEFF"/>
          </w:tcPr>
          <w:p>
            <w:pPr>
              <w:ind w:left="140"/>
              <w:spacing w:after="0" w:line="129" w:lineRule="exact"/>
              <w:rPr>
                <w:sz w:val="20"/>
                <w:szCs w:val="20"/>
                <w:color w:val="auto"/>
              </w:rPr>
            </w:pPr>
            <w:r>
              <w:rPr>
                <w:rFonts w:ascii="Arial" w:cs="Arial" w:eastAsia="Arial" w:hAnsi="Arial"/>
                <w:sz w:val="12"/>
                <w:szCs w:val="12"/>
                <w:color w:val="auto"/>
              </w:rPr>
              <w:t>General and administrative</w:t>
            </w:r>
          </w:p>
        </w:tc>
        <w:tc>
          <w:tcPr>
            <w:tcW w:w="246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9,516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8,073</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1,443</w:t>
            </w:r>
          </w:p>
        </w:tc>
        <w:tc>
          <w:tcPr>
            <w:tcW w:w="0" w:type="dxa"/>
            <w:vAlign w:val="bottom"/>
          </w:tcPr>
          <w:p>
            <w:pPr>
              <w:spacing w:after="0"/>
              <w:rPr>
                <w:sz w:val="1"/>
                <w:szCs w:val="1"/>
                <w:color w:val="auto"/>
              </w:rPr>
            </w:pPr>
          </w:p>
        </w:tc>
      </w:tr>
      <w:tr>
        <w:trPr>
          <w:trHeight w:val="118"/>
        </w:trPr>
        <w:tc>
          <w:tcPr>
            <w:tcW w:w="4080" w:type="dxa"/>
            <w:vAlign w:val="bottom"/>
            <w:tcBorders>
              <w:bottom w:val="single" w:sz="8" w:color="CCEEFF"/>
            </w:tcBorders>
            <w:gridSpan w:val="2"/>
          </w:tcPr>
          <w:p>
            <w:pPr>
              <w:ind w:left="280"/>
              <w:spacing w:after="0" w:line="118" w:lineRule="exact"/>
              <w:rPr>
                <w:sz w:val="20"/>
                <w:szCs w:val="20"/>
                <w:color w:val="auto"/>
              </w:rPr>
            </w:pPr>
            <w:r>
              <w:rPr>
                <w:rFonts w:ascii="Arial" w:cs="Arial" w:eastAsia="Arial" w:hAnsi="Arial"/>
                <w:sz w:val="12"/>
                <w:szCs w:val="12"/>
                <w:color w:val="auto"/>
              </w:rPr>
              <w:t>Total operating expenses</w:t>
            </w:r>
          </w:p>
        </w:tc>
        <w:tc>
          <w:tcPr>
            <w:tcW w:w="246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33,331</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23,304</w:t>
            </w:r>
          </w:p>
        </w:tc>
        <w:tc>
          <w:tcPr>
            <w:tcW w:w="1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10,027</w:t>
            </w:r>
          </w:p>
        </w:tc>
        <w:tc>
          <w:tcPr>
            <w:tcW w:w="0" w:type="dxa"/>
            <w:vAlign w:val="bottom"/>
          </w:tcPr>
          <w:p>
            <w:pPr>
              <w:spacing w:after="0"/>
              <w:rPr>
                <w:sz w:val="1"/>
                <w:szCs w:val="1"/>
                <w:color w:val="auto"/>
              </w:rPr>
            </w:pPr>
          </w:p>
        </w:tc>
      </w:tr>
      <w:tr>
        <w:trPr>
          <w:trHeight w:val="118"/>
        </w:trPr>
        <w:tc>
          <w:tcPr>
            <w:tcW w:w="4080" w:type="dxa"/>
            <w:vAlign w:val="bottom"/>
            <w:gridSpan w:val="2"/>
            <w:shd w:val="clear" w:color="auto" w:fill="CCEEFF"/>
          </w:tcPr>
          <w:p>
            <w:pPr>
              <w:spacing w:after="0" w:line="118" w:lineRule="exact"/>
              <w:rPr>
                <w:sz w:val="20"/>
                <w:szCs w:val="20"/>
                <w:color w:val="auto"/>
              </w:rPr>
            </w:pPr>
            <w:r>
              <w:rPr>
                <w:rFonts w:ascii="Arial" w:cs="Arial" w:eastAsia="Arial" w:hAnsi="Arial"/>
                <w:sz w:val="12"/>
                <w:szCs w:val="12"/>
                <w:color w:val="auto"/>
              </w:rPr>
              <w:t>Other income (expense):</w:t>
            </w:r>
          </w:p>
        </w:tc>
        <w:tc>
          <w:tcPr>
            <w:tcW w:w="2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80" w:type="dxa"/>
            <w:vAlign w:val="bottom"/>
            <w:gridSpan w:val="2"/>
          </w:tcPr>
          <w:p>
            <w:pPr>
              <w:ind w:left="140"/>
              <w:spacing w:after="0" w:line="129" w:lineRule="exact"/>
              <w:rPr>
                <w:sz w:val="20"/>
                <w:szCs w:val="20"/>
                <w:color w:val="auto"/>
              </w:rPr>
            </w:pPr>
            <w:r>
              <w:rPr>
                <w:rFonts w:ascii="Arial" w:cs="Arial" w:eastAsia="Arial" w:hAnsi="Arial"/>
                <w:sz w:val="12"/>
                <w:szCs w:val="12"/>
                <w:color w:val="auto"/>
              </w:rPr>
              <w:t>Interest income (expense), net</w:t>
            </w:r>
          </w:p>
        </w:tc>
        <w:tc>
          <w:tcPr>
            <w:tcW w:w="2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2"/>
          </w:tcPr>
          <w:p>
            <w:pPr>
              <w:jc w:val="right"/>
              <w:ind w:right="80"/>
              <w:spacing w:after="0" w:line="129" w:lineRule="exact"/>
              <w:rPr>
                <w:sz w:val="20"/>
                <w:szCs w:val="20"/>
                <w:color w:val="auto"/>
              </w:rPr>
            </w:pPr>
            <w:r>
              <w:rPr>
                <w:rFonts w:ascii="Arial" w:cs="Arial" w:eastAsia="Arial" w:hAnsi="Arial"/>
                <w:sz w:val="12"/>
                <w:szCs w:val="12"/>
                <w:color w:val="auto"/>
              </w:rPr>
              <w:t>(631)</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2"/>
                <w:szCs w:val="12"/>
                <w:color w:val="auto"/>
              </w:rPr>
              <w:t>99</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jc w:val="right"/>
              <w:spacing w:after="0" w:line="129" w:lineRule="exact"/>
              <w:rPr>
                <w:sz w:val="20"/>
                <w:szCs w:val="20"/>
                <w:color w:val="auto"/>
              </w:rPr>
            </w:pPr>
            <w:r>
              <w:rPr>
                <w:rFonts w:ascii="Arial" w:cs="Arial" w:eastAsia="Arial" w:hAnsi="Arial"/>
                <w:sz w:val="12"/>
                <w:szCs w:val="12"/>
                <w:color w:val="auto"/>
              </w:rPr>
              <w:t>(730)</w:t>
            </w:r>
          </w:p>
        </w:tc>
        <w:tc>
          <w:tcPr>
            <w:tcW w:w="0" w:type="dxa"/>
            <w:vAlign w:val="bottom"/>
          </w:tcPr>
          <w:p>
            <w:pPr>
              <w:spacing w:after="0"/>
              <w:rPr>
                <w:sz w:val="1"/>
                <w:szCs w:val="1"/>
                <w:color w:val="auto"/>
              </w:rPr>
            </w:pPr>
          </w:p>
        </w:tc>
      </w:tr>
      <w:tr>
        <w:trPr>
          <w:trHeight w:val="118"/>
        </w:trPr>
        <w:tc>
          <w:tcPr>
            <w:tcW w:w="4080" w:type="dxa"/>
            <w:vAlign w:val="bottom"/>
            <w:tcBorders>
              <w:top w:val="single" w:sz="8" w:color="CCEEFF"/>
            </w:tcBorders>
            <w:gridSpan w:val="2"/>
            <w:shd w:val="clear" w:color="auto" w:fill="CCEEFF"/>
          </w:tcPr>
          <w:p>
            <w:pPr>
              <w:spacing w:after="0" w:line="118" w:lineRule="exact"/>
              <w:rPr>
                <w:sz w:val="20"/>
                <w:szCs w:val="20"/>
                <w:color w:val="auto"/>
              </w:rPr>
            </w:pPr>
            <w:r>
              <w:rPr>
                <w:rFonts w:ascii="Arial" w:cs="Arial" w:eastAsia="Arial" w:hAnsi="Arial"/>
                <w:sz w:val="12"/>
                <w:szCs w:val="12"/>
                <w:color w:val="auto"/>
              </w:rPr>
              <w:t>Total other income (expense)</w:t>
            </w:r>
          </w:p>
        </w:tc>
        <w:tc>
          <w:tcPr>
            <w:tcW w:w="24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(631)</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99</w:t>
            </w: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118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2"/>
                <w:szCs w:val="12"/>
                <w:color w:val="auto"/>
              </w:rPr>
              <w:t>(730)</w:t>
            </w:r>
          </w:p>
        </w:tc>
        <w:tc>
          <w:tcPr>
            <w:tcW w:w="0" w:type="dxa"/>
            <w:vAlign w:val="bottom"/>
          </w:tcPr>
          <w:p>
            <w:pPr>
              <w:spacing w:after="0"/>
              <w:rPr>
                <w:sz w:val="1"/>
                <w:szCs w:val="1"/>
                <w:color w:val="auto"/>
              </w:rPr>
            </w:pPr>
          </w:p>
        </w:tc>
      </w:tr>
      <w:tr>
        <w:trPr>
          <w:trHeight w:val="118"/>
        </w:trPr>
        <w:tc>
          <w:tcPr>
            <w:tcW w:w="4080" w:type="dxa"/>
            <w:vAlign w:val="bottom"/>
            <w:gridSpan w:val="2"/>
          </w:tcPr>
          <w:p>
            <w:pPr>
              <w:spacing w:after="0" w:line="118" w:lineRule="exact"/>
              <w:rPr>
                <w:sz w:val="20"/>
                <w:szCs w:val="20"/>
                <w:color w:val="auto"/>
              </w:rPr>
            </w:pPr>
            <w:r>
              <w:rPr>
                <w:rFonts w:ascii="Arial" w:cs="Arial" w:eastAsia="Arial" w:hAnsi="Arial"/>
                <w:sz w:val="12"/>
                <w:szCs w:val="12"/>
                <w:color w:val="auto"/>
              </w:rPr>
              <w:t>Net loss</w:t>
            </w:r>
          </w:p>
        </w:tc>
        <w:tc>
          <w:tcPr>
            <w:tcW w:w="2460" w:type="dxa"/>
            <w:vAlign w:val="bottom"/>
          </w:tcPr>
          <w:p>
            <w:pPr>
              <w:spacing w:after="0"/>
              <w:rPr>
                <w:sz w:val="10"/>
                <w:szCs w:val="10"/>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(33,962)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(23,205)</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214"/>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10,757</w:t>
            </w:r>
          </w:p>
        </w:tc>
        <w:tc>
          <w:tcPr>
            <w:tcW w:w="0" w:type="dxa"/>
            <w:vAlign w:val="bottom"/>
          </w:tcPr>
          <w:p>
            <w:pPr>
              <w:spacing w:after="0"/>
              <w:rPr>
                <w:sz w:val="1"/>
                <w:szCs w:val="1"/>
                <w:color w:val="auto"/>
              </w:rPr>
            </w:pPr>
          </w:p>
        </w:tc>
      </w:tr>
    </w:tbl>
    <w:p>
      <w:pPr>
        <w:ind w:left="6" w:right="20" w:hanging="6"/>
        <w:spacing w:after="0" w:line="255" w:lineRule="auto"/>
        <w:tabs>
          <w:tab w:leader="none" w:pos="117" w:val="left"/>
        </w:tabs>
        <w:numPr>
          <w:ilvl w:val="0"/>
          <w:numId w:val="5"/>
        </w:numPr>
        <w:rPr>
          <w:rFonts w:ascii="Arial" w:cs="Arial" w:eastAsia="Arial" w:hAnsi="Arial"/>
          <w:sz w:val="12"/>
          <w:szCs w:val="12"/>
          <w:color w:val="auto"/>
        </w:rPr>
      </w:pPr>
      <w:r>
        <w:rPr>
          <w:rFonts w:ascii="Arial" w:cs="Arial" w:eastAsia="Arial" w:hAnsi="Arial"/>
          <w:sz w:val="12"/>
          <w:szCs w:val="12"/>
          <w:color w:val="auto"/>
        </w:rPr>
        <w:t>Certain 2020 amounts have been reclassified to conform to the current period presentation. Sales and marketing expenses have been reclassified out of general and administrative and presented as a separate line item. Amortization of intangible assets have been reclassified to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-179705</wp:posOffset>
            </wp:positionV>
            <wp:extent cx="301688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16885" cy="5715"/>
                    </a:xfrm>
                    <a:prstGeom prst="rect">
                      <a:avLst/>
                    </a:prstGeom>
                    <a:noFill/>
                  </pic:spPr>
                </pic:pic>
              </a:graphicData>
            </a:graphic>
          </wp:anchor>
        </w:drawing>
      </w:r>
    </w:p>
    <w:p>
      <w:pPr>
        <w:spacing w:after="0" w:line="70"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Research and Development</w:t>
      </w:r>
    </w:p>
    <w:p>
      <w:pPr>
        <w:spacing w:after="0" w:line="115" w:lineRule="exact"/>
        <w:rPr>
          <w:sz w:val="20"/>
          <w:szCs w:val="20"/>
          <w:color w:val="auto"/>
        </w:rPr>
      </w:pPr>
    </w:p>
    <w:p>
      <w:pPr>
        <w:jc w:val="both"/>
        <w:ind w:left="6" w:firstLine="301"/>
        <w:spacing w:after="0" w:line="258" w:lineRule="auto"/>
        <w:rPr>
          <w:sz w:val="20"/>
          <w:szCs w:val="20"/>
          <w:color w:val="auto"/>
        </w:rPr>
      </w:pPr>
      <w:r>
        <w:rPr>
          <w:rFonts w:ascii="Arial" w:cs="Arial" w:eastAsia="Arial" w:hAnsi="Arial"/>
          <w:sz w:val="11"/>
          <w:szCs w:val="11"/>
          <w:color w:val="auto"/>
        </w:rPr>
        <w:t>Research and development expenses consist of compensation and other related employee expenses for research and development personnel, clinical trials and consulting costs related to the design, development and enhancement of our potential future products, prototype material and devices. Research and development expenses increased by $4.5 million to $16.5 million for the six-month period ended June 30, 2021, from $12.1 million during the same period in 2020 primarily due to $2.4 million of increased stock-based compensation, $1.5 million of increased compensation and other employee related expenses, and $0.8 million of increased clinical trial and other outside research costs. These increases were partially offset by a decrease of $0.2 million in prototype material and devices. Compensation costs increased primarily due to headcount growth, while consulting and outside services increased primarily due to new application development, medical research and studies. Additionally, research and development expenses were partially offset by manufacturing absorption related to inventory production.</w:t>
      </w:r>
    </w:p>
    <w:p>
      <w:pPr>
        <w:spacing w:after="0" w:line="91"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Sales and Marketing</w:t>
      </w:r>
    </w:p>
    <w:p>
      <w:pPr>
        <w:spacing w:after="0" w:line="115" w:lineRule="exact"/>
        <w:rPr>
          <w:sz w:val="20"/>
          <w:szCs w:val="20"/>
          <w:color w:val="auto"/>
        </w:rPr>
      </w:pPr>
    </w:p>
    <w:p>
      <w:pPr>
        <w:jc w:val="both"/>
        <w:ind w:left="6" w:firstLine="301"/>
        <w:spacing w:after="0" w:line="233" w:lineRule="auto"/>
        <w:rPr>
          <w:sz w:val="20"/>
          <w:szCs w:val="20"/>
          <w:color w:val="auto"/>
        </w:rPr>
      </w:pPr>
      <w:r>
        <w:rPr>
          <w:rFonts w:ascii="Arial" w:cs="Arial" w:eastAsia="Arial" w:hAnsi="Arial"/>
          <w:sz w:val="12"/>
          <w:szCs w:val="12"/>
          <w:color w:val="auto"/>
        </w:rPr>
        <w:t>Sales and marketing expenses consist of compensation and other related employee expenses for sales and marketing personnel, expenses associated with advertising and training, and marketing studies including our controlled launch program. Sales and marketing expenses increased by $4.1 million to $7.3 million for the six-month period ended June 30, 2021, from $3.2 million during the same period in 2020 primarily due to $1.7 million increased stock-based compensation, $1.3 million of increased compensation and other employee related expenses related to increased headcount, $0.6 million of controlled launch expenses, and $0.5 million of increased paid services primarily related to market research studies and commercial preparations. The increases in sales and marketing activity are attributable to our FDA clearance, CE marking approval, and Health Canada clearance as we commercialize our CellFX System.</w:t>
      </w:r>
    </w:p>
    <w:p>
      <w:pPr>
        <w:spacing w:after="0" w:line="105"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133985</wp:posOffset>
            </wp:positionV>
            <wp:extent cx="720090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6"/>
          </w:cols>
          <w:pgMar w:left="294" w:top="118" w:right="299" w:bottom="1440" w:gutter="0" w:footer="0" w:header="0"/>
        </w:sectPr>
      </w:pPr>
    </w:p>
    <w:bookmarkStart w:id="23" w:name="page24"/>
    <w:bookmarkEnd w:id="2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and Administrative</w:t>
      </w:r>
    </w:p>
    <w:p>
      <w:pPr>
        <w:spacing w:after="0" w:line="115"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increased by $1.4 million to $9.5 million for the six-month period ended June 30, 2021, from $8.1 million during the same period in 2020 primarily due to $1.0 million of increased compensation and other employee related expenses driven largely by headcount growth, $0.3 million increased stock-based compensation, and $0.2 million of increased paid services.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Income (Expense)</w:t>
      </w:r>
    </w:p>
    <w:p>
      <w:pPr>
        <w:spacing w:after="0" w:line="11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Interest expense increased by $0.6 million to $0.6 million for the six-month period ended June 30, 2021, from zero during the same period in 2020 due to the Loan Agreement entered into in March 2021 and Insurance Loan Agreement entered into in May 2021. Interest income decreased by $0.1 million primarily due to decreased investment activity.</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24"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To date, we have not generated any revenues from product sales. Since inception, we have funded our business primarily through the issuance of equity securities and debt. Over the next few years, we intend to invest in research and development to develop new applications for existing products and additional commercially viable products and to assess the feasibility of potential future products. Additionally, we expect that our general and administrative expenses will increase as we continue to incur substantial incremental costs associated with being a public company and our sales and marketing expenses will increase as we commercialize our CellFX System.</w:t>
      </w:r>
    </w:p>
    <w:p>
      <w:pPr>
        <w:spacing w:after="0" w:line="77"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In June 2020, we completed a rights offering pursuant to which we sold an aggregate of 4,279,600 shares of our common stock, par value $0.001 per share, and 641,571 warrants, for net proceeds of $29.4 million. On December 31, 2020, the Company met the requirements for redemption of these warrants. Pursuant to the redemption, the Company redeemed 5,139 warrants at a redemption price of $0.01 per warrant. 636,432 warrants were exercised, generating approximately $4.5 million of additional net proceeds to the Company.</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On February 4, 2021, we entered into a Sales Agreement with Stifel as sales agent, pursuant to which we may offer and sell, from time to time, through Stifel, up to $60.0 million in shares of our common stock, by any method permitted by law deemed to be an “at-the-market” offering as defined in Rule 415 promulgated under the Securities Act of 1933, as amended. We have no obligation to make any sales of our common stock pursuant to such Sales Agreement. During the six-month period ended June 30, 2021, the Company issued and sold 288,490 shares of common stock under the Sales Agreement. The shares were sold at a weighted average price of $27.73 per share for aggregate net proceeds of approximately $7.4 million, after deducting sales commissions and offering costs payable by us.</w:t>
      </w:r>
    </w:p>
    <w:p>
      <w:pPr>
        <w:spacing w:after="0" w:line="103"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In March 2021 we entered into a Loan Agreement with Robert W. Duggan, our Board Chairman, in connection with Mr. Duggan lending the principal sum of $41.0 million to the Company. The Loan Agreement had a maturity date of June 11, 2022. Under the Loan Agreement, Mr. Duggan provided us, subject to certain conditions, an unsecured term loan facility in an original aggregate principal amount of $41.0 million. The Loan Agreement bore interest at a rate per annum equal to 5.0%, payable quarterly commencing on July 1, 2021. The Loan Agreement contained certain covenants and Events of Default.</w:t>
      </w:r>
    </w:p>
    <w:p>
      <w:pPr>
        <w:spacing w:after="0" w:line="104"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On June 30, 2021, we entered into a Securities Purchase Agreement with Mr. Duggan, pursuant to which the Company issued and sold to Mr. Duggan 3,048,780 shares of the Company’s common stock, par value $0.001 per share, in a private placement, at a price per share of $16.40. The shares were paid for through (i) the conversion of $41 million aggregate principal amount, together with all accrued and unpaid interest outstanding, pursuant to the Loan Agreement by and between the Company and Mr. Duggan (Note 8), and (ii) cash in the amount of approximately $8.4 million. Upon closing of this Private Placement and satisfaction of the outstanding debt, the Loan Agreement was terminated, without early termination fees or penalties being owed by the Company, and no additional amounts were owed to Mr. Duggan under the Loan Agreement. As of June 30, 2021, the Company had not yet received the approximately $8.4 million cash amount and recorded the balance as other receivable on the balance sheet. However, the cash proceeds from the sale were subsequently received by the Company in July 2021.</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4" w:name="page25"/>
    <w:bookmarkEnd w:id="2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Our condensed consolidated statements of cash flows as discussed herein are presented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4"/>
          </w:tcPr>
          <w:p>
            <w:pPr>
              <w:jc w:val="right"/>
              <w:ind w:right="54"/>
              <w:spacing w:after="0"/>
              <w:rPr>
                <w:sz w:val="20"/>
                <w:szCs w:val="20"/>
                <w:color w:val="auto"/>
              </w:rPr>
            </w:pPr>
            <w:r>
              <w:rPr>
                <w:rFonts w:ascii="Arial" w:cs="Arial" w:eastAsia="Arial" w:hAnsi="Arial"/>
                <w:sz w:val="10"/>
                <w:szCs w:val="10"/>
                <w:b w:val="1"/>
                <w:bCs w:val="1"/>
                <w:color w:val="auto"/>
              </w:rPr>
              <w:t>Six-Month Periods Ended</w:t>
            </w: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600" w:type="dxa"/>
            <w:vAlign w:val="bottom"/>
            <w:vMerge w:val="restart"/>
          </w:tcPr>
          <w:p>
            <w:pPr>
              <w:spacing w:after="0"/>
              <w:rPr>
                <w:sz w:val="20"/>
                <w:szCs w:val="20"/>
                <w:color w:val="auto"/>
              </w:rPr>
            </w:pPr>
            <w:r>
              <w:rPr>
                <w:rFonts w:ascii="Arial" w:cs="Arial" w:eastAsia="Arial" w:hAnsi="Arial"/>
                <w:sz w:val="10"/>
                <w:szCs w:val="10"/>
                <w:b w:val="1"/>
                <w:bCs w:val="1"/>
                <w:color w:val="auto"/>
                <w:w w:val="84"/>
              </w:rPr>
              <w:t>(in thousands)</w:t>
            </w:r>
          </w:p>
        </w:tc>
        <w:tc>
          <w:tcPr>
            <w:tcW w:w="4500" w:type="dxa"/>
            <w:vAlign w:val="bottom"/>
            <w:vMerge w:val="restart"/>
          </w:tcPr>
          <w:p>
            <w:pPr>
              <w:spacing w:after="0"/>
              <w:rPr>
                <w:sz w:val="10"/>
                <w:szCs w:val="10"/>
                <w:color w:val="auto"/>
              </w:rPr>
            </w:pPr>
          </w:p>
        </w:tc>
        <w:tc>
          <w:tcPr>
            <w:tcW w:w="30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0"/>
                <w:szCs w:val="10"/>
                <w:b w:val="1"/>
                <w:bCs w:val="1"/>
                <w:color w:val="auto"/>
              </w:rPr>
              <w:t>June 30,</w:t>
            </w:r>
          </w:p>
        </w:tc>
        <w:tc>
          <w:tcPr>
            <w:tcW w:w="9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00" w:type="dxa"/>
            <w:vAlign w:val="bottom"/>
            <w:tcBorders>
              <w:bottom w:val="single" w:sz="8" w:color="auto"/>
            </w:tcBorders>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3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jc w:val="right"/>
              <w:ind w:right="585"/>
              <w:spacing w:after="0" w:line="82" w:lineRule="exact"/>
              <w:rPr>
                <w:sz w:val="20"/>
                <w:szCs w:val="20"/>
                <w:color w:val="auto"/>
              </w:rPr>
            </w:pPr>
            <w:r>
              <w:rPr>
                <w:rFonts w:ascii="Arial" w:cs="Arial" w:eastAsia="Arial" w:hAnsi="Arial"/>
                <w:sz w:val="9"/>
                <w:szCs w:val="9"/>
                <w:b w:val="1"/>
                <w:bCs w:val="1"/>
                <w:color w:val="auto"/>
              </w:rPr>
              <w:t>2021</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tcPr>
          <w:p>
            <w:pPr>
              <w:jc w:val="right"/>
              <w:ind w:right="582"/>
              <w:spacing w:after="0" w:line="82" w:lineRule="exact"/>
              <w:rPr>
                <w:sz w:val="20"/>
                <w:szCs w:val="20"/>
                <w:color w:val="auto"/>
              </w:rPr>
            </w:pPr>
            <w:r>
              <w:rPr>
                <w:rFonts w:ascii="Arial" w:cs="Arial" w:eastAsia="Arial" w:hAnsi="Arial"/>
                <w:sz w:val="9"/>
                <w:szCs w:val="9"/>
                <w:b w:val="1"/>
                <w:bCs w:val="1"/>
                <w:color w:val="auto"/>
              </w:rPr>
              <w:t>2020</w:t>
            </w:r>
          </w:p>
        </w:tc>
        <w:tc>
          <w:tcPr>
            <w:tcW w:w="0" w:type="dxa"/>
            <w:vAlign w:val="bottom"/>
          </w:tcPr>
          <w:p>
            <w:pPr>
              <w:spacing w:after="0"/>
              <w:rPr>
                <w:sz w:val="1"/>
                <w:szCs w:val="1"/>
                <w:color w:val="auto"/>
              </w:rPr>
            </w:pPr>
          </w:p>
        </w:tc>
      </w:tr>
      <w:tr>
        <w:trPr>
          <w:trHeight w:val="108"/>
        </w:trPr>
        <w:tc>
          <w:tcPr>
            <w:tcW w:w="5100" w:type="dxa"/>
            <w:vAlign w:val="bottom"/>
            <w:tcBorders>
              <w:top w:val="single" w:sz="8" w:color="CCEEFF"/>
            </w:tcBorders>
            <w:gridSpan w:val="2"/>
            <w:shd w:val="clear" w:color="auto" w:fill="CCEEFF"/>
          </w:tcPr>
          <w:p>
            <w:pPr>
              <w:spacing w:after="0" w:line="108" w:lineRule="exact"/>
              <w:rPr>
                <w:sz w:val="20"/>
                <w:szCs w:val="20"/>
                <w:color w:val="auto"/>
              </w:rPr>
            </w:pPr>
            <w:r>
              <w:rPr>
                <w:rFonts w:ascii="Arial" w:cs="Arial" w:eastAsia="Arial" w:hAnsi="Arial"/>
                <w:sz w:val="12"/>
                <w:szCs w:val="12"/>
                <w:color w:val="auto"/>
              </w:rPr>
              <w:t>Net cash used in operating activities</w:t>
            </w:r>
          </w:p>
        </w:tc>
        <w:tc>
          <w:tcPr>
            <w:tcW w:w="308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ind w:right="229"/>
              <w:spacing w:after="0" w:line="108" w:lineRule="exact"/>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EFF"/>
          </w:tcPr>
          <w:p>
            <w:pPr>
              <w:jc w:val="right"/>
              <w:spacing w:after="0" w:line="108" w:lineRule="exact"/>
              <w:rPr>
                <w:sz w:val="20"/>
                <w:szCs w:val="20"/>
                <w:color w:val="auto"/>
              </w:rPr>
            </w:pPr>
            <w:r>
              <w:rPr>
                <w:rFonts w:ascii="Arial" w:cs="Arial" w:eastAsia="Arial" w:hAnsi="Arial"/>
                <w:sz w:val="12"/>
                <w:szCs w:val="12"/>
                <w:color w:val="auto"/>
              </w:rPr>
              <w:t>(28,053)</w:t>
            </w:r>
          </w:p>
        </w:tc>
        <w:tc>
          <w:tcPr>
            <w:tcW w:w="1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ind w:right="454"/>
              <w:spacing w:after="0"/>
              <w:rPr>
                <w:sz w:val="20"/>
                <w:szCs w:val="20"/>
                <w:color w:val="auto"/>
              </w:rPr>
            </w:pPr>
            <w:r>
              <w:rPr>
                <w:rFonts w:ascii="Arial" w:cs="Arial" w:eastAsia="Arial" w:hAnsi="Arial"/>
                <w:sz w:val="5"/>
                <w:szCs w:val="5"/>
                <w:color w:val="auto"/>
                <w:w w:val="70"/>
              </w:rPr>
              <w:t>$</w:t>
            </w:r>
          </w:p>
        </w:tc>
        <w:tc>
          <w:tcPr>
            <w:tcW w:w="940" w:type="dxa"/>
            <w:vAlign w:val="bottom"/>
            <w:tcBorders>
              <w:top w:val="single" w:sz="8" w:color="auto"/>
            </w:tcBorders>
            <w:shd w:val="clear" w:color="auto" w:fill="CCEEFF"/>
          </w:tcPr>
          <w:p>
            <w:pPr>
              <w:jc w:val="center"/>
              <w:ind w:left="462"/>
              <w:spacing w:after="0" w:line="108" w:lineRule="exact"/>
              <w:rPr>
                <w:sz w:val="20"/>
                <w:szCs w:val="20"/>
                <w:color w:val="auto"/>
              </w:rPr>
            </w:pPr>
            <w:r>
              <w:rPr>
                <w:rFonts w:ascii="Arial" w:cs="Arial" w:eastAsia="Arial" w:hAnsi="Arial"/>
                <w:sz w:val="12"/>
                <w:szCs w:val="12"/>
                <w:color w:val="auto"/>
                <w:w w:val="93"/>
              </w:rPr>
              <w:t>(17,561)</w:t>
            </w:r>
          </w:p>
        </w:tc>
        <w:tc>
          <w:tcPr>
            <w:tcW w:w="0" w:type="dxa"/>
            <w:vAlign w:val="bottom"/>
          </w:tcPr>
          <w:p>
            <w:pPr>
              <w:spacing w:after="0"/>
              <w:rPr>
                <w:sz w:val="1"/>
                <w:szCs w:val="1"/>
                <w:color w:val="auto"/>
              </w:rPr>
            </w:pPr>
          </w:p>
        </w:tc>
      </w:tr>
      <w:tr>
        <w:trPr>
          <w:trHeight w:val="129"/>
        </w:trPr>
        <w:tc>
          <w:tcPr>
            <w:tcW w:w="5100" w:type="dxa"/>
            <w:vAlign w:val="bottom"/>
            <w:gridSpan w:val="2"/>
          </w:tcPr>
          <w:p>
            <w:pPr>
              <w:spacing w:after="0" w:line="129" w:lineRule="exact"/>
              <w:rPr>
                <w:sz w:val="20"/>
                <w:szCs w:val="20"/>
                <w:color w:val="auto"/>
              </w:rPr>
            </w:pPr>
            <w:r>
              <w:rPr>
                <w:rFonts w:ascii="Arial" w:cs="Arial" w:eastAsia="Arial" w:hAnsi="Arial"/>
                <w:sz w:val="12"/>
                <w:szCs w:val="12"/>
                <w:color w:val="auto"/>
              </w:rPr>
              <w:t>Net cash provided by investing activities</w:t>
            </w:r>
          </w:p>
        </w:tc>
        <w:tc>
          <w:tcPr>
            <w:tcW w:w="3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line="129" w:lineRule="exact"/>
              <w:rPr>
                <w:sz w:val="20"/>
                <w:szCs w:val="20"/>
                <w:color w:val="auto"/>
              </w:rPr>
            </w:pPr>
            <w:r>
              <w:rPr>
                <w:rFonts w:ascii="Arial" w:cs="Arial" w:eastAsia="Arial" w:hAnsi="Arial"/>
                <w:sz w:val="12"/>
                <w:szCs w:val="12"/>
                <w:color w:val="auto"/>
              </w:rPr>
              <w:t>7,854</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40" w:type="dxa"/>
            <w:vAlign w:val="bottom"/>
          </w:tcPr>
          <w:p>
            <w:pPr>
              <w:jc w:val="center"/>
              <w:ind w:left="422"/>
              <w:spacing w:after="0" w:line="129" w:lineRule="exact"/>
              <w:rPr>
                <w:sz w:val="20"/>
                <w:szCs w:val="20"/>
                <w:color w:val="auto"/>
              </w:rPr>
            </w:pPr>
            <w:r>
              <w:rPr>
                <w:rFonts w:ascii="Arial" w:cs="Arial" w:eastAsia="Arial" w:hAnsi="Arial"/>
                <w:sz w:val="12"/>
                <w:szCs w:val="12"/>
                <w:color w:val="auto"/>
                <w:w w:val="92"/>
              </w:rPr>
              <w:t>18,404</w:t>
            </w:r>
          </w:p>
        </w:tc>
        <w:tc>
          <w:tcPr>
            <w:tcW w:w="0" w:type="dxa"/>
            <w:vAlign w:val="bottom"/>
          </w:tcPr>
          <w:p>
            <w:pPr>
              <w:spacing w:after="0"/>
              <w:rPr>
                <w:sz w:val="1"/>
                <w:szCs w:val="1"/>
                <w:color w:val="auto"/>
              </w:rPr>
            </w:pPr>
          </w:p>
        </w:tc>
      </w:tr>
      <w:tr>
        <w:trPr>
          <w:trHeight w:val="129"/>
        </w:trPr>
        <w:tc>
          <w:tcPr>
            <w:tcW w:w="5100" w:type="dxa"/>
            <w:vAlign w:val="bottom"/>
            <w:gridSpan w:val="2"/>
            <w:shd w:val="clear" w:color="auto" w:fill="CCEEFF"/>
          </w:tcPr>
          <w:p>
            <w:pPr>
              <w:spacing w:after="0" w:line="129" w:lineRule="exact"/>
              <w:rPr>
                <w:sz w:val="20"/>
                <w:szCs w:val="20"/>
                <w:color w:val="auto"/>
              </w:rPr>
            </w:pPr>
            <w:r>
              <w:rPr>
                <w:rFonts w:ascii="Arial" w:cs="Arial" w:eastAsia="Arial" w:hAnsi="Arial"/>
                <w:sz w:val="12"/>
                <w:szCs w:val="12"/>
                <w:color w:val="auto"/>
              </w:rPr>
              <w:t>Net cash provided by financing activities</w:t>
            </w:r>
          </w:p>
        </w:tc>
        <w:tc>
          <w:tcPr>
            <w:tcW w:w="3080" w:type="dxa"/>
            <w:vAlign w:val="bottom"/>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55,162</w:t>
            </w: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center"/>
              <w:ind w:left="422"/>
              <w:spacing w:after="0" w:line="129" w:lineRule="exact"/>
              <w:rPr>
                <w:sz w:val="20"/>
                <w:szCs w:val="20"/>
                <w:color w:val="auto"/>
              </w:rPr>
            </w:pPr>
            <w:r>
              <w:rPr>
                <w:rFonts w:ascii="Arial" w:cs="Arial" w:eastAsia="Arial" w:hAnsi="Arial"/>
                <w:sz w:val="12"/>
                <w:szCs w:val="12"/>
                <w:color w:val="auto"/>
                <w:w w:val="92"/>
              </w:rPr>
              <w:t>30,023</w:t>
            </w:r>
          </w:p>
        </w:tc>
        <w:tc>
          <w:tcPr>
            <w:tcW w:w="0" w:type="dxa"/>
            <w:vAlign w:val="bottom"/>
          </w:tcPr>
          <w:p>
            <w:pPr>
              <w:spacing w:after="0"/>
              <w:rPr>
                <w:sz w:val="1"/>
                <w:szCs w:val="1"/>
                <w:color w:val="auto"/>
              </w:rPr>
            </w:pPr>
          </w:p>
        </w:tc>
      </w:tr>
      <w:tr>
        <w:trPr>
          <w:trHeight w:val="126"/>
        </w:trPr>
        <w:tc>
          <w:tcPr>
            <w:tcW w:w="5100" w:type="dxa"/>
            <w:vAlign w:val="bottom"/>
            <w:gridSpan w:val="2"/>
          </w:tcPr>
          <w:p>
            <w:pPr>
              <w:ind w:left="140"/>
              <w:spacing w:after="0" w:line="118" w:lineRule="exact"/>
              <w:rPr>
                <w:sz w:val="20"/>
                <w:szCs w:val="20"/>
                <w:color w:val="auto"/>
              </w:rPr>
            </w:pPr>
            <w:r>
              <w:rPr>
                <w:rFonts w:ascii="Arial" w:cs="Arial" w:eastAsia="Arial" w:hAnsi="Arial"/>
                <w:sz w:val="12"/>
                <w:szCs w:val="12"/>
                <w:color w:val="auto"/>
              </w:rPr>
              <w:t>Net increase in cash</w:t>
            </w:r>
          </w:p>
        </w:tc>
        <w:tc>
          <w:tcPr>
            <w:tcW w:w="3080" w:type="dxa"/>
            <w:vAlign w:val="bottom"/>
          </w:tcPr>
          <w:p>
            <w:pPr>
              <w:spacing w:after="0"/>
              <w:rPr>
                <w:sz w:val="10"/>
                <w:szCs w:val="10"/>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2"/>
                <w:szCs w:val="12"/>
                <w:color w:val="auto"/>
              </w:rPr>
              <w:t>34,963</w:t>
            </w: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45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center"/>
              <w:ind w:left="422"/>
              <w:spacing w:after="0" w:line="118" w:lineRule="exact"/>
              <w:rPr>
                <w:sz w:val="20"/>
                <w:szCs w:val="20"/>
                <w:color w:val="auto"/>
              </w:rPr>
            </w:pPr>
            <w:r>
              <w:rPr>
                <w:rFonts w:ascii="Arial" w:cs="Arial" w:eastAsia="Arial" w:hAnsi="Arial"/>
                <w:sz w:val="12"/>
                <w:szCs w:val="12"/>
                <w:color w:val="auto"/>
                <w:w w:val="92"/>
              </w:rPr>
              <w:t>30,866</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At June 30, 2021, we had cash and cash equivalents of $47.4 million. We believe that our existing cash and cash equivalents will be sufficient to fund our projected operating requirements for at least the next twelve months from the filing date of this Quarterly Report on Form 10-Q. However, we plan to raise additional capital in the future. There is no assurance that the at-the-market equity offering will be successful. There is no assurance that additional financing will be available when needed or that management will be able to obtain financing on terms acceptable to us.</w:t>
      </w:r>
    </w:p>
    <w:p>
      <w:pPr>
        <w:spacing w:after="0" w:line="104" w:lineRule="exact"/>
        <w:rPr>
          <w:sz w:val="20"/>
          <w:szCs w:val="20"/>
          <w:color w:val="auto"/>
        </w:rPr>
      </w:pPr>
    </w:p>
    <w:p>
      <w:pPr>
        <w:jc w:val="both"/>
        <w:ind w:right="20" w:firstLine="301"/>
        <w:spacing w:after="0" w:line="233" w:lineRule="auto"/>
        <w:rPr>
          <w:sz w:val="20"/>
          <w:szCs w:val="20"/>
          <w:color w:val="auto"/>
        </w:rPr>
      </w:pPr>
      <w:r>
        <w:rPr>
          <w:rFonts w:ascii="Arial" w:cs="Arial" w:eastAsia="Arial" w:hAnsi="Arial"/>
          <w:sz w:val="12"/>
          <w:szCs w:val="12"/>
          <w:color w:val="auto"/>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our at-the-market equity offering program, licensing fees for our technology, joint ventures with capital partners and project type financing. Such additional funds may not be available on terms acceptable to us or at all. If we raise funds by issuing equity or equity-linked securities, the ownership of some or all of our stockholders will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Activities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Our primary uses of cash in operating activities are for ongoing product development.</w:t>
      </w:r>
    </w:p>
    <w:p>
      <w:pPr>
        <w:spacing w:after="0" w:line="111" w:lineRule="exact"/>
        <w:rPr>
          <w:sz w:val="20"/>
          <w:szCs w:val="20"/>
          <w:color w:val="auto"/>
        </w:rPr>
      </w:pPr>
    </w:p>
    <w:p>
      <w:pPr>
        <w:ind w:right="60" w:firstLine="301"/>
        <w:spacing w:after="0" w:line="255" w:lineRule="auto"/>
        <w:rPr>
          <w:sz w:val="20"/>
          <w:szCs w:val="20"/>
          <w:color w:val="auto"/>
        </w:rPr>
      </w:pPr>
      <w:r>
        <w:rPr>
          <w:rFonts w:ascii="Arial" w:cs="Arial" w:eastAsia="Arial" w:hAnsi="Arial"/>
          <w:sz w:val="12"/>
          <w:szCs w:val="12"/>
          <w:color w:val="auto"/>
        </w:rPr>
        <w:t>During the six-month period ended June 30, 2021, we used cash in the amount of $28.1 million in operating activities. The difference between cash used in operating activities and net loss consisted primarily of stock-based compensation, depreciation and amortization, as well as increases in inventory and prepaid and other current assets.</w:t>
      </w:r>
    </w:p>
    <w:p>
      <w:pPr>
        <w:spacing w:after="0" w:line="94" w:lineRule="exact"/>
        <w:rPr>
          <w:sz w:val="20"/>
          <w:szCs w:val="20"/>
          <w:color w:val="auto"/>
        </w:rPr>
      </w:pPr>
    </w:p>
    <w:p>
      <w:pPr>
        <w:ind w:right="60" w:firstLine="301"/>
        <w:spacing w:after="0" w:line="255" w:lineRule="auto"/>
        <w:rPr>
          <w:sz w:val="20"/>
          <w:szCs w:val="20"/>
          <w:color w:val="auto"/>
        </w:rPr>
      </w:pPr>
      <w:r>
        <w:rPr>
          <w:rFonts w:ascii="Arial" w:cs="Arial" w:eastAsia="Arial" w:hAnsi="Arial"/>
          <w:sz w:val="12"/>
          <w:szCs w:val="12"/>
          <w:color w:val="auto"/>
        </w:rPr>
        <w:t>During the six-month period ended June 30, 2020, we used cash in the amount of $17.6 million in operating activities. The difference between cash used in operating activities and net loss consisted primarily of stock-based compensation, depreciation and amortization, and decreases in prepaid expenses and other current assets.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Investing Activities</w:t>
      </w:r>
    </w:p>
    <w:p>
      <w:pPr>
        <w:spacing w:after="0" w:line="102" w:lineRule="exact"/>
        <w:rPr>
          <w:sz w:val="20"/>
          <w:szCs w:val="20"/>
          <w:color w:val="auto"/>
        </w:rPr>
      </w:pPr>
    </w:p>
    <w:p>
      <w:pPr>
        <w:ind w:left="300"/>
        <w:spacing w:after="0"/>
        <w:rPr>
          <w:sz w:val="20"/>
          <w:szCs w:val="20"/>
          <w:color w:val="auto"/>
        </w:rPr>
      </w:pPr>
      <w:r>
        <w:rPr>
          <w:rFonts w:ascii="Arial" w:cs="Arial" w:eastAsia="Arial" w:hAnsi="Arial"/>
          <w:sz w:val="12"/>
          <w:szCs w:val="12"/>
          <w:color w:val="auto"/>
        </w:rPr>
        <w:t>Our investing activities consist primarily of investment purchases, sales and maturities and capital expenditures.</w:t>
      </w:r>
    </w:p>
    <w:p>
      <w:pPr>
        <w:spacing w:after="0" w:line="111" w:lineRule="exact"/>
        <w:rPr>
          <w:sz w:val="20"/>
          <w:szCs w:val="20"/>
          <w:color w:val="auto"/>
        </w:rPr>
      </w:pPr>
    </w:p>
    <w:p>
      <w:pPr>
        <w:ind w:firstLine="301"/>
        <w:spacing w:after="0" w:line="255" w:lineRule="auto"/>
        <w:rPr>
          <w:sz w:val="20"/>
          <w:szCs w:val="20"/>
          <w:color w:val="auto"/>
        </w:rPr>
      </w:pPr>
      <w:r>
        <w:rPr>
          <w:rFonts w:ascii="Arial" w:cs="Arial" w:eastAsia="Arial" w:hAnsi="Arial"/>
          <w:sz w:val="12"/>
          <w:szCs w:val="12"/>
          <w:color w:val="auto"/>
        </w:rPr>
        <w:t>During the six-month period ended June 30, 2021, $7.9 million of cash provided by investing activities was primarily from $8.0 million of cash proceeds from the maturities of investments, partially offset by the purchase of property and equipment.</w:t>
      </w:r>
    </w:p>
    <w:p>
      <w:pPr>
        <w:spacing w:after="0" w:line="94" w:lineRule="exact"/>
        <w:rPr>
          <w:sz w:val="20"/>
          <w:szCs w:val="20"/>
          <w:color w:val="auto"/>
        </w:rPr>
      </w:pPr>
    </w:p>
    <w:p>
      <w:pPr>
        <w:ind w:firstLine="301"/>
        <w:spacing w:after="0" w:line="255" w:lineRule="auto"/>
        <w:rPr>
          <w:sz w:val="20"/>
          <w:szCs w:val="20"/>
          <w:color w:val="auto"/>
        </w:rPr>
      </w:pPr>
      <w:r>
        <w:rPr>
          <w:rFonts w:ascii="Arial" w:cs="Arial" w:eastAsia="Arial" w:hAnsi="Arial"/>
          <w:sz w:val="12"/>
          <w:szCs w:val="12"/>
          <w:color w:val="auto"/>
        </w:rPr>
        <w:t>During the six-month period ended June 30, 2020, $18.4 million of cash provided by investing activities was primarily a result of $17.0 million of cash proceeds from the maturities of investments and $4.5 million of cash proceeds from the sale of investments, partially offset by the purchase of available-for-sale securities of $3.0 million.</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Activities</w:t>
      </w:r>
    </w:p>
    <w:p>
      <w:pPr>
        <w:spacing w:after="0" w:line="111" w:lineRule="exact"/>
        <w:rPr>
          <w:sz w:val="20"/>
          <w:szCs w:val="20"/>
          <w:color w:val="auto"/>
        </w:rPr>
      </w:pPr>
    </w:p>
    <w:p>
      <w:pPr>
        <w:ind w:firstLine="301"/>
        <w:spacing w:after="0" w:line="255" w:lineRule="auto"/>
        <w:rPr>
          <w:sz w:val="20"/>
          <w:szCs w:val="20"/>
          <w:color w:val="auto"/>
        </w:rPr>
      </w:pPr>
      <w:r>
        <w:rPr>
          <w:rFonts w:ascii="Arial" w:cs="Arial" w:eastAsia="Arial" w:hAnsi="Arial"/>
          <w:sz w:val="12"/>
          <w:szCs w:val="12"/>
          <w:color w:val="auto"/>
        </w:rPr>
        <w:t>During the six-month period ended June 30, 2021, cash provided from financing activities was $55.2 million, primarily due to $41.0 million net cash received from our Loan Agreement, $7.4 million net cash received from our at-the-market equity offering, $4.9 million received from stock option and warrant exercises, and $0.4 million received from the sale of stock under our employee stock purchase plan.</w:t>
      </w:r>
    </w:p>
    <w:p>
      <w:pPr>
        <w:spacing w:after="0" w:line="94" w:lineRule="exact"/>
        <w:rPr>
          <w:sz w:val="20"/>
          <w:szCs w:val="20"/>
          <w:color w:val="auto"/>
        </w:rPr>
      </w:pPr>
    </w:p>
    <w:p>
      <w:pPr>
        <w:ind w:firstLine="301"/>
        <w:spacing w:after="0" w:line="255" w:lineRule="auto"/>
        <w:rPr>
          <w:sz w:val="20"/>
          <w:szCs w:val="20"/>
          <w:color w:val="auto"/>
        </w:rPr>
      </w:pPr>
      <w:r>
        <w:rPr>
          <w:rFonts w:ascii="Arial" w:cs="Arial" w:eastAsia="Arial" w:hAnsi="Arial"/>
          <w:sz w:val="12"/>
          <w:szCs w:val="12"/>
          <w:color w:val="auto"/>
        </w:rPr>
        <w:t>During the six-month period ended June 30, 2020, cash provided from financing activities was $30.0 million, primarily due to cash received from our rights offering, stock option exercises and the sale of stock under our employee stock purchase plan.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5" w:name="page26"/>
    <w:bookmarkEnd w:id="2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Contractual Obligations</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There have been no material changes outside the ordinary course of our business to the contractual obligations disclosed in our Annual Report on Form 10-K for the year ended December 31, 2020.</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Off-Balance Sheet Arrangements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At June 30, 2021, we did not have any transactions, obligations or relationships that constitute off-balance sheet arrangements.</w:t>
      </w:r>
    </w:p>
    <w:p>
      <w:pPr>
        <w:spacing w:after="0" w:line="111"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94" w:lineRule="exact"/>
        <w:rPr>
          <w:sz w:val="20"/>
          <w:szCs w:val="20"/>
          <w:color w:val="auto"/>
        </w:rPr>
      </w:pPr>
    </w:p>
    <w:p>
      <w:pPr>
        <w:jc w:val="both"/>
        <w:ind w:right="20" w:firstLine="301"/>
        <w:spacing w:after="0" w:line="236" w:lineRule="auto"/>
        <w:rPr>
          <w:sz w:val="20"/>
          <w:szCs w:val="20"/>
          <w:color w:val="auto"/>
        </w:rPr>
      </w:pPr>
      <w:r>
        <w:rPr>
          <w:rFonts w:ascii="Arial" w:cs="Arial" w:eastAsia="Arial" w:hAnsi="Arial"/>
          <w:sz w:val="12"/>
          <w:szCs w:val="12"/>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June 30, 2021.</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JOBS Act Accounting Election</w:t>
      </w:r>
    </w:p>
    <w:p>
      <w:pPr>
        <w:spacing w:after="0" w:line="124"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Trends, Events and Uncertainties</w:t>
      </w:r>
    </w:p>
    <w:p>
      <w:pPr>
        <w:spacing w:after="0" w:line="12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commercialization of our CellFX System, including, but not limited to, additional financing through follow-on stock offerings, debt financings, or co-development agreements and /or other alternatives.</w:t>
      </w:r>
    </w:p>
    <w:p>
      <w:pPr>
        <w:spacing w:after="0" w:line="103"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91"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See the section entitled “COVID-19 Pandemic” above and elsewhere in this Management’s Discussion and Analysis of Financial Condition and Results of Operations for a discussion of the current and potential future impact of COVID-19 on our business, financial condition and results of operation.</w:t>
      </w:r>
    </w:p>
    <w:p>
      <w:pPr>
        <w:spacing w:after="0" w:line="9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6" w:name="page27"/>
    <w:bookmarkEnd w:id="2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2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Except for the broad effects of COVID-19 as a result of its negative impact on the global economy and financial markets, there have been no material changes in market risk from the information provided in our Annual Report on Form 10-K for the year ended December 31, 2020.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24"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and our Chief Financial Officer have concluded that, as of June 30, 2021,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15"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There have been no changes in our internal control over financial reporting identified in connection with the evaluation required by Rule 13a-15(d) and 15d-15(d) of the Exchange Act, as amended, that occurred during the quarter ended June 30, 2021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Inherent Limitations on Effectiveness of Controls</w:t>
      </w:r>
    </w:p>
    <w:p>
      <w:pPr>
        <w:spacing w:after="0" w:line="115"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may not be detected.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7" w:name="page28"/>
    <w:bookmarkEnd w:id="2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 OTHER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2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From time to time, we may be involved in a variety of legal proceedings and claims relating to securities laws, product liability, patent infringement, contract disputes, employment matters, and other matters relating to the normal course of our business in addition to governmental and other regulatory investigations and proceedings. In addition, third parties may, from time to time, assert claims against us.</w:t>
      </w:r>
    </w:p>
    <w:p>
      <w:pPr>
        <w:spacing w:after="0" w:line="9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 results of legal proceedings and claims are inherently unpredictable. We do not believe any currently pending matters will have a material adverse effect on our business based on our current understanding of such matters. However, regardless of the outcome, any litigation could have an adverse impact on us because of defense and settlement costs, diversion of our resources and other factors.</w:t>
      </w: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2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i w:val="1"/>
          <w:iCs w:val="1"/>
          <w:color w:val="auto"/>
        </w:rPr>
        <w:t>Investing in our common stock involves a high degree of risk. You should consider carefully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 which could have a material impact on us.</w:t>
      </w:r>
    </w:p>
    <w:p>
      <w:pPr>
        <w:spacing w:after="0" w:line="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w:t>
      </w:r>
    </w:p>
    <w:p>
      <w:pPr>
        <w:spacing w:after="0" w:line="12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Our business is subject to numerous risks and uncertainties that you should consider before investing in our common stock. These risks are described more fully below and include, but are not limited to, risks relating to the following:</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limited operating history and our lack of revenue producing operations;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inability to operate without additional fundraising;</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Competition within our industry;</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Health epidemics, including the coronavirus pandemic;</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reliance on certain third parties such as key suppliers;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Potential loss of key management personnel;</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Potential security breaches, loss of data, and other disruptions to us or to our third-party service providers that could compromise sensitive information;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Potential product liability lawsuits and other litigation;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timing, unpredictability, and expense of our clinical and product development activities;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possibility of adverse trial results and unfavorable long-term trial data;</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Potential failure to obtain and maintain necessary regulatory clearances or approvals;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Uncertainties concerning the long-term safety and effectiveness of our CellFX System and product candidates, and the potential for adverse side effects;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commercial uncertainties concerning whether there will be broad adoption of our CellFX System and NPS technology;</w:t>
      </w:r>
    </w:p>
    <w:p>
      <w:pPr>
        <w:spacing w:after="0" w:line="120" w:lineRule="exact"/>
        <w:rPr>
          <w:sz w:val="20"/>
          <w:szCs w:val="20"/>
          <w:color w:val="auto"/>
        </w:rPr>
      </w:pPr>
    </w:p>
    <w:p>
      <w:pPr>
        <w:ind w:left="558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8" w:name="page29"/>
    <w:bookmarkEnd w:id="2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Possible challenges enrolling patients in our clinical trials;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Uncertainties concerning our ability to obtain an adequate level of reimbursement by Medicare and other third-party payers;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Protection of intellectual property, potential litigation related to intellectual property, and obligations under intellectual property agreements;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Stringent domestic and foreign regulation in respect of any potential devices and products, including healthcare laws and regulations;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Healthcare policy changes;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Volatility of the price of our common stock;</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Concentration of ownership by our principal stockholder and Board Chairman, Robert W. Duggan;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Unfavorable global economic or political conditions;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Potential material weaknesses and uncertainties concerning our ability to maintain an effective system of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Business, Industry and Financial Condition</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Because we have a limited operating history and have not yet commenced any revenue producing operations, it is difficult to evaluate the future of our business</w:t>
      </w:r>
      <w:r>
        <w:rPr>
          <w:rFonts w:ascii="Arial" w:cs="Arial" w:eastAsia="Arial" w:hAnsi="Arial"/>
          <w:sz w:val="12"/>
          <w:szCs w:val="12"/>
          <w:color w:val="auto"/>
        </w:rPr>
        <w:t>.</w:t>
      </w:r>
    </w:p>
    <w:p>
      <w:pPr>
        <w:spacing w:after="0" w:line="120"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We are a bioelectric medicine technology company and have not yet commenced revenue-producing operations. To date, our operations on a consolidated basis have consisted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currently have no product revenue and we may never become profitable.</w:t>
      </w:r>
    </w:p>
    <w:p>
      <w:pPr>
        <w:spacing w:after="0" w:line="120"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To date, we have not generated revenue and we have historically relied on financing from the sale of equity securities to fund our operations. We expect that our future financial results will depend primarily on our success in launching, selling, and supporting our therapies and treatments using our CellFX System or other products based on our NPS technology.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29" w:name="page30"/>
    <w:bookmarkEnd w:id="2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typically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If we are unable to obtain sufficient funding, we may be unable to execute our business plan and fund operations. We may not be able to obtain additional financing on commercially reasonable terms, or at all.</w:t>
      </w:r>
    </w:p>
    <w:p>
      <w:pPr>
        <w:spacing w:after="0" w:line="132"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We have experienced operating losses and we may continue to incur operating losses for the next several years as we implement our business plan. Currently, we have no revenue and, although we have implemented an at-the-market equity offering program,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spacing w:after="0" w:line="104" w:lineRule="exact"/>
        <w:rPr>
          <w:sz w:val="20"/>
          <w:szCs w:val="20"/>
          <w:color w:val="auto"/>
        </w:rPr>
      </w:pPr>
    </w:p>
    <w:p>
      <w:pPr>
        <w:jc w:val="both"/>
        <w:ind w:right="20" w:firstLine="301"/>
        <w:spacing w:after="0" w:line="300" w:lineRule="auto"/>
        <w:rPr>
          <w:sz w:val="20"/>
          <w:szCs w:val="20"/>
          <w:color w:val="auto"/>
        </w:rPr>
      </w:pPr>
      <w:r>
        <w:rPr>
          <w:rFonts w:ascii="Arial" w:cs="Arial" w:eastAsia="Arial" w:hAnsi="Arial"/>
          <w:sz w:val="11"/>
          <w:szCs w:val="11"/>
          <w:color w:val="auto"/>
        </w:rPr>
        <w:t>We will need to raise additional capital in order to continue to execute our business plan. If we are unable to raise sufficient additional funds, we will have to scale back our operations. Also, the ongoing COVID-19 pandemic and resulting negative impact on the global macroeconomic environment and capital markets may make it more difficult for us to raise additional funds. We have incurred and may further incur additional debt.</w:t>
      </w:r>
    </w:p>
    <w:p>
      <w:pPr>
        <w:spacing w:after="0" w:line="71"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our an at-the-market equity offering program,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spacing w:after="0" w:line="95"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0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If we are unable to obtain adequate financing or financing on terms satisfactory to us when we require it, we may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or we may be unable to continue operations, in which case you could lose your entire investment.</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operating results may fluctuate significantly, which makes our future operating results difficult to predict and could cause our operating results to fall below expectations.</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Our quarterly and annual operating results may fluctuate significantly, which makes it difficult for us to predict our future operating results. These fluctuations may occur due to a variety of factors, many of which are outside of our control and may be difficult to predict, including:</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timing and cost of, and level of investment in, research, development, and commercialization activities relating to our product and product candidates, which may change from time to time;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0" w:name="page31"/>
    <w:bookmarkEnd w:id="3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440" w:right="3960"/>
        <w:spacing w:after="0" w:line="449" w:lineRule="auto"/>
        <w:rPr>
          <w:sz w:val="20"/>
          <w:szCs w:val="20"/>
          <w:color w:val="auto"/>
        </w:rPr>
      </w:pPr>
      <w:r>
        <w:rPr>
          <w:rFonts w:ascii="Arial" w:cs="Arial" w:eastAsia="Arial" w:hAnsi="Arial"/>
          <w:sz w:val="12"/>
          <w:szCs w:val="12"/>
          <w:color w:val="auto"/>
        </w:rPr>
        <w:t>the timing of receipt of approvals or clearances for our product candidates from regulatory authorities in the United States or internationally; the timing and status of enrollment for our clinical trials;</w:t>
      </w:r>
    </w:p>
    <w:p>
      <w:pPr>
        <w:ind w:left="440" w:right="20"/>
        <w:spacing w:after="0" w:line="255" w:lineRule="auto"/>
        <w:rPr>
          <w:sz w:val="20"/>
          <w:szCs w:val="20"/>
          <w:color w:val="auto"/>
        </w:rPr>
      </w:pPr>
      <w:r>
        <w:rPr>
          <w:rFonts w:ascii="Arial" w:cs="Arial" w:eastAsia="Arial" w:hAnsi="Arial"/>
          <w:sz w:val="12"/>
          <w:szCs w:val="12"/>
          <w:color w:val="auto"/>
        </w:rPr>
        <w:t>coverage and reimbursement policies with respect to our product and product candidates, including the degree to which treatments using our products are covered and receive adequate reimbursement from third-party payors, and potential future drugs or devices that compete with our products;</w:t>
      </w:r>
    </w:p>
    <w:p>
      <w:pPr>
        <w:spacing w:after="0" w:line="94"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the costs of manufacturing our product, as well as building out our supply chain, which may vary depending on the quantity of production and which will vary significantly depending upon the terms of our agreements with manufacturers;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expenditures that we may incur to acquire, develop or commercialize additional product candidates and technologies;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level of demand for our product and any product candidates, if approved or cleared, which may vary significantly over time;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litigation, including patent, employment, securities class action, stockholder derivative, general commercial, and other lawsuits;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future accounting pronouncements or changes in our accounting policies; and</w:t>
      </w:r>
    </w:p>
    <w:p>
      <w:pPr>
        <w:spacing w:after="0" w:line="120" w:lineRule="exact"/>
        <w:rPr>
          <w:sz w:val="20"/>
          <w:szCs w:val="20"/>
          <w:color w:val="auto"/>
        </w:rPr>
      </w:pPr>
    </w:p>
    <w:p>
      <w:pPr>
        <w:ind w:left="440"/>
        <w:spacing w:after="0" w:line="255" w:lineRule="auto"/>
        <w:rPr>
          <w:sz w:val="20"/>
          <w:szCs w:val="20"/>
          <w:color w:val="auto"/>
        </w:rPr>
      </w:pPr>
      <w:r>
        <w:rPr>
          <w:rFonts w:ascii="Arial" w:cs="Arial" w:eastAsia="Arial" w:hAnsi="Arial"/>
          <w:sz w:val="12"/>
          <w:szCs w:val="12"/>
          <w:color w:val="auto"/>
        </w:rPr>
        <w:t>the timing and success or failure of nonclinical studies and clinical trials for our product candidates or competing product candidates, or any other change in the competitive landscape of our industry, including consolidation among our competitors or partners.</w:t>
      </w:r>
    </w:p>
    <w:p>
      <w:pPr>
        <w:spacing w:after="0" w:line="9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our previously publicly stated revenue or earnings guidance.</w:t>
      </w:r>
    </w:p>
    <w:p>
      <w:pPr>
        <w:spacing w:after="0" w:line="10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Because we operate in a highly competitive market, we can expect to face competition from large, well-established manufacturers of medical technologies, devices and similar products; we may not be able to compete effectively against companies with significantly more resources.</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We may find ourselves in competition with companies that have competitive advantages over us, such as: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significantly greater name recognition;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established relationships with healthcare professionals, customers, and third-party payers;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competitive products with greater efficacy or better safety profiles;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established distribution networks;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additional lines of products and the ability to offer rebates, higher discounts, or incentives to gain a competitive advantage;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1" w:name="page32"/>
    <w:bookmarkEnd w:id="3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greater experience in obtaining patents and regulatory approvals for product candidates;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greater experience conducting new product research and development, manufacturing therapies, conducting clinical trials, obtaining regulatory approval for products, and marketing approved products;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greater financial and human resources for product development, sales and marketing.</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In addition, certain of our product candidates may compete with other dermatological products, including over the counter (OTC) treatments, for a share of some patients’ discretionary budgets and for physicians’ attention within their clinical practices. Even if a generic product or an OTC product is less effective than our product candidates, a less effective generic or OTC product may be more quickly adopted by physicians and patients than our competing product candidates based upon cost or convenience. As a result, we may not be able to compete effectively against current and potential future competitors or their devices and products.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may rely on third parties for our sales, marketing, manufacturing, and/or distribution activities, and these third parties may not perform satisfactorily.</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To be able to commercialize our products and planned products, we may elect to internally develop aspects of sales, marketing, large-scale manufacturing, or distribution, or we may elect to use third parties with respect to one or more of these functions. Our reliance on these third parties may reduce our control over these functions; however, reliance on third parties does not relieve us of our responsibility to ensure compliance with all required legal, regulatory, and scientific standards. These third parties may also be adversely impacted by COVID-19 which could affect their ability to perform satisfactorily. Any failure of these third parties to perform satisfactorily and in compliance with relevant laws and regulations could lead to delays in the development of our products or planned products, including delays in our clinical trials, or failure to obtain necessary regulatory approvals, or failure to successfully commercialize our products or other future products. Some of these events could be the basis for FDA or other regulatory action, including injunction, recall, seizure, or total or partial suspension of production.</w:t>
      </w:r>
    </w:p>
    <w:p>
      <w:pPr>
        <w:spacing w:after="0" w:line="95"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We have not yet commenced revenue-producing operations and may be unsuccessful in earning significant revenues. We believe that developing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91"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94" w:lineRule="exact"/>
        <w:rPr>
          <w:sz w:val="20"/>
          <w:szCs w:val="20"/>
          <w:color w:val="auto"/>
        </w:rPr>
      </w:pPr>
    </w:p>
    <w:p>
      <w:pPr>
        <w:jc w:val="both"/>
        <w:ind w:firstLine="301"/>
        <w:spacing w:after="0" w:line="252" w:lineRule="auto"/>
        <w:rPr>
          <w:sz w:val="20"/>
          <w:szCs w:val="20"/>
          <w:color w:val="auto"/>
        </w:rPr>
      </w:pPr>
      <w:r>
        <w:rPr>
          <w:rFonts w:ascii="Arial" w:cs="Arial" w:eastAsia="Arial" w:hAnsi="Arial"/>
          <w:sz w:val="11"/>
          <w:szCs w:val="11"/>
          <w:color w:val="auto"/>
        </w:rPr>
        <w:t>We are highly dependent upon the principal members of our management team, including our Chief Executive Officer, Darrin Uecker, and members of our finance, sales, marketing, scientific, and engineering teams. These persons have significant experience and knowledge with sub-microsecond pulsed electric fields and more broadly in aesthetics, dermatology,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and may be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2" w:name="page33"/>
    <w:bookmarkEnd w:id="3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9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Rapidly changing technology in life sciences could make the products we are developing obsolete.</w:t>
      </w:r>
    </w:p>
    <w:p>
      <w:pPr>
        <w:spacing w:after="0" w:line="120"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91"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we are unable to manage the anticipated growth of our business, our future revenue and operating results may be harmed.</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We have experienced rapid growth in our business. Recent and future growth imposes significant added responsibilities on management, including the need to identify, recruit, train, and integrate additional employees. Rapid expansion in personnel could mean that fewer experienced people carry out our research and development activities, manufacture, market, and sell CellFX Systems and NPS therapies and treatments,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other unexpected expansion difficulties, could have a material adverse effect on our business, financial condition and results of operations, and our ability to timely execute our business plan. If we are unable to manage our growth effectively, it may be difficult for us to execute our business strategy and our business could be harmed.</w:t>
      </w:r>
    </w:p>
    <w:p>
      <w:pPr>
        <w:spacing w:after="0" w:line="95" w:lineRule="exact"/>
        <w:rPr>
          <w:sz w:val="20"/>
          <w:szCs w:val="20"/>
          <w:color w:val="auto"/>
        </w:rPr>
      </w:pPr>
    </w:p>
    <w:p>
      <w:pPr>
        <w:jc w:val="both"/>
        <w:ind w:firstLine="301"/>
        <w:spacing w:after="0" w:line="300" w:lineRule="auto"/>
        <w:rPr>
          <w:sz w:val="20"/>
          <w:szCs w:val="20"/>
          <w:color w:val="auto"/>
        </w:rPr>
      </w:pPr>
      <w:r>
        <w:rPr>
          <w:rFonts w:ascii="Arial" w:cs="Arial" w:eastAsia="Arial" w:hAnsi="Arial"/>
          <w:sz w:val="11"/>
          <w:szCs w:val="11"/>
          <w:b w:val="1"/>
          <w:bCs w:val="1"/>
          <w:i w:val="1"/>
          <w:iCs w:val="1"/>
          <w:color w:val="auto"/>
        </w:rPr>
        <w:t>We are subject to laws and regulations relating to personally identifiable health information, and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71"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 the ordinary course of our business, both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using a combination of on-site and vendor-owned systems. We face a number of risks related to our protection of, and our service providers’ protection of, this critical information, including loss of access to data, data corruption, unauthorized disclosure of data, and unauthorized access of data, as well as risks associated with our ability to identify and audit such events.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3" w:name="page34"/>
    <w:bookmarkEnd w:id="3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50" w:lineRule="auto"/>
        <w:rPr>
          <w:sz w:val="20"/>
          <w:szCs w:val="20"/>
          <w:color w:val="auto"/>
        </w:rPr>
      </w:pPr>
      <w:r>
        <w:rPr>
          <w:rFonts w:ascii="Arial" w:cs="Arial" w:eastAsia="Arial" w:hAnsi="Arial"/>
          <w:sz w:val="11"/>
          <w:szCs w:val="11"/>
          <w:color w:val="auto"/>
        </w:rPr>
        <w:t>Although we take measures to protect sensitive information from unauthorized access or disclosure, our information technology and infrastructure, or those of our vendors, may be vulnerable to attacks by hackers or viruses or otherwise breached due to employee error, malfeasance or other activities. While we believe we have not experienced any such attack or breach, both we and our vendors may be unable to anticipate attacks, to implement adequate preventative or mitigation measures, to identify any attacks or incidents on a timely basis, or to remediate or otherwise address any attacks or incidents in a timely manner. If any such attack or other incident were to occur, our systems and networks would be compromised and the information we store on those systems and networks could be accessed by unauthorized parties, publicly disclosed, lost, or stolen. Any such access, disclosure or other loss of information could result in a loss of intellectual property protection, legal claims or proceedings, liability under laws that protect the privacy of personal information, such as the federal Health Insurance Portability and Accountability Act of 1996 (HIPAA), as amended by the Health Information Technology for Economic and Clinical Health Act of 2009 (HITECH), and the California Consumer Privacy Act of 2018 (CCPA), which was enacted in June 2018 and became operative on January 1, 2020, or regulatory penalties, and could require substantial efforts to remediate and otherwise respond to the incident. The CCPA requires covered companies to, among other things, make certain enhanced disclosures related to California residents regarding our use or disclosure of their personal information, allow California residents to opt-out of certain uses and disclosures of their personal information without penalty, provide Californians with other choices related to personal data in our possession, and obtain opt-in consent before engaging in certain uses of personal information relating to Californians under the age of 16. The California Attorney General may seek substantial monetary penalties and injunctive relief in the event of our non-compliance with the CCPA. The CCPA also allows for private lawsuits from Californians in the event of certain data breaches. Certain aspects of the CCPA and its interpretation remain uncertain, and we may need to modify our policies or practices in an effort to comply with it. Moreover, a new privacy law, the California Privacy Rights Act (CPRA) was recently approved by California voters, which significantly modifies the CCPA, resulting in further uncertainty and requiring us to incur additional costs and expenses in an effort to comply.</w:t>
      </w:r>
    </w:p>
    <w:p>
      <w:pPr>
        <w:spacing w:after="0" w:line="98"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Unauthorized access, loss or dissemination of data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 We cannot be certain that our insurance coverage will be adequate for data handling or data security liabilities actually incurred, that insurance will continue to be available to us on economically reasonable terms, or at all, or that any future claim will not be excluded or otherwise be denied coverage by any insurer. The successful assertion of one or more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or alleged to be, inconsistent with our practices. If so, this could result in regulatory investigations and enforcement actions, private litigation, claims for damages, and government-imposed fines or orders requiring that we change our practices, any of which could adversely affect our business. Complying with these various laws could cause us to incur substantial costs or require us to change our business practices, systems and compliance procedures in a manner adverse to our business.</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Product liability lawsuits against us could cause us to incur substantial liabilities and limit commercialization of our product or any future products that we may develop.</w:t>
      </w:r>
    </w:p>
    <w:p>
      <w:pPr>
        <w:spacing w:after="0" w:line="120"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decreased demand for our product or any planned products that we may develop;</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injury to our reputation and significant negative media attention;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4" w:name="page35"/>
    <w:bookmarkEnd w:id="3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withdrawal of patients from our clinical studies or cancellation of studies;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significant costs to defend the related litigation and distraction to our management team;</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substantial monetary awards to patients;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loss of revenue;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inability to commercialize any future products that we may develop.</w:t>
      </w:r>
    </w:p>
    <w:p>
      <w:pPr>
        <w:spacing w:after="0" w:line="120"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For example, for our clinical trials in the field of oncology, patients with the types and stages of cancer targeted by our NPS technology may already be in severe and advanced stages of disease, may have worsened conditions despite traditional therapies, may not be surgical candidates, and/or may have both known and unknown significant pre-existing and potentially life-threatening conditions. During the course of treatment, patients may suffer adverse events, including death, for reasons that may be related to our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95"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9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ability to utilize our net operating loss carryforwards and certain other tax attributes may be limited.</w:t>
      </w:r>
    </w:p>
    <w:p>
      <w:pPr>
        <w:spacing w:after="0" w:line="120"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spacing w:after="0" w:line="87"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0"/>
          <w:szCs w:val="10"/>
          <w:b w:val="1"/>
          <w:bCs w:val="1"/>
          <w:i w:val="1"/>
          <w:iCs w:val="1"/>
          <w:color w:val="auto"/>
        </w:rPr>
        <w:t>We have a substantial amount of goodwill and intangible assets which over time may have to be written down as we make the required periodic assessments as to their value as reflected in our financial statements.</w:t>
      </w:r>
    </w:p>
    <w:p>
      <w:pPr>
        <w:spacing w:after="0" w:line="143"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5" w:name="page36"/>
    <w:bookmarkEnd w:id="3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Product Development</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Clinical development involves a lengthy and expensive process with an uncertain outcome, and results of earlier studies and trials may not be predictive of future trial results.</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w:t>
      </w:r>
    </w:p>
    <w:p>
      <w:pPr>
        <w:spacing w:after="0" w:line="103"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Interim “top-line” and preliminary results from our clinical trials that we announce or publish from time to time may change as more patient data become available and are subject to audit and verification procedures that could result in material changes in the final data.</w:t>
      </w:r>
    </w:p>
    <w:p>
      <w:pPr>
        <w:spacing w:after="0" w:line="9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From time to time, we may publish interim top-line or preliminary results from our clinical trials. Interim results from clinical trials that we may announce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If we fail to maintain necessary regulatory clearance for our product, or if clearances or approvals for future devices and indications are delayed or not issued, our commercial operations would be harmed.</w:t>
      </w:r>
    </w:p>
    <w:p>
      <w:pPr>
        <w:spacing w:after="0" w:line="132"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device design, development and manufacture;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laboratory, pre-clinical and clinical testing, labeling, packaging, and storage;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premarketing clearance or approval;</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record keeping;</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device marketing, promotion and advertising, sales and distribution;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post-marketing surveillance, including reporting of deaths and serious injuries and recalls and correction and removals.</w:t>
      </w:r>
    </w:p>
    <w:p>
      <w:pPr>
        <w:spacing w:after="0" w:line="120"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Before a new medical device, or a new intended use for an existing device, can be marketed in the United States, the device’s manufacturer must first submit and receive either 510(k) clearance or Premarket Approval (PMA) from the FDA, unless an exemption applies. In the 510(k) 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6" w:name="page37"/>
    <w:bookmarkEnd w:id="3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In February 2021, we received a 510(k) clearance from the U.S. FDA for our CellFX System for dermatologic procedures requiring ablation and resurfacing of the skin. Following this general dermatologic indication, we plan to pursue specific indications for the CellFX System, starting with an indication for the treatment of SH lesions. This will require an additional 510(k) submission, as will each subsequent indication, and will likely be based on comparative clinical data.</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However, the failure to obtain further 510(k) clearances may add significant time and expense to our regulatory clearance process, may delay our ability to generate revenue, and may have a negative impact on our stock price. We may not be able to obtain the necessary clearances or approvals necessary to market our CellFX System for specific indications or such approvals or clearances may be unduly delayed, which could harm our business. If the FDA rejects our 510(k) submissions for specific indications, we may be required to obtain FDA approval through the de novo pathway, which will require additional time and resources, including the need to conduct more clinical studies to demonstrate safety and effectiveness of our candidate device.</w:t>
      </w:r>
    </w:p>
    <w:p>
      <w:pPr>
        <w:spacing w:after="0" w:line="103"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03"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FDA and state authorities have broad enforcement powers. Our failure to comply with applicable regulatory requirements could result in enforcement action by the FDA or state agencies, which may include any of the following sanctions, among others: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adverse publicity, warning letters, fines, injunctions, consent decrees, and civil penalties;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repair, replacement, refunds, recall, or seizure of our devices;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operating restrictions, partial suspension, or total shutdown of production;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refusing our requests for 510(k) clearance or premarket approval of new devices, new intended uses or modifications to existing devices;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withdrawing 510(k) clearance or premarket approvals that have already been granted;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criminal prosecution.</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If any of these events were to occur, our business and financial condition would be harmed.</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The mechanism of action of NPS technology platform has not been fully determined or validated.</w:t>
      </w:r>
    </w:p>
    <w:p>
      <w:pPr>
        <w:spacing w:after="0" w:line="120"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exact mechanism(s) of action(s) of the NPS technology platform is not fully understood, and data is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7" w:name="page38"/>
    <w:bookmarkEnd w:id="3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Our product and any future product candidates may cause serious adverse side effects or have other properties that could delay or prevent their regulatory approval, limit their commercial desirability or result in significant negative consequences.</w:t>
      </w:r>
    </w:p>
    <w:p>
      <w:pPr>
        <w:spacing w:after="0" w:line="94"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The risk of failure of clinical development is high. For example, the vast majority of our in vivo data has been a result of animal testing, and we have only completed a limited number of feasibility studies in humans. Undesirable side effects caused by our CellFX System, NPS pulses, or any of our planned future products could cause us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w:t>
      </w:r>
    </w:p>
    <w:p>
      <w:pPr>
        <w:spacing w:after="0" w:line="87"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Additionally, if we or others identify undesirable side effects caused by our CellFX System, a number of potentially significant negative consequences could result, including:</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be forced to recall such product and suspend the marketing of such product;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regulatory authorities may withdraw their approvals of such product;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regulatory authorities may require additional warnings on the label and/or narrow the indication that could diminish the usage or otherwise limit the commercial success of such product;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FDA or other regulatory authorities may issue safety alerts, “Dear Healthcare Provider” letters, press releases, or other communications containing warnings about such product;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FDA may restrict distribution of our product and impose burdensome implementation requirements on us;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be required to change the way the product is administered or conduct additional clinical trials;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could be sued and held liable for harm caused to subjects or patients;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be subject to litigation or product liability claims;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our reputation could suffer.</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Any of these events could prevent us from achieving or maintaining market acceptance of the CellFX System or of any future particular planned product, if approved.</w:t>
      </w:r>
    </w:p>
    <w:p>
      <w:pPr>
        <w:spacing w:after="0" w:line="12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business is dependent upon physicians adopting our CellFX System and NPS technology, and if we fail to obtain broad adoption, our business would be adversely affected.</w:t>
      </w:r>
    </w:p>
    <w:p>
      <w:pPr>
        <w:spacing w:after="0" w:line="120"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Our success depends on our ability to educate physicians regarding the benefits of CellFX procedures over existing treatment modalities and to persuade them to prescribe CellFX procedures for their patients. We do not know if the CellFX System or NPS technology will be successful over the long term, and market acceptance may be hindered if physicians are not presented with compelling data demonstrating the efficacy and safety of our products compared to alternative treatments. Any studies we, or third parties, may conduct comparing our CellFX System or NPS technology with alternative treatments may be expensive, time consuming or may not yield positive results. Additionally, adoption will be directly influenced by a number of financial factors, including the ability of providers to attract cash payments from patients or to obtain sufficient reimbursement from third-party commercial payors and from the Centers for Medicare &amp; Medicaid Services (CMS) for the professional services they provide in administering CellFX procedures. The efficacy, safety, performance, and cost-effectiveness of our CellFX System, NPS technology, or other potential products based on NPS technology, on a stand-alone basis and relative to competing services, will determine the availability and level of reimbursement received by us and providers. If physicians do not adopt and prescribe our CellFX System or future products using our NPS technology, we may never become profitable.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8" w:name="page39"/>
    <w:bookmarkEnd w:id="3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may find it difficult to enroll patients in our clinical trials. If we cannot enroll a sufficient number of eligible patients to participate in the clinical trials, we may not be able to initiate or continue clinical trials, which could delay or prevent development of our product candidates.</w:t>
      </w:r>
    </w:p>
    <w:p>
      <w:pPr>
        <w:spacing w:after="0" w:line="94"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Laboratory conditions differ from commercial conditions and field conditions, and the safety and effectiveness of our product candidates may depend on the technique of the user.</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Observations and developments that may be achievable under laboratory circumstances may not be able to be replicated in broader research and development phases, in commercial settings, or in the use of any of the product candidates in the field. Furthermore, CellFX procedures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Issues with our firmware and software may negatively affect the function of our devices.</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it is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spacing w:after="0" w:line="103"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b w:val="1"/>
          <w:bCs w:val="1"/>
          <w:i w:val="1"/>
          <w:iCs w:val="1"/>
          <w:color w:val="auto"/>
        </w:rPr>
        <w:t>We may encounter manufacturing problems or delays that could result in lost revenue. Additionally, we currently rely on third-party suppliers for critical materials needed to manufacture our CellFX System and related applicators. Any problems experienced by these suppliers could result in a delay or interruption of their supply to us and, as a result, we may face delays in the development and commercialization of planned products.</w:t>
      </w:r>
    </w:p>
    <w:p>
      <w:pPr>
        <w:spacing w:after="0" w:line="104"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We are in the process of commencing commercial-scale manufacturing of our product, and we currently rely upon third-party suppliers to manufacture and supply components for our CellFX System. We perform final assembly of our devices at our facility in California. We believe we have an adequate inventory of materials and manufacturing capacity to support all our commercial launch activities. However, if demand for our product increases significantly, we will need to either expand our manufacturing capabilities or outsource to other manufacturers. The manufacture of our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39" w:name="page40"/>
    <w:bookmarkEnd w:id="3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 in a manner that conforms to our specifications and these strict regulatory requirements, we may not be able to rely on their manufacturing facilities for the manufacture of our product.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spacing w:after="0" w:line="104" w:lineRule="exact"/>
        <w:rPr>
          <w:sz w:val="20"/>
          <w:szCs w:val="20"/>
          <w:color w:val="auto"/>
        </w:rPr>
      </w:pPr>
    </w:p>
    <w:p>
      <w:pPr>
        <w:jc w:val="both"/>
        <w:ind w:right="20" w:firstLine="301"/>
        <w:spacing w:after="0" w:line="236" w:lineRule="auto"/>
        <w:rPr>
          <w:sz w:val="20"/>
          <w:szCs w:val="20"/>
          <w:color w:val="auto"/>
        </w:rPr>
      </w:pPr>
      <w:r>
        <w:rPr>
          <w:rFonts w:ascii="Arial" w:cs="Arial" w:eastAsia="Arial" w:hAnsi="Arial"/>
          <w:sz w:val="12"/>
          <w:szCs w:val="12"/>
          <w:color w:val="auto"/>
        </w:rPr>
        <w:t>We currently purchase components for our CellFX System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Also, any number of our suppliers may be adversely impacted by COVID-19 which could affect their ability to perform satisfactorily. Any failure of these suppliers to perform satisfactorily could adversely impact our business and results of operations and we may experience delays in manufacturing of our devices while finding another acceptable supplier.</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32"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believe that the commercial viability of our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05"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our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treatments involving our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physicians may be discouraged from using them, and our sales would suffer.</w:t>
      </w:r>
    </w:p>
    <w:p>
      <w:pPr>
        <w:spacing w:after="0" w:line="103"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0" w:name="page41"/>
    <w:bookmarkEnd w:id="4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spacing w:after="0" w:line="105"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We work with outside scientists and their institutions in developing our product and product candidates. These scientists may have other commitments or conflicts of interest, which could limit our access to their expertise, harm our ability to leverage our discovery platforms, or negatively impact our clinical trials.</w:t>
      </w:r>
    </w:p>
    <w:p>
      <w:pPr>
        <w:spacing w:after="0" w:line="94"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We work with scientific advisors and collaborators at academic research institutions in connection with our product development efforts. These scientists and collaborators are not our employees, but they serve as either independent contractors or researchers under research agreements that we have with their sponsoring clinic, academic institution or research institution. These scientists and collaborators may have other commitments limiting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 To the extent these scientists and collaborators, including those assisting us with our clinical trials, may receive cash or equity compensation in connection with such services from time to time, these relationships and any related compensation may result in perceived or actual conflicts of interest, or cause a regulatory authority to conclude that the financial relationship may have affected the interpretation of the trial, such that the integrity of the data generated by them or by their institutions may be questioned and the utility of the data itself may be jeopardized, which could result in the delay or rejection of any marketing application we submit.</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Intellectual Property</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we are unable to protect our intellectual property, then our financial condition, results of operations and the value of our technology and products could be adversely affected.</w:t>
      </w:r>
    </w:p>
    <w:p>
      <w:pPr>
        <w:spacing w:after="0" w:line="120"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96"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94"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1" w:name="page42"/>
    <w:bookmarkEnd w:id="4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54" w:lineRule="auto"/>
        <w:rPr>
          <w:sz w:val="20"/>
          <w:szCs w:val="20"/>
          <w:color w:val="auto"/>
        </w:rPr>
      </w:pPr>
      <w:r>
        <w:rPr>
          <w:rFonts w:ascii="Arial" w:cs="Arial" w:eastAsia="Arial" w:hAnsi="Arial"/>
          <w:sz w:val="11"/>
          <w:szCs w:val="11"/>
          <w:color w:val="auto"/>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9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intellectual property rights will not necessarily provide us with competitive advantages.</w:t>
      </w:r>
    </w:p>
    <w:p>
      <w:pPr>
        <w:spacing w:after="0" w:line="12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others may be able to make products that are similar to our product candidates but that are not covered by the claims of the patents that we own or have exclusively licensed;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others may independently develop similar or alternative technologies without infringing on our intellectual property rights;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issued patents that we own or have exclusively licensed may not provide us with any competitive advantages, or may be held invalid or unenforceable, as a result of legal challenges by our competitors;</w:t>
      </w:r>
    </w:p>
    <w:p>
      <w:pPr>
        <w:spacing w:after="0" w:line="120"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94" w:lineRule="exact"/>
        <w:rPr>
          <w:sz w:val="20"/>
          <w:szCs w:val="20"/>
          <w:color w:val="auto"/>
        </w:rPr>
      </w:pPr>
    </w:p>
    <w:p>
      <w:pPr>
        <w:ind w:left="440"/>
        <w:spacing w:after="0" w:line="255" w:lineRule="auto"/>
        <w:rPr>
          <w:sz w:val="20"/>
          <w:szCs w:val="20"/>
          <w:color w:val="auto"/>
        </w:rPr>
      </w:pPr>
      <w:r>
        <w:rPr>
          <w:rFonts w:ascii="Arial" w:cs="Arial" w:eastAsia="Arial" w:hAnsi="Arial"/>
          <w:sz w:val="12"/>
          <w:szCs w:val="12"/>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we may fail to develop additional proprietary technologies that are patentable;</w:t>
      </w:r>
    </w:p>
    <w:p>
      <w:pPr>
        <w:spacing w:after="0" w:line="120"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 patents of others may have an adverse effect on our business, for example by preventing us from marketing one or more of our product candidates for one or more indications.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Any of the aforementioned threats to our competitive advantage could harm our business.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2" w:name="page43"/>
    <w:bookmarkEnd w:id="4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we are unable to protect the confidentiality of our proprietary information and know-how, the value of our technology and products could be adversely affected.</w:t>
      </w:r>
    </w:p>
    <w:p>
      <w:pPr>
        <w:spacing w:after="0" w:line="120"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all of our employees, consultants, advisors, and any third 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20" w:lineRule="exact"/>
        <w:rPr>
          <w:sz w:val="20"/>
          <w:szCs w:val="20"/>
          <w:color w:val="auto"/>
        </w:rPr>
      </w:pPr>
    </w:p>
    <w:p>
      <w:pPr>
        <w:jc w:val="both"/>
        <w:ind w:firstLine="301"/>
        <w:spacing w:after="0" w:line="300" w:lineRule="auto"/>
        <w:rPr>
          <w:sz w:val="20"/>
          <w:szCs w:val="20"/>
          <w:color w:val="auto"/>
        </w:rPr>
      </w:pPr>
      <w:r>
        <w:rPr>
          <w:rFonts w:ascii="Arial" w:cs="Arial" w:eastAsia="Arial" w:hAnsi="Arial"/>
          <w:sz w:val="11"/>
          <w:szCs w:val="11"/>
          <w:color w:val="auto"/>
        </w:rPr>
        <w:t>The strength of our patents involves complex legal and scientific questions and can be uncertain. Our patents or patent applications may be challenged or our patent applications may fail to result in issued patents and our existing or future patents may be too narrow to prevent third-parties from developing or designing around our intellectual property and in that event we may lose competitive advantage and our business may suffer.</w:t>
      </w:r>
    </w:p>
    <w:p>
      <w:pPr>
        <w:spacing w:after="0" w:line="71"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may not be able to protect our intellectual property rights throughout the world.</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0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have not yet registered some of our trademarks in all of our potential markets, and failure to secure those registrations could adversely affect our business. If our trademarks and trade names are not adequately protected, then we may not be able to build name recognition in our markets of interest and our business may be adversely affected.</w:t>
      </w:r>
    </w:p>
    <w:p>
      <w:pPr>
        <w:spacing w:after="0" w:line="94"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Our registered or unregistered trademarks or trade names may be challenged, infringed, circumvented, declared generic, or conflict with third-party rights. We may not be able to protect our rights to these trademarks and trade names, which we need to build name recognition by potential partners or customers in our markets of interest. Additionally, if we apply to register our trademarks in all of our potential markets, our applications may not be allowed for registration, and our registered trademarks may not be maintained or enforced.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 In such cases, over the long term, if we are unable to establish name recognition based on our trademarks and trade names, then our marketing abilities may be impacted.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3" w:name="page44"/>
    <w:bookmarkEnd w:id="4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Government Regulation</w:t>
      </w:r>
    </w:p>
    <w:p>
      <w:pPr>
        <w:spacing w:after="0" w:line="12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We are subject to stringent domestic and foreign regulation. Any unfavorable regulatory action or adverse change in law may materially and adversely affect our future financial condition and business operations and prospects.</w:t>
      </w:r>
    </w:p>
    <w:p>
      <w:pPr>
        <w:spacing w:after="0" w:line="94"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Our CellFX System and any other potential devices and products, further development activities and manufacturing and distribution, once developed and determined,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spacing w:after="0" w:line="91"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take a significant indeterminate amount of time;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require the expenditure of substantial resources;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involve rigorous pre-clinical and clinical testing, and possibly post-market surveillance;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involve modifications, repairs or replacements of our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require design changes of our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result in limitations on the indicated uses of our products;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result in our never being granted the regulatory approval or clearance we seek.</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If we experience any of these occurrences, our operations may suffer, we might experience harm to our competitive standing and result in further losses that adversely affect our financial condition.</w:t>
      </w:r>
    </w:p>
    <w:p>
      <w:pPr>
        <w:spacing w:after="0" w:line="120" w:lineRule="exact"/>
        <w:rPr>
          <w:sz w:val="20"/>
          <w:szCs w:val="20"/>
          <w:color w:val="auto"/>
        </w:rPr>
      </w:pPr>
    </w:p>
    <w:p>
      <w:pPr>
        <w:jc w:val="both"/>
        <w:ind w:firstLine="301"/>
        <w:spacing w:after="0" w:line="252" w:lineRule="auto"/>
        <w:rPr>
          <w:sz w:val="20"/>
          <w:szCs w:val="20"/>
          <w:color w:val="auto"/>
        </w:rPr>
      </w:pPr>
      <w:r>
        <w:rPr>
          <w:rFonts w:ascii="Arial" w:cs="Arial" w:eastAsia="Arial" w:hAnsi="Arial"/>
          <w:sz w:val="11"/>
          <w:szCs w:val="11"/>
          <w:color w:val="auto"/>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and assess civil or criminal penalties against our officers, employees, or us. The FDA and similar foreign regulatory authorities have been increasing its scrutiny of the industry and the government is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The continuing development of our CellFX System and other products depends upon maintaining strong working relationships with physicians.</w:t>
      </w:r>
    </w:p>
    <w:p>
      <w:pPr>
        <w:spacing w:after="0" w:line="120"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The development, marketing, and sale of our CellFX System, and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4" w:name="page45"/>
    <w:bookmarkEnd w:id="4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55"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We are subject to healthcare and other laws and regulations relating to our business and could face substantial penalties if we are determined not to have fully complied with such laws, which could have an adverse impact on our business.</w:t>
      </w:r>
    </w:p>
    <w:p>
      <w:pPr>
        <w:spacing w:after="0" w:line="94" w:lineRule="exact"/>
        <w:rPr>
          <w:sz w:val="20"/>
          <w:szCs w:val="20"/>
          <w:color w:val="auto"/>
        </w:rPr>
      </w:pPr>
    </w:p>
    <w:p>
      <w:pPr>
        <w:jc w:val="both"/>
        <w:ind w:firstLine="301"/>
        <w:spacing w:after="0" w:line="263" w:lineRule="auto"/>
        <w:rPr>
          <w:sz w:val="20"/>
          <w:szCs w:val="20"/>
          <w:color w:val="auto"/>
        </w:rPr>
      </w:pPr>
      <w:r>
        <w:rPr>
          <w:rFonts w:ascii="Arial" w:cs="Arial" w:eastAsia="Arial" w:hAnsi="Arial"/>
          <w:sz w:val="11"/>
          <w:szCs w:val="11"/>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applicable laws and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 Such laws include:</w:t>
      </w:r>
    </w:p>
    <w:p>
      <w:pPr>
        <w:spacing w:after="0" w:line="91" w:lineRule="exact"/>
        <w:rPr>
          <w:sz w:val="20"/>
          <w:szCs w:val="20"/>
          <w:color w:val="auto"/>
        </w:rPr>
      </w:pPr>
    </w:p>
    <w:p>
      <w:pPr>
        <w:jc w:val="both"/>
        <w:ind w:left="440"/>
        <w:spacing w:after="0" w:line="233" w:lineRule="auto"/>
        <w:rPr>
          <w:sz w:val="20"/>
          <w:szCs w:val="20"/>
          <w:color w:val="auto"/>
        </w:rPr>
      </w:pPr>
      <w:r>
        <w:rPr>
          <w:rFonts w:ascii="Arial" w:cs="Arial" w:eastAsia="Arial" w:hAnsi="Arial"/>
          <w:sz w:val="12"/>
          <w:szCs w:val="12"/>
          <w:color w:val="auto"/>
        </w:rPr>
        <w:t>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and the government can find a violation of the Anti-Kickback Statute without proving that a person or entity had actual knowledge of the law or a specific intent to violate it. In addition, the government may assert that a claim including items or services resulting from a violation of the U.S. federal Anti-Kickback Statute constitutes a false or fraudulent claim for purposes of the civil False Claims Act;</w:t>
      </w:r>
    </w:p>
    <w:p>
      <w:pPr>
        <w:spacing w:after="0" w:line="105" w:lineRule="exact"/>
        <w:rPr>
          <w:sz w:val="20"/>
          <w:szCs w:val="20"/>
          <w:color w:val="auto"/>
        </w:rPr>
      </w:pPr>
    </w:p>
    <w:p>
      <w:pPr>
        <w:jc w:val="both"/>
        <w:ind w:left="440" w:right="20"/>
        <w:spacing w:after="0" w:line="236" w:lineRule="auto"/>
        <w:rPr>
          <w:sz w:val="20"/>
          <w:szCs w:val="20"/>
          <w:color w:val="auto"/>
        </w:rPr>
      </w:pPr>
      <w:r>
        <w:rPr>
          <w:rFonts w:ascii="Arial" w:cs="Arial" w:eastAsia="Arial" w:hAnsi="Arial"/>
          <w:sz w:val="12"/>
          <w:szCs w:val="12"/>
          <w:color w:val="auto"/>
        </w:rPr>
        <w:t>U.S. federal civil and criminal false claims laws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government;</w:t>
      </w:r>
    </w:p>
    <w:p>
      <w:pPr>
        <w:spacing w:after="0" w:line="103" w:lineRule="exact"/>
        <w:rPr>
          <w:sz w:val="20"/>
          <w:szCs w:val="20"/>
          <w:color w:val="auto"/>
        </w:rPr>
      </w:pPr>
    </w:p>
    <w:p>
      <w:pPr>
        <w:jc w:val="both"/>
        <w:ind w:left="440"/>
        <w:spacing w:after="0" w:line="239" w:lineRule="auto"/>
        <w:rPr>
          <w:sz w:val="20"/>
          <w:szCs w:val="20"/>
          <w:color w:val="auto"/>
        </w:rPr>
      </w:pPr>
      <w:r>
        <w:rPr>
          <w:rFonts w:ascii="Arial" w:cs="Arial" w:eastAsia="Arial" w:hAnsi="Arial"/>
          <w:sz w:val="12"/>
          <w:szCs w:val="12"/>
          <w:color w:val="auto"/>
        </w:rPr>
        <w:t>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A person or entity does not need to have actual knowledge of the statute or specific intent to violate it in order to have committed a violation;</w:t>
      </w:r>
    </w:p>
    <w:p>
      <w:pPr>
        <w:spacing w:after="0" w:line="104" w:lineRule="exact"/>
        <w:rPr>
          <w:sz w:val="20"/>
          <w:szCs w:val="20"/>
          <w:color w:val="auto"/>
        </w:rPr>
      </w:pPr>
    </w:p>
    <w:p>
      <w:pPr>
        <w:jc w:val="both"/>
        <w:ind w:left="440"/>
        <w:spacing w:after="0" w:line="239" w:lineRule="auto"/>
        <w:rPr>
          <w:sz w:val="20"/>
          <w:szCs w:val="20"/>
          <w:color w:val="auto"/>
        </w:rPr>
      </w:pPr>
      <w:r>
        <w:rPr>
          <w:rFonts w:ascii="Arial" w:cs="Arial" w:eastAsia="Arial" w:hAnsi="Arial"/>
          <w:sz w:val="12"/>
          <w:szCs w:val="12"/>
          <w:color w:val="auto"/>
        </w:rPr>
        <w:t>HIPAA, as amended by HITECH, and its implementing regulations, also imposes obligations, including mandatory contractual terms, with respect to safeguarding the privacy, security and transmission of individually identifiable health information without appropriate authorization by covered entities subject to the rule, such as health plans, healthcare clearinghouses and healthcare providers as well as their business associates that perform certain services for or on their behalf involving the use or disclosure of individually identifiable health information;</w:t>
      </w:r>
    </w:p>
    <w:p>
      <w:pPr>
        <w:spacing w:after="0" w:line="104" w:lineRule="exact"/>
        <w:rPr>
          <w:sz w:val="20"/>
          <w:szCs w:val="20"/>
          <w:color w:val="auto"/>
        </w:rPr>
      </w:pPr>
    </w:p>
    <w:p>
      <w:pPr>
        <w:jc w:val="both"/>
        <w:ind w:left="440"/>
        <w:spacing w:after="0" w:line="236" w:lineRule="auto"/>
        <w:rPr>
          <w:sz w:val="20"/>
          <w:szCs w:val="20"/>
          <w:color w:val="auto"/>
        </w:rPr>
      </w:pPr>
      <w:r>
        <w:rPr>
          <w:rFonts w:ascii="Arial" w:cs="Arial" w:eastAsia="Arial" w:hAnsi="Arial"/>
          <w:sz w:val="12"/>
          <w:szCs w:val="12"/>
          <w:color w:val="auto"/>
        </w:rPr>
        <w:t>the U.S.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and teaching hospitals, and requires applicable manufacturers and group purchasing organizations to report annually to the government ownership and investment interests held by these physicians and their immediate family members;</w:t>
      </w:r>
    </w:p>
    <w:p>
      <w:pPr>
        <w:spacing w:after="0" w:line="103" w:lineRule="exact"/>
        <w:rPr>
          <w:sz w:val="20"/>
          <w:szCs w:val="20"/>
          <w:color w:val="auto"/>
        </w:rPr>
      </w:pPr>
    </w:p>
    <w:p>
      <w:pPr>
        <w:jc w:val="both"/>
        <w:ind w:left="440"/>
        <w:spacing w:after="0" w:line="239" w:lineRule="auto"/>
        <w:rPr>
          <w:sz w:val="20"/>
          <w:szCs w:val="20"/>
          <w:color w:val="auto"/>
        </w:rPr>
      </w:pPr>
      <w:r>
        <w:rPr>
          <w:rFonts w:ascii="Arial" w:cs="Arial" w:eastAsia="Arial" w:hAnsi="Arial"/>
          <w:sz w:val="12"/>
          <w:szCs w:val="12"/>
          <w:color w:val="auto"/>
        </w:rPr>
        <w:t>the CCPA, which went into effect in January 2020, requires covered companies to, among other things provide new disclosures to California consumers and afford such consumers new abilities to opt-out of certain sales of personal information. We cannot yet predict the impact of the CCPA or the recently approved CPRA on our business or operations, but it may require us to modify our data processing practices and policies and could cause us to incur substantial costs and expenses in an effort to comply;</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federal consumer protection and unfair competition laws, which broadly regulate marketplace activities and activities that potentially harm consumers; and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5" w:name="page46"/>
    <w:bookmarkEnd w:id="4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left="440"/>
        <w:spacing w:after="0" w:line="232" w:lineRule="auto"/>
        <w:rPr>
          <w:sz w:val="20"/>
          <w:szCs w:val="20"/>
          <w:color w:val="auto"/>
        </w:rPr>
      </w:pPr>
      <w:r>
        <w:rPr>
          <w:rFonts w:ascii="Arial" w:cs="Arial" w:eastAsia="Arial" w:hAnsi="Arial"/>
          <w:sz w:val="12"/>
          <w:szCs w:val="12"/>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state laws that require device companies to comply with the industry’s voluntary compliance guidelines and the relevant compliance guidance promulgated by the U.S. government, or otherwise restrict payments that may be made to healthcare providers and other potential referral sources; state laws and regulations that require manufacturers to report information related to payments and other transfers of value to physicians and other healthcare providers or marketing expenditures and pricing information; and state and non-U.S. laws governing the privacy and security of health information in some circumstances, many of which differ from each other in significant ways and often are not preempted by HIPAA, thus complicating compliance efforts.</w:t>
      </w:r>
    </w:p>
    <w:p>
      <w:pPr>
        <w:spacing w:after="0" w:line="104" w:lineRule="exact"/>
        <w:rPr>
          <w:sz w:val="20"/>
          <w:szCs w:val="20"/>
          <w:color w:val="auto"/>
        </w:rPr>
      </w:pPr>
    </w:p>
    <w:p>
      <w:pPr>
        <w:jc w:val="both"/>
        <w:ind w:firstLine="301"/>
        <w:spacing w:after="0" w:line="230" w:lineRule="auto"/>
        <w:rPr>
          <w:sz w:val="20"/>
          <w:szCs w:val="20"/>
          <w:color w:val="auto"/>
        </w:rPr>
      </w:pPr>
      <w:r>
        <w:rPr>
          <w:rFonts w:ascii="Arial" w:cs="Arial" w:eastAsia="Arial" w:hAnsi="Arial"/>
          <w:sz w:val="12"/>
          <w:szCs w:val="12"/>
          <w:color w:val="auto"/>
        </w:rPr>
        <w:t>We have implemented compliance related programs and procedures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 In addition, we are subject to the risk that a person or government could allege violations of such laws, regulations and other obligations, or allege that fraud or other misconduct has taken place, even if no misconduct has occurred. If any such actions are instituted against us,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individual imprisonment, other sanctions, contractual damages, reputational harm, diminished profits and future earnings, and curtailment of our operations if we are not successful in defending ourselves or asserting our rights. Defending against any such actions can be costly, time-consuming and may require significant financial and personnel resources. Therefore, even if we are successful in defending against any such actions that may be brought against us, our business may be impaired. If any of the above occur, it could have a material adverse effect on our liquidity and financial condition.</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Also, any material change to any of the laws or regulations applicable to our business could harm our business, financial condition and results of operations.</w:t>
      </w:r>
    </w:p>
    <w:p>
      <w:pPr>
        <w:spacing w:after="0" w:line="12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To obtain the necessary device approvals or clearances from regulatory authorities for our future product candidates, we will have to conduct various pre-clinical and clinical tests, which may be costly and time consuming, and may not provide results that will allow us to seek regulatory approval or clearance.</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not deem a technology or device to be reasonably safe or effective for any intended use or indication;</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interpret data from pre-clinical and clinical testing differently than we do;</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determine our manufacturing facility or processes do not comply with quality system regulations;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conclude that our device does not meet quality standards for durability, long-term reliability, biocompatibility, electromagnetic compatibility, or electrical safety; or</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may change their approval or clearance policies or adopt new regulations in a manner that is adverse to us.</w:t>
      </w:r>
    </w:p>
    <w:p>
      <w:pPr>
        <w:spacing w:after="0" w:line="120"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color w:val="auto"/>
        </w:rPr>
        <w:t>These regulators may make requests or disagree with us regarding the design or conduct of our clinical trials, resulting in an increased risk of difficulties or delays in obtaining regulatory approval or clearance on future product candidates and increased costs.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6" w:name="page47"/>
    <w:bookmarkEnd w:id="46"/>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0"/>
          <w:szCs w:val="10"/>
          <w:b w:val="1"/>
          <w:bCs w:val="1"/>
          <w:i w:val="1"/>
          <w:iCs w:val="1"/>
          <w:color w:val="auto"/>
        </w:rPr>
        <w:t>Even if a potential device or product ultimately is cleared or approved by the different regulatory authorities, it may be cleared or approved only for narrow indications which may render it commercially less viable.</w:t>
      </w:r>
    </w:p>
    <w:p>
      <w:pPr>
        <w:spacing w:after="0" w:line="143"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our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The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will be subject to ongoing requirements and inspections that could lead to the restriction, suspension or revocation of our clearance.</w:t>
      </w:r>
    </w:p>
    <w:p>
      <w:pPr>
        <w:spacing w:after="0" w:line="120"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We, as well as any potential third-party manufacturer, will be required to adhere to FDA quality systems,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spacing w:after="0" w:line="103"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94"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1"/>
          <w:szCs w:val="11"/>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32" w:lineRule="exact"/>
        <w:rPr>
          <w:sz w:val="20"/>
          <w:szCs w:val="20"/>
          <w:color w:val="auto"/>
        </w:rPr>
      </w:pPr>
    </w:p>
    <w:p>
      <w:pPr>
        <w:jc w:val="both"/>
        <w:ind w:firstLine="301"/>
        <w:spacing w:after="0" w:line="256" w:lineRule="auto"/>
        <w:rPr>
          <w:sz w:val="20"/>
          <w:szCs w:val="20"/>
          <w:color w:val="auto"/>
        </w:rPr>
      </w:pPr>
      <w:r>
        <w:rPr>
          <w:rFonts w:ascii="Arial" w:cs="Arial" w:eastAsia="Arial" w:hAnsi="Arial"/>
          <w:sz w:val="11"/>
          <w:szCs w:val="11"/>
          <w:color w:val="auto"/>
        </w:rPr>
        <w:t>We are exposed to the risk of fraud or other misconduct by or employees, collaborators and other personnel, which could include intentional, reckless and/or negligent conduct or disclosure of unauthorized activities to us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7" w:name="page48"/>
    <w:bookmarkEnd w:id="47"/>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spacing w:after="0" w:line="10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Healthcare policy changes, including recent federal legislation to reform the U.S. healthcare system, may have a material adverse effect on us.</w:t>
      </w:r>
    </w:p>
    <w:p>
      <w:pPr>
        <w:spacing w:after="0" w:line="120"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governments,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Owning Our Common Stock</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results of clinical trials of our planned products or those of our competitors;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actions by regulatory bodies, such as the FDA, that affect our business or have the effect of delaying or rejecting approval or clearance of our planned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actual or anticipated fluctuations in our financial condition and operating results;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by our customers, partners or suppliers relating directly or indirectly to our products, services or technologies;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of technological innovations by us or our competitors;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changes in laws or regulations applicable to our CellFX System or to our planned products;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by us or our competitors of significant acquisitions, strategic partnerships, joint ventures, capital commitments, or achievement of significant milestones;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additions or departures of key personnel;</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competition from existing products or new products that may emerge;</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fluctuations in the valuation of companies perceived by investors to be comparable to us;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disputes or other developments related to proprietary rights, including patents, litigation matters or our ability to obtain intellectual property protection for our technologies;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actual or alleged security breaches;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8" w:name="page49"/>
    <w:bookmarkEnd w:id="48"/>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announcements or expectations of additional financing efforts;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sales of our common stock by us or our stockholders;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stock price and volume fluctuations attributable to inconsistent trading volume levels of our shares;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reports, guidance and ratings issued by securities or industry analysts;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overall conditions in our industry and market including the negative impact of COVID-19 on the global economy and markets;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general economic and market conditions.</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Securities litigation against us could result in substantial costs and divert our management’s attention from other business concerns and adversely impact our ability to raise capital to fund our operations, which could seriously harm our business.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Sales or purchases of shares of our common stock may adversely affect the market for our common stock.</w:t>
      </w:r>
    </w:p>
    <w:p>
      <w:pPr>
        <w:spacing w:after="0" w:line="120"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Board 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Pulse shares have been registered for resale pursuant to an effective registration statement on Form S-3. Sales by Mr. Duggan of a substantial number of shares, or the expectation of such sales, could cause a significant reduction in the market price of our common stock.</w:t>
      </w:r>
    </w:p>
    <w:p>
      <w:pPr>
        <w:spacing w:after="0" w:line="105"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Additionally, we may issue shares of common stock or securities convertible into, exchangeable or exercisable for our common stock from time to time in connection with financings, acquisitions, investments, or otherwise. Any such issuances would result in dilution to some or all of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do not know whether an active, liquid and orderly trading market will exist for our common stock and as a result it may be difficult for you to sell your common stock.</w:t>
      </w:r>
    </w:p>
    <w:p>
      <w:pPr>
        <w:spacing w:after="0" w:line="120" w:lineRule="exact"/>
        <w:rPr>
          <w:sz w:val="20"/>
          <w:szCs w:val="20"/>
          <w:color w:val="auto"/>
        </w:rPr>
      </w:pPr>
    </w:p>
    <w:p>
      <w:pPr>
        <w:jc w:val="both"/>
        <w:ind w:firstLine="301"/>
        <w:spacing w:after="0" w:line="272" w:lineRule="auto"/>
        <w:rPr>
          <w:sz w:val="20"/>
          <w:szCs w:val="20"/>
          <w:color w:val="auto"/>
        </w:rPr>
      </w:pPr>
      <w:r>
        <w:rPr>
          <w:rFonts w:ascii="Arial" w:cs="Arial" w:eastAsia="Arial" w:hAnsi="Arial"/>
          <w:sz w:val="11"/>
          <w:szCs w:val="11"/>
          <w:color w:val="auto"/>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49" w:name="page50"/>
    <w:bookmarkEnd w:id="49"/>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 of ownership by our principal stockholder limits your ability to influence the outcome of director elections and other transactions requiring stockholder approval.</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A majority percentage of our outstanding stock is held by Robert W. Duggan, Chairman of our Board, who beneficially owns approximately 51% of our common stock outstanding as of the date of this Quarterly Report. As a result, Mr. Duggan has control over corporate actions requiring stockholder approval, including the following actions: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elect or defeat the election of our directors;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amend or prevent amendment of our certificate of incorporation or bylaws;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effect or prevent a merger, sale of assets or other corporate transaction;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to control the outcome of any other matter submitted to our stockholders for vote.</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you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spacing w:after="0" w:line="103"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spacing w:after="0" w:line="103"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spacing w:after="0" w:line="94" w:lineRule="exact"/>
        <w:rPr>
          <w:sz w:val="20"/>
          <w:szCs w:val="20"/>
          <w:color w:val="auto"/>
        </w:rPr>
      </w:pPr>
    </w:p>
    <w:p>
      <w:pPr>
        <w:jc w:val="both"/>
        <w:ind w:right="20" w:firstLine="301"/>
        <w:spacing w:after="0" w:line="255" w:lineRule="auto"/>
        <w:rPr>
          <w:sz w:val="20"/>
          <w:szCs w:val="20"/>
          <w:color w:val="auto"/>
        </w:rPr>
      </w:pPr>
      <w:r>
        <w:rPr>
          <w:rFonts w:ascii="Arial" w:cs="Arial" w:eastAsia="Arial" w:hAnsi="Arial"/>
          <w:sz w:val="12"/>
          <w:szCs w:val="12"/>
          <w:b w:val="1"/>
          <w:bCs w:val="1"/>
          <w:i w:val="1"/>
          <w:iCs w:val="1"/>
          <w:color w:val="auto"/>
        </w:rPr>
        <w:t>Robert W. Duggan’s controlling ownership position may impact our stock price and may deter or prevent efforts by other companies to acquire us, which could prevent our stockholders from realizing a control premium.</w:t>
      </w:r>
    </w:p>
    <w:p>
      <w:pPr>
        <w:spacing w:after="0" w:line="94"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Robert W. Duggan is our Board Chairman, and beneficially owns approximately 51%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Robert W. Duggan’s controlling ownership and position as Board Chairman, other companies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0"/>
          <w:szCs w:val="10"/>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43"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0" w:name="page51"/>
    <w:bookmarkEnd w:id="50"/>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03" w:lineRule="exact"/>
        <w:rPr>
          <w:sz w:val="20"/>
          <w:szCs w:val="20"/>
          <w:color w:val="auto"/>
        </w:rPr>
      </w:pPr>
    </w:p>
    <w:p>
      <w:pPr>
        <w:jc w:val="both"/>
        <w:ind w:firstLine="301"/>
        <w:spacing w:after="0" w:line="230" w:lineRule="auto"/>
        <w:rPr>
          <w:sz w:val="20"/>
          <w:szCs w:val="20"/>
          <w:color w:val="auto"/>
        </w:rPr>
      </w:pPr>
      <w:r>
        <w:rPr>
          <w:rFonts w:ascii="Arial" w:cs="Arial" w:eastAsia="Arial" w:hAnsi="Arial"/>
          <w:sz w:val="12"/>
          <w:szCs w:val="12"/>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 w:lineRule="exact"/>
        <w:rPr>
          <w:sz w:val="20"/>
          <w:szCs w:val="20"/>
          <w:color w:val="auto"/>
        </w:rPr>
      </w:pPr>
    </w:p>
    <w:p>
      <w:pPr>
        <w:jc w:val="both"/>
        <w:ind w:firstLine="301"/>
        <w:spacing w:after="0" w:line="238" w:lineRule="auto"/>
        <w:rPr>
          <w:sz w:val="20"/>
          <w:szCs w:val="20"/>
          <w:color w:val="auto"/>
        </w:rPr>
      </w:pPr>
      <w:r>
        <w:rPr>
          <w:rFonts w:ascii="Arial" w:cs="Arial" w:eastAsia="Arial" w:hAnsi="Arial"/>
          <w:sz w:val="12"/>
          <w:szCs w:val="12"/>
          <w:b w:val="1"/>
          <w:bCs w:val="1"/>
          <w:i w:val="1"/>
          <w:iCs w:val="1"/>
          <w:color w:val="auto"/>
        </w:rPr>
        <w:t>We are an “emerging growth company” under the JOBS Act as well as a “smaller reporting company”; as a result, we cannot be certain if the applicable reduced disclosure requirements will make our common stock less attractive to investors.</w:t>
      </w:r>
    </w:p>
    <w:p>
      <w:pPr>
        <w:spacing w:after="0" w:line="104" w:lineRule="exact"/>
        <w:rPr>
          <w:sz w:val="20"/>
          <w:szCs w:val="20"/>
          <w:color w:val="auto"/>
        </w:rPr>
      </w:pPr>
    </w:p>
    <w:p>
      <w:pPr>
        <w:jc w:val="both"/>
        <w:ind w:firstLine="301"/>
        <w:spacing w:after="0" w:line="233" w:lineRule="auto"/>
        <w:rPr>
          <w:sz w:val="20"/>
          <w:szCs w:val="20"/>
          <w:color w:val="auto"/>
        </w:rPr>
      </w:pPr>
      <w:r>
        <w:rPr>
          <w:rFonts w:ascii="Arial" w:cs="Arial" w:eastAsia="Arial" w:hAnsi="Arial"/>
          <w:sz w:val="12"/>
          <w:szCs w:val="12"/>
          <w:color w:val="auto"/>
        </w:rPr>
        <w:t>We are an “emerging growth company,” as defined in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also qualify as a “smaller reporting company,” as defined in the Exchange Act, and so long as we remain a smaller reporting company, we benefit from and may take advantage of scaled disclosure requirements.</w:t>
      </w:r>
    </w:p>
    <w:p>
      <w:pPr>
        <w:spacing w:after="0" w:line="105"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 We will remain an “emerging growth company” until the end of 2021.</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If securities or industry analysts do not publish research or publish inaccurate or unfavorable research about our business, our market price and trading volume could decline.</w:t>
      </w:r>
    </w:p>
    <w:p>
      <w:pPr>
        <w:spacing w:after="0" w:line="120"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spacing w:after="0" w:line="103"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have not paid dividends in the past and have no plans to pay dividends</w:t>
      </w:r>
      <w:r>
        <w:rPr>
          <w:rFonts w:ascii="Arial" w:cs="Arial" w:eastAsia="Arial" w:hAnsi="Arial"/>
          <w:sz w:val="12"/>
          <w:szCs w:val="12"/>
          <w:color w:val="auto"/>
        </w:rPr>
        <w:t>.</w:t>
      </w:r>
    </w:p>
    <w:p>
      <w:pPr>
        <w:spacing w:after="0" w:line="120" w:lineRule="exact"/>
        <w:rPr>
          <w:sz w:val="20"/>
          <w:szCs w:val="20"/>
          <w:color w:val="auto"/>
        </w:rPr>
      </w:pPr>
    </w:p>
    <w:p>
      <w:pPr>
        <w:jc w:val="both"/>
        <w:ind w:right="20" w:firstLine="301"/>
        <w:spacing w:after="0" w:line="239" w:lineRule="auto"/>
        <w:rPr>
          <w:sz w:val="20"/>
          <w:szCs w:val="20"/>
          <w:color w:val="auto"/>
        </w:rPr>
      </w:pPr>
      <w:r>
        <w:rPr>
          <w:rFonts w:ascii="Arial" w:cs="Arial" w:eastAsia="Arial" w:hAnsi="Arial"/>
          <w:sz w:val="12"/>
          <w:szCs w:val="12"/>
          <w:color w:val="auto"/>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1" w:name="page52"/>
    <w:bookmarkEnd w:id="51"/>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94" w:lineRule="exact"/>
        <w:rPr>
          <w:sz w:val="20"/>
          <w:szCs w:val="20"/>
          <w:color w:val="auto"/>
        </w:rPr>
      </w:pPr>
    </w:p>
    <w:p>
      <w:pPr>
        <w:jc w:val="both"/>
        <w:ind w:firstLine="301"/>
        <w:spacing w:after="0" w:line="239" w:lineRule="auto"/>
        <w:rPr>
          <w:sz w:val="20"/>
          <w:szCs w:val="20"/>
          <w:color w:val="auto"/>
        </w:rPr>
      </w:pPr>
      <w:r>
        <w:rPr>
          <w:rFonts w:ascii="Arial" w:cs="Arial" w:eastAsia="Arial" w:hAnsi="Arial"/>
          <w:sz w:val="12"/>
          <w:szCs w:val="12"/>
          <w:color w:val="auto"/>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spacing w:after="0" w:line="104"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authorize our board of directors to issue, without further action by the stockholders, up to 50,000,000 shares of preferred stock and up to approximately 500,000,000 shares of authorized but unissued shares of common stock;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require that any action to be taken by our stockholders be effected at a duly called annual or special meeting and not by written consent;</w:t>
      </w:r>
    </w:p>
    <w:p>
      <w:pPr>
        <w:spacing w:after="0" w:line="120"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1"/>
          <w:szCs w:val="11"/>
          <w:color w:val="auto"/>
        </w:rPr>
        <w:t>establish an advance notice procedure for stockholder approvals to be brought before an annual meeting of our stockholders, including proposed nominations of persons for election to our board of directors;</w:t>
      </w:r>
    </w:p>
    <w:p>
      <w:pPr>
        <w:spacing w:after="0" w:line="132" w:lineRule="exact"/>
        <w:rPr>
          <w:sz w:val="20"/>
          <w:szCs w:val="20"/>
          <w:color w:val="auto"/>
        </w:rPr>
      </w:pPr>
    </w:p>
    <w:p>
      <w:pPr>
        <w:ind w:left="440" w:right="20"/>
        <w:spacing w:after="0" w:line="255" w:lineRule="auto"/>
        <w:rPr>
          <w:sz w:val="20"/>
          <w:szCs w:val="20"/>
          <w:color w:val="auto"/>
        </w:rPr>
      </w:pPr>
      <w:r>
        <w:rPr>
          <w:rFonts w:ascii="Arial" w:cs="Arial" w:eastAsia="Arial" w:hAnsi="Arial"/>
          <w:sz w:val="12"/>
          <w:szCs w:val="12"/>
          <w:color w:val="auto"/>
        </w:rPr>
        <w:t>require the affirmative vote of holders of at least 66 2/3% of the voting power of all the then outstanding shares of our voting stock, voting together as a single class, to amend provisions of our certificate of incorporation or our bylaws;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2"/>
          <w:szCs w:val="12"/>
          <w:color w:val="auto"/>
        </w:rPr>
        <w:t>give our board of directors the ability to amend our bylaws by majority vote; and</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provide that vacancies on our board of directors may be filled only by a majority of directors then in office, even though less than a quorum.</w:t>
      </w:r>
    </w:p>
    <w:p>
      <w:pPr>
        <w:spacing w:after="0" w:line="120" w:lineRule="exact"/>
        <w:rPr>
          <w:sz w:val="20"/>
          <w:szCs w:val="20"/>
          <w:color w:val="auto"/>
        </w:rPr>
      </w:pPr>
    </w:p>
    <w:p>
      <w:pPr>
        <w:jc w:val="both"/>
        <w:ind w:firstLine="301"/>
        <w:spacing w:after="0" w:line="251" w:lineRule="auto"/>
        <w:rPr>
          <w:sz w:val="20"/>
          <w:szCs w:val="20"/>
          <w:color w:val="auto"/>
        </w:rPr>
      </w:pPr>
      <w:r>
        <w:rPr>
          <w:rFonts w:ascii="Arial" w:cs="Arial" w:eastAsia="Arial" w:hAnsi="Arial"/>
          <w:sz w:val="11"/>
          <w:szCs w:val="11"/>
          <w:color w:val="auto"/>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2" w:name="page53"/>
    <w:bookmarkEnd w:id="52"/>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General Risk Factors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Unfavorable global economic or political conditions could adversely affect our business, financial condition or results of operations.</w:t>
      </w:r>
    </w:p>
    <w:p>
      <w:pPr>
        <w:spacing w:after="0" w:line="120" w:lineRule="exact"/>
        <w:rPr>
          <w:sz w:val="20"/>
          <w:szCs w:val="20"/>
          <w:color w:val="auto"/>
        </w:rPr>
      </w:pPr>
    </w:p>
    <w:p>
      <w:pPr>
        <w:jc w:val="both"/>
        <w:ind w:firstLine="301"/>
        <w:spacing w:after="0" w:line="232" w:lineRule="auto"/>
        <w:rPr>
          <w:sz w:val="20"/>
          <w:szCs w:val="20"/>
          <w:color w:val="auto"/>
        </w:rPr>
      </w:pPr>
      <w:r>
        <w:rPr>
          <w:rFonts w:ascii="Arial" w:cs="Arial" w:eastAsia="Arial" w:hAnsi="Arial"/>
          <w:sz w:val="12"/>
          <w:szCs w:val="12"/>
          <w:color w:val="auto"/>
        </w:rPr>
        <w:t>Our results of operations could be adversely affected by general conditions in the global economy and in the global financial markets, including the negative impact of COVID-19 on the global economy and markets. Furthermore, the market for aesthetic medical treatments may be particularly vulnerable to unfavorable economic conditions. A global financial crisis or a global or regional political disruption could cause extreme volatility in the capital and credit markets, as has recently been the case due to COVID-19. A severe or prolonged economic downturn or political disruption could result in a variety of risks to our business, including weakened demand for our lead product, the CellFX System,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04"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b w:val="1"/>
          <w:bCs w:val="1"/>
          <w:i w:val="1"/>
          <w:iCs w:val="1"/>
          <w:color w:val="auto"/>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94" w:lineRule="exact"/>
        <w:rPr>
          <w:sz w:val="20"/>
          <w:szCs w:val="20"/>
          <w:color w:val="auto"/>
        </w:rPr>
      </w:pPr>
    </w:p>
    <w:p>
      <w:pPr>
        <w:jc w:val="both"/>
        <w:ind w:firstLine="301"/>
        <w:spacing w:after="0" w:line="252" w:lineRule="auto"/>
        <w:rPr>
          <w:sz w:val="20"/>
          <w:szCs w:val="20"/>
          <w:color w:val="auto"/>
        </w:rPr>
      </w:pPr>
      <w:r>
        <w:rPr>
          <w:rFonts w:ascii="Arial" w:cs="Arial" w:eastAsia="Arial" w:hAnsi="Arial"/>
          <w:sz w:val="11"/>
          <w:szCs w:val="11"/>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00" w:lineRule="exact"/>
        <w:rPr>
          <w:sz w:val="20"/>
          <w:szCs w:val="20"/>
          <w:color w:val="auto"/>
        </w:rPr>
      </w:pPr>
    </w:p>
    <w:p>
      <w:pPr>
        <w:jc w:val="both"/>
        <w:ind w:firstLine="301"/>
        <w:spacing w:after="0" w:line="231" w:lineRule="auto"/>
        <w:rPr>
          <w:sz w:val="20"/>
          <w:szCs w:val="20"/>
          <w:color w:val="auto"/>
        </w:rPr>
      </w:pPr>
      <w:r>
        <w:rPr>
          <w:rFonts w:ascii="Arial" w:cs="Arial" w:eastAsia="Arial" w:hAnsi="Arial"/>
          <w:sz w:val="12"/>
          <w:szCs w:val="12"/>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an “emerging growth company” as defined in the Jumpstart Our Business Startups Act (JOBS Act), which will occur at the end of 2021, or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3" w:name="page54"/>
    <w:bookmarkEnd w:id="53"/>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6"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We may become involved in litigation that may materially adversely affect us.</w:t>
      </w:r>
    </w:p>
    <w:p>
      <w:pPr>
        <w:spacing w:after="0" w:line="120" w:lineRule="exact"/>
        <w:rPr>
          <w:sz w:val="20"/>
          <w:szCs w:val="20"/>
          <w:color w:val="auto"/>
        </w:rPr>
      </w:pPr>
    </w:p>
    <w:p>
      <w:pPr>
        <w:jc w:val="both"/>
        <w:ind w:firstLine="301"/>
        <w:spacing w:after="0" w:line="258" w:lineRule="auto"/>
        <w:rPr>
          <w:sz w:val="20"/>
          <w:szCs w:val="20"/>
          <w:color w:val="auto"/>
        </w:rPr>
      </w:pPr>
      <w:r>
        <w:rPr>
          <w:rFonts w:ascii="Arial" w:cs="Arial" w:eastAsia="Arial" w:hAnsi="Arial"/>
          <w:sz w:val="11"/>
          <w:szCs w:val="11"/>
          <w:color w:val="auto"/>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95" w:lineRule="exact"/>
        <w:rPr>
          <w:sz w:val="20"/>
          <w:szCs w:val="20"/>
          <w:color w:val="auto"/>
        </w:rPr>
      </w:pPr>
    </w:p>
    <w:p>
      <w:pPr>
        <w:ind w:left="300"/>
        <w:spacing w:after="0"/>
        <w:rPr>
          <w:sz w:val="20"/>
          <w:szCs w:val="20"/>
          <w:color w:val="auto"/>
        </w:rPr>
      </w:pPr>
      <w:r>
        <w:rPr>
          <w:rFonts w:ascii="Arial" w:cs="Arial" w:eastAsia="Arial" w:hAnsi="Arial"/>
          <w:sz w:val="12"/>
          <w:szCs w:val="12"/>
          <w:b w:val="1"/>
          <w:bCs w:val="1"/>
          <w:i w:val="1"/>
          <w:iCs w:val="1"/>
          <w:color w:val="auto"/>
        </w:rPr>
        <w:t>Our business may be adversely affected by health epidemics including the coronavirus pandemic.</w:t>
      </w:r>
    </w:p>
    <w:p>
      <w:pPr>
        <w:spacing w:after="0" w:line="120" w:lineRule="exact"/>
        <w:rPr>
          <w:sz w:val="20"/>
          <w:szCs w:val="20"/>
          <w:color w:val="auto"/>
        </w:rPr>
      </w:pPr>
    </w:p>
    <w:p>
      <w:pPr>
        <w:jc w:val="both"/>
        <w:ind w:firstLine="301"/>
        <w:spacing w:after="0" w:line="255" w:lineRule="auto"/>
        <w:rPr>
          <w:sz w:val="20"/>
          <w:szCs w:val="20"/>
          <w:color w:val="auto"/>
        </w:rPr>
      </w:pPr>
      <w:r>
        <w:rPr>
          <w:rFonts w:ascii="Arial" w:cs="Arial" w:eastAsia="Arial" w:hAnsi="Arial"/>
          <w:sz w:val="12"/>
          <w:szCs w:val="12"/>
          <w:color w:val="auto"/>
        </w:rPr>
        <w:t>The COVID-19 pandemic has resulted in government authorities implementing numerous measures to try to contain the virus, such as travel bans and restrictions, quarantines, shelter-in-place or stay-at-home orders, and business shutdowns.</w:t>
      </w:r>
    </w:p>
    <w:p>
      <w:pPr>
        <w:spacing w:after="0" w:line="9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For most of 2020 and the first half of 2021, we required, in accordance with local and state guidelines regarding the COVID-19 pandemic, all of our employees to work remotely unless they could not perform their essential functions remotely. We also suspended all non-essential travel for our employees. While many of our employees are accustomed to working remotely or working with other remote employees, much of our workforce has not historically been remote. We continue to monitor the situation and may adjust our current policies as more information and public health guidance becomes available. Operational restrictions as a result of the COVD-19 pandemic, could harm our business, financial condition and results of operations.</w:t>
      </w:r>
    </w:p>
    <w:p>
      <w:pPr>
        <w:spacing w:after="0" w:line="103" w:lineRule="exact"/>
        <w:rPr>
          <w:sz w:val="20"/>
          <w:szCs w:val="20"/>
          <w:color w:val="auto"/>
        </w:rPr>
      </w:pPr>
    </w:p>
    <w:p>
      <w:pPr>
        <w:jc w:val="both"/>
        <w:ind w:firstLine="301"/>
        <w:spacing w:after="0" w:line="227" w:lineRule="auto"/>
        <w:rPr>
          <w:sz w:val="20"/>
          <w:szCs w:val="20"/>
          <w:color w:val="auto"/>
        </w:rPr>
      </w:pPr>
      <w:r>
        <w:rPr>
          <w:rFonts w:ascii="Arial" w:cs="Arial" w:eastAsia="Arial" w:hAnsi="Arial"/>
          <w:sz w:val="12"/>
          <w:szCs w:val="12"/>
          <w:color w:val="auto"/>
        </w:rPr>
        <w:t>In addition, our clinical trials may be affected by the continuing COVID-19 pandemic. Site initiation and patient enrollment may be delayed, for example, due to prioritization of hospital resources toward the COVID-19 pandemic, travel restrictions imposed by governments, and the inability to access sites for initiation and monitoring. Also, some of our suppliers of certain materials used in the production of our CellFX System are located in areas impacted by COVID-19 which could limit our ability to obtain sufficient materials. COVID-19 has and will continue to adversely affect global economies and financial markets of many countries, resulting in an economic downturn that could affect demand for our CellFX System and other product candidates, if approved, and impact our operating results. Even after the COVID-19 pandemic has subsided, we may continue to experience an adverse impact to our business as a result of the continued global economic impact of the pandemic. Although we are continuing to monitor and assess the effects of the COVID-19 pandemic on our business, the ultimate impact of the COVID-19 pandemic or a similar health epidemic is highly uncertain and subject to change.</w:t>
      </w:r>
    </w:p>
    <w:p>
      <w:pPr>
        <w:spacing w:after="0" w:line="2" w:lineRule="exact"/>
        <w:rPr>
          <w:sz w:val="20"/>
          <w:szCs w:val="20"/>
          <w:color w:val="auto"/>
        </w:rPr>
      </w:pPr>
    </w:p>
    <w:p>
      <w:pPr>
        <w:jc w:val="both"/>
        <w:ind w:right="20" w:firstLine="301"/>
        <w:spacing w:after="0" w:line="238" w:lineRule="auto"/>
        <w:rPr>
          <w:sz w:val="20"/>
          <w:szCs w:val="20"/>
          <w:color w:val="auto"/>
        </w:rPr>
      </w:pPr>
      <w:r>
        <w:rPr>
          <w:rFonts w:ascii="Arial" w:cs="Arial" w:eastAsia="Arial" w:hAnsi="Arial"/>
          <w:sz w:val="12"/>
          <w:szCs w:val="12"/>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104" w:lineRule="exact"/>
        <w:rPr>
          <w:sz w:val="20"/>
          <w:szCs w:val="20"/>
          <w:color w:val="auto"/>
        </w:rPr>
      </w:pPr>
    </w:p>
    <w:p>
      <w:pPr>
        <w:jc w:val="both"/>
        <w:ind w:firstLine="301"/>
        <w:spacing w:after="0" w:line="236" w:lineRule="auto"/>
        <w:rPr>
          <w:sz w:val="20"/>
          <w:szCs w:val="20"/>
          <w:color w:val="auto"/>
        </w:rPr>
      </w:pPr>
      <w:r>
        <w:rPr>
          <w:rFonts w:ascii="Arial" w:cs="Arial" w:eastAsia="Arial" w:hAnsi="Arial"/>
          <w:sz w:val="12"/>
          <w:szCs w:val="12"/>
          <w:color w:val="auto"/>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4" w:name="page55"/>
    <w:bookmarkEnd w:id="54"/>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43" w:lineRule="exact"/>
        <w:rPr>
          <w:sz w:val="20"/>
          <w:szCs w:val="20"/>
          <w:color w:val="auto"/>
        </w:rPr>
      </w:pPr>
    </w:p>
    <w:p>
      <w:pPr>
        <w:ind w:firstLine="301"/>
        <w:spacing w:after="0" w:line="255" w:lineRule="auto"/>
        <w:rPr>
          <w:sz w:val="20"/>
          <w:szCs w:val="20"/>
          <w:color w:val="auto"/>
        </w:rPr>
      </w:pPr>
      <w:r>
        <w:rPr>
          <w:rFonts w:ascii="Arial" w:cs="Arial" w:eastAsia="Arial" w:hAnsi="Arial"/>
          <w:sz w:val="12"/>
          <w:szCs w:val="12"/>
          <w:color w:val="auto"/>
        </w:rPr>
        <w:t>During the last fiscal quarter, we completed no unregistered sale of our securities, except for the sale of approximately three million shares of our common stock, in a private placement, as described elsewhere in this Quarterly Report and in our Form 8-K filed on July 1, 2021.</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Default Upon Senior Securities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Other Information</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None.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200" w:type="dxa"/>
            <w:vAlign w:val="bottom"/>
            <w:gridSpan w:val="3"/>
          </w:tcPr>
          <w:p>
            <w:pPr>
              <w:spacing w:after="0"/>
              <w:rPr>
                <w:sz w:val="20"/>
                <w:szCs w:val="20"/>
                <w:color w:val="auto"/>
              </w:rPr>
            </w:pPr>
            <w:r>
              <w:rPr>
                <w:rFonts w:ascii="Arial" w:cs="Arial" w:eastAsia="Arial" w:hAnsi="Arial"/>
                <w:sz w:val="9"/>
                <w:szCs w:val="9"/>
                <w:b w:val="1"/>
                <w:bCs w:val="1"/>
                <w:color w:val="auto"/>
              </w:rPr>
              <w:t>Exhibit</w:t>
            </w:r>
          </w:p>
        </w:tc>
        <w:tc>
          <w:tcPr>
            <w:tcW w:w="10100" w:type="dxa"/>
            <w:vAlign w:val="bottom"/>
            <w:gridSpan w:val="5"/>
            <w:vMerge w:val="restart"/>
          </w:tcPr>
          <w:p>
            <w:pPr>
              <w:spacing w:after="0"/>
              <w:rPr>
                <w:sz w:val="20"/>
                <w:szCs w:val="20"/>
                <w:color w:val="auto"/>
              </w:rPr>
            </w:pPr>
            <w:r>
              <w:rPr>
                <w:rFonts w:ascii="Arial" w:cs="Arial" w:eastAsia="Arial" w:hAnsi="Arial"/>
                <w:sz w:val="9"/>
                <w:szCs w:val="9"/>
                <w:b w:val="1"/>
                <w:bCs w:val="1"/>
                <w:color w:val="auto"/>
              </w:rPr>
              <w:t>Exhibit Description</w:t>
            </w:r>
          </w:p>
        </w:tc>
        <w:tc>
          <w:tcPr>
            <w:tcW w:w="0" w:type="dxa"/>
            <w:vAlign w:val="bottom"/>
          </w:tcPr>
          <w:p>
            <w:pPr>
              <w:spacing w:after="0"/>
              <w:rPr>
                <w:sz w:val="1"/>
                <w:szCs w:val="1"/>
                <w:color w:val="auto"/>
              </w:rPr>
            </w:pPr>
          </w:p>
        </w:tc>
      </w:tr>
      <w:tr>
        <w:trPr>
          <w:trHeight w:val="111"/>
        </w:trPr>
        <w:tc>
          <w:tcPr>
            <w:tcW w:w="1200" w:type="dxa"/>
            <w:vAlign w:val="bottom"/>
            <w:gridSpan w:val="3"/>
          </w:tcPr>
          <w:p>
            <w:pPr>
              <w:spacing w:after="0"/>
              <w:rPr>
                <w:sz w:val="20"/>
                <w:szCs w:val="20"/>
                <w:color w:val="auto"/>
              </w:rPr>
            </w:pPr>
            <w:r>
              <w:rPr>
                <w:rFonts w:ascii="Arial" w:cs="Arial" w:eastAsia="Arial" w:hAnsi="Arial"/>
                <w:sz w:val="9"/>
                <w:szCs w:val="9"/>
                <w:b w:val="1"/>
                <w:bCs w:val="1"/>
                <w:color w:val="auto"/>
              </w:rPr>
              <w:t>Number</w:t>
            </w:r>
          </w:p>
        </w:tc>
        <w:tc>
          <w:tcPr>
            <w:tcW w:w="101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1000" w:type="dxa"/>
            <w:vAlign w:val="bottom"/>
            <w:tcBorders>
              <w:top w:val="single" w:sz="8" w:color="auto"/>
            </w:tcBorders>
            <w:gridSpan w:val="2"/>
            <w:shd w:val="clear" w:color="auto" w:fill="CCEEFF"/>
          </w:tcPr>
          <w:p>
            <w:pPr>
              <w:spacing w:after="0" w:line="100" w:lineRule="exact"/>
              <w:rPr>
                <w:rFonts w:ascii="Arial" w:cs="Arial" w:eastAsia="Arial" w:hAnsi="Arial"/>
                <w:sz w:val="11"/>
                <w:szCs w:val="11"/>
                <w:color w:val="0563C1"/>
              </w:rPr>
            </w:pPr>
            <w:hyperlink r:id="rId103">
              <w:r>
                <w:rPr>
                  <w:rFonts w:ascii="Arial" w:cs="Arial" w:eastAsia="Arial" w:hAnsi="Arial"/>
                  <w:sz w:val="11"/>
                  <w:szCs w:val="11"/>
                  <w:color w:val="0563C1"/>
                </w:rPr>
                <w:t>10.</w:t>
              </w:r>
              <w:r>
                <w:rPr>
                  <w:rFonts w:ascii="Arial" w:cs="Arial" w:eastAsia="Arial" w:hAnsi="Arial"/>
                  <w:sz w:val="11"/>
                  <w:szCs w:val="11"/>
                  <w:u w:val="single" w:color="auto"/>
                  <w:color w:val="0563C1"/>
                </w:rPr>
                <w:t>1</w:t>
              </w:r>
            </w:hyperlink>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10100" w:type="dxa"/>
            <w:vAlign w:val="bottom"/>
            <w:tcBorders>
              <w:top w:val="single" w:sz="8" w:color="auto"/>
            </w:tcBorders>
            <w:gridSpan w:val="5"/>
            <w:shd w:val="clear" w:color="auto" w:fill="CCEEFF"/>
          </w:tcPr>
          <w:p>
            <w:pPr>
              <w:spacing w:after="0" w:line="100" w:lineRule="exact"/>
              <w:rPr>
                <w:rFonts w:ascii="Arial" w:cs="Arial" w:eastAsia="Arial" w:hAnsi="Arial"/>
                <w:sz w:val="11"/>
                <w:szCs w:val="11"/>
                <w:color w:val="0563C1"/>
              </w:rPr>
            </w:pPr>
            <w:hyperlink r:id="rId103">
              <w:r>
                <w:rPr>
                  <w:rFonts w:ascii="Arial" w:cs="Arial" w:eastAsia="Arial" w:hAnsi="Arial"/>
                  <w:sz w:val="11"/>
                  <w:szCs w:val="11"/>
                  <w:color w:val="0563C1"/>
                </w:rPr>
                <w:t>Securities Purchase Agreement, dated June 30, 2021, by and between Pulse Biosciences, Inc. and Robert W. Duggan (incorporated herein by reference to Exhibit 10.1 to the Registrant’s Current Report on</w:t>
              </w:r>
            </w:hyperlink>
          </w:p>
        </w:tc>
        <w:tc>
          <w:tcPr>
            <w:tcW w:w="0" w:type="dxa"/>
            <w:vAlign w:val="bottom"/>
          </w:tcPr>
          <w:p>
            <w:pPr>
              <w:spacing w:after="0"/>
              <w:rPr>
                <w:sz w:val="1"/>
                <w:szCs w:val="1"/>
                <w:color w:val="auto"/>
              </w:rPr>
            </w:pPr>
          </w:p>
        </w:tc>
      </w:tr>
      <w:tr>
        <w:trPr>
          <w:trHeight w:val="109"/>
        </w:trPr>
        <w:tc>
          <w:tcPr>
            <w:tcW w:w="220" w:type="dxa"/>
            <w:vAlign w:val="bottom"/>
            <w:tcBorders>
              <w:top w:val="single" w:sz="8" w:color="0563C1"/>
              <w:bottom w:val="single" w:sz="8" w:color="CCEEFF"/>
            </w:tcBorders>
            <w:shd w:val="clear" w:color="auto" w:fill="CCEEFF"/>
          </w:tcPr>
          <w:p>
            <w:pPr>
              <w:spacing w:after="0"/>
              <w:rPr>
                <w:sz w:val="9"/>
                <w:szCs w:val="9"/>
                <w:color w:val="auto"/>
              </w:rPr>
            </w:pPr>
          </w:p>
        </w:tc>
        <w:tc>
          <w:tcPr>
            <w:tcW w:w="780" w:type="dxa"/>
            <w:vAlign w:val="bottom"/>
            <w:tcBorders>
              <w:top w:val="single" w:sz="8" w:color="CCEEFF"/>
              <w:bottom w:val="single" w:sz="8" w:color="CCEEFF"/>
            </w:tcBorders>
            <w:shd w:val="clear" w:color="auto" w:fill="CCEEFF"/>
          </w:tcPr>
          <w:p>
            <w:pPr>
              <w:spacing w:after="0"/>
              <w:rPr>
                <w:sz w:val="9"/>
                <w:szCs w:val="9"/>
                <w:color w:val="auto"/>
              </w:rPr>
            </w:pPr>
          </w:p>
        </w:tc>
        <w:tc>
          <w:tcPr>
            <w:tcW w:w="20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3300" w:type="dxa"/>
            <w:vAlign w:val="bottom"/>
            <w:tcBorders>
              <w:top w:val="single" w:sz="8" w:color="0563C1"/>
              <w:bottom w:val="single" w:sz="8" w:color="0563C1"/>
            </w:tcBorders>
            <w:shd w:val="clear" w:color="auto" w:fill="CCEEFF"/>
          </w:tcPr>
          <w:p>
            <w:pPr>
              <w:spacing w:after="0" w:line="109" w:lineRule="exact"/>
              <w:rPr>
                <w:rFonts w:ascii="Arial" w:cs="Arial" w:eastAsia="Arial" w:hAnsi="Arial"/>
                <w:sz w:val="12"/>
                <w:szCs w:val="12"/>
                <w:color w:val="0563C1"/>
                <w:w w:val="94"/>
              </w:rPr>
            </w:pPr>
            <w:hyperlink r:id="rId103">
              <w:r>
                <w:rPr>
                  <w:rFonts w:ascii="Arial" w:cs="Arial" w:eastAsia="Arial" w:hAnsi="Arial"/>
                  <w:sz w:val="12"/>
                  <w:szCs w:val="12"/>
                  <w:color w:val="0563C1"/>
                  <w:w w:val="94"/>
                </w:rPr>
                <w:t>Form 8-K, Commission File No. 001-37744, filed on July 1, 2021).</w:t>
              </w:r>
            </w:hyperlink>
          </w:p>
        </w:tc>
        <w:tc>
          <w:tcPr>
            <w:tcW w:w="6740" w:type="dxa"/>
            <w:vAlign w:val="bottom"/>
            <w:tcBorders>
              <w:top w:val="single" w:sz="8" w:color="0563C1"/>
              <w:bottom w:val="single" w:sz="8" w:color="CCEEFF"/>
            </w:tcBorders>
            <w:gridSpan w:val="3"/>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20" w:type="dxa"/>
            <w:vAlign w:val="bottom"/>
          </w:tcPr>
          <w:p>
            <w:pPr>
              <w:spacing w:after="0" w:line="109" w:lineRule="exact"/>
              <w:rPr>
                <w:rFonts w:ascii="Arial" w:cs="Arial" w:eastAsia="Arial" w:hAnsi="Arial"/>
                <w:sz w:val="12"/>
                <w:szCs w:val="12"/>
                <w:color w:val="0563C1"/>
                <w:w w:val="85"/>
              </w:rPr>
            </w:pPr>
            <w:hyperlink w:anchor="page57">
              <w:r>
                <w:rPr>
                  <w:rFonts w:ascii="Arial" w:cs="Arial" w:eastAsia="Arial" w:hAnsi="Arial"/>
                  <w:sz w:val="12"/>
                  <w:szCs w:val="12"/>
                  <w:color w:val="0563C1"/>
                  <w:w w:val="85"/>
                </w:rPr>
                <w:t>31.</w:t>
              </w:r>
              <w:r>
                <w:rPr>
                  <w:rFonts w:ascii="Arial" w:cs="Arial" w:eastAsia="Arial" w:hAnsi="Arial"/>
                  <w:sz w:val="12"/>
                  <w:szCs w:val="12"/>
                  <w:u w:val="single" w:color="auto"/>
                  <w:color w:val="0563C1"/>
                  <w:w w:val="85"/>
                </w:rPr>
                <w:t>1</w:t>
              </w:r>
            </w:hyperlink>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100" w:type="dxa"/>
            <w:vAlign w:val="bottom"/>
            <w:gridSpan w:val="5"/>
          </w:tcPr>
          <w:p>
            <w:pPr>
              <w:spacing w:after="0" w:line="109" w:lineRule="exact"/>
              <w:rPr>
                <w:rFonts w:ascii="Arial" w:cs="Arial" w:eastAsia="Arial" w:hAnsi="Arial"/>
                <w:sz w:val="12"/>
                <w:szCs w:val="12"/>
                <w:color w:val="0563C1"/>
              </w:rPr>
            </w:pPr>
            <w:hyperlink w:anchor="page57">
              <w:r>
                <w:rPr>
                  <w:rFonts w:ascii="Arial" w:cs="Arial" w:eastAsia="Arial" w:hAnsi="Arial"/>
                  <w:sz w:val="12"/>
                  <w:szCs w:val="12"/>
                  <w:color w:val="0563C1"/>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109"/>
        </w:trPr>
        <w:tc>
          <w:tcPr>
            <w:tcW w:w="220" w:type="dxa"/>
            <w:vAlign w:val="bottom"/>
            <w:tcBorders>
              <w:top w:val="single" w:sz="8" w:color="0563C1"/>
            </w:tcBorders>
            <w:shd w:val="clear" w:color="auto" w:fill="CCEEFF"/>
          </w:tcPr>
          <w:p>
            <w:pPr>
              <w:spacing w:after="0" w:line="109" w:lineRule="exact"/>
              <w:rPr>
                <w:rFonts w:ascii="Arial" w:cs="Arial" w:eastAsia="Arial" w:hAnsi="Arial"/>
                <w:sz w:val="12"/>
                <w:szCs w:val="12"/>
                <w:color w:val="0563C1"/>
                <w:w w:val="85"/>
              </w:rPr>
            </w:pPr>
            <w:hyperlink w:anchor="page58">
              <w:r>
                <w:rPr>
                  <w:rFonts w:ascii="Arial" w:cs="Arial" w:eastAsia="Arial" w:hAnsi="Arial"/>
                  <w:sz w:val="12"/>
                  <w:szCs w:val="12"/>
                  <w:color w:val="0563C1"/>
                  <w:w w:val="85"/>
                </w:rPr>
                <w:t>31.</w:t>
              </w:r>
              <w:r>
                <w:rPr>
                  <w:rFonts w:ascii="Arial" w:cs="Arial" w:eastAsia="Arial" w:hAnsi="Arial"/>
                  <w:sz w:val="12"/>
                  <w:szCs w:val="12"/>
                  <w:u w:val="single" w:color="auto"/>
                  <w:color w:val="0563C1"/>
                  <w:w w:val="85"/>
                </w:rPr>
                <w:t>2</w:t>
              </w:r>
            </w:hyperlink>
          </w:p>
        </w:tc>
        <w:tc>
          <w:tcPr>
            <w:tcW w:w="780" w:type="dxa"/>
            <w:vAlign w:val="bottom"/>
            <w:shd w:val="clear" w:color="auto" w:fill="CCEEFF"/>
          </w:tcPr>
          <w:p>
            <w:pPr>
              <w:spacing w:after="0"/>
              <w:rPr>
                <w:sz w:val="9"/>
                <w:szCs w:val="9"/>
                <w:color w:val="auto"/>
              </w:rPr>
            </w:pPr>
          </w:p>
        </w:tc>
        <w:tc>
          <w:tcPr>
            <w:tcW w:w="200" w:type="dxa"/>
            <w:vAlign w:val="bottom"/>
            <w:tcBorders>
              <w:right w:val="single" w:sz="8" w:color="CCEEFF"/>
            </w:tcBorders>
            <w:shd w:val="clear" w:color="auto" w:fill="CCEEFF"/>
          </w:tcPr>
          <w:p>
            <w:pPr>
              <w:spacing w:after="0"/>
              <w:rPr>
                <w:sz w:val="9"/>
                <w:szCs w:val="9"/>
                <w:color w:val="auto"/>
              </w:rPr>
            </w:pPr>
          </w:p>
        </w:tc>
        <w:tc>
          <w:tcPr>
            <w:tcW w:w="4920" w:type="dxa"/>
            <w:vAlign w:val="bottom"/>
            <w:tcBorders>
              <w:top w:val="single" w:sz="8" w:color="0563C1"/>
              <w:right w:val="single" w:sz="8" w:color="CCEEFF"/>
            </w:tcBorders>
            <w:gridSpan w:val="2"/>
            <w:shd w:val="clear" w:color="auto" w:fill="CCEEFF"/>
          </w:tcPr>
          <w:p>
            <w:pPr>
              <w:spacing w:after="0" w:line="109" w:lineRule="exact"/>
              <w:rPr>
                <w:rFonts w:ascii="Arial" w:cs="Arial" w:eastAsia="Arial" w:hAnsi="Arial"/>
                <w:sz w:val="12"/>
                <w:szCs w:val="12"/>
                <w:color w:val="0563C1"/>
                <w:w w:val="94"/>
              </w:rPr>
            </w:pPr>
            <w:hyperlink w:anchor="page58">
              <w:r>
                <w:rPr>
                  <w:rFonts w:ascii="Arial" w:cs="Arial" w:eastAsia="Arial" w:hAnsi="Arial"/>
                  <w:sz w:val="12"/>
                  <w:szCs w:val="12"/>
                  <w:color w:val="0563C1"/>
                  <w:w w:val="94"/>
                </w:rPr>
                <w:t>Certification of Chief Financial Officer pursuant to Section 302 of the Sarbanes-Oxley Act of 2002.</w:t>
              </w:r>
            </w:hyperlink>
          </w:p>
        </w:tc>
        <w:tc>
          <w:tcPr>
            <w:tcW w:w="5180" w:type="dxa"/>
            <w:vAlign w:val="bottom"/>
            <w:gridSpan w:val="3"/>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563C1"/>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3300" w:type="dxa"/>
            <w:vAlign w:val="bottom"/>
            <w:shd w:val="clear" w:color="auto" w:fill="0563C1"/>
          </w:tcPr>
          <w:p>
            <w:pPr>
              <w:spacing w:after="0" w:line="20" w:lineRule="exact"/>
              <w:rPr>
                <w:sz w:val="1"/>
                <w:szCs w:val="1"/>
                <w:color w:val="auto"/>
              </w:rPr>
            </w:pPr>
          </w:p>
        </w:tc>
        <w:tc>
          <w:tcPr>
            <w:tcW w:w="1620" w:type="dxa"/>
            <w:vAlign w:val="bottom"/>
            <w:tcBorders>
              <w:right w:val="single" w:sz="8" w:color="CCEEFF"/>
            </w:tcBorders>
            <w:shd w:val="clear" w:color="auto" w:fill="0563C1"/>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000" w:type="dxa"/>
            <w:vAlign w:val="bottom"/>
            <w:gridSpan w:val="2"/>
          </w:tcPr>
          <w:p>
            <w:pPr>
              <w:spacing w:after="0" w:line="109" w:lineRule="exact"/>
              <w:rPr>
                <w:rFonts w:ascii="Arial" w:cs="Arial" w:eastAsia="Arial" w:hAnsi="Arial"/>
                <w:sz w:val="12"/>
                <w:szCs w:val="12"/>
                <w:color w:val="0563C1"/>
              </w:rPr>
            </w:pPr>
            <w:hyperlink w:anchor="page59">
              <w:r>
                <w:rPr>
                  <w:rFonts w:ascii="Arial" w:cs="Arial" w:eastAsia="Arial" w:hAnsi="Arial"/>
                  <w:sz w:val="12"/>
                  <w:szCs w:val="12"/>
                  <w:color w:val="0563C1"/>
                </w:rPr>
                <w:t>32.</w:t>
              </w:r>
              <w:r>
                <w:rPr>
                  <w:rFonts w:ascii="Arial" w:cs="Arial" w:eastAsia="Arial" w:hAnsi="Arial"/>
                  <w:sz w:val="12"/>
                  <w:szCs w:val="12"/>
                  <w:u w:val="single" w:color="auto"/>
                  <w:color w:val="0563C1"/>
                </w:rPr>
                <w:t>1</w:t>
              </w:r>
            </w:hyperlink>
            <w:r>
              <w:rPr>
                <w:rFonts w:ascii="Arial" w:cs="Arial" w:eastAsia="Arial" w:hAnsi="Arial"/>
                <w:sz w:val="12"/>
                <w:szCs w:val="12"/>
                <w:color w:val="000000"/>
              </w:rPr>
              <w:t>*</w:t>
            </w:r>
          </w:p>
        </w:tc>
        <w:tc>
          <w:tcPr>
            <w:tcW w:w="200" w:type="dxa"/>
            <w:vAlign w:val="bottom"/>
          </w:tcPr>
          <w:p>
            <w:pPr>
              <w:spacing w:after="0"/>
              <w:rPr>
                <w:sz w:val="9"/>
                <w:szCs w:val="9"/>
                <w:color w:val="auto"/>
              </w:rPr>
            </w:pPr>
          </w:p>
        </w:tc>
        <w:tc>
          <w:tcPr>
            <w:tcW w:w="10100" w:type="dxa"/>
            <w:vAlign w:val="bottom"/>
            <w:gridSpan w:val="5"/>
          </w:tcPr>
          <w:p>
            <w:pPr>
              <w:spacing w:after="0" w:line="109" w:lineRule="exact"/>
              <w:rPr>
                <w:rFonts w:ascii="Arial" w:cs="Arial" w:eastAsia="Arial" w:hAnsi="Arial"/>
                <w:sz w:val="12"/>
                <w:szCs w:val="12"/>
                <w:color w:val="0563C1"/>
              </w:rPr>
            </w:pPr>
            <w:hyperlink w:anchor="page59">
              <w:r>
                <w:rPr>
                  <w:rFonts w:ascii="Arial" w:cs="Arial" w:eastAsia="Arial" w:hAnsi="Arial"/>
                  <w:sz w:val="12"/>
                  <w:szCs w:val="12"/>
                  <w:color w:val="0563C1"/>
                </w:rPr>
                <w:t>Certification of the Chief Executive and Chief Financial Officers pursuant to Section 906 of the Sarbanes-Oxley Act of 2002 (18 U.S.C. Section 1350).</w:t>
              </w:r>
            </w:hyperlink>
          </w:p>
        </w:tc>
        <w:tc>
          <w:tcPr>
            <w:tcW w:w="0" w:type="dxa"/>
            <w:vAlign w:val="bottom"/>
          </w:tcPr>
          <w:p>
            <w:pPr>
              <w:spacing w:after="0"/>
              <w:rPr>
                <w:sz w:val="1"/>
                <w:szCs w:val="1"/>
                <w:color w:val="auto"/>
              </w:rPr>
            </w:pPr>
          </w:p>
        </w:tc>
      </w:tr>
      <w:tr>
        <w:trPr>
          <w:trHeight w:val="20"/>
        </w:trPr>
        <w:tc>
          <w:tcPr>
            <w:tcW w:w="22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00" w:type="dxa"/>
            <w:vAlign w:val="bottom"/>
            <w:shd w:val="clear" w:color="auto" w:fill="0563C1"/>
          </w:tcPr>
          <w:p>
            <w:pPr>
              <w:spacing w:after="0" w:line="20" w:lineRule="exact"/>
              <w:rPr>
                <w:sz w:val="1"/>
                <w:szCs w:val="1"/>
                <w:color w:val="auto"/>
              </w:rPr>
            </w:pPr>
          </w:p>
        </w:tc>
        <w:tc>
          <w:tcPr>
            <w:tcW w:w="1620" w:type="dxa"/>
            <w:vAlign w:val="bottom"/>
            <w:tcBorders>
              <w:right w:val="single" w:sz="8" w:color="0563C1"/>
            </w:tcBorders>
            <w:shd w:val="clear" w:color="auto" w:fill="0563C1"/>
          </w:tcPr>
          <w:p>
            <w:pPr>
              <w:spacing w:after="0" w:line="20" w:lineRule="exact"/>
              <w:rPr>
                <w:sz w:val="1"/>
                <w:szCs w:val="1"/>
                <w:color w:val="auto"/>
              </w:rPr>
            </w:pPr>
          </w:p>
        </w:tc>
        <w:tc>
          <w:tcPr>
            <w:tcW w:w="2500" w:type="dxa"/>
            <w:vAlign w:val="bottom"/>
            <w:shd w:val="clear" w:color="auto" w:fill="0563C1"/>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200" w:type="dxa"/>
            <w:vAlign w:val="bottom"/>
            <w:tcBorders>
              <w:right w:val="single" w:sz="8" w:color="CCEEFF"/>
            </w:tcBorders>
            <w:gridSpan w:val="3"/>
            <w:shd w:val="clear" w:color="auto" w:fill="CCEEFF"/>
          </w:tcPr>
          <w:p>
            <w:pPr>
              <w:spacing w:after="0" w:line="128" w:lineRule="exact"/>
              <w:rPr>
                <w:sz w:val="20"/>
                <w:szCs w:val="20"/>
                <w:color w:val="auto"/>
              </w:rPr>
            </w:pPr>
            <w:r>
              <w:rPr>
                <w:rFonts w:ascii="Arial" w:cs="Arial" w:eastAsia="Arial" w:hAnsi="Arial"/>
                <w:sz w:val="12"/>
                <w:szCs w:val="12"/>
                <w:color w:val="auto"/>
              </w:rPr>
              <w:t>101.INS</w:t>
            </w:r>
          </w:p>
        </w:tc>
        <w:tc>
          <w:tcPr>
            <w:tcW w:w="10100" w:type="dxa"/>
            <w:vAlign w:val="bottom"/>
            <w:gridSpan w:val="5"/>
            <w:shd w:val="clear" w:color="auto" w:fill="CCEEFF"/>
          </w:tcPr>
          <w:p>
            <w:pPr>
              <w:spacing w:after="0" w:line="128" w:lineRule="exact"/>
              <w:rPr>
                <w:sz w:val="20"/>
                <w:szCs w:val="20"/>
                <w:color w:val="auto"/>
              </w:rPr>
            </w:pPr>
            <w:r>
              <w:rPr>
                <w:rFonts w:ascii="Arial" w:cs="Arial" w:eastAsia="Arial" w:hAnsi="Arial"/>
                <w:sz w:val="12"/>
                <w:szCs w:val="12"/>
                <w:color w:val="auto"/>
              </w:rPr>
              <w:t>XBRL Instance Document</w:t>
            </w:r>
          </w:p>
        </w:tc>
        <w:tc>
          <w:tcPr>
            <w:tcW w:w="0" w:type="dxa"/>
            <w:vAlign w:val="bottom"/>
          </w:tcPr>
          <w:p>
            <w:pPr>
              <w:spacing w:after="0"/>
              <w:rPr>
                <w:sz w:val="1"/>
                <w:szCs w:val="1"/>
                <w:color w:val="auto"/>
              </w:rPr>
            </w:pPr>
          </w:p>
        </w:tc>
      </w:tr>
      <w:tr>
        <w:trPr>
          <w:trHeight w:val="129"/>
        </w:trPr>
        <w:tc>
          <w:tcPr>
            <w:tcW w:w="1200" w:type="dxa"/>
            <w:vAlign w:val="bottom"/>
            <w:gridSpan w:val="3"/>
          </w:tcPr>
          <w:p>
            <w:pPr>
              <w:spacing w:after="0" w:line="129" w:lineRule="exact"/>
              <w:rPr>
                <w:sz w:val="20"/>
                <w:szCs w:val="20"/>
                <w:color w:val="auto"/>
              </w:rPr>
            </w:pPr>
            <w:r>
              <w:rPr>
                <w:rFonts w:ascii="Arial" w:cs="Arial" w:eastAsia="Arial" w:hAnsi="Arial"/>
                <w:sz w:val="12"/>
                <w:szCs w:val="12"/>
                <w:color w:val="auto"/>
              </w:rPr>
              <w:t>101.SCH</w:t>
            </w:r>
          </w:p>
        </w:tc>
        <w:tc>
          <w:tcPr>
            <w:tcW w:w="10100" w:type="dxa"/>
            <w:vAlign w:val="bottom"/>
            <w:gridSpan w:val="5"/>
          </w:tcPr>
          <w:p>
            <w:pPr>
              <w:spacing w:after="0" w:line="129" w:lineRule="exact"/>
              <w:rPr>
                <w:sz w:val="20"/>
                <w:szCs w:val="20"/>
                <w:color w:val="auto"/>
              </w:rPr>
            </w:pPr>
            <w:r>
              <w:rPr>
                <w:rFonts w:ascii="Arial" w:cs="Arial" w:eastAsia="Arial" w:hAnsi="Arial"/>
                <w:sz w:val="12"/>
                <w:szCs w:val="12"/>
                <w:color w:val="auto"/>
              </w:rPr>
              <w:t>XBRL Taxonomy Extension Schema Document</w:t>
            </w:r>
          </w:p>
        </w:tc>
        <w:tc>
          <w:tcPr>
            <w:tcW w:w="0" w:type="dxa"/>
            <w:vAlign w:val="bottom"/>
          </w:tcPr>
          <w:p>
            <w:pPr>
              <w:spacing w:after="0"/>
              <w:rPr>
                <w:sz w:val="1"/>
                <w:szCs w:val="1"/>
                <w:color w:val="auto"/>
              </w:rPr>
            </w:pPr>
          </w:p>
        </w:tc>
      </w:tr>
      <w:tr>
        <w:trPr>
          <w:trHeight w:val="129"/>
        </w:trPr>
        <w:tc>
          <w:tcPr>
            <w:tcW w:w="1200" w:type="dxa"/>
            <w:vAlign w:val="bottom"/>
            <w:tcBorders>
              <w:right w:val="single" w:sz="8" w:color="CCEEFF"/>
            </w:tcBorders>
            <w:gridSpan w:val="3"/>
            <w:shd w:val="clear" w:color="auto" w:fill="CCEEFF"/>
          </w:tcPr>
          <w:p>
            <w:pPr>
              <w:spacing w:after="0" w:line="129" w:lineRule="exact"/>
              <w:rPr>
                <w:sz w:val="20"/>
                <w:szCs w:val="20"/>
                <w:color w:val="auto"/>
              </w:rPr>
            </w:pPr>
            <w:r>
              <w:rPr>
                <w:rFonts w:ascii="Arial" w:cs="Arial" w:eastAsia="Arial" w:hAnsi="Arial"/>
                <w:sz w:val="12"/>
                <w:szCs w:val="12"/>
                <w:color w:val="auto"/>
              </w:rPr>
              <w:t>101.CAL</w:t>
            </w:r>
          </w:p>
        </w:tc>
        <w:tc>
          <w:tcPr>
            <w:tcW w:w="10100" w:type="dxa"/>
            <w:vAlign w:val="bottom"/>
            <w:gridSpan w:val="5"/>
            <w:shd w:val="clear" w:color="auto" w:fill="CCEEFF"/>
          </w:tcPr>
          <w:p>
            <w:pPr>
              <w:spacing w:after="0" w:line="129" w:lineRule="exact"/>
              <w:rPr>
                <w:sz w:val="20"/>
                <w:szCs w:val="20"/>
                <w:color w:val="auto"/>
              </w:rPr>
            </w:pPr>
            <w:r>
              <w:rPr>
                <w:rFonts w:ascii="Arial" w:cs="Arial" w:eastAsia="Arial" w:hAnsi="Arial"/>
                <w:sz w:val="12"/>
                <w:szCs w:val="12"/>
                <w:color w:val="auto"/>
              </w:rPr>
              <w:t>XBRL Taxonomy Extension Calculation Linkbase Document</w:t>
            </w:r>
          </w:p>
        </w:tc>
        <w:tc>
          <w:tcPr>
            <w:tcW w:w="0" w:type="dxa"/>
            <w:vAlign w:val="bottom"/>
          </w:tcPr>
          <w:p>
            <w:pPr>
              <w:spacing w:after="0"/>
              <w:rPr>
                <w:sz w:val="1"/>
                <w:szCs w:val="1"/>
                <w:color w:val="auto"/>
              </w:rPr>
            </w:pPr>
          </w:p>
        </w:tc>
      </w:tr>
      <w:tr>
        <w:trPr>
          <w:trHeight w:val="129"/>
        </w:trPr>
        <w:tc>
          <w:tcPr>
            <w:tcW w:w="1200" w:type="dxa"/>
            <w:vAlign w:val="bottom"/>
            <w:gridSpan w:val="3"/>
          </w:tcPr>
          <w:p>
            <w:pPr>
              <w:spacing w:after="0" w:line="129" w:lineRule="exact"/>
              <w:rPr>
                <w:sz w:val="20"/>
                <w:szCs w:val="20"/>
                <w:color w:val="auto"/>
              </w:rPr>
            </w:pPr>
            <w:r>
              <w:rPr>
                <w:rFonts w:ascii="Arial" w:cs="Arial" w:eastAsia="Arial" w:hAnsi="Arial"/>
                <w:sz w:val="12"/>
                <w:szCs w:val="12"/>
                <w:color w:val="auto"/>
              </w:rPr>
              <w:t>101.DEF</w:t>
            </w:r>
          </w:p>
        </w:tc>
        <w:tc>
          <w:tcPr>
            <w:tcW w:w="10100" w:type="dxa"/>
            <w:vAlign w:val="bottom"/>
            <w:gridSpan w:val="5"/>
          </w:tcPr>
          <w:p>
            <w:pPr>
              <w:spacing w:after="0" w:line="129" w:lineRule="exact"/>
              <w:rPr>
                <w:sz w:val="20"/>
                <w:szCs w:val="20"/>
                <w:color w:val="auto"/>
              </w:rPr>
            </w:pPr>
            <w:r>
              <w:rPr>
                <w:rFonts w:ascii="Arial" w:cs="Arial" w:eastAsia="Arial" w:hAnsi="Arial"/>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29"/>
        </w:trPr>
        <w:tc>
          <w:tcPr>
            <w:tcW w:w="1200" w:type="dxa"/>
            <w:vAlign w:val="bottom"/>
            <w:tcBorders>
              <w:right w:val="single" w:sz="8" w:color="CCEEFF"/>
            </w:tcBorders>
            <w:gridSpan w:val="3"/>
            <w:shd w:val="clear" w:color="auto" w:fill="CCEEFF"/>
          </w:tcPr>
          <w:p>
            <w:pPr>
              <w:spacing w:after="0" w:line="129" w:lineRule="exact"/>
              <w:rPr>
                <w:sz w:val="20"/>
                <w:szCs w:val="20"/>
                <w:color w:val="auto"/>
              </w:rPr>
            </w:pPr>
            <w:r>
              <w:rPr>
                <w:rFonts w:ascii="Arial" w:cs="Arial" w:eastAsia="Arial" w:hAnsi="Arial"/>
                <w:sz w:val="12"/>
                <w:szCs w:val="12"/>
                <w:color w:val="auto"/>
              </w:rPr>
              <w:t>101.LAB</w:t>
            </w:r>
          </w:p>
        </w:tc>
        <w:tc>
          <w:tcPr>
            <w:tcW w:w="10100" w:type="dxa"/>
            <w:vAlign w:val="bottom"/>
            <w:gridSpan w:val="5"/>
            <w:shd w:val="clear" w:color="auto" w:fill="CCEEFF"/>
          </w:tcPr>
          <w:p>
            <w:pPr>
              <w:spacing w:after="0" w:line="129" w:lineRule="exact"/>
              <w:rPr>
                <w:sz w:val="20"/>
                <w:szCs w:val="20"/>
                <w:color w:val="auto"/>
              </w:rPr>
            </w:pPr>
            <w:r>
              <w:rPr>
                <w:rFonts w:ascii="Arial" w:cs="Arial" w:eastAsia="Arial" w:hAnsi="Arial"/>
                <w:sz w:val="12"/>
                <w:szCs w:val="12"/>
                <w:color w:val="auto"/>
              </w:rPr>
              <w:t>XBRL Taxonomy Extension Label Linkbase Document</w:t>
            </w:r>
          </w:p>
        </w:tc>
        <w:tc>
          <w:tcPr>
            <w:tcW w:w="0" w:type="dxa"/>
            <w:vAlign w:val="bottom"/>
          </w:tcPr>
          <w:p>
            <w:pPr>
              <w:spacing w:after="0"/>
              <w:rPr>
                <w:sz w:val="1"/>
                <w:szCs w:val="1"/>
                <w:color w:val="auto"/>
              </w:rPr>
            </w:pPr>
          </w:p>
        </w:tc>
      </w:tr>
      <w:tr>
        <w:trPr>
          <w:trHeight w:val="121"/>
        </w:trPr>
        <w:tc>
          <w:tcPr>
            <w:tcW w:w="1200" w:type="dxa"/>
            <w:vAlign w:val="bottom"/>
            <w:gridSpan w:val="3"/>
          </w:tcPr>
          <w:p>
            <w:pPr>
              <w:spacing w:after="0" w:line="121" w:lineRule="exact"/>
              <w:rPr>
                <w:sz w:val="20"/>
                <w:szCs w:val="20"/>
                <w:color w:val="auto"/>
              </w:rPr>
            </w:pPr>
            <w:r>
              <w:rPr>
                <w:rFonts w:ascii="Arial" w:cs="Arial" w:eastAsia="Arial" w:hAnsi="Arial"/>
                <w:sz w:val="12"/>
                <w:szCs w:val="12"/>
                <w:color w:val="auto"/>
              </w:rPr>
              <w:t>101.PRE</w:t>
            </w:r>
          </w:p>
        </w:tc>
        <w:tc>
          <w:tcPr>
            <w:tcW w:w="10100" w:type="dxa"/>
            <w:vAlign w:val="bottom"/>
            <w:gridSpan w:val="5"/>
          </w:tcPr>
          <w:p>
            <w:pPr>
              <w:spacing w:after="0" w:line="121" w:lineRule="exact"/>
              <w:rPr>
                <w:sz w:val="20"/>
                <w:szCs w:val="20"/>
                <w:color w:val="auto"/>
              </w:rPr>
            </w:pPr>
            <w:r>
              <w:rPr>
                <w:rFonts w:ascii="Arial" w:cs="Arial" w:eastAsia="Arial" w:hAnsi="Arial"/>
                <w:sz w:val="12"/>
                <w:szCs w:val="12"/>
                <w:color w:val="auto"/>
              </w:rPr>
              <w:t>XBRL Taxonomy Extension Presentation Linkbase Document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2"/>
          <w:szCs w:val="12"/>
          <w:color w:val="auto"/>
        </w:rPr>
        <w:t>104</w:t>
      </w:r>
      <w:r>
        <w:rPr>
          <w:rFonts w:ascii="Arial" w:cs="Arial" w:eastAsia="Arial" w:hAnsi="Arial"/>
          <w:sz w:val="11"/>
          <w:szCs w:val="11"/>
          <w:color w:val="auto"/>
        </w:rPr>
        <w:t>Cover Page Interactive Data File (formatted as Inline XBRL and contained in Exhibit 101)</w:t>
      </w:r>
    </w:p>
    <w:p>
      <w:pPr>
        <w:spacing w:after="0" w:line="110" w:lineRule="exact"/>
        <w:rPr>
          <w:sz w:val="20"/>
          <w:szCs w:val="20"/>
          <w:color w:val="auto"/>
        </w:rPr>
      </w:pPr>
    </w:p>
    <w:p>
      <w:pPr>
        <w:ind w:right="100"/>
        <w:spacing w:after="0" w:line="239" w:lineRule="auto"/>
        <w:rPr>
          <w:sz w:val="20"/>
          <w:szCs w:val="20"/>
          <w:color w:val="auto"/>
        </w:rPr>
      </w:pPr>
      <w:r>
        <w:rPr>
          <w:rFonts w:ascii="Arial" w:cs="Arial" w:eastAsia="Arial" w:hAnsi="Arial"/>
          <w:sz w:val="12"/>
          <w:szCs w:val="12"/>
          <w:color w:val="auto"/>
        </w:rPr>
        <w:t>* 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175500" cy="819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5500" cy="81915"/>
                    </a:xfrm>
                    <a:prstGeom prst="rect">
                      <a:avLst/>
                    </a:prstGeom>
                    <a:noFill/>
                  </pic:spPr>
                </pic:pic>
              </a:graphicData>
            </a:graphic>
          </wp:anchor>
        </w:drawing>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133985</wp:posOffset>
            </wp:positionV>
            <wp:extent cx="720090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00900" cy="36830"/>
                    </a:xfrm>
                    <a:prstGeom prst="rect">
                      <a:avLst/>
                    </a:prstGeom>
                    <a:noFill/>
                  </pic:spPr>
                </pic:pic>
              </a:graphicData>
            </a:graphic>
          </wp:anchor>
        </w:drawing>
      </w:r>
    </w:p>
    <w:p>
      <w:pPr>
        <w:sectPr>
          <w:pgSz w:w="11900" w:h="16838" w:orient="portrait"/>
          <w:cols w:equalWidth="0" w:num="1">
            <w:col w:w="11300"/>
          </w:cols>
          <w:pgMar w:left="300" w:top="118" w:right="299" w:bottom="1440" w:gutter="0" w:footer="0" w:header="0"/>
        </w:sectPr>
      </w:pPr>
    </w:p>
    <w:bookmarkStart w:id="55" w:name="page56"/>
    <w:bookmarkEnd w:id="55"/>
    <w:p>
      <w:pPr>
        <w:spacing w:after="0"/>
        <w:rPr>
          <w:rFonts w:ascii="Arial" w:cs="Arial" w:eastAsia="Arial" w:hAnsi="Arial"/>
          <w:sz w:val="12"/>
          <w:szCs w:val="12"/>
          <w:b w:val="1"/>
          <w:bCs w:val="1"/>
          <w:u w:val="single" w:color="auto"/>
          <w:color w:val="0563C1"/>
        </w:rPr>
      </w:pPr>
      <w:hyperlink w:anchor="page2">
        <w:r>
          <w:rPr>
            <w:rFonts w:ascii="Arial" w:cs="Arial" w:eastAsia="Arial" w:hAnsi="Arial"/>
            <w:sz w:val="12"/>
            <w:szCs w:val="12"/>
            <w:b w:val="1"/>
            <w:bCs w:val="1"/>
            <w:u w:val="single" w:color="auto"/>
            <w:color w:val="0563C1"/>
          </w:rPr>
          <w:t>Table of Contents</w:t>
        </w:r>
      </w:hyperlink>
    </w:p>
    <w:p>
      <w:pPr>
        <w:spacing w:after="0" w:line="222"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Signatures</w:t>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2"/>
          <w:szCs w:val="12"/>
          <w:color w:val="auto"/>
        </w:rPr>
        <w:t>Pursuant to the requirements of the Securities Act of 1934, the registrant has duly caused this report to be signed on its behalf by the undersigned thereunto duly authorized.</w:t>
      </w:r>
    </w:p>
    <w:p>
      <w:pPr>
        <w:spacing w:after="0" w:line="255" w:lineRule="exact"/>
        <w:rPr>
          <w:sz w:val="20"/>
          <w:szCs w:val="20"/>
          <w:color w:val="auto"/>
        </w:rPr>
      </w:pPr>
    </w:p>
    <w:p>
      <w:pPr>
        <w:ind w:left="5760"/>
        <w:spacing w:after="0"/>
        <w:rPr>
          <w:sz w:val="20"/>
          <w:szCs w:val="20"/>
          <w:color w:val="auto"/>
        </w:rPr>
      </w:pPr>
      <w:r>
        <w:rPr>
          <w:rFonts w:ascii="Arial" w:cs="Arial" w:eastAsia="Arial" w:hAnsi="Arial"/>
          <w:sz w:val="12"/>
          <w:szCs w:val="12"/>
          <w:b w:val="1"/>
          <w:bCs w:val="1"/>
          <w:color w:val="auto"/>
        </w:rPr>
        <w:t>PULSE BIOSCIENCES, INC.</w:t>
      </w:r>
    </w:p>
    <w:p>
      <w:pPr>
        <w:spacing w:after="0" w:line="124" w:lineRule="exact"/>
        <w:rPr>
          <w:sz w:val="20"/>
          <w:szCs w:val="20"/>
          <w:color w:val="auto"/>
        </w:rPr>
      </w:pPr>
    </w:p>
    <w:p>
      <w:pPr>
        <w:spacing w:after="0"/>
        <w:tabs>
          <w:tab w:leader="none" w:pos="5740" w:val="left"/>
          <w:tab w:leader="none" w:pos="6240" w:val="left"/>
        </w:tabs>
        <w:rPr>
          <w:sz w:val="20"/>
          <w:szCs w:val="20"/>
          <w:color w:val="auto"/>
        </w:rPr>
      </w:pPr>
      <w:r>
        <w:rPr>
          <w:rFonts w:ascii="Arial" w:cs="Arial" w:eastAsia="Arial" w:hAnsi="Arial"/>
          <w:sz w:val="12"/>
          <w:szCs w:val="12"/>
          <w:color w:val="auto"/>
        </w:rPr>
        <w:t>Date: August 9,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3979545</wp:posOffset>
            </wp:positionH>
            <wp:positionV relativeFrom="paragraph">
              <wp:posOffset>5715</wp:posOffset>
            </wp:positionV>
            <wp:extent cx="288226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2882265" cy="5715"/>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1"/>
          <w:szCs w:val="11"/>
          <w:b w:val="1"/>
          <w:bCs w:val="1"/>
          <w:color w:val="auto"/>
        </w:rPr>
        <w:t>Sandra A. Gardiner</w:t>
      </w:r>
    </w:p>
    <w:p>
      <w:pPr>
        <w:ind w:left="6260"/>
        <w:spacing w:after="0" w:line="231" w:lineRule="auto"/>
        <w:rPr>
          <w:sz w:val="20"/>
          <w:szCs w:val="20"/>
          <w:color w:val="auto"/>
        </w:rPr>
      </w:pPr>
      <w:r>
        <w:rPr>
          <w:rFonts w:ascii="Arial" w:cs="Arial" w:eastAsia="Arial" w:hAnsi="Arial"/>
          <w:sz w:val="10"/>
          <w:szCs w:val="10"/>
          <w:b w:val="1"/>
          <w:bCs w:val="1"/>
          <w:color w:val="auto"/>
        </w:rPr>
        <w:t>Chief Financial Officer, Executive Vice President of Finance and Administration, Secretary and</w:t>
      </w:r>
    </w:p>
    <w:p>
      <w:pPr>
        <w:ind w:left="6260"/>
        <w:spacing w:after="0" w:line="210" w:lineRule="auto"/>
        <w:rPr>
          <w:sz w:val="20"/>
          <w:szCs w:val="20"/>
          <w:color w:val="auto"/>
        </w:rPr>
      </w:pPr>
      <w:r>
        <w:rPr>
          <w:rFonts w:ascii="Arial" w:cs="Arial" w:eastAsia="Arial" w:hAnsi="Arial"/>
          <w:sz w:val="11"/>
          <w:szCs w:val="11"/>
          <w:b w:val="1"/>
          <w:bCs w:val="1"/>
          <w:color w:val="auto"/>
        </w:rPr>
        <w:t>Treasurer</w:t>
      </w:r>
    </w:p>
    <w:p>
      <w:pPr>
        <w:ind w:left="6260"/>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b w:val="1"/>
          <w:bCs w:val="1"/>
          <w:i w:val="1"/>
          <w:iCs w:val="1"/>
          <w:color w:val="auto"/>
        </w:rPr>
        <w:t>Principal Financial and Accounting Officer</w:t>
      </w:r>
      <w:r>
        <w:rPr>
          <w:rFonts w:ascii="Arial" w:cs="Arial" w:eastAsia="Arial" w:hAnsi="Arial"/>
          <w:sz w:val="11"/>
          <w:szCs w:val="11"/>
          <w:b w:val="1"/>
          <w:bCs w:val="1"/>
          <w:color w:val="auto"/>
        </w:rPr>
        <w:t>)</w:t>
      </w:r>
    </w:p>
    <w:p>
      <w:pPr>
        <w:spacing w:after="0" w:line="231" w:lineRule="exact"/>
        <w:rPr>
          <w:sz w:val="20"/>
          <w:szCs w:val="20"/>
          <w:color w:val="auto"/>
        </w:rPr>
      </w:pPr>
    </w:p>
    <w:p>
      <w:pPr>
        <w:jc w:val="center"/>
        <w:ind w:right="-519"/>
        <w:spacing w:after="0"/>
        <w:rPr>
          <w:sz w:val="20"/>
          <w:szCs w:val="20"/>
          <w:color w:val="auto"/>
        </w:rPr>
      </w:pPr>
      <w:r>
        <w:rPr>
          <w:rFonts w:ascii="Arial" w:cs="Arial" w:eastAsia="Arial" w:hAnsi="Arial"/>
          <w:sz w:val="12"/>
          <w:szCs w:val="12"/>
          <w:color w:val="auto"/>
        </w:rPr>
        <w:t>56</w:t>
      </w:r>
    </w:p>
    <w:p>
      <w:pPr>
        <w:sectPr>
          <w:pgSz w:w="11900" w:h="16838" w:orient="portrait"/>
          <w:cols w:equalWidth="0" w:num="1">
            <w:col w:w="10780"/>
          </w:cols>
          <w:pgMar w:left="300" w:top="118" w:right="819" w:bottom="1440" w:gutter="0" w:footer="0" w:header="0"/>
        </w:sectPr>
      </w:pPr>
    </w:p>
    <w:bookmarkStart w:id="56" w:name="page57"/>
    <w:bookmarkEnd w:id="56"/>
    <w:p>
      <w:pPr>
        <w:jc w:val="right"/>
        <w:spacing w:after="0"/>
        <w:rPr>
          <w:sz w:val="20"/>
          <w:szCs w:val="20"/>
          <w:color w:val="auto"/>
        </w:rPr>
      </w:pPr>
      <w:r>
        <w:rPr>
          <w:rFonts w:ascii="Arial" w:cs="Arial" w:eastAsia="Arial" w:hAnsi="Arial"/>
          <w:sz w:val="12"/>
          <w:szCs w:val="12"/>
          <w:b w:val="1"/>
          <w:bCs w:val="1"/>
          <w:color w:val="auto"/>
        </w:rPr>
        <w:t>Exhibit 31.1</w:t>
      </w:r>
    </w:p>
    <w:p>
      <w:pPr>
        <w:spacing w:after="0" w:line="93" w:lineRule="exact"/>
        <w:rPr>
          <w:sz w:val="20"/>
          <w:szCs w:val="20"/>
          <w:color w:val="auto"/>
        </w:rPr>
      </w:pPr>
    </w:p>
    <w:p>
      <w:pPr>
        <w:jc w:val="center"/>
        <w:ind w:right="18"/>
        <w:spacing w:after="0" w:line="231" w:lineRule="auto"/>
        <w:rPr>
          <w:sz w:val="20"/>
          <w:szCs w:val="20"/>
          <w:color w:val="auto"/>
        </w:rPr>
      </w:pPr>
      <w:r>
        <w:rPr>
          <w:rFonts w:ascii="Arial" w:cs="Arial" w:eastAsia="Arial" w:hAnsi="Arial"/>
          <w:sz w:val="12"/>
          <w:szCs w:val="12"/>
          <w:b w:val="1"/>
          <w:bCs w:val="1"/>
          <w:color w:val="auto"/>
        </w:rPr>
        <w:t>CERTIFICATION OF CHIEF EXECUTIVE OFFICER PURSUANT TO SECURITIES EXCHANGE ACT RULES 13a-14(a) and 15d-14(a), AS ADOPTED PURSUANT TO SECTION 302 OF THE SARBANES-OXLEY ACT OF 2002</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2"/>
          <w:szCs w:val="12"/>
          <w:color w:val="auto"/>
        </w:rPr>
        <w:t>I, Darrin R. Uecker, certify that:</w:t>
      </w:r>
    </w:p>
    <w:p>
      <w:pPr>
        <w:spacing w:after="0" w:line="83" w:lineRule="exact"/>
        <w:rPr>
          <w:sz w:val="20"/>
          <w:szCs w:val="20"/>
          <w:color w:val="auto"/>
        </w:rPr>
      </w:pPr>
    </w:p>
    <w:p>
      <w:pPr>
        <w:ind w:left="222" w:hanging="222"/>
        <w:spacing w:after="0"/>
        <w:tabs>
          <w:tab w:leader="none" w:pos="222" w:val="left"/>
        </w:tabs>
        <w:numPr>
          <w:ilvl w:val="0"/>
          <w:numId w:val="7"/>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quarter ended June 30, 2021 of Pulse Biosciences, Inc.;</w:t>
      </w:r>
    </w:p>
    <w:p>
      <w:pPr>
        <w:spacing w:after="0" w:line="83"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2"/>
          <w:szCs w:val="12"/>
          <w:color w:val="auto"/>
        </w:rPr>
      </w:pPr>
    </w:p>
    <w:p>
      <w:pPr>
        <w:ind w:left="442" w:right="20" w:hanging="221"/>
        <w:spacing w:after="0" w:line="282" w:lineRule="auto"/>
        <w:tabs>
          <w:tab w:leader="none" w:pos="442" w:val="left"/>
        </w:tabs>
        <w:numPr>
          <w:ilvl w:val="1"/>
          <w:numId w:val="7"/>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1"/>
          <w:szCs w:val="11"/>
          <w:color w:val="auto"/>
        </w:rPr>
      </w:pPr>
    </w:p>
    <w:p>
      <w:pPr>
        <w:ind w:left="442" w:right="100" w:hanging="221"/>
        <w:spacing w:after="0" w:line="282" w:lineRule="auto"/>
        <w:tabs>
          <w:tab w:leader="none" w:pos="442" w:val="left"/>
        </w:tabs>
        <w:numPr>
          <w:ilvl w:val="1"/>
          <w:numId w:val="7"/>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1"/>
          <w:szCs w:val="11"/>
          <w:color w:val="auto"/>
        </w:rPr>
      </w:pPr>
    </w:p>
    <w:p>
      <w:pPr>
        <w:ind w:left="442" w:hanging="221"/>
        <w:spacing w:after="0" w:line="239" w:lineRule="auto"/>
        <w:tabs>
          <w:tab w:leader="none" w:pos="442" w:val="left"/>
        </w:tabs>
        <w:numPr>
          <w:ilvl w:val="1"/>
          <w:numId w:val="7"/>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7"/>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2"/>
          <w:szCs w:val="12"/>
          <w:color w:val="auto"/>
        </w:rPr>
      </w:pPr>
    </w:p>
    <w:p>
      <w:pPr>
        <w:ind w:left="442" w:hanging="221"/>
        <w:spacing w:after="0"/>
        <w:tabs>
          <w:tab w:leader="none" w:pos="442" w:val="left"/>
        </w:tabs>
        <w:numPr>
          <w:ilvl w:val="1"/>
          <w:numId w:val="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
        <w:spacing w:after="0"/>
        <w:tabs>
          <w:tab w:leader="none" w:pos="4882" w:val="left"/>
          <w:tab w:leader="none" w:pos="5362" w:val="left"/>
        </w:tabs>
        <w:rPr>
          <w:sz w:val="20"/>
          <w:szCs w:val="20"/>
          <w:color w:val="auto"/>
        </w:rPr>
      </w:pPr>
      <w:r>
        <w:rPr>
          <w:rFonts w:ascii="Arial" w:cs="Arial" w:eastAsia="Arial" w:hAnsi="Arial"/>
          <w:sz w:val="12"/>
          <w:szCs w:val="12"/>
          <w:color w:val="auto"/>
        </w:rPr>
        <w:t>Date: August 9,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0</wp:posOffset>
            </wp:positionV>
            <wp:extent cx="286448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2"/>
        <w:spacing w:after="0" w:line="210" w:lineRule="auto"/>
        <w:rPr>
          <w:sz w:val="20"/>
          <w:szCs w:val="20"/>
          <w:color w:val="auto"/>
        </w:rPr>
      </w:pPr>
      <w:r>
        <w:rPr>
          <w:rFonts w:ascii="Arial" w:cs="Arial" w:eastAsia="Arial" w:hAnsi="Arial"/>
          <w:sz w:val="12"/>
          <w:szCs w:val="12"/>
          <w:color w:val="auto"/>
        </w:rPr>
        <w:t>Darrin R. Uecker</w:t>
      </w:r>
    </w:p>
    <w:p>
      <w:pPr>
        <w:ind w:left="5382"/>
        <w:spacing w:after="0" w:line="209" w:lineRule="auto"/>
        <w:rPr>
          <w:sz w:val="20"/>
          <w:szCs w:val="20"/>
          <w:color w:val="auto"/>
        </w:rPr>
      </w:pPr>
      <w:r>
        <w:rPr>
          <w:rFonts w:ascii="Arial" w:cs="Arial" w:eastAsia="Arial" w:hAnsi="Arial"/>
          <w:sz w:val="12"/>
          <w:szCs w:val="12"/>
          <w:color w:val="auto"/>
        </w:rPr>
        <w:t>President and Chief Executive Officer</w:t>
      </w:r>
    </w:p>
    <w:p>
      <w:pPr>
        <w:ind w:left="5382"/>
        <w:spacing w:after="0"/>
        <w:rPr>
          <w:sz w:val="20"/>
          <w:szCs w:val="20"/>
          <w:color w:val="auto"/>
        </w:rPr>
      </w:pPr>
      <w:r>
        <w:rPr>
          <w:rFonts w:ascii="Arial" w:cs="Arial" w:eastAsia="Arial" w:hAnsi="Arial"/>
          <w:sz w:val="12"/>
          <w:szCs w:val="12"/>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226695</wp:posOffset>
            </wp:positionV>
            <wp:extent cx="6369050" cy="431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369050" cy="43180"/>
                    </a:xfrm>
                    <a:prstGeom prst="rect">
                      <a:avLst/>
                    </a:prstGeom>
                    <a:noFill/>
                  </pic:spPr>
                </pic:pic>
              </a:graphicData>
            </a:graphic>
          </wp:anchor>
        </w:drawing>
      </w:r>
    </w:p>
    <w:p>
      <w:pPr>
        <w:sectPr>
          <w:pgSz w:w="11900" w:h="16838" w:orient="portrait"/>
          <w:cols w:equalWidth="0" w:num="1">
            <w:col w:w="9982"/>
          </w:cols>
          <w:pgMar w:left="958" w:top="118" w:right="959" w:bottom="1440" w:gutter="0" w:footer="0" w:header="0"/>
        </w:sectPr>
      </w:pPr>
    </w:p>
    <w:bookmarkStart w:id="57" w:name="page58"/>
    <w:bookmarkEnd w:id="57"/>
    <w:p>
      <w:pPr>
        <w:jc w:val="right"/>
        <w:spacing w:after="0"/>
        <w:rPr>
          <w:sz w:val="20"/>
          <w:szCs w:val="20"/>
          <w:color w:val="auto"/>
        </w:rPr>
      </w:pPr>
      <w:r>
        <w:rPr>
          <w:rFonts w:ascii="Arial" w:cs="Arial" w:eastAsia="Arial" w:hAnsi="Arial"/>
          <w:sz w:val="12"/>
          <w:szCs w:val="12"/>
          <w:b w:val="1"/>
          <w:bCs w:val="1"/>
          <w:color w:val="auto"/>
        </w:rPr>
        <w:t>Exhibit 31.2</w:t>
      </w:r>
    </w:p>
    <w:p>
      <w:pPr>
        <w:spacing w:after="0" w:line="93" w:lineRule="exact"/>
        <w:rPr>
          <w:sz w:val="20"/>
          <w:szCs w:val="20"/>
          <w:color w:val="auto"/>
        </w:rPr>
      </w:pPr>
    </w:p>
    <w:p>
      <w:pPr>
        <w:jc w:val="center"/>
        <w:ind w:right="18"/>
        <w:spacing w:after="0" w:line="231" w:lineRule="auto"/>
        <w:rPr>
          <w:sz w:val="20"/>
          <w:szCs w:val="20"/>
          <w:color w:val="auto"/>
        </w:rPr>
      </w:pPr>
      <w:r>
        <w:rPr>
          <w:rFonts w:ascii="Arial" w:cs="Arial" w:eastAsia="Arial" w:hAnsi="Arial"/>
          <w:sz w:val="12"/>
          <w:szCs w:val="12"/>
          <w:b w:val="1"/>
          <w:bCs w:val="1"/>
          <w:color w:val="auto"/>
        </w:rPr>
        <w:t>CERTIFICATION OF CHIEF FINANCIAL OFFICER PURSUANT TO SECURITIES EXCHANGE ACT RULES 13a-14(a) and 15d-14(a), AS ADOPTED PURSUANT TO SECTION 302 OF THE SARBANES-OXLEY ACT OF 2002</w:t>
      </w:r>
    </w:p>
    <w:p>
      <w:pPr>
        <w:spacing w:after="0" w:line="76" w:lineRule="exact"/>
        <w:rPr>
          <w:sz w:val="20"/>
          <w:szCs w:val="20"/>
          <w:color w:val="auto"/>
        </w:rPr>
      </w:pPr>
    </w:p>
    <w:p>
      <w:pPr>
        <w:ind w:left="2"/>
        <w:spacing w:after="0"/>
        <w:rPr>
          <w:sz w:val="20"/>
          <w:szCs w:val="20"/>
          <w:color w:val="auto"/>
        </w:rPr>
      </w:pPr>
      <w:r>
        <w:rPr>
          <w:rFonts w:ascii="Arial" w:cs="Arial" w:eastAsia="Arial" w:hAnsi="Arial"/>
          <w:sz w:val="12"/>
          <w:szCs w:val="12"/>
          <w:color w:val="auto"/>
        </w:rPr>
        <w:t>I, Sandra A. Gardiner, certify that:</w:t>
      </w:r>
    </w:p>
    <w:p>
      <w:pPr>
        <w:spacing w:after="0" w:line="83" w:lineRule="exact"/>
        <w:rPr>
          <w:sz w:val="20"/>
          <w:szCs w:val="20"/>
          <w:color w:val="auto"/>
        </w:rPr>
      </w:pPr>
    </w:p>
    <w:p>
      <w:pPr>
        <w:ind w:left="222" w:hanging="222"/>
        <w:spacing w:after="0"/>
        <w:tabs>
          <w:tab w:leader="none" w:pos="222" w:val="left"/>
        </w:tabs>
        <w:numPr>
          <w:ilvl w:val="0"/>
          <w:numId w:val="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for the quarter ended June 30, 2021 of Pulse Biosciences, Inc.;</w:t>
      </w:r>
    </w:p>
    <w:p>
      <w:pPr>
        <w:spacing w:after="0" w:line="83"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Arial" w:cs="Arial" w:eastAsia="Arial" w:hAnsi="Arial"/>
          <w:sz w:val="12"/>
          <w:szCs w:val="12"/>
          <w:color w:val="auto"/>
        </w:rPr>
      </w:pPr>
    </w:p>
    <w:p>
      <w:pPr>
        <w:ind w:left="442" w:right="20" w:hanging="221"/>
        <w:spacing w:after="0" w:line="282" w:lineRule="auto"/>
        <w:tabs>
          <w:tab w:leader="none" w:pos="442" w:val="left"/>
        </w:tabs>
        <w:numPr>
          <w:ilvl w:val="1"/>
          <w:numId w:val="8"/>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Arial" w:cs="Arial" w:eastAsia="Arial" w:hAnsi="Arial"/>
          <w:sz w:val="11"/>
          <w:szCs w:val="11"/>
          <w:color w:val="auto"/>
        </w:rPr>
      </w:pPr>
    </w:p>
    <w:p>
      <w:pPr>
        <w:ind w:left="442" w:right="100" w:hanging="221"/>
        <w:spacing w:after="0" w:line="282" w:lineRule="auto"/>
        <w:tabs>
          <w:tab w:leader="none" w:pos="442" w:val="left"/>
        </w:tabs>
        <w:numPr>
          <w:ilvl w:val="1"/>
          <w:numId w:val="8"/>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1"/>
          <w:szCs w:val="11"/>
          <w:color w:val="auto"/>
        </w:rPr>
      </w:pPr>
    </w:p>
    <w:p>
      <w:pPr>
        <w:ind w:left="442" w:hanging="221"/>
        <w:spacing w:after="0" w:line="239" w:lineRule="auto"/>
        <w:tabs>
          <w:tab w:leader="none" w:pos="442" w:val="left"/>
        </w:tabs>
        <w:numPr>
          <w:ilvl w:val="1"/>
          <w:numId w:val="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6" w:lineRule="exact"/>
        <w:rPr>
          <w:rFonts w:ascii="Arial" w:cs="Arial" w:eastAsia="Arial" w:hAnsi="Arial"/>
          <w:sz w:val="12"/>
          <w:szCs w:val="12"/>
          <w:color w:val="auto"/>
        </w:rPr>
      </w:pPr>
    </w:p>
    <w:p>
      <w:pPr>
        <w:ind w:left="222" w:right="20" w:hanging="222"/>
        <w:spacing w:after="0" w:line="239" w:lineRule="auto"/>
        <w:tabs>
          <w:tab w:leader="none" w:pos="222" w:val="left"/>
        </w:tabs>
        <w:numPr>
          <w:ilvl w:val="0"/>
          <w:numId w:val="8"/>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6" w:lineRule="exact"/>
        <w:rPr>
          <w:rFonts w:ascii="Arial" w:cs="Arial" w:eastAsia="Arial" w:hAnsi="Arial"/>
          <w:sz w:val="12"/>
          <w:szCs w:val="12"/>
          <w:color w:val="auto"/>
        </w:rPr>
      </w:pPr>
    </w:p>
    <w:p>
      <w:pPr>
        <w:ind w:left="442" w:right="20" w:hanging="221"/>
        <w:spacing w:after="0" w:line="239" w:lineRule="auto"/>
        <w:tabs>
          <w:tab w:leader="none" w:pos="442" w:val="left"/>
        </w:tabs>
        <w:numPr>
          <w:ilvl w:val="1"/>
          <w:numId w:val="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2"/>
          <w:szCs w:val="12"/>
          <w:color w:val="auto"/>
        </w:rPr>
      </w:pPr>
    </w:p>
    <w:p>
      <w:pPr>
        <w:ind w:left="442" w:hanging="221"/>
        <w:spacing w:after="0"/>
        <w:tabs>
          <w:tab w:leader="none" w:pos="442" w:val="left"/>
        </w:tabs>
        <w:numPr>
          <w:ilvl w:val="1"/>
          <w:numId w:val="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111" w:lineRule="exact"/>
        <w:rPr>
          <w:sz w:val="20"/>
          <w:szCs w:val="20"/>
          <w:color w:val="auto"/>
        </w:rPr>
      </w:pPr>
    </w:p>
    <w:p>
      <w:pPr>
        <w:ind w:left="2"/>
        <w:spacing w:after="0"/>
        <w:tabs>
          <w:tab w:leader="none" w:pos="4882" w:val="left"/>
          <w:tab w:leader="none" w:pos="5362" w:val="left"/>
        </w:tabs>
        <w:rPr>
          <w:sz w:val="20"/>
          <w:szCs w:val="20"/>
          <w:color w:val="auto"/>
        </w:rPr>
      </w:pPr>
      <w:r>
        <w:rPr>
          <w:rFonts w:ascii="Arial" w:cs="Arial" w:eastAsia="Arial" w:hAnsi="Arial"/>
          <w:sz w:val="12"/>
          <w:szCs w:val="12"/>
          <w:color w:val="auto"/>
        </w:rPr>
        <w:t>Date: August 9,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3415030</wp:posOffset>
            </wp:positionH>
            <wp:positionV relativeFrom="paragraph">
              <wp:posOffset>0</wp:posOffset>
            </wp:positionV>
            <wp:extent cx="286448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2"/>
        <w:spacing w:after="0" w:line="210" w:lineRule="auto"/>
        <w:rPr>
          <w:sz w:val="20"/>
          <w:szCs w:val="20"/>
          <w:color w:val="auto"/>
        </w:rPr>
      </w:pPr>
      <w:r>
        <w:rPr>
          <w:rFonts w:ascii="Arial" w:cs="Arial" w:eastAsia="Arial" w:hAnsi="Arial"/>
          <w:sz w:val="12"/>
          <w:szCs w:val="12"/>
          <w:color w:val="auto"/>
        </w:rPr>
        <w:t>Sandra A. Gardiner</w:t>
      </w:r>
    </w:p>
    <w:p>
      <w:pPr>
        <w:ind w:left="5382"/>
        <w:spacing w:after="0" w:line="228" w:lineRule="auto"/>
        <w:rPr>
          <w:sz w:val="20"/>
          <w:szCs w:val="20"/>
          <w:color w:val="auto"/>
        </w:rPr>
      </w:pPr>
      <w:r>
        <w:rPr>
          <w:rFonts w:ascii="Arial" w:cs="Arial" w:eastAsia="Arial" w:hAnsi="Arial"/>
          <w:sz w:val="11"/>
          <w:szCs w:val="11"/>
          <w:color w:val="auto"/>
        </w:rPr>
        <w:t>Chief Financial Officer, Executive Vice President of Finance and Administration, Secretary</w:t>
      </w:r>
    </w:p>
    <w:p>
      <w:pPr>
        <w:ind w:left="5382"/>
        <w:spacing w:after="0" w:line="208" w:lineRule="auto"/>
        <w:rPr>
          <w:sz w:val="20"/>
          <w:szCs w:val="20"/>
          <w:color w:val="auto"/>
        </w:rPr>
      </w:pPr>
      <w:r>
        <w:rPr>
          <w:rFonts w:ascii="Arial" w:cs="Arial" w:eastAsia="Arial" w:hAnsi="Arial"/>
          <w:sz w:val="12"/>
          <w:szCs w:val="12"/>
          <w:color w:val="auto"/>
        </w:rPr>
        <w:t>and Treasurer</w:t>
      </w:r>
    </w:p>
    <w:p>
      <w:pPr>
        <w:ind w:left="5382"/>
        <w:spacing w:after="0"/>
        <w:rPr>
          <w:sz w:val="20"/>
          <w:szCs w:val="20"/>
          <w:color w:val="auto"/>
        </w:rPr>
      </w:pPr>
      <w:r>
        <w:rPr>
          <w:rFonts w:ascii="Arial" w:cs="Arial" w:eastAsia="Arial" w:hAnsi="Arial"/>
          <w:sz w:val="12"/>
          <w:szCs w:val="12"/>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226695</wp:posOffset>
            </wp:positionV>
            <wp:extent cx="636905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369050" cy="43180"/>
                    </a:xfrm>
                    <a:prstGeom prst="rect">
                      <a:avLst/>
                    </a:prstGeom>
                    <a:noFill/>
                  </pic:spPr>
                </pic:pic>
              </a:graphicData>
            </a:graphic>
          </wp:anchor>
        </w:drawing>
      </w:r>
    </w:p>
    <w:p>
      <w:pPr>
        <w:sectPr>
          <w:pgSz w:w="11900" w:h="16838" w:orient="portrait"/>
          <w:cols w:equalWidth="0" w:num="1">
            <w:col w:w="9982"/>
          </w:cols>
          <w:pgMar w:left="958" w:top="118" w:right="959" w:bottom="1440" w:gutter="0" w:footer="0" w:header="0"/>
        </w:sectPr>
      </w:pPr>
    </w:p>
    <w:bookmarkStart w:id="58" w:name="page59"/>
    <w:bookmarkEnd w:id="58"/>
    <w:p>
      <w:pPr>
        <w:jc w:val="right"/>
        <w:spacing w:after="0"/>
        <w:rPr>
          <w:sz w:val="20"/>
          <w:szCs w:val="20"/>
          <w:color w:val="auto"/>
        </w:rPr>
      </w:pPr>
      <w:r>
        <w:rPr>
          <w:rFonts w:ascii="Arial" w:cs="Arial" w:eastAsia="Arial" w:hAnsi="Arial"/>
          <w:sz w:val="12"/>
          <w:szCs w:val="12"/>
          <w:b w:val="1"/>
          <w:bCs w:val="1"/>
          <w:color w:val="auto"/>
        </w:rPr>
        <w:t>Exhibit 32.1</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 PURSUANT TO</w:t>
      </w:r>
    </w:p>
    <w:p>
      <w:pPr>
        <w:ind w:left="3420"/>
        <w:spacing w:after="0" w:line="208" w:lineRule="auto"/>
        <w:rPr>
          <w:sz w:val="20"/>
          <w:szCs w:val="20"/>
          <w:color w:val="auto"/>
        </w:rPr>
      </w:pPr>
      <w:r>
        <w:rPr>
          <w:rFonts w:ascii="Arial" w:cs="Arial" w:eastAsia="Arial" w:hAnsi="Arial"/>
          <w:sz w:val="12"/>
          <w:szCs w:val="12"/>
          <w:b w:val="1"/>
          <w:bCs w:val="1"/>
          <w:color w:val="auto"/>
        </w:rPr>
        <w:t>18 U.S.C. SECTION 1350, AS ADOPTED PURSUANT TO</w:t>
      </w:r>
    </w:p>
    <w:p>
      <w:pPr>
        <w:ind w:left="3380"/>
        <w:spacing w:after="0"/>
        <w:rPr>
          <w:sz w:val="20"/>
          <w:szCs w:val="20"/>
          <w:color w:val="auto"/>
        </w:rPr>
      </w:pPr>
      <w:r>
        <w:rPr>
          <w:rFonts w:ascii="Arial" w:cs="Arial" w:eastAsia="Arial" w:hAnsi="Arial"/>
          <w:sz w:val="12"/>
          <w:szCs w:val="12"/>
          <w:b w:val="1"/>
          <w:bCs w:val="1"/>
          <w:color w:val="auto"/>
        </w:rPr>
        <w:t>SECTION 906 OF THE SARBANES-OXLEY ACT OF 2002</w:t>
      </w:r>
    </w:p>
    <w:p>
      <w:pPr>
        <w:spacing w:after="0" w:line="120" w:lineRule="exact"/>
        <w:rPr>
          <w:sz w:val="20"/>
          <w:szCs w:val="20"/>
          <w:color w:val="auto"/>
        </w:rPr>
      </w:pPr>
    </w:p>
    <w:p>
      <w:pPr>
        <w:jc w:val="both"/>
        <w:ind w:right="20" w:firstLine="301"/>
        <w:spacing w:after="0" w:line="229" w:lineRule="auto"/>
        <w:rPr>
          <w:sz w:val="20"/>
          <w:szCs w:val="20"/>
          <w:color w:val="auto"/>
        </w:rPr>
      </w:pPr>
      <w:r>
        <w:rPr>
          <w:rFonts w:ascii="Arial" w:cs="Arial" w:eastAsia="Arial" w:hAnsi="Arial"/>
          <w:sz w:val="12"/>
          <w:szCs w:val="12"/>
          <w:color w:val="auto"/>
        </w:rPr>
        <w:t>In connection with the Quarterly Report of Pulse Biosciences, Inc. (the “Company”) on Form 10-Q for the period ended June 30, 2021 as filed with the Securities and Exchange Commission on the date hereof (the “Report”), each of the undersigned certify, pursuant to 18 U.S.C. Section 1350, as adopted pursuant to Section 906 of the Sarbanes-Oxley Act of 2002, that to the best of his knowledge:</w:t>
      </w:r>
    </w:p>
    <w:p>
      <w:pPr>
        <w:spacing w:after="0" w:line="29" w:lineRule="exact"/>
        <w:rPr>
          <w:sz w:val="20"/>
          <w:szCs w:val="20"/>
          <w:color w:val="auto"/>
        </w:rPr>
      </w:pPr>
    </w:p>
    <w:p>
      <w:pPr>
        <w:ind w:left="560" w:hanging="261"/>
        <w:spacing w:after="0"/>
        <w:tabs>
          <w:tab w:leader="none" w:pos="5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29" w:lineRule="exact"/>
        <w:rPr>
          <w:rFonts w:ascii="Arial" w:cs="Arial" w:eastAsia="Arial" w:hAnsi="Arial"/>
          <w:sz w:val="12"/>
          <w:szCs w:val="12"/>
          <w:color w:val="auto"/>
        </w:rPr>
      </w:pPr>
    </w:p>
    <w:p>
      <w:pPr>
        <w:ind w:left="560" w:hanging="261"/>
        <w:spacing w:after="0"/>
        <w:tabs>
          <w:tab w:leader="none" w:pos="56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In Witness Whereof, the undersigned have set their hands hereto as of the 9</w:t>
      </w:r>
      <w:r>
        <w:rPr>
          <w:rFonts w:ascii="Arial" w:cs="Arial" w:eastAsia="Arial" w:hAnsi="Arial"/>
          <w:sz w:val="6"/>
          <w:szCs w:val="6"/>
          <w:color w:val="auto"/>
        </w:rPr>
        <w:t>th</w:t>
      </w:r>
      <w:r>
        <w:rPr>
          <w:rFonts w:ascii="Arial" w:cs="Arial" w:eastAsia="Arial" w:hAnsi="Arial"/>
          <w:sz w:val="12"/>
          <w:szCs w:val="12"/>
          <w:color w:val="auto"/>
        </w:rPr>
        <w:t xml:space="preserve"> day of August 2021.</w:t>
      </w:r>
    </w:p>
    <w:p>
      <w:pPr>
        <w:spacing w:after="0" w:line="111"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0</wp:posOffset>
            </wp:positionV>
            <wp:extent cx="286448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0"/>
        <w:spacing w:after="0" w:line="210" w:lineRule="auto"/>
        <w:rPr>
          <w:sz w:val="20"/>
          <w:szCs w:val="20"/>
          <w:color w:val="auto"/>
        </w:rPr>
      </w:pPr>
      <w:r>
        <w:rPr>
          <w:rFonts w:ascii="Arial" w:cs="Arial" w:eastAsia="Arial" w:hAnsi="Arial"/>
          <w:sz w:val="12"/>
          <w:szCs w:val="12"/>
          <w:color w:val="auto"/>
        </w:rPr>
        <w:t>Darrin R. Uecker</w:t>
      </w:r>
    </w:p>
    <w:p>
      <w:pPr>
        <w:ind w:left="5380"/>
        <w:spacing w:after="0" w:line="209" w:lineRule="auto"/>
        <w:rPr>
          <w:sz w:val="20"/>
          <w:szCs w:val="20"/>
          <w:color w:val="auto"/>
        </w:rPr>
      </w:pPr>
      <w:r>
        <w:rPr>
          <w:rFonts w:ascii="Arial" w:cs="Arial" w:eastAsia="Arial" w:hAnsi="Arial"/>
          <w:sz w:val="12"/>
          <w:szCs w:val="12"/>
          <w:color w:val="auto"/>
        </w:rPr>
        <w:t>President and Chief Executive Officer</w:t>
      </w:r>
    </w:p>
    <w:p>
      <w:pPr>
        <w:ind w:left="5380"/>
        <w:spacing w:after="0"/>
        <w:rPr>
          <w:sz w:val="20"/>
          <w:szCs w:val="20"/>
          <w:color w:val="auto"/>
        </w:rPr>
      </w:pPr>
      <w:r>
        <w:rPr>
          <w:rFonts w:ascii="Arial" w:cs="Arial" w:eastAsia="Arial" w:hAnsi="Arial"/>
          <w:sz w:val="12"/>
          <w:szCs w:val="12"/>
          <w:color w:val="auto"/>
        </w:rPr>
        <w:t>(Principal Executive Officer)</w:t>
      </w:r>
    </w:p>
    <w:p>
      <w:pPr>
        <w:spacing w:after="0" w:line="101" w:lineRule="exact"/>
        <w:rPr>
          <w:sz w:val="20"/>
          <w:szCs w:val="20"/>
          <w:color w:val="auto"/>
        </w:rPr>
      </w:pPr>
    </w:p>
    <w:p>
      <w:pPr>
        <w:ind w:left="5380"/>
        <w:spacing w:after="0"/>
        <w:rPr>
          <w:sz w:val="20"/>
          <w:szCs w:val="20"/>
          <w:color w:val="auto"/>
        </w:rPr>
      </w:pPr>
      <w:r>
        <w:rPr>
          <w:rFonts w:ascii="Arial" w:cs="Arial" w:eastAsia="Arial" w:hAnsi="Arial"/>
          <w:sz w:val="12"/>
          <w:szCs w:val="12"/>
          <w:color w:val="auto"/>
        </w:rPr>
        <w:t>/s/ Sandra A.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3413760</wp:posOffset>
            </wp:positionH>
            <wp:positionV relativeFrom="paragraph">
              <wp:posOffset>0</wp:posOffset>
            </wp:positionV>
            <wp:extent cx="286448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2864485" cy="5715"/>
                    </a:xfrm>
                    <a:prstGeom prst="rect">
                      <a:avLst/>
                    </a:prstGeom>
                    <a:noFill/>
                  </pic:spPr>
                </pic:pic>
              </a:graphicData>
            </a:graphic>
          </wp:anchor>
        </w:drawing>
      </w:r>
    </w:p>
    <w:p>
      <w:pPr>
        <w:ind w:left="5380"/>
        <w:spacing w:after="0" w:line="210" w:lineRule="auto"/>
        <w:rPr>
          <w:sz w:val="20"/>
          <w:szCs w:val="20"/>
          <w:color w:val="auto"/>
        </w:rPr>
      </w:pPr>
      <w:r>
        <w:rPr>
          <w:rFonts w:ascii="Arial" w:cs="Arial" w:eastAsia="Arial" w:hAnsi="Arial"/>
          <w:sz w:val="12"/>
          <w:szCs w:val="12"/>
          <w:color w:val="auto"/>
        </w:rPr>
        <w:t>Sandra A. Gardiner</w:t>
      </w:r>
    </w:p>
    <w:p>
      <w:pPr>
        <w:ind w:left="5380"/>
        <w:spacing w:after="0" w:line="228" w:lineRule="auto"/>
        <w:rPr>
          <w:sz w:val="20"/>
          <w:szCs w:val="20"/>
          <w:color w:val="auto"/>
        </w:rPr>
      </w:pPr>
      <w:r>
        <w:rPr>
          <w:rFonts w:ascii="Arial" w:cs="Arial" w:eastAsia="Arial" w:hAnsi="Arial"/>
          <w:sz w:val="11"/>
          <w:szCs w:val="11"/>
          <w:color w:val="auto"/>
        </w:rPr>
        <w:t>Chief Financial Officer, Executive Vice President of Finance and Administration, Secretary</w:t>
      </w:r>
    </w:p>
    <w:p>
      <w:pPr>
        <w:ind w:left="5380"/>
        <w:spacing w:after="0" w:line="208" w:lineRule="auto"/>
        <w:rPr>
          <w:sz w:val="20"/>
          <w:szCs w:val="20"/>
          <w:color w:val="auto"/>
        </w:rPr>
      </w:pPr>
      <w:r>
        <w:rPr>
          <w:rFonts w:ascii="Arial" w:cs="Arial" w:eastAsia="Arial" w:hAnsi="Arial"/>
          <w:sz w:val="12"/>
          <w:szCs w:val="12"/>
          <w:color w:val="auto"/>
        </w:rPr>
        <w:t>and Treasurer</w:t>
      </w:r>
    </w:p>
    <w:p>
      <w:pPr>
        <w:ind w:left="5380"/>
        <w:spacing w:after="0"/>
        <w:rPr>
          <w:sz w:val="20"/>
          <w:szCs w:val="20"/>
          <w:color w:val="auto"/>
        </w:rPr>
      </w:pPr>
      <w:r>
        <w:rPr>
          <w:rFonts w:ascii="Arial" w:cs="Arial" w:eastAsia="Arial" w:hAnsi="Arial"/>
          <w:sz w:val="12"/>
          <w:szCs w:val="12"/>
          <w:color w:val="auto"/>
        </w:rPr>
        <w:t>(Principal Financial and Accounting Officer)</w:t>
      </w:r>
    </w:p>
    <w:p>
      <w:pPr>
        <w:spacing w:after="0" w:line="239" w:lineRule="exact"/>
        <w:rPr>
          <w:sz w:val="20"/>
          <w:szCs w:val="20"/>
          <w:color w:val="auto"/>
        </w:rPr>
      </w:pPr>
    </w:p>
    <w:p>
      <w:pPr>
        <w:jc w:val="both"/>
        <w:ind w:right="20" w:firstLine="301"/>
        <w:spacing w:after="0" w:line="229" w:lineRule="auto"/>
        <w:rPr>
          <w:sz w:val="20"/>
          <w:szCs w:val="20"/>
          <w:color w:val="auto"/>
        </w:rPr>
      </w:pPr>
      <w:r>
        <w:rPr>
          <w:rFonts w:ascii="Arial" w:cs="Arial" w:eastAsia="Arial" w:hAnsi="Arial"/>
          <w:sz w:val="12"/>
          <w:szCs w:val="12"/>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222250</wp:posOffset>
            </wp:positionV>
            <wp:extent cx="636905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369050" cy="43180"/>
                    </a:xfrm>
                    <a:prstGeom prst="rect">
                      <a:avLst/>
                    </a:prstGeom>
                    <a:noFill/>
                  </pic:spPr>
                </pic:pic>
              </a:graphicData>
            </a:graphic>
          </wp:anchor>
        </w:drawing>
      </w:r>
    </w:p>
    <w:sectPr>
      <w:pgSz w:w="11900" w:h="16838" w:orient="portrait"/>
      <w:cols w:equalWidth="0" w:num="1">
        <w:col w:w="9980"/>
      </w:cols>
      <w:pgMar w:left="960" w:top="118"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8"/>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03" Type="http://schemas.openxmlformats.org/officeDocument/2006/relationships/hyperlink" Target="http://www.sec.gov/Archives/edgar/data/1625101/000162510121000037/plse-20210630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2021-08-09T16:54:05Z</dcterms:created>
  <dcterms:modified xsi:type="dcterms:W3CDTF">2021-08-09T16:54:05Z</dcterms:modified>
</cp:coreProperties>
</file>