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7"/>
          <w:szCs w:val="3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Pursuant to Section 13 or 15(d) of The Securities Exchange Act of 1934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3"/>
          <w:szCs w:val="23"/>
          <w:b w:val="1"/>
          <w:bCs w:val="1"/>
          <w:u w:val="single" w:color="auto"/>
          <w:color w:val="auto"/>
        </w:rPr>
        <w:t>January 14, 2026</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Pulse Biosciences,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70" w:lineRule="exact"/>
        <w:rPr>
          <w:sz w:val="24"/>
          <w:szCs w:val="24"/>
          <w:color w:val="auto"/>
        </w:rPr>
      </w:pPr>
    </w:p>
    <w:tbl>
      <w:tblPr>
        <w:tblLayout w:type="fixed"/>
        <w:tblInd w:w="1000" w:type="dxa"/>
        <w:tblCellMar>
          <w:top w:w="0" w:type="dxa"/>
          <w:left w:w="0" w:type="dxa"/>
          <w:bottom w:w="0" w:type="dxa"/>
          <w:right w:w="0" w:type="dxa"/>
        </w:tblCellMar>
      </w:tblPr>
      <w:tr>
        <w:trPr>
          <w:trHeight w:val="240"/>
        </w:trPr>
        <w:tc>
          <w:tcPr>
            <w:tcW w:w="2120" w:type="dxa"/>
            <w:vAlign w:val="bottom"/>
          </w:tcPr>
          <w:p>
            <w:pPr>
              <w:jc w:val="center"/>
              <w:ind w:right="19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080" w:type="dxa"/>
            <w:vAlign w:val="bottom"/>
            <w:gridSpan w:val="2"/>
          </w:tcPr>
          <w:p>
            <w:pPr>
              <w:ind w:left="2120"/>
              <w:spacing w:after="0"/>
              <w:rPr>
                <w:sz w:val="20"/>
                <w:szCs w:val="20"/>
                <w:color w:val="auto"/>
              </w:rPr>
            </w:pPr>
            <w:r>
              <w:rPr>
                <w:rFonts w:ascii="Times New Roman" w:cs="Times New Roman" w:eastAsia="Times New Roman" w:hAnsi="Times New Roman"/>
                <w:sz w:val="20"/>
                <w:szCs w:val="20"/>
                <w:b w:val="1"/>
                <w:bCs w:val="1"/>
                <w:color w:val="auto"/>
              </w:rPr>
              <w:t>001-37744</w:t>
            </w:r>
          </w:p>
        </w:tc>
        <w:tc>
          <w:tcPr>
            <w:tcW w:w="2100" w:type="dxa"/>
            <w:vAlign w:val="bottom"/>
          </w:tcPr>
          <w:p>
            <w:pPr>
              <w:spacing w:after="0"/>
              <w:rPr>
                <w:sz w:val="20"/>
                <w:szCs w:val="20"/>
                <w:color w:val="auto"/>
              </w:rPr>
            </w:pPr>
          </w:p>
        </w:tc>
        <w:tc>
          <w:tcPr>
            <w:tcW w:w="1720" w:type="dxa"/>
            <w:vAlign w:val="bottom"/>
          </w:tcPr>
          <w:p>
            <w:pPr>
              <w:jc w:val="center"/>
              <w:ind w:left="370"/>
              <w:spacing w:after="0"/>
              <w:rPr>
                <w:sz w:val="20"/>
                <w:szCs w:val="20"/>
                <w:color w:val="auto"/>
              </w:rPr>
            </w:pPr>
            <w:r>
              <w:rPr>
                <w:rFonts w:ascii="Times New Roman" w:cs="Times New Roman" w:eastAsia="Times New Roman" w:hAnsi="Times New Roman"/>
                <w:sz w:val="20"/>
                <w:szCs w:val="20"/>
                <w:b w:val="1"/>
                <w:bCs w:val="1"/>
                <w:color w:val="auto"/>
              </w:rPr>
              <w:t>46-5696597</w:t>
            </w:r>
          </w:p>
        </w:tc>
      </w:tr>
      <w:tr>
        <w:trPr>
          <w:trHeight w:val="202"/>
        </w:trPr>
        <w:tc>
          <w:tcPr>
            <w:tcW w:w="2120" w:type="dxa"/>
            <w:vAlign w:val="bottom"/>
          </w:tcPr>
          <w:p>
            <w:pPr>
              <w:jc w:val="center"/>
              <w:ind w:right="210"/>
              <w:spacing w:after="0"/>
              <w:rPr>
                <w:sz w:val="20"/>
                <w:szCs w:val="20"/>
                <w:color w:val="auto"/>
              </w:rPr>
            </w:pPr>
            <w:r>
              <w:rPr>
                <w:rFonts w:ascii="Times New Roman" w:cs="Times New Roman" w:eastAsia="Times New Roman" w:hAnsi="Times New Roman"/>
                <w:sz w:val="17"/>
                <w:szCs w:val="17"/>
                <w:color w:val="auto"/>
                <w:w w:val="98"/>
              </w:rPr>
              <w:t>(State or Other Jurisdiction</w:t>
            </w:r>
          </w:p>
        </w:tc>
        <w:tc>
          <w:tcPr>
            <w:tcW w:w="1940" w:type="dxa"/>
            <w:vAlign w:val="bottom"/>
          </w:tcPr>
          <w:p>
            <w:pPr>
              <w:spacing w:after="0"/>
              <w:rPr>
                <w:sz w:val="17"/>
                <w:szCs w:val="17"/>
                <w:color w:val="auto"/>
              </w:rPr>
            </w:pP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(Commission</w:t>
            </w:r>
          </w:p>
        </w:tc>
        <w:tc>
          <w:tcPr>
            <w:tcW w:w="1720" w:type="dxa"/>
            <w:vAlign w:val="bottom"/>
          </w:tcPr>
          <w:p>
            <w:pPr>
              <w:jc w:val="center"/>
              <w:ind w:left="370"/>
              <w:spacing w:after="0"/>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2120" w:type="dxa"/>
            <w:vAlign w:val="bottom"/>
          </w:tcPr>
          <w:p>
            <w:pPr>
              <w:jc w:val="center"/>
              <w:ind w:right="190"/>
              <w:spacing w:after="0"/>
              <w:rPr>
                <w:sz w:val="20"/>
                <w:szCs w:val="20"/>
                <w:color w:val="auto"/>
              </w:rPr>
            </w:pPr>
            <w:r>
              <w:rPr>
                <w:rFonts w:ascii="Times New Roman" w:cs="Times New Roman" w:eastAsia="Times New Roman" w:hAnsi="Times New Roman"/>
                <w:sz w:val="17"/>
                <w:szCs w:val="17"/>
                <w:color w:val="auto"/>
                <w:w w:val="99"/>
              </w:rPr>
              <w:t>of Incorporation)</w:t>
            </w:r>
          </w:p>
        </w:tc>
        <w:tc>
          <w:tcPr>
            <w:tcW w:w="1940" w:type="dxa"/>
            <w:vAlign w:val="bottom"/>
          </w:tcPr>
          <w:p>
            <w:pPr>
              <w:spacing w:after="0"/>
              <w:rPr>
                <w:sz w:val="18"/>
                <w:szCs w:val="18"/>
                <w:color w:val="auto"/>
              </w:rPr>
            </w:pP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File Number)</w:t>
            </w:r>
          </w:p>
        </w:tc>
        <w:tc>
          <w:tcPr>
            <w:tcW w:w="1720" w:type="dxa"/>
            <w:vAlign w:val="bottom"/>
          </w:tcPr>
          <w:p>
            <w:pPr>
              <w:jc w:val="center"/>
              <w:ind w:left="370"/>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400"/>
        </w:trPr>
        <w:tc>
          <w:tcPr>
            <w:tcW w:w="2120" w:type="dxa"/>
            <w:vAlign w:val="bottom"/>
          </w:tcPr>
          <w:p>
            <w:pPr>
              <w:spacing w:after="0"/>
              <w:rPr>
                <w:sz w:val="24"/>
                <w:szCs w:val="24"/>
                <w:color w:val="auto"/>
              </w:rPr>
            </w:pPr>
          </w:p>
        </w:tc>
        <w:tc>
          <w:tcPr>
            <w:tcW w:w="518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601 Brickell Key Drive, Suite 1080</w:t>
            </w:r>
          </w:p>
        </w:tc>
        <w:tc>
          <w:tcPr>
            <w:tcW w:w="1720" w:type="dxa"/>
            <w:vAlign w:val="bottom"/>
          </w:tcPr>
          <w:p>
            <w:pPr>
              <w:spacing w:after="0"/>
              <w:rPr>
                <w:sz w:val="24"/>
                <w:szCs w:val="24"/>
                <w:color w:val="auto"/>
              </w:rPr>
            </w:pPr>
          </w:p>
        </w:tc>
      </w:tr>
      <w:tr>
        <w:trPr>
          <w:trHeight w:val="240"/>
        </w:trPr>
        <w:tc>
          <w:tcPr>
            <w:tcW w:w="2120" w:type="dxa"/>
            <w:vAlign w:val="bottom"/>
          </w:tcPr>
          <w:p>
            <w:pPr>
              <w:spacing w:after="0"/>
              <w:rPr>
                <w:sz w:val="20"/>
                <w:szCs w:val="20"/>
                <w:color w:val="auto"/>
              </w:rPr>
            </w:pPr>
          </w:p>
        </w:tc>
        <w:tc>
          <w:tcPr>
            <w:tcW w:w="518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Miami, Florida 33131</w:t>
            </w:r>
          </w:p>
        </w:tc>
        <w:tc>
          <w:tcPr>
            <w:tcW w:w="1720" w:type="dxa"/>
            <w:vAlign w:val="bottom"/>
          </w:tcPr>
          <w:p>
            <w:pPr>
              <w:spacing w:after="0"/>
              <w:rPr>
                <w:sz w:val="20"/>
                <w:szCs w:val="20"/>
                <w:color w:val="auto"/>
              </w:rPr>
            </w:pPr>
          </w:p>
        </w:tc>
      </w:tr>
      <w:tr>
        <w:trPr>
          <w:trHeight w:val="218"/>
        </w:trPr>
        <w:tc>
          <w:tcPr>
            <w:tcW w:w="2120" w:type="dxa"/>
            <w:vAlign w:val="bottom"/>
          </w:tcPr>
          <w:p>
            <w:pPr>
              <w:spacing w:after="0"/>
              <w:rPr>
                <w:sz w:val="18"/>
                <w:szCs w:val="18"/>
                <w:color w:val="auto"/>
              </w:rPr>
            </w:pPr>
          </w:p>
        </w:tc>
        <w:tc>
          <w:tcPr>
            <w:tcW w:w="51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color w:val="auto"/>
                <w:w w:val="98"/>
              </w:rPr>
              <w:t>(Address of Principal Executive Offices) (Zip Code)</w:t>
            </w:r>
          </w:p>
        </w:tc>
        <w:tc>
          <w:tcPr>
            <w:tcW w:w="1720" w:type="dxa"/>
            <w:vAlign w:val="bottom"/>
          </w:tcPr>
          <w:p>
            <w:pPr>
              <w:spacing w:after="0"/>
              <w:rPr>
                <w:sz w:val="18"/>
                <w:szCs w:val="18"/>
                <w:color w:val="auto"/>
              </w:rPr>
            </w:pPr>
          </w:p>
        </w:tc>
      </w:tr>
      <w:tr>
        <w:trPr>
          <w:trHeight w:val="391"/>
        </w:trPr>
        <w:tc>
          <w:tcPr>
            <w:tcW w:w="2120" w:type="dxa"/>
            <w:vAlign w:val="bottom"/>
          </w:tcPr>
          <w:p>
            <w:pPr>
              <w:spacing w:after="0"/>
              <w:rPr>
                <w:sz w:val="24"/>
                <w:szCs w:val="24"/>
                <w:color w:val="auto"/>
              </w:rPr>
            </w:pPr>
          </w:p>
        </w:tc>
        <w:tc>
          <w:tcPr>
            <w:tcW w:w="3080" w:type="dxa"/>
            <w:vAlign w:val="bottom"/>
            <w:gridSpan w:val="2"/>
          </w:tcPr>
          <w:p>
            <w:pPr>
              <w:jc w:val="center"/>
              <w:ind w:left="1845"/>
              <w:spacing w:after="0"/>
              <w:rPr>
                <w:sz w:val="20"/>
                <w:szCs w:val="20"/>
                <w:color w:val="auto"/>
              </w:rPr>
            </w:pPr>
            <w:r>
              <w:rPr>
                <w:rFonts w:ascii="Times New Roman" w:cs="Times New Roman" w:eastAsia="Times New Roman" w:hAnsi="Times New Roman"/>
                <w:sz w:val="20"/>
                <w:szCs w:val="20"/>
                <w:b w:val="1"/>
                <w:bCs w:val="1"/>
                <w:color w:val="auto"/>
              </w:rPr>
              <w:t>510-906-4600</w:t>
            </w:r>
          </w:p>
        </w:tc>
        <w:tc>
          <w:tcPr>
            <w:tcW w:w="2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2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9"/>
        </w:trPr>
        <w:tc>
          <w:tcPr>
            <w:tcW w:w="2120" w:type="dxa"/>
            <w:vAlign w:val="bottom"/>
          </w:tcPr>
          <w:p>
            <w:pPr>
              <w:spacing w:after="0"/>
              <w:rPr>
                <w:sz w:val="19"/>
                <w:szCs w:val="19"/>
                <w:color w:val="auto"/>
              </w:rPr>
            </w:pPr>
          </w:p>
        </w:tc>
        <w:tc>
          <w:tcPr>
            <w:tcW w:w="518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w w:val="98"/>
              </w:rPr>
              <w:t>(Registrant’s Telephone Number, Including Area Code)</w:t>
            </w:r>
          </w:p>
        </w:tc>
        <w:tc>
          <w:tcPr>
            <w:tcW w:w="1720" w:type="dxa"/>
            <w:vAlign w:val="bottom"/>
          </w:tcPr>
          <w:p>
            <w:pPr>
              <w:spacing w:after="0"/>
              <w:rPr>
                <w:sz w:val="19"/>
                <w:szCs w:val="19"/>
                <w:color w:val="auto"/>
              </w:rPr>
            </w:pPr>
          </w:p>
        </w:tc>
      </w:tr>
      <w:tr>
        <w:trPr>
          <w:trHeight w:val="413"/>
        </w:trPr>
        <w:tc>
          <w:tcPr>
            <w:tcW w:w="2120" w:type="dxa"/>
            <w:vAlign w:val="bottom"/>
          </w:tcPr>
          <w:p>
            <w:pPr>
              <w:spacing w:after="0"/>
              <w:rPr>
                <w:sz w:val="24"/>
                <w:szCs w:val="24"/>
                <w:color w:val="auto"/>
              </w:rPr>
            </w:pPr>
          </w:p>
        </w:tc>
        <w:tc>
          <w:tcPr>
            <w:tcW w:w="518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Not Applicable</w:t>
            </w:r>
          </w:p>
        </w:tc>
        <w:tc>
          <w:tcPr>
            <w:tcW w:w="1720" w:type="dxa"/>
            <w:vAlign w:val="bottom"/>
          </w:tcPr>
          <w:p>
            <w:pPr>
              <w:spacing w:after="0"/>
              <w:rPr>
                <w:sz w:val="24"/>
                <w:szCs w:val="24"/>
                <w:color w:val="auto"/>
              </w:rPr>
            </w:pPr>
          </w:p>
        </w:tc>
      </w:tr>
      <w:tr>
        <w:trPr>
          <w:trHeight w:val="218"/>
        </w:trPr>
        <w:tc>
          <w:tcPr>
            <w:tcW w:w="2120" w:type="dxa"/>
            <w:vAlign w:val="bottom"/>
          </w:tcPr>
          <w:p>
            <w:pPr>
              <w:spacing w:after="0"/>
              <w:rPr>
                <w:sz w:val="18"/>
                <w:szCs w:val="18"/>
                <w:color w:val="auto"/>
              </w:rPr>
            </w:pPr>
          </w:p>
        </w:tc>
        <w:tc>
          <w:tcPr>
            <w:tcW w:w="51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color w:val="auto"/>
                <w:w w:val="98"/>
              </w:rPr>
              <w:t>(Former Name or Former Address, If Changed Since Last Report)</w:t>
            </w:r>
          </w:p>
        </w:tc>
        <w:tc>
          <w:tcPr>
            <w:tcW w:w="1720" w:type="dxa"/>
            <w:vAlign w:val="bottom"/>
          </w:tcPr>
          <w:p>
            <w:pPr>
              <w:spacing w:after="0"/>
              <w:rPr>
                <w:sz w:val="18"/>
                <w:szCs w:val="18"/>
                <w:color w:val="auto"/>
              </w:rPr>
            </w:pPr>
          </w:p>
        </w:tc>
      </w:tr>
    </w:tbl>
    <w:p>
      <w:pPr>
        <w:spacing w:after="0" w:line="186" w:lineRule="exact"/>
        <w:rPr>
          <w:sz w:val="24"/>
          <w:szCs w:val="24"/>
          <w:color w:val="auto"/>
        </w:rPr>
      </w:pPr>
    </w:p>
    <w:p>
      <w:pPr>
        <w:ind w:right="700"/>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General Instruction A.2. below):</w:t>
      </w:r>
    </w:p>
    <w:p>
      <w:pPr>
        <w:spacing w:after="0" w:line="159" w:lineRule="exact"/>
        <w:rPr>
          <w:sz w:val="24"/>
          <w:szCs w:val="24"/>
          <w:color w:val="auto"/>
        </w:rPr>
      </w:pPr>
    </w:p>
    <w:p>
      <w:pPr>
        <w:ind w:left="200" w:hanging="199"/>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200" w:hanging="199"/>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200" w:hanging="199"/>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right="3540" w:firstLine="1"/>
        <w:spacing w:after="0" w:line="274" w:lineRule="auto"/>
        <w:tabs>
          <w:tab w:leader="none" w:pos="19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178"/>
        </w:trPr>
        <w:tc>
          <w:tcPr>
            <w:tcW w:w="4540" w:type="dxa"/>
            <w:vAlign w:val="bottom"/>
            <w:tcBorders>
              <w:left w:val="single" w:sz="8" w:color="auto"/>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Common stock, $0.001 par value per share</w:t>
            </w:r>
          </w:p>
        </w:tc>
        <w:tc>
          <w:tcPr>
            <w:tcW w:w="220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rPr>
              <w:t>PLSE</w:t>
            </w:r>
          </w:p>
        </w:tc>
        <w:tc>
          <w:tcPr>
            <w:tcW w:w="452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The Nasdaq Stock Market</w:t>
            </w:r>
          </w:p>
        </w:tc>
      </w:tr>
    </w:tbl>
    <w:p>
      <w:pPr>
        <w:ind w:right="100"/>
        <w:spacing w:after="0" w:line="25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6" w:lineRule="exact"/>
        <w:rPr>
          <w:sz w:val="24"/>
          <w:szCs w:val="24"/>
          <w:color w:val="auto"/>
        </w:rPr>
      </w:pPr>
    </w:p>
    <w:p>
      <w:pPr>
        <w:ind w:right="20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320675</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12"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7"/>
          <w:szCs w:val="17"/>
          <w:color w:val="auto"/>
        </w:rPr>
        <w:t>On January 14, 2025, Pulse Biosciences, Inc., a Delaware corporation (the “Company”), posted an updated investor presentation on its website. The updated investor presentation (the “Investor Deck”) discloses recent progress in the Company’s ongoing product development programs relating to its proprietary nPulse Vybrance Percutaneous Electrode, its nPulse Cardiac Clamp, and its nPulse Cardiac Catheter. The Company expects to use this updated investor presentation, either in whole or in part, and possibly with modifications, in connection with presentations to investors, analysts and others. A copy of the Investor Deck is attached hereto as Exhibit 99.1 and incorporated by reference in this Item 7.01. The Investor Deck is also available on the Company’s website at www.pulsebiosciences.com under “Investors.”</w:t>
      </w:r>
    </w:p>
    <w:p>
      <w:pPr>
        <w:spacing w:after="0" w:line="176" w:lineRule="exact"/>
        <w:rPr>
          <w:sz w:val="20"/>
          <w:szCs w:val="20"/>
          <w:color w:val="auto"/>
        </w:rPr>
      </w:pPr>
    </w:p>
    <w:p>
      <w:pPr>
        <w:ind w:right="40" w:firstLine="454"/>
        <w:spacing w:after="0" w:line="254" w:lineRule="auto"/>
        <w:rPr>
          <w:sz w:val="20"/>
          <w:szCs w:val="20"/>
          <w:color w:val="auto"/>
        </w:rPr>
      </w:pPr>
      <w:r>
        <w:rPr>
          <w:rFonts w:ascii="Times New Roman" w:cs="Times New Roman" w:eastAsia="Times New Roman" w:hAnsi="Times New Roman"/>
          <w:sz w:val="17"/>
          <w:szCs w:val="17"/>
          <w:color w:val="auto"/>
        </w:rPr>
        <w:t>Except for the Investor Deck, information contained on, or accessible through, the Company’s website is not a part of, and is not incorporated by reference in, this Current Report on Form 8-K. The information contained in the Investor Deck itself is summary information only and it contains forward looking statements that are subject to risks and uncertainties, including those set forth in the Company’s filings with the U.S. Securities and Exchange Commission. Also, the information in the Investor Deck is as of January 2026, and the Company undertakes no obligation to publicly update or revise the information contained in the Investor Deck or this Item 7.01, except as required by law, although it made do so from time to time.</w:t>
      </w:r>
    </w:p>
    <w:p>
      <w:pPr>
        <w:spacing w:after="0" w:line="172" w:lineRule="exact"/>
        <w:rPr>
          <w:sz w:val="20"/>
          <w:szCs w:val="20"/>
          <w:color w:val="auto"/>
        </w:rPr>
      </w:pPr>
    </w:p>
    <w:p>
      <w:pPr>
        <w:ind w:right="380" w:firstLine="454"/>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The information contained in Item 7.01 to this Current Report on Form 8-K and Exhibit 99.1 attached hereto shall not be deemed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filed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for purposes of Section 18 of the Securities Exchange Act of 1934, as amended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or otherwise subject to the liabilities of that section, nor shall it be deemed incorporated by reference in any filing by the Company under the Securities Act of 1933, as amended, or the Exchange Act, unless expressly stated otherwise.</w:t>
      </w:r>
    </w:p>
    <w:p>
      <w:pPr>
        <w:sectPr>
          <w:pgSz w:w="11900" w:h="16838" w:orient="portrait"/>
          <w:cols w:equalWidth="0" w:num="1">
            <w:col w:w="11200"/>
          </w:cols>
          <w:pgMar w:left="320" w:top="548" w:right="379" w:bottom="1440" w:gutter="0" w:footer="0" w:header="0"/>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Description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Investor Deck dated January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347980</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2">
            <w:col w:w="800" w:space="340"/>
            <w:col w:w="10060"/>
          </w:cols>
          <w:pgMar w:left="320" w:top="548" w:right="3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19"/>
                <w:szCs w:val="19"/>
                <w:color w:val="auto"/>
              </w:rPr>
            </w:pPr>
          </w:p>
        </w:tc>
        <w:tc>
          <w:tcPr>
            <w:tcW w:w="7380" w:type="dxa"/>
            <w:vAlign w:val="bottom"/>
            <w:gridSpan w:val="2"/>
          </w:tcPr>
          <w:p>
            <w:pPr>
              <w:ind w:left="1740"/>
              <w:spacing w:after="0"/>
              <w:rPr>
                <w:sz w:val="20"/>
                <w:szCs w:val="20"/>
                <w:color w:val="auto"/>
              </w:rPr>
            </w:pPr>
            <w:r>
              <w:rPr>
                <w:rFonts w:ascii="Times New Roman" w:cs="Times New Roman" w:eastAsia="Times New Roman" w:hAnsi="Times New Roman"/>
                <w:sz w:val="17"/>
                <w:szCs w:val="17"/>
                <w:b w:val="1"/>
                <w:bCs w:val="1"/>
                <w:color w:val="auto"/>
              </w:rPr>
              <w:t>PULSE BIOSCIENCES, INC.</w:t>
            </w:r>
          </w:p>
        </w:tc>
      </w:tr>
      <w:tr>
        <w:trPr>
          <w:trHeight w:val="605"/>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Date: January 14, 2026</w:t>
            </w:r>
          </w:p>
        </w:tc>
        <w:tc>
          <w:tcPr>
            <w:tcW w:w="23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Paul A. LaViolette</w:t>
            </w:r>
          </w:p>
        </w:tc>
      </w:tr>
      <w:tr>
        <w:trPr>
          <w:trHeight w:val="196"/>
        </w:trPr>
        <w:tc>
          <w:tcPr>
            <w:tcW w:w="3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Paul A. LaViolette</w:t>
            </w:r>
          </w:p>
        </w:tc>
      </w:tr>
    </w:tbl>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548" w:right="339" w:bottom="1440" w:gutter="0" w:footer="0" w:header="0"/>
        </w:sectPr>
      </w:pPr>
    </w:p>
    <w:bookmarkStart w:id="3" w:name="page4"/>
    <w:bookmarkEnd w:id="3"/>
    <w:p>
      <w:pPr>
        <w:ind w:left="926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4667885</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405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265" cy="405130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051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00265" cy="405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2026-01-14T08:03:01Z</dcterms:created>
  <dcterms:modified xsi:type="dcterms:W3CDTF">2026-01-14T08:03:01Z</dcterms:modified>
</cp:coreProperties>
</file>