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Teplitsky Liane Rae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PULSE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3957 POINT EDEN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HAYWARD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PULSE BIOSCIENCES, INC.</w:t>
              </w:r>
            </w:hyperlink>
            <w:r>
              <w:rPr/>
              <w:t xml:space="preserve"> [ </w:t>
            </w:r>
            <w:r>
              <w:rPr>
                <w:rFonts w:ascii="Times;serif" w:hAnsi="Times;serif"/>
                <w:color w:val="0000FF"/>
                <w:sz w:val="24"/>
                <w:shd w:fill="FFFFFF" w:val="clear"/>
              </w:rPr>
              <w:t>PLSE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upon certain performance-based criteria established by the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Two sevenths of the shares subject to the option will vest in equal installments on the first, second, third, and fourth anniversaries of the grant date and the remaining shares subject to the option will vest in equal tranches upon the achievement of three performance-based vesting criteria tied to both the Issuer's market capitalization ranging from $2 billion to $5 billion and GAAP product revenue targets ranging from $100 million to $330 million, in all cases, subject to the Reporting Person's continued service through each vesting milestone.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B. Stratton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2552" TargetMode="External"/><Relationship Id="rId5" Type="http://schemas.openxmlformats.org/officeDocument/2006/relationships/hyperlink" Target="http://www.sec.gov/cgi-bin/browse-edgar?action=getcompany&amp;CIK=0001625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3865</Characters>
  <CharactersWithSpaces>4490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