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0"/>
          <w:szCs w:val="40"/>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5"/>
          <w:szCs w:val="25"/>
          <w:b w:val="1"/>
          <w:bCs w:val="1"/>
          <w:u w:val="single" w:color="auto"/>
          <w:color w:val="auto"/>
        </w:rPr>
        <w:t>May 5, 2026</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Pulse Biosciences,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160" w:type="dxa"/>
            <w:vAlign w:val="bottom"/>
            <w:gridSpan w:val="2"/>
          </w:tcPr>
          <w:p>
            <w:pPr>
              <w:ind w:left="2140"/>
              <w:spacing w:after="0"/>
              <w:rPr>
                <w:sz w:val="20"/>
                <w:szCs w:val="20"/>
                <w:color w:val="auto"/>
              </w:rPr>
            </w:pPr>
            <w:r>
              <w:rPr>
                <w:rFonts w:ascii="Times New Roman" w:cs="Times New Roman" w:eastAsia="Times New Roman" w:hAnsi="Times New Roman"/>
                <w:sz w:val="22"/>
                <w:szCs w:val="22"/>
                <w:b w:val="1"/>
                <w:bCs w:val="1"/>
                <w:color w:val="auto"/>
              </w:rPr>
              <w:t>001-37744</w:t>
            </w:r>
          </w:p>
        </w:tc>
        <w:tc>
          <w:tcPr>
            <w:tcW w:w="2120" w:type="dxa"/>
            <w:vAlign w:val="bottom"/>
          </w:tcPr>
          <w:p>
            <w:pPr>
              <w:spacing w:after="0"/>
              <w:rPr>
                <w:sz w:val="22"/>
                <w:szCs w:val="22"/>
                <w:color w:val="auto"/>
              </w:rPr>
            </w:pPr>
          </w:p>
        </w:tc>
        <w:tc>
          <w:tcPr>
            <w:tcW w:w="1700" w:type="dxa"/>
            <w:vAlign w:val="bottom"/>
          </w:tcPr>
          <w:p>
            <w:pPr>
              <w:jc w:val="center"/>
              <w:ind w:left="244"/>
              <w:spacing w:after="0"/>
              <w:rPr>
                <w:sz w:val="20"/>
                <w:szCs w:val="20"/>
                <w:color w:val="auto"/>
              </w:rPr>
            </w:pPr>
            <w:r>
              <w:rPr>
                <w:rFonts w:ascii="Times New Roman" w:cs="Times New Roman" w:eastAsia="Times New Roman" w:hAnsi="Times New Roman"/>
                <w:sz w:val="22"/>
                <w:szCs w:val="22"/>
                <w:b w:val="1"/>
                <w:bCs w:val="1"/>
                <w:color w:val="auto"/>
                <w:w w:val="97"/>
              </w:rPr>
              <w:t>46-5696597</w:t>
            </w:r>
          </w:p>
        </w:tc>
      </w:tr>
      <w:tr>
        <w:trPr>
          <w:trHeight w:val="21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94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of Incorporation)</w:t>
            </w:r>
          </w:p>
        </w:tc>
        <w:tc>
          <w:tcPr>
            <w:tcW w:w="194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8"/>
        </w:trPr>
        <w:tc>
          <w:tcPr>
            <w:tcW w:w="2140" w:type="dxa"/>
            <w:vAlign w:val="bottom"/>
          </w:tcPr>
          <w:p>
            <w:pPr>
              <w:spacing w:after="0"/>
              <w:rPr>
                <w:sz w:val="24"/>
                <w:szCs w:val="24"/>
                <w:color w:val="auto"/>
              </w:rPr>
            </w:pPr>
          </w:p>
        </w:tc>
        <w:tc>
          <w:tcPr>
            <w:tcW w:w="5280" w:type="dxa"/>
            <w:vAlign w:val="bottom"/>
            <w:gridSpan w:val="3"/>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601 Brickell Key Drive, Suite 1080</w:t>
            </w:r>
          </w:p>
        </w:tc>
        <w:tc>
          <w:tcPr>
            <w:tcW w:w="1700" w:type="dxa"/>
            <w:vAlign w:val="bottom"/>
          </w:tcPr>
          <w:p>
            <w:pPr>
              <w:spacing w:after="0"/>
              <w:rPr>
                <w:sz w:val="24"/>
                <w:szCs w:val="24"/>
                <w:color w:val="auto"/>
              </w:rPr>
            </w:pPr>
          </w:p>
        </w:tc>
      </w:tr>
      <w:tr>
        <w:trPr>
          <w:trHeight w:val="256"/>
        </w:trPr>
        <w:tc>
          <w:tcPr>
            <w:tcW w:w="2140" w:type="dxa"/>
            <w:vAlign w:val="bottom"/>
          </w:tcPr>
          <w:p>
            <w:pPr>
              <w:spacing w:after="0"/>
              <w:rPr>
                <w:sz w:val="22"/>
                <w:szCs w:val="22"/>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Miami, Florida 33131</w:t>
            </w:r>
          </w:p>
        </w:tc>
        <w:tc>
          <w:tcPr>
            <w:tcW w:w="1700" w:type="dxa"/>
            <w:vAlign w:val="bottom"/>
          </w:tcPr>
          <w:p>
            <w:pPr>
              <w:spacing w:after="0"/>
              <w:rPr>
                <w:sz w:val="22"/>
                <w:szCs w:val="22"/>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19"/>
        </w:trPr>
        <w:tc>
          <w:tcPr>
            <w:tcW w:w="2140" w:type="dxa"/>
            <w:vAlign w:val="bottom"/>
          </w:tcPr>
          <w:p>
            <w:pPr>
              <w:spacing w:after="0"/>
              <w:rPr>
                <w:sz w:val="24"/>
                <w:szCs w:val="24"/>
                <w:color w:val="auto"/>
              </w:rPr>
            </w:pPr>
          </w:p>
        </w:tc>
        <w:tc>
          <w:tcPr>
            <w:tcW w:w="3160" w:type="dxa"/>
            <w:vAlign w:val="bottom"/>
            <w:gridSpan w:val="2"/>
          </w:tcPr>
          <w:p>
            <w:pPr>
              <w:jc w:val="center"/>
              <w:ind w:left="1839"/>
              <w:spacing w:after="0"/>
              <w:rPr>
                <w:sz w:val="20"/>
                <w:szCs w:val="20"/>
                <w:color w:val="auto"/>
              </w:rPr>
            </w:pPr>
            <w:r>
              <w:rPr>
                <w:rFonts w:ascii="Times New Roman" w:cs="Times New Roman" w:eastAsia="Times New Roman" w:hAnsi="Times New Roman"/>
                <w:sz w:val="22"/>
                <w:szCs w:val="22"/>
                <w:b w:val="1"/>
                <w:bCs w:val="1"/>
                <w:color w:val="auto"/>
                <w:w w:val="97"/>
              </w:rPr>
              <w:t>510-906-4600</w:t>
            </w: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00" w:type="dxa"/>
            <w:vAlign w:val="bottom"/>
          </w:tcPr>
          <w:p>
            <w:pPr>
              <w:spacing w:after="0"/>
              <w:rPr>
                <w:sz w:val="20"/>
                <w:szCs w:val="20"/>
                <w:color w:val="auto"/>
              </w:rPr>
            </w:pPr>
          </w:p>
        </w:tc>
      </w:tr>
      <w:tr>
        <w:trPr>
          <w:trHeight w:val="441"/>
        </w:trPr>
        <w:tc>
          <w:tcPr>
            <w:tcW w:w="2140" w:type="dxa"/>
            <w:vAlign w:val="bottom"/>
          </w:tcPr>
          <w:p>
            <w:pPr>
              <w:spacing w:after="0"/>
              <w:rPr>
                <w:sz w:val="24"/>
                <w:szCs w:val="24"/>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282"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5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PLSE</w:t>
            </w:r>
          </w:p>
        </w:tc>
        <w:tc>
          <w:tcPr>
            <w:tcW w:w="4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May 5, 2026, the Board of Directors of Pulse Biosciences, Inc. (the “Company”) approved resolutions permitting TD Securities (USA) LLC, as sales agent (“TD Cowen”), to sell Company common stock to one or more Company affiliates pursuant to that certain Equity Distribution Agreement, dated February 19, 2026, by and between TD Cowen and the Company (the “Sales Agreement”), should any of them wish to purchase shares through the Sales Agreement without a discount to the then current market trading price for Company common stock. Under the at-the-market Sales Agreement, the Company may offer and sell, from time to time, through TD Cowen shares of the Company’s common stock, par value $0.001 per share (the “Common Stock”), having an aggregate offering price of up to $59,976,196.</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Separately, Mr. Robert Duggan, the Company’s Co-Chairman of the Board of Directors and the beneficial owner of approximately 72% of our outstanding common stock as of March 31, 2026, and Mr. Paul LaViolette, the Company’s Chief Executive Officer and Co-Chairman, have indicated that they are likely to purchase shares in the near term, but they have not indicated the number of shares they intend to purchase nor have they made any formal binding commitments to do so. Any purchases of shares by these individuals would be at the prevailing market bid price or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64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Jon Skinner</w:t>
            </w:r>
          </w:p>
        </w:tc>
      </w:tr>
      <w:tr>
        <w:trPr>
          <w:trHeight w:val="191"/>
        </w:trPr>
        <w:tc>
          <w:tcPr>
            <w:tcW w:w="32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4"/>
        </w:trPr>
        <w:tc>
          <w:tcPr>
            <w:tcW w:w="3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2026-05-06T08:07:17Z</dcterms:created>
  <dcterms:modified xsi:type="dcterms:W3CDTF">2026-05-06T08:07:17Z</dcterms:modified>
</cp:coreProperties>
</file>