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774700</wp:posOffset>
            </wp:positionH>
            <wp:positionV relativeFrom="page">
              <wp:posOffset>328930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4060" w:type="dxa"/>
            <w:vAlign w:val="bottom"/>
          </w:tcPr>
          <w:p>
            <w:pPr>
              <w:jc w:val="center"/>
              <w:ind w:right="1319"/>
              <w:spacing w:after="0"/>
              <w:rPr>
                <w:sz w:val="20"/>
                <w:szCs w:val="20"/>
                <w:color w:val="auto"/>
              </w:rPr>
            </w:pPr>
            <w:r>
              <w:rPr>
                <w:rFonts w:ascii="Arial" w:cs="Arial" w:eastAsia="Arial" w:hAnsi="Arial"/>
                <w:sz w:val="16"/>
                <w:szCs w:val="16"/>
                <w:b w:val="1"/>
                <w:bCs w:val="1"/>
                <w:color w:val="auto"/>
                <w:w w:val="93"/>
              </w:rPr>
              <w:t>Delaware</w:t>
            </w:r>
          </w:p>
        </w:tc>
        <w:tc>
          <w:tcPr>
            <w:tcW w:w="2640" w:type="dxa"/>
            <w:vAlign w:val="bottom"/>
          </w:tcPr>
          <w:p>
            <w:pPr>
              <w:jc w:val="right"/>
              <w:ind w:right="15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4060" w:type="dxa"/>
            <w:vAlign w:val="bottom"/>
          </w:tcPr>
          <w:p>
            <w:pPr>
              <w:jc w:val="center"/>
              <w:ind w:right="131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2640" w:type="dxa"/>
            <w:vAlign w:val="bottom"/>
          </w:tcPr>
          <w:p>
            <w:pPr>
              <w:jc w:val="center"/>
              <w:ind w:left="1279"/>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4060" w:type="dxa"/>
            <w:vAlign w:val="bottom"/>
          </w:tcPr>
          <w:p>
            <w:pPr>
              <w:jc w:val="center"/>
              <w:ind w:right="1319"/>
              <w:spacing w:after="0"/>
              <w:rPr>
                <w:sz w:val="20"/>
                <w:szCs w:val="20"/>
                <w:color w:val="auto"/>
              </w:rPr>
            </w:pPr>
            <w:r>
              <w:rPr>
                <w:rFonts w:ascii="Arial" w:cs="Arial" w:eastAsia="Arial" w:hAnsi="Arial"/>
                <w:sz w:val="16"/>
                <w:szCs w:val="16"/>
                <w:b w:val="1"/>
                <w:bCs w:val="1"/>
                <w:color w:val="auto"/>
                <w:w w:val="91"/>
              </w:rPr>
              <w:t>incorporation or organization)</w:t>
            </w:r>
          </w:p>
        </w:tc>
        <w:tc>
          <w:tcPr>
            <w:tcW w:w="2640" w:type="dxa"/>
            <w:vAlign w:val="bottom"/>
          </w:tcPr>
          <w:p>
            <w:pPr>
              <w:jc w:val="center"/>
              <w:ind w:left="1279"/>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89"/>
        </w:trPr>
        <w:tc>
          <w:tcPr>
            <w:tcW w:w="4060" w:type="dxa"/>
            <w:vAlign w:val="bottom"/>
          </w:tcPr>
          <w:p>
            <w:pPr>
              <w:jc w:val="center"/>
              <w:ind w:right="1319"/>
              <w:spacing w:after="0"/>
              <w:rPr>
                <w:sz w:val="20"/>
                <w:szCs w:val="20"/>
                <w:color w:val="auto"/>
              </w:rPr>
            </w:pPr>
            <w:r>
              <w:rPr>
                <w:rFonts w:ascii="Arial" w:cs="Arial" w:eastAsia="Arial" w:hAnsi="Arial"/>
                <w:sz w:val="16"/>
                <w:szCs w:val="16"/>
                <w:b w:val="1"/>
                <w:bCs w:val="1"/>
                <w:color w:val="auto"/>
                <w:w w:val="93"/>
              </w:rPr>
              <w:t>3957 Point Eden Way</w:t>
            </w:r>
          </w:p>
        </w:tc>
        <w:tc>
          <w:tcPr>
            <w:tcW w:w="26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4060" w:type="dxa"/>
            <w:vAlign w:val="bottom"/>
          </w:tcPr>
          <w:p>
            <w:pPr>
              <w:jc w:val="center"/>
              <w:ind w:right="1319"/>
              <w:spacing w:after="0" w:line="162" w:lineRule="exact"/>
              <w:rPr>
                <w:sz w:val="20"/>
                <w:szCs w:val="20"/>
                <w:color w:val="auto"/>
              </w:rPr>
            </w:pPr>
            <w:r>
              <w:rPr>
                <w:rFonts w:ascii="Arial" w:cs="Arial" w:eastAsia="Arial" w:hAnsi="Arial"/>
                <w:sz w:val="16"/>
                <w:szCs w:val="16"/>
                <w:b w:val="1"/>
                <w:bCs w:val="1"/>
                <w:color w:val="auto"/>
                <w:w w:val="99"/>
              </w:rPr>
              <w:t>Hayward, CA</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Pr>
          <w:p>
            <w:pPr>
              <w:jc w:val="center"/>
              <w:ind w:right="12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640" w:type="dxa"/>
            <w:vAlign w:val="bottom"/>
          </w:tcPr>
          <w:p>
            <w:pPr>
              <w:jc w:val="center"/>
              <w:ind w:left="1279"/>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(510) 906-4600</w:t>
      </w:r>
    </w:p>
    <w:p>
      <w:pPr>
        <w:jc w:val="center"/>
        <w:ind w:right="-19"/>
        <w:spacing w:after="0" w:line="211" w:lineRule="auto"/>
        <w:rPr>
          <w:sz w:val="20"/>
          <w:szCs w:val="20"/>
          <w:color w:val="auto"/>
        </w:rPr>
      </w:pPr>
      <w:r>
        <w:rPr>
          <w:rFonts w:ascii="Arial" w:cs="Arial" w:eastAsia="Arial" w:hAnsi="Arial"/>
          <w:sz w:val="16"/>
          <w:szCs w:val="16"/>
          <w:b w:val="1"/>
          <w:bCs w:val="1"/>
          <w:color w:val="auto"/>
        </w:rPr>
        <w:t>(Registrant’s telephone number, including area code)</w:t>
      </w:r>
    </w:p>
    <w:p>
      <w:pPr>
        <w:ind w:left="33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45"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6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120" w:firstLine="441"/>
        <w:spacing w:after="0" w:line="2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2"/>
        </w:trPr>
        <w:tc>
          <w:tcPr>
            <w:tcW w:w="2580" w:type="dxa"/>
            <w:vAlign w:val="bottom"/>
          </w:tcPr>
          <w:p>
            <w:pPr>
              <w:spacing w:after="0" w:line="152" w:lineRule="exact"/>
              <w:rPr>
                <w:sz w:val="20"/>
                <w:szCs w:val="20"/>
                <w:color w:val="auto"/>
              </w:rPr>
            </w:pPr>
            <w:r>
              <w:rPr>
                <w:rFonts w:ascii="Arial" w:cs="Arial" w:eastAsia="Arial" w:hAnsi="Arial"/>
                <w:sz w:val="16"/>
                <w:szCs w:val="16"/>
                <w:color w:val="auto"/>
              </w:rPr>
              <w:t>Large accelerated filer</w:t>
            </w:r>
          </w:p>
        </w:tc>
        <w:tc>
          <w:tcPr>
            <w:tcW w:w="1580" w:type="dxa"/>
            <w:vAlign w:val="bottom"/>
          </w:tcPr>
          <w:p>
            <w:pPr>
              <w:ind w:left="800"/>
              <w:spacing w:after="0" w:line="153"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640"/>
              <w:spacing w:after="0" w:line="152" w:lineRule="exact"/>
              <w:rPr>
                <w:sz w:val="20"/>
                <w:szCs w:val="20"/>
                <w:color w:val="auto"/>
              </w:rPr>
            </w:pPr>
            <w:r>
              <w:rPr>
                <w:rFonts w:ascii="Arial" w:cs="Arial" w:eastAsia="Arial" w:hAnsi="Arial"/>
                <w:sz w:val="16"/>
                <w:szCs w:val="16"/>
                <w:color w:val="auto"/>
              </w:rPr>
              <w:t>Accelerated filer</w:t>
            </w:r>
          </w:p>
        </w:tc>
        <w:tc>
          <w:tcPr>
            <w:tcW w:w="1480" w:type="dxa"/>
            <w:vAlign w:val="bottom"/>
          </w:tcPr>
          <w:p>
            <w:pPr>
              <w:ind w:left="1340"/>
              <w:spacing w:after="0" w:line="153" w:lineRule="exact"/>
              <w:rPr>
                <w:sz w:val="20"/>
                <w:szCs w:val="20"/>
                <w:color w:val="auto"/>
              </w:rPr>
            </w:pPr>
            <w:r>
              <w:rPr>
                <w:rFonts w:ascii="MS PGothic" w:cs="MS PGothic" w:eastAsia="MS PGothic" w:hAnsi="MS PGothic"/>
                <w:sz w:val="16"/>
                <w:szCs w:val="16"/>
                <w:color w:val="auto"/>
                <w:w w:val="74"/>
              </w:rPr>
              <w:t>☒</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640"/>
              <w:spacing w:after="0" w:line="162" w:lineRule="exact"/>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87" w:lineRule="exact"/>
        <w:rPr>
          <w:sz w:val="24"/>
          <w:szCs w:val="24"/>
          <w:color w:val="auto"/>
        </w:rPr>
      </w:pPr>
    </w:p>
    <w:p>
      <w:pPr>
        <w:ind w:right="700" w:firstLine="441"/>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1" w:lineRule="exact"/>
        <w:rPr>
          <w:sz w:val="24"/>
          <w:szCs w:val="24"/>
          <w:color w:val="auto"/>
        </w:rPr>
      </w:pPr>
    </w:p>
    <w:p>
      <w:pPr>
        <w:ind w:left="440" w:right="52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Number of shares outstanding of the issuer’s common stock as of July 30, 2018: 16,886,346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01154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260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480695</wp:posOffset>
            </wp:positionV>
            <wp:extent cx="60540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643" w:right="12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2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as of June 30, 2018 and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jc w:val="both"/>
        <w:ind w:left="180" w:right="2560"/>
        <w:spacing w:after="0" w:line="215" w:lineRule="auto"/>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Statements of Operations and Comprehensive Loss</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for the Three-Month and Six-Month Periods Ended June 30, 2018 and 2017</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Condensed Consolidated Statements of Cash Flows</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-102235</wp:posOffset>
            </wp:positionV>
            <wp:extent cx="601154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spacing w:after="0" w:line="22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Six-Month Periods Ended June 30, 2018 and 2017</w:t>
        </w:r>
      </w:hyperlink>
    </w:p>
    <w:p>
      <w:pPr>
        <w:spacing w:after="0" w:line="1" w:lineRule="exact"/>
        <w:rPr>
          <w:rFonts w:ascii="Arial" w:cs="Arial" w:eastAsia="Arial" w:hAnsi="Arial"/>
          <w:sz w:val="17"/>
          <w:szCs w:val="17"/>
          <w:u w:val="single" w:color="auto"/>
          <w:color w:val="0000EE"/>
        </w:rPr>
      </w:pPr>
    </w:p>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7" w:lineRule="exact"/>
        <w:rPr>
          <w:rFonts w:ascii="Arial" w:cs="Arial" w:eastAsia="Arial" w:hAnsi="Arial"/>
          <w:sz w:val="17"/>
          <w:szCs w:val="17"/>
          <w:u w:val="single" w:color="auto"/>
          <w:color w:val="0000EE"/>
        </w:rPr>
      </w:pPr>
    </w:p>
    <w:p>
      <w:pPr>
        <w:ind w:right="1240"/>
        <w:spacing w:after="0" w:line="255"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Item 4.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-418465</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01154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8"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5</w:t>
      </w:r>
    </w:p>
    <w:p>
      <w:pPr>
        <w:spacing w:after="0" w:line="77"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14</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20</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21</w:t>
      </w:r>
    </w:p>
    <w:p>
      <w:pPr>
        <w:spacing w:after="0" w:line="139" w:lineRule="exact"/>
        <w:rPr>
          <w:rFonts w:ascii="Arial" w:cs="Arial" w:eastAsia="Arial" w:hAnsi="Arial"/>
          <w:sz w:val="18"/>
          <w:szCs w:val="18"/>
          <w:u w:val="single" w:color="auto"/>
          <w:color w:val="0000EE"/>
        </w:rPr>
      </w:pPr>
    </w:p>
    <w:p>
      <w:pPr>
        <w:sectPr>
          <w:pgSz w:w="11900" w:h="16838" w:orient="portrait"/>
          <w:cols w:equalWidth="0" w:num="2">
            <w:col w:w="8260" w:space="72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2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top w:val="single" w:sz="8" w:color="CCEEFF"/>
            </w:tcBorders>
            <w:gridSpan w:val="9"/>
          </w:tcPr>
          <w:p>
            <w:pPr>
              <w:spacing w:after="0" w:line="170" w:lineRule="exact"/>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2000" w:type="dxa"/>
            <w:vAlign w:val="bottom"/>
            <w:tcBorders>
              <w:top w:val="single" w:sz="8" w:color="CCEEFF"/>
            </w:tcBorders>
          </w:tcPr>
          <w:p>
            <w:pPr>
              <w:jc w:val="right"/>
              <w:spacing w:after="0" w:line="170"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1A. Risk Factors</w:t>
              </w:r>
            </w:hyperlink>
          </w:p>
        </w:tc>
        <w:tc>
          <w:tcPr>
            <w:tcW w:w="5860" w:type="dxa"/>
            <w:vAlign w:val="bottom"/>
            <w:tcBorders>
              <w:bottom w:val="single" w:sz="8" w:color="CCEEFF"/>
            </w:tcBorders>
            <w:gridSpan w:val="8"/>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2"/>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Default Upon Senior Securities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2260" w:type="dxa"/>
            <w:vAlign w:val="bottom"/>
            <w:tcBorders>
              <w:top w:val="single" w:sz="8" w:color="0000EE"/>
            </w:tcBorders>
            <w:gridSpan w:val="7"/>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4660" w:type="dxa"/>
            <w:vAlign w:val="bottom"/>
            <w:tcBorders>
              <w:top w:val="single" w:sz="8" w:color="CCEEFF"/>
            </w:tcBorders>
            <w:gridSpan w:val="4"/>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1320" w:type="dxa"/>
            <w:vAlign w:val="bottom"/>
            <w:tcBorders>
              <w:top w:val="single" w:sz="8" w:color="0000EE"/>
            </w:tcBorders>
            <w:gridSpan w:val="4"/>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5600" w:type="dxa"/>
            <w:vAlign w:val="bottom"/>
            <w:tcBorders>
              <w:top w:val="single" w:sz="8" w:color="CCEEFF"/>
            </w:tcBorders>
            <w:gridSpan w:val="7"/>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140" w:type="dxa"/>
            <w:vAlign w:val="bottom"/>
            <w:tcBorders>
              <w:top w:val="single" w:sz="8" w:color="CCEEFF"/>
            </w:tcBorders>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thousands except par value amounts)</w:t>
            </w:r>
          </w:p>
        </w:tc>
        <w:tc>
          <w:tcPr>
            <w:tcW w:w="240" w:type="dxa"/>
            <w:vAlign w:val="bottom"/>
          </w:tcPr>
          <w:p>
            <w:pPr>
              <w:spacing w:after="0"/>
              <w:rPr>
                <w:sz w:val="15"/>
                <w:szCs w:val="15"/>
                <w:color w:val="auto"/>
              </w:rPr>
            </w:pPr>
          </w:p>
        </w:tc>
        <w:tc>
          <w:tcPr>
            <w:tcW w:w="100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Other asset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rent, 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Deferred rent, less current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24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0"/>
              </w:rPr>
              <w:t>authorized – 500,000 shares; issued and outstanding – 16,886 shares and 16,819 shares at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June 30, 2018 and December 31, 2017, respectively</w:t>
            </w: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(56,004)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Three-Month Periods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5"/>
              </w:rPr>
              <w:t>Six-Month Periods Ended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3"/>
        </w:trPr>
        <w:tc>
          <w:tcPr>
            <w:tcW w:w="52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28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169"/>
        </w:trPr>
        <w:tc>
          <w:tcPr>
            <w:tcW w:w="52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76"/>
        </w:trPr>
        <w:tc>
          <w:tcPr>
            <w:tcW w:w="5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Unrealized gain on available-for-sale securities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163"/>
        </w:trPr>
        <w:tc>
          <w:tcPr>
            <w:tcW w:w="5280" w:type="dxa"/>
            <w:vAlign w:val="bottom"/>
            <w:tcBorders>
              <w:top w:val="single" w:sz="8" w:color="CCEEFF"/>
            </w:tcBorders>
            <w:gridSpan w:val="2"/>
          </w:tcPr>
          <w:p>
            <w:pPr>
              <w:spacing w:after="0" w:line="163" w:lineRule="exact"/>
              <w:rPr>
                <w:sz w:val="20"/>
                <w:szCs w:val="20"/>
                <w:color w:val="auto"/>
              </w:rPr>
            </w:pPr>
            <w:r>
              <w:rPr>
                <w:rFonts w:ascii="Arial" w:cs="Arial" w:eastAsia="Arial" w:hAnsi="Arial"/>
                <w:sz w:val="18"/>
                <w:szCs w:val="18"/>
                <w:color w:val="auto"/>
              </w:rPr>
              <w:t>Net loss per share:</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22"/>
        </w:trPr>
        <w:tc>
          <w:tcPr>
            <w:tcW w:w="52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Weighted average shares used to compute net loss per common share</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16,881</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14,233</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16,861</w:t>
            </w: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 basic and diluted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3"/>
          <w:szCs w:val="13"/>
          <w:b w:val="1"/>
          <w:bCs w:val="1"/>
          <w:color w:val="auto"/>
        </w:rPr>
        <w:t>Six-Month Periods Ended</w:t>
      </w:r>
    </w:p>
    <w:p>
      <w:pPr>
        <w:spacing w:after="0" w:line="3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1154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14" w:lineRule="auto"/>
        <w:rPr>
          <w:sz w:val="20"/>
          <w:szCs w:val="20"/>
          <w:color w:val="auto"/>
        </w:rPr>
      </w:pPr>
      <w:r>
        <w:rPr>
          <w:rFonts w:ascii="Arial" w:cs="Arial" w:eastAsia="Arial" w:hAnsi="Arial"/>
          <w:sz w:val="18"/>
          <w:szCs w:val="18"/>
          <w:color w:val="auto"/>
        </w:rPr>
        <w:t>Net loss</w:t>
      </w:r>
    </w:p>
    <w:p>
      <w:pPr>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601154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220"/>
        <w:spacing w:after="0" w:line="216" w:lineRule="auto"/>
        <w:rPr>
          <w:sz w:val="20"/>
          <w:szCs w:val="20"/>
          <w:color w:val="auto"/>
        </w:rPr>
      </w:pPr>
      <w:r>
        <w:rPr>
          <w:rFonts w:ascii="Arial" w:cs="Arial" w:eastAsia="Arial" w:hAnsi="Arial"/>
          <w:sz w:val="18"/>
          <w:szCs w:val="18"/>
          <w:color w:val="auto"/>
        </w:rPr>
        <w:t>Net premium amortization on investments</w:t>
      </w:r>
    </w:p>
    <w:p>
      <w:pPr>
        <w:ind w:left="22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0115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Deferred rent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01154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1545"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Sales of investments</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01154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1545"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Proceeds from issuance of common stock under employee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01154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exercises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01154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right="940"/>
        <w:spacing w:after="0" w:line="250" w:lineRule="auto"/>
        <w:rPr>
          <w:sz w:val="20"/>
          <w:szCs w:val="20"/>
          <w:color w:val="auto"/>
        </w:rPr>
      </w:pPr>
      <w:r>
        <w:rPr>
          <w:rFonts w:ascii="Arial" w:cs="Arial" w:eastAsia="Arial" w:hAnsi="Arial"/>
          <w:sz w:val="18"/>
          <w:szCs w:val="18"/>
          <w:color w:val="auto"/>
        </w:rPr>
        <w:t>Tax payments related to shares withheld for vested restricted stock units Proceeds from exercises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01154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Net cash provided by financing activities</w:t>
      </w:r>
    </w:p>
    <w:p>
      <w:pPr>
        <w:spacing w:after="0" w:line="23" w:lineRule="exact"/>
        <w:rPr>
          <w:sz w:val="20"/>
          <w:szCs w:val="20"/>
          <w:color w:val="auto"/>
        </w:rPr>
      </w:pPr>
    </w:p>
    <w:p>
      <w:pPr>
        <w:ind w:right="1700" w:firstLine="648"/>
        <w:spacing w:after="0" w:line="307" w:lineRule="auto"/>
        <w:rPr>
          <w:sz w:val="20"/>
          <w:szCs w:val="20"/>
          <w:color w:val="auto"/>
        </w:rPr>
      </w:pPr>
      <w:r>
        <w:rPr>
          <w:rFonts w:ascii="Arial" w:cs="Arial" w:eastAsia="Arial" w:hAnsi="Arial"/>
          <w:sz w:val="16"/>
          <w:szCs w:val="16"/>
          <w:color w:val="auto"/>
        </w:rPr>
        <w:t>Net increase (decrease)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601154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01154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1154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1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(17,831)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7"/>
        </w:trPr>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10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1"/>
        </w:trPr>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5"/>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9"/>
        </w:trPr>
        <w:tc>
          <w:tcPr>
            <w:tcW w:w="2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189"/>
        </w:trPr>
        <w:tc>
          <w:tcPr>
            <w:tcW w:w="280" w:type="dxa"/>
            <w:vAlign w:val="bottom"/>
          </w:tcPr>
          <w:p>
            <w:pPr>
              <w:spacing w:after="0"/>
              <w:rPr>
                <w:sz w:val="16"/>
                <w:szCs w:val="16"/>
                <w:color w:val="auto"/>
              </w:rPr>
            </w:pPr>
          </w:p>
        </w:tc>
        <w:tc>
          <w:tcPr>
            <w:tcW w:w="104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2017</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(9,378)</w:t>
      </w: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586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2,119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(3,707)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-116205</wp:posOffset>
            </wp:positionV>
            <wp:extent cx="7886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(11,363)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12,249</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-1905</wp:posOffset>
            </wp:positionV>
            <wp:extent cx="7886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(1,578)</w:t>
      </w:r>
    </w:p>
    <w:p>
      <w:pPr>
        <w:spacing w:after="0" w:line="20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jc w:val="right"/>
        <w:ind w:right="40"/>
        <w:spacing w:after="0"/>
        <w:rPr>
          <w:sz w:val="20"/>
          <w:szCs w:val="20"/>
          <w:color w:val="auto"/>
        </w:rPr>
      </w:pPr>
      <w:r>
        <w:rPr>
          <w:rFonts w:ascii="Arial" w:cs="Arial" w:eastAsia="Arial" w:hAnsi="Arial"/>
          <w:sz w:val="18"/>
          <w:szCs w:val="18"/>
          <w:color w:val="auto"/>
        </w:rPr>
        <w:t>4,965</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jc w:val="right"/>
        <w:ind w:right="40"/>
        <w:spacing w:after="0"/>
        <w:rPr>
          <w:sz w:val="20"/>
          <w:szCs w:val="20"/>
          <w:color w:val="auto"/>
        </w:rPr>
      </w:pPr>
      <w:r>
        <w:rPr>
          <w:rFonts w:ascii="Arial" w:cs="Arial" w:eastAsia="Arial" w:hAnsi="Arial"/>
          <w:sz w:val="18"/>
          <w:szCs w:val="18"/>
          <w:color w:val="auto"/>
        </w:rPr>
        <w:t>170</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5,186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-130810</wp:posOffset>
            </wp:positionV>
            <wp:extent cx="7886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2,089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-130810</wp:posOffset>
            </wp:positionV>
            <wp:extent cx="7886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3">
            <w:col w:w="6120" w:space="720"/>
            <w:col w:w="1480" w:space="380"/>
            <w:col w:w="760"/>
          </w:cols>
          <w:pgMar w:left="1220" w:top="108" w:right="12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115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440"/>
        <w:spacing w:after="0"/>
        <w:tabs>
          <w:tab w:leader="none" w:pos="6820" w:val="left"/>
          <w:tab w:leader="none" w:pos="7840" w:val="left"/>
          <w:tab w:leader="none" w:pos="8200" w:val="left"/>
        </w:tabs>
        <w:rPr>
          <w:sz w:val="20"/>
          <w:szCs w:val="20"/>
          <w:color w:val="auto"/>
        </w:rPr>
      </w:pPr>
      <w:r>
        <w:rPr>
          <w:rFonts w:ascii="Arial" w:cs="Arial" w:eastAsia="Arial" w:hAnsi="Arial"/>
          <w:sz w:val="18"/>
          <w:szCs w:val="18"/>
          <w:color w:val="auto"/>
        </w:rPr>
        <w:t>Change in unrealized gains (losses) on available-for-sale securities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06"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975" w:lineRule="exact"/>
        <w:rPr>
          <w:sz w:val="20"/>
          <w:szCs w:val="20"/>
          <w:color w:val="auto"/>
        </w:rPr>
      </w:pPr>
    </w:p>
    <w:p>
      <w:pPr>
        <w:sectPr>
          <w:pgSz w:w="11900" w:h="16838" w:orient="portrait"/>
          <w:cols w:equalWidth="0" w:num="2">
            <w:col w:w="8620" w:space="720"/>
            <w:col w:w="120"/>
          </w:cols>
          <w:pgMar w:left="1220" w:top="108" w:right="121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jc w:val="both"/>
        <w:ind w:right="200" w:firstLine="405"/>
        <w:spacing w:after="0" w:line="224" w:lineRule="auto"/>
        <w:rPr>
          <w:sz w:val="20"/>
          <w:szCs w:val="20"/>
          <w:color w:val="auto"/>
        </w:rPr>
      </w:pPr>
      <w:r>
        <w:rPr>
          <w:rFonts w:ascii="Arial" w:cs="Arial" w:eastAsia="Arial" w:hAnsi="Arial"/>
          <w:sz w:val="18"/>
          <w:szCs w:val="18"/>
          <w:color w:val="auto"/>
        </w:rPr>
        <w:t>In this Quarterly Report on Form 10-Q (“Quarterly Report”), references to “Pulse,” “Pulse Biosciences,” “we,” “us,” “our” and the “Company” refer to Pulse Biosciences, Inc. and its wholly-owned subsidiaries, unless expressly indicated or the context otherwise requires.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right="120" w:firstLine="441"/>
        <w:spacing w:after="0" w:line="223" w:lineRule="auto"/>
        <w:rPr>
          <w:sz w:val="20"/>
          <w:szCs w:val="20"/>
          <w:color w:val="auto"/>
        </w:rPr>
      </w:pPr>
      <w:r>
        <w:rPr>
          <w:rFonts w:ascii="Arial" w:cs="Arial" w:eastAsia="Arial" w:hAnsi="Arial"/>
          <w:sz w:val="17"/>
          <w:szCs w:val="17"/>
          <w:color w:val="auto"/>
        </w:rPr>
        <w:t>Pulse Biosciences, Inc. was incorporated in Nevada on May 19, 2014. On June 18, 2018, the Company reincorporated from the State of Nevada to the State of Delaware. The Company is a clinical-stage electroceutical, an electrical energy based therapeutic medical company pursuing commercial applications for its proprietary Nano-Pulse Stimulation (“NPS”) technology. NPS is a patented technology that leverages nano-second duration energy pulses that have demonstrated effective local tumor control and the initiation of an adaptive immune response in pre-clinical studies. The Company is pursuing a number of potential clinical applications for NPS, including oncology, dermatology, aesthetics and other minimally invasive applications where the Company believes NPS may provide greater benefits compared to current therapies and treatments. The Company’s headquarters and research facility are located in Hayward, California.</w:t>
      </w:r>
    </w:p>
    <w:p>
      <w:pPr>
        <w:spacing w:after="0" w:line="141"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In the opinion of the Company’s management, the accompanying unaudited condensed consolidated financial statements (“Financial Statements”) have been prepared on a basis consistent with the Company’s December 31, 2017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2017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included in the Company’s Annual Report on Form 10-K for the year ended December 31, 2017. The results of operations for the three and six-month periods ended June 30, 2018 are not necessarily indicative of the results to be expected for the entire year or any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jc w:val="both"/>
        <w:ind w:right="20" w:firstLine="441"/>
        <w:spacing w:after="0" w:line="224" w:lineRule="auto"/>
        <w:rPr>
          <w:sz w:val="20"/>
          <w:szCs w:val="20"/>
          <w:color w:val="auto"/>
        </w:rPr>
      </w:pPr>
      <w:r>
        <w:rPr>
          <w:rFonts w:ascii="Arial" w:cs="Arial" w:eastAsia="Arial" w:hAnsi="Arial"/>
          <w:sz w:val="18"/>
          <w:szCs w:val="18"/>
          <w:color w:val="auto"/>
        </w:rPr>
        <w:t>There have been no material changes to the Company’s significant accounting policies during the three and six-month period ended June 30, 2018, as compared to the significant accounting policies described in the Company’s Annual Report on Form 10-K for the year ended December 31, 2017.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66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and its wholly-owned subsidiaries. Intercompany balances and transactions, if any,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3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21"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Six-Month Periods Ended</w:t>
            </w:r>
          </w:p>
        </w:tc>
      </w:tr>
      <w:tr>
        <w:trPr>
          <w:trHeight w:val="171"/>
        </w:trPr>
        <w:tc>
          <w:tcPr>
            <w:tcW w:w="686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r>
      <w:tr>
        <w:trPr>
          <w:trHeight w:val="169"/>
        </w:trPr>
        <w:tc>
          <w:tcPr>
            <w:tcW w:w="68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705,121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2,894,103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2,227,676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160,974</w:t>
            </w: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3,366,418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3,093,771</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80" w:firstLine="441"/>
        <w:spacing w:after="0" w:line="223" w:lineRule="auto"/>
        <w:rPr>
          <w:sz w:val="20"/>
          <w:szCs w:val="20"/>
          <w:color w:val="auto"/>
        </w:rPr>
      </w:pPr>
      <w:r>
        <w:rPr>
          <w:rFonts w:ascii="Arial" w:cs="Arial" w:eastAsia="Arial" w:hAnsi="Arial"/>
          <w:sz w:val="17"/>
          <w:szCs w:val="17"/>
          <w:color w:val="auto"/>
        </w:rPr>
        <w:t xml:space="preserve">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for the Company in the first quarter of fiscal year 2019 and early adoption is permitted. This ASU is required to be applied with a modified retrospective approach and requires application of the new standard at the beginning of the earliest comparative period presented. The Company generally does not finance purchases of equipment or other capital assets, but does lease its facilities. While the Company is continuing to assess all potential impacts of this standard, it expects that most of its lease commitments will be subject to the updated standard and recognized as lease liabilities and right-of-use assets upon adoption.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48"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36"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3"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36"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June 30, 2018 and December 31, 2017, respectively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w w:val="90"/>
              </w:rPr>
              <w:t>June 30, 2018</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December 31, 2017</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Classification</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Level 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Level 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Level 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Level 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Level 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Level 3</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00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w w:val="96"/>
              </w:rPr>
              <w:t>6,500</w:t>
            </w:r>
          </w:p>
        </w:tc>
        <w:tc>
          <w:tcPr>
            <w:tcW w:w="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4"/>
            <w:vMerge w:val="restart"/>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720" w:type="dxa"/>
            <w:vAlign w:val="bottom"/>
            <w:gridSpan w:val="3"/>
            <w:vMerge w:val="restart"/>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6"/>
              </w:rPr>
              <w:t>2,758</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72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62"/>
        </w:trPr>
        <w:tc>
          <w:tcPr>
            <w:tcW w:w="1800" w:type="dxa"/>
            <w:vAlign w:val="bottom"/>
            <w:gridSpan w:val="2"/>
            <w:vMerge w:val="continue"/>
            <w:shd w:val="clear" w:color="auto" w:fill="CCEEFF"/>
          </w:tcPr>
          <w:p>
            <w:pPr>
              <w:spacing w:after="0"/>
              <w:rPr>
                <w:sz w:val="14"/>
                <w:szCs w:val="14"/>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20" w:type="dxa"/>
            <w:vAlign w:val="bottom"/>
            <w:gridSpan w:val="4"/>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5"/>
                <w:szCs w:val="15"/>
                <w:color w:val="auto"/>
              </w:rPr>
            </w:pPr>
          </w:p>
        </w:tc>
        <w:tc>
          <w:tcPr>
            <w:tcW w:w="7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ind w:left="420"/>
              <w:spacing w:after="0"/>
              <w:rPr>
                <w:sz w:val="20"/>
                <w:szCs w:val="20"/>
                <w:color w:val="auto"/>
              </w:rPr>
            </w:pPr>
            <w:r>
              <w:rPr>
                <w:rFonts w:ascii="Arial" w:cs="Arial" w:eastAsia="Arial" w:hAnsi="Arial"/>
                <w:sz w:val="14"/>
                <w:szCs w:val="14"/>
                <w:color w:val="auto"/>
                <w:w w:val="93"/>
              </w:rPr>
              <w:t>20,705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20,705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5"/>
                <w:szCs w:val="15"/>
                <w:color w:val="auto"/>
              </w:rPr>
            </w:pPr>
          </w:p>
        </w:tc>
        <w:tc>
          <w:tcPr>
            <w:tcW w:w="7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19,491</w:t>
            </w:r>
          </w:p>
        </w:tc>
        <w:tc>
          <w:tcPr>
            <w:tcW w:w="0" w:type="dxa"/>
            <w:vAlign w:val="bottom"/>
          </w:tcPr>
          <w:p>
            <w:pPr>
              <w:spacing w:after="0"/>
              <w:rPr>
                <w:sz w:val="1"/>
                <w:szCs w:val="1"/>
                <w:color w:val="auto"/>
              </w:rPr>
            </w:pPr>
          </w:p>
        </w:tc>
      </w:tr>
      <w:tr>
        <w:trPr>
          <w:trHeight w:val="176"/>
        </w:trPr>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line="108" w:lineRule="exact"/>
              <w:rPr>
                <w:sz w:val="20"/>
                <w:szCs w:val="20"/>
                <w:color w:val="auto"/>
              </w:rPr>
            </w:pPr>
            <w:r>
              <w:rPr>
                <w:rFonts w:ascii="Arial" w:cs="Arial" w:eastAsia="Arial" w:hAnsi="Arial"/>
                <w:sz w:val="12"/>
                <w:szCs w:val="12"/>
                <w:color w:val="auto"/>
              </w:rPr>
              <w:t>Total assets measured at fair</w:t>
            </w: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ind w:left="300"/>
              <w:spacing w:after="0"/>
              <w:rPr>
                <w:sz w:val="20"/>
                <w:szCs w:val="20"/>
                <w:color w:val="auto"/>
              </w:rPr>
            </w:pPr>
            <w:r>
              <w:rPr>
                <w:rFonts w:ascii="Arial" w:cs="Arial" w:eastAsia="Arial" w:hAnsi="Arial"/>
                <w:sz w:val="14"/>
                <w:szCs w:val="14"/>
                <w:color w:val="auto"/>
                <w:w w:val="96"/>
              </w:rPr>
              <w:t>6,500</w:t>
            </w:r>
          </w:p>
        </w:tc>
        <w:tc>
          <w:tcPr>
            <w:tcW w:w="60" w:type="dxa"/>
            <w:vAlign w:val="bottom"/>
          </w:tcPr>
          <w:p>
            <w:pPr>
              <w:spacing w:after="0"/>
              <w:rPr>
                <w:sz w:val="7"/>
                <w:szCs w:val="7"/>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ind w:left="420"/>
              <w:spacing w:after="0"/>
              <w:rPr>
                <w:sz w:val="20"/>
                <w:szCs w:val="20"/>
                <w:color w:val="auto"/>
              </w:rPr>
            </w:pPr>
            <w:r>
              <w:rPr>
                <w:rFonts w:ascii="Arial" w:cs="Arial" w:eastAsia="Arial" w:hAnsi="Arial"/>
                <w:sz w:val="14"/>
                <w:szCs w:val="14"/>
                <w:color w:val="auto"/>
                <w:w w:val="93"/>
              </w:rPr>
              <w:t>20,705</w:t>
            </w: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vMerge w:val="restart"/>
          </w:tcPr>
          <w:p>
            <w:pPr>
              <w:ind w:left="32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27,205</w:t>
            </w:r>
          </w:p>
        </w:tc>
        <w:tc>
          <w:tcPr>
            <w:tcW w:w="8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ind w:left="200"/>
              <w:spacing w:after="0"/>
              <w:rPr>
                <w:sz w:val="20"/>
                <w:szCs w:val="20"/>
                <w:color w:val="auto"/>
              </w:rPr>
            </w:pPr>
            <w:r>
              <w:rPr>
                <w:rFonts w:ascii="Arial" w:cs="Arial" w:eastAsia="Arial" w:hAnsi="Arial"/>
                <w:sz w:val="14"/>
                <w:szCs w:val="14"/>
                <w:color w:val="auto"/>
                <w:w w:val="96"/>
              </w:rPr>
              <w:t>2,758</w:t>
            </w:r>
          </w:p>
        </w:tc>
        <w:tc>
          <w:tcPr>
            <w:tcW w:w="6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34,683</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37,441</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value</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June 30, 2018 or December 31, 2017.</w:t>
      </w:r>
    </w:p>
    <w:p>
      <w:pPr>
        <w:spacing w:after="0" w:line="167"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During the six-month period ended June 30, 2018, there were no transfers between Level 1, Level 2 or Level 3 assets or liabilities reported at fair value on a recurring basis and the valuation techniques used did not change compared to the Company’s established practice.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6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Laboratory equipment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Software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7"/>
        </w:trPr>
        <w:tc>
          <w:tcPr>
            <w:tcW w:w="4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expense was $0.2 million and $25,000 for the three-month periods ended June 30, 2018 and 2017, respectively.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$0.3 million and $49,000 for the six-month periods ended June 30, 2018 and 2017,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240" w:firstLine="441"/>
        <w:spacing w:after="0" w:line="244" w:lineRule="auto"/>
        <w:rPr>
          <w:sz w:val="20"/>
          <w:szCs w:val="20"/>
          <w:color w:val="auto"/>
        </w:rPr>
      </w:pPr>
      <w:r>
        <w:rPr>
          <w:rFonts w:ascii="Arial" w:cs="Arial" w:eastAsia="Arial" w:hAnsi="Arial"/>
          <w:sz w:val="16"/>
          <w:szCs w:val="16"/>
          <w:color w:val="auto"/>
        </w:rPr>
        <w:t>Intangible assets primarily consist of a license to utilize certain patents, know-how and technology relating to NPS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5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c>
          <w:tcPr>
            <w:tcW w:w="40" w:type="dxa"/>
            <w:vAlign w:val="bottom"/>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3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w w:val="91"/>
              </w:rPr>
              <w:t>(2,440)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1"/>
              </w:rPr>
              <w:t>(2,107)</w:t>
            </w:r>
          </w:p>
        </w:tc>
        <w:tc>
          <w:tcPr>
            <w:tcW w:w="4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3"/>
              </w:rPr>
              <w:t>5,545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5,878</w:t>
            </w:r>
          </w:p>
        </w:tc>
        <w:tc>
          <w:tcPr>
            <w:tcW w:w="40" w:type="dxa"/>
            <w:vAlign w:val="bottom"/>
          </w:tcPr>
          <w:p>
            <w:pPr>
              <w:spacing w:after="0"/>
              <w:rPr>
                <w:sz w:val="19"/>
                <w:szCs w:val="19"/>
                <w:color w:val="auto"/>
              </w:rPr>
            </w:pPr>
          </w:p>
        </w:tc>
      </w:tr>
      <w:tr>
        <w:trPr>
          <w:trHeight w:val="581"/>
        </w:trPr>
        <w:tc>
          <w:tcPr>
            <w:tcW w:w="352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52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620" w:firstLine="405"/>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2018 and the succeeding five fiscal years and thereafter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6 months)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17"/>
        </w:trPr>
        <w:tc>
          <w:tcPr>
            <w:tcW w:w="79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5"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20" w:lineRule="exact"/>
        <w:rPr>
          <w:sz w:val="20"/>
          <w:szCs w:val="20"/>
          <w:color w:val="auto"/>
        </w:rPr>
      </w:pPr>
    </w:p>
    <w:p>
      <w:pPr>
        <w:jc w:val="both"/>
        <w:ind w:firstLine="363"/>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2017 the Company determined that no impairment of goodwill existed and was not aware of any indicators of impairment at such date. In addition, there were no indicators of impairment at June 30,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Supplies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6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58" w:lineRule="exact"/>
        <w:rPr>
          <w:sz w:val="20"/>
          <w:szCs w:val="20"/>
          <w:color w:val="auto"/>
        </w:rPr>
      </w:pPr>
    </w:p>
    <w:p>
      <w:pPr>
        <w:jc w:val="both"/>
        <w:ind w:firstLine="363"/>
        <w:spacing w:after="0" w:line="224" w:lineRule="auto"/>
        <w:rPr>
          <w:sz w:val="20"/>
          <w:szCs w:val="20"/>
          <w:color w:val="auto"/>
        </w:rPr>
      </w:pPr>
      <w:r>
        <w:rPr>
          <w:rFonts w:ascii="Arial" w:cs="Arial" w:eastAsia="Arial" w:hAnsi="Arial"/>
          <w:sz w:val="18"/>
          <w:szCs w:val="18"/>
          <w:color w:val="auto"/>
        </w:rPr>
        <w:t>In February 2017, the Company entered into a securities purchase agreement, pursuant to which the Company, in a private placement, issued and sold an aggregate of 819,673 shares of the Company’s common stock, par value $0.001 per share, at a price per share of $6.10, for net proceeds of approximately $5.0 million.</w:t>
      </w:r>
    </w:p>
    <w:p>
      <w:pPr>
        <w:spacing w:after="0" w:line="136" w:lineRule="exact"/>
        <w:rPr>
          <w:sz w:val="20"/>
          <w:szCs w:val="20"/>
          <w:color w:val="auto"/>
        </w:rPr>
      </w:pPr>
    </w:p>
    <w:p>
      <w:pPr>
        <w:ind w:right="40" w:firstLine="441"/>
        <w:spacing w:after="0" w:line="238" w:lineRule="auto"/>
        <w:rPr>
          <w:sz w:val="20"/>
          <w:szCs w:val="20"/>
          <w:color w:val="auto"/>
        </w:rPr>
      </w:pPr>
      <w:r>
        <w:rPr>
          <w:rFonts w:ascii="Arial" w:cs="Arial" w:eastAsia="Arial" w:hAnsi="Arial"/>
          <w:sz w:val="17"/>
          <w:szCs w:val="17"/>
          <w:color w:val="auto"/>
        </w:rPr>
        <w:t>In September 2017, the Company entered into a securities purchase agreement with an existing investor, pursuant to which the Company, in a private placement, issued and sold an aggregate of 2,000,000 shares of the Company’s common stock, par value $0.001 per share, at a price per share of $15.02, for net proceeds of approximately $29.9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right="60" w:firstLine="356"/>
        <w:spacing w:after="0" w:line="223" w:lineRule="auto"/>
        <w:rPr>
          <w:sz w:val="20"/>
          <w:szCs w:val="20"/>
          <w:color w:val="auto"/>
        </w:rPr>
      </w:pPr>
      <w:r>
        <w:rPr>
          <w:rFonts w:ascii="Arial" w:cs="Arial" w:eastAsia="Arial" w:hAnsi="Arial"/>
          <w:sz w:val="17"/>
          <w:szCs w:val="17"/>
          <w:color w:val="auto"/>
        </w:rPr>
        <w:t>In connection with a private placement offering of the Company’s shares of common stock in 2014, the Company issued warrants as compensation to the placement agent to purchase a total of 299,625 shares of its common stock at a price of $2.67 per share (the “Private Placement Warrants”). The Private Placement Warrants are exercisable for period of seven years. As of June 30, 2018, there were a total of 91,876 of Private Placement Warrants outstanding. 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(“the IPO Warrants”). The IPO Warrants are exercisable for a period of five years. As of June 30, 2018, there were a total of 157,833 of the IPO Warrants outstanding.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71" w:lineRule="exact"/>
        <w:rPr>
          <w:sz w:val="20"/>
          <w:szCs w:val="20"/>
          <w:color w:val="auto"/>
        </w:rPr>
      </w:pPr>
    </w:p>
    <w:p>
      <w:pPr>
        <w:ind w:right="320" w:firstLine="356"/>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48" w:lineRule="exact"/>
        <w:rPr>
          <w:sz w:val="20"/>
          <w:szCs w:val="20"/>
          <w:color w:val="auto"/>
        </w:rPr>
      </w:pPr>
    </w:p>
    <w:p>
      <w:pPr>
        <w:ind w:firstLine="356"/>
        <w:spacing w:after="0" w:line="234"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2018, the number of shares of common stock available under the 2017 Plan increased by 672,915 shares pursuant to the evergreen provision of the 2017 Plan. Pursuant to the 2017 Plan, the 2018 share increase is determined based on the least of (i) 1,200,000 shares, (ii) 4% of the Company’s common stock outstanding at December 31 of the immediately preceding year, or (iii) such number of shares as determined by the Board. As of June 30, 2018, 659,061 shares of common stock remained available for issuance under the 2017 Plan.</w:t>
      </w:r>
    </w:p>
    <w:p>
      <w:pPr>
        <w:spacing w:after="0" w:line="139" w:lineRule="exact"/>
        <w:rPr>
          <w:sz w:val="20"/>
          <w:szCs w:val="20"/>
          <w:color w:val="auto"/>
        </w:rPr>
      </w:pPr>
    </w:p>
    <w:p>
      <w:pPr>
        <w:jc w:val="both"/>
        <w:ind w:right="40" w:firstLine="356"/>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50" w:lineRule="exact"/>
        <w:rPr>
          <w:sz w:val="20"/>
          <w:szCs w:val="20"/>
          <w:color w:val="auto"/>
        </w:rPr>
      </w:pPr>
    </w:p>
    <w:p>
      <w:pPr>
        <w:ind w:right="140" w:firstLine="356"/>
        <w:spacing w:after="0" w:line="237" w:lineRule="auto"/>
        <w:rPr>
          <w:sz w:val="20"/>
          <w:szCs w:val="20"/>
          <w:color w:val="auto"/>
        </w:rPr>
      </w:pPr>
      <w:r>
        <w:rPr>
          <w:rFonts w:ascii="Arial" w:cs="Arial" w:eastAsia="Arial" w:hAnsi="Arial"/>
          <w:sz w:val="16"/>
          <w:szCs w:val="16"/>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1/48th monthly thereafter, over the subsequent 36 months. Equity-based awards issued under the Inducement Plan are only issuable to individuals not previously engaged as employees or non-employee directors of the Company prior to the Inducement Plan’s adoption date. As of June 30, 2018, 425,000 shares of common stock remained available for issuance under the Inducement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58" w:lineRule="exact"/>
        <w:rPr>
          <w:sz w:val="20"/>
          <w:szCs w:val="20"/>
          <w:color w:val="auto"/>
        </w:rPr>
      </w:pPr>
    </w:p>
    <w:p>
      <w:pPr>
        <w:ind w:firstLine="356"/>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48" w:lineRule="exact"/>
        <w:rPr>
          <w:sz w:val="20"/>
          <w:szCs w:val="20"/>
          <w:color w:val="auto"/>
        </w:rPr>
      </w:pPr>
    </w:p>
    <w:p>
      <w:pPr>
        <w:ind w:firstLine="356"/>
        <w:spacing w:after="0" w:line="231"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Effective January 1, 2018, the number of shares of common stock available under the 2017 ESPP increased by 252,343 shares pursuant to the evergreen provision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the six-month period ended</w:t>
      </w:r>
    </w:p>
    <w:p>
      <w:pPr>
        <w:spacing w:after="0" w:line="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June 30, 2018, the Company issued 12,239 shares of common stock under the 2017 ESPP. As of June 30, 2018, 490,104 shares of common stock remained available for issuance under the 2017 ESPP.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right="780" w:firstLine="363"/>
        <w:spacing w:after="0" w:line="235" w:lineRule="auto"/>
        <w:tabs>
          <w:tab w:leader="none" w:pos="583"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six-months ended June 30, 2018 is presented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Stock Options Outstanding</w:t>
            </w:r>
          </w:p>
        </w:tc>
        <w:tc>
          <w:tcPr>
            <w:tcW w:w="1880" w:type="dxa"/>
            <w:vAlign w:val="bottom"/>
            <w:tcBorders>
              <w:bottom w:val="single" w:sz="8" w:color="auto"/>
            </w:tcBorders>
          </w:tcPr>
          <w:p>
            <w:pPr>
              <w:spacing w:after="0"/>
              <w:rPr>
                <w:sz w:val="14"/>
                <w:szCs w:val="14"/>
                <w:color w:val="auto"/>
              </w:rPr>
            </w:pPr>
          </w:p>
        </w:tc>
      </w:tr>
      <w:tr>
        <w:trPr>
          <w:trHeight w:val="173"/>
        </w:trPr>
        <w:tc>
          <w:tcPr>
            <w:tcW w:w="3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76"/>
        </w:trPr>
        <w:tc>
          <w:tcPr>
            <w:tcW w:w="3520" w:type="dxa"/>
            <w:vAlign w:val="bottom"/>
          </w:tcPr>
          <w:p>
            <w:pPr>
              <w:spacing w:after="0"/>
              <w:rPr>
                <w:sz w:val="15"/>
                <w:szCs w:val="15"/>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life</w:t>
            </w:r>
          </w:p>
        </w:tc>
      </w:tr>
      <w:tr>
        <w:trPr>
          <w:trHeight w:val="171"/>
        </w:trPr>
        <w:tc>
          <w:tcPr>
            <w:tcW w:w="3520" w:type="dxa"/>
            <w:vAlign w:val="bottom"/>
          </w:tcPr>
          <w:p>
            <w:pPr>
              <w:spacing w:after="0"/>
              <w:rPr>
                <w:sz w:val="14"/>
                <w:szCs w:val="14"/>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 December 31, 2017</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2,598,659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16.88</w:t>
            </w:r>
          </w:p>
        </w:tc>
        <w:tc>
          <w:tcPr>
            <w:tcW w:w="2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Options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364,500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57"/>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(54,092)</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Options canceled</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(14,964)</w:t>
            </w:r>
          </w:p>
        </w:tc>
        <w:tc>
          <w:tcPr>
            <w:tcW w:w="180" w:type="dxa"/>
            <w:vAlign w:val="bottom"/>
          </w:tcPr>
          <w:p>
            <w:pPr>
              <w:spacing w:after="0"/>
              <w:rPr>
                <w:sz w:val="18"/>
                <w:szCs w:val="18"/>
                <w:color w:val="auto"/>
              </w:rPr>
            </w:pPr>
          </w:p>
        </w:tc>
        <w:tc>
          <w:tcPr>
            <w:tcW w:w="1800" w:type="dxa"/>
            <w:vAlign w:val="bottom"/>
          </w:tcPr>
          <w:p>
            <w:pPr>
              <w:jc w:val="right"/>
              <w:ind w:right="57"/>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Options expired</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17"/>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June 30, 2018</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tcPr>
          <w:p>
            <w:pPr>
              <w:jc w:val="right"/>
              <w:ind w:right="57"/>
              <w:spacing w:after="0"/>
              <w:rPr>
                <w:sz w:val="20"/>
                <w:szCs w:val="20"/>
                <w:color w:val="auto"/>
              </w:rPr>
            </w:pPr>
            <w:r>
              <w:rPr>
                <w:rFonts w:ascii="Arial" w:cs="Arial" w:eastAsia="Arial" w:hAnsi="Arial"/>
                <w:sz w:val="18"/>
                <w:szCs w:val="18"/>
                <w:color w:val="auto"/>
              </w:rPr>
              <w:t>16.08</w:t>
            </w:r>
          </w:p>
        </w:tc>
        <w:tc>
          <w:tcPr>
            <w:tcW w:w="20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—June 30, 2018</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1,105,204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13.45</w:t>
            </w:r>
          </w:p>
        </w:tc>
        <w:tc>
          <w:tcPr>
            <w:tcW w:w="2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ind w:right="260" w:firstLine="363"/>
        <w:spacing w:after="0" w:line="235" w:lineRule="auto"/>
        <w:rPr>
          <w:sz w:val="20"/>
          <w:szCs w:val="20"/>
          <w:color w:val="auto"/>
        </w:rPr>
      </w:pPr>
      <w:r>
        <w:rPr>
          <w:rFonts w:ascii="Arial" w:cs="Arial" w:eastAsia="Arial" w:hAnsi="Arial"/>
          <w:sz w:val="18"/>
          <w:szCs w:val="18"/>
          <w:color w:val="auto"/>
        </w:rPr>
        <w:t>The table above excludes 192,500 performance stock options granted during the six-month period ended June 30, 2018 for which the performance criteria had not been established as of June 30,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Three-Month Periods Ended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Six-Month Periods Ended</w:t>
            </w:r>
          </w:p>
        </w:tc>
      </w:tr>
      <w:tr>
        <w:trPr>
          <w:trHeight w:val="171"/>
        </w:trPr>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r>
      <w:tr>
        <w:trPr>
          <w:trHeight w:val="21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r>
      <w:tr>
        <w:trPr>
          <w:trHeight w:val="27"/>
        </w:trPr>
        <w:tc>
          <w:tcPr>
            <w:tcW w:w="3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ind w:right="8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3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Three-Month Periods Ended June 30,</w:t>
            </w:r>
          </w:p>
        </w:tc>
        <w:tc>
          <w:tcPr>
            <w:tcW w:w="316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Six-Month Periods Ended June 30,</w:t>
            </w:r>
          </w:p>
        </w:tc>
      </w:tr>
      <w:tr>
        <w:trPr>
          <w:trHeight w:val="169"/>
        </w:trPr>
        <w:tc>
          <w:tcPr>
            <w:tcW w:w="292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169"/>
        </w:trPr>
        <w:tc>
          <w:tcPr>
            <w:tcW w:w="2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c>
          <w:tcPr>
            <w:tcW w:w="3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8"/>
              </w:rPr>
              <w:t>80%</w:t>
            </w:r>
          </w:p>
        </w:tc>
        <w:tc>
          <w:tcPr>
            <w:tcW w:w="2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3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80%</w:t>
            </w:r>
          </w:p>
        </w:tc>
      </w:tr>
      <w:tr>
        <w:trPr>
          <w:trHeight w:val="176"/>
        </w:trPr>
        <w:tc>
          <w:tcPr>
            <w:tcW w:w="2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2.7 - 3.0%</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1.9 - 2.0%</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2.7 - 3.0%</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1.9 - 2.1%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82" w:lineRule="exact"/>
        <w:rPr>
          <w:sz w:val="20"/>
          <w:szCs w:val="20"/>
          <w:color w:val="auto"/>
        </w:rPr>
      </w:pPr>
    </w:p>
    <w:p>
      <w:pPr>
        <w:ind w:right="30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3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Three-Month Periods Ended June 30,</w:t>
            </w:r>
          </w:p>
        </w:tc>
        <w:tc>
          <w:tcPr>
            <w:tcW w:w="316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Six-Month Periods Ended June 30,</w:t>
            </w:r>
          </w:p>
        </w:tc>
      </w:tr>
      <w:tr>
        <w:trPr>
          <w:trHeight w:val="169"/>
        </w:trPr>
        <w:tc>
          <w:tcPr>
            <w:tcW w:w="292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169"/>
        </w:trPr>
        <w:tc>
          <w:tcPr>
            <w:tcW w:w="2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0.8 - 1.3</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0.8 - 1.3</w:t>
            </w: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c>
          <w:tcPr>
            <w:tcW w:w="3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8"/>
              </w:rPr>
              <w:t>95%</w:t>
            </w:r>
          </w:p>
        </w:tc>
        <w:tc>
          <w:tcPr>
            <w:tcW w:w="2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3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95%</w:t>
            </w:r>
          </w:p>
        </w:tc>
      </w:tr>
      <w:tr>
        <w:trPr>
          <w:trHeight w:val="176"/>
        </w:trPr>
        <w:tc>
          <w:tcPr>
            <w:tcW w:w="2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1.9%</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1.1%</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1.9%</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133" w:lineRule="exact"/>
        <w:rPr>
          <w:sz w:val="20"/>
          <w:szCs w:val="20"/>
          <w:color w:val="auto"/>
        </w:rPr>
      </w:pPr>
    </w:p>
    <w:p>
      <w:pPr>
        <w:ind w:right="180" w:firstLine="441"/>
        <w:spacing w:after="0" w:line="258" w:lineRule="auto"/>
        <w:rPr>
          <w:sz w:val="20"/>
          <w:szCs w:val="20"/>
          <w:color w:val="auto"/>
        </w:rPr>
      </w:pPr>
      <w:r>
        <w:rPr>
          <w:rFonts w:ascii="Arial" w:cs="Arial" w:eastAsia="Arial" w:hAnsi="Arial"/>
          <w:sz w:val="17"/>
          <w:szCs w:val="17"/>
          <w:color w:val="auto"/>
        </w:rPr>
        <w:t>The fair value of restricted stock unit (“RSUs”) awards is determined based on the number of units granted and the closing price of the Company’s common stock as of the grant date. The estimated fair value of RSUs is recognized on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straight-line basis over the requisite service period. In the three-month period ended June 30, 2017, the Company granted 160,974 RSUs, all of which vested, pursuant to which no shares were issued, during June 2018. Additional paid in capital was reduced by $0.1 million for tax payments related to shares withheld in connection with the vesting of the RSUs. The stock-based compensation expense related to these RSUs was approximately $0.9 million and $2.1 million and for the three and six-month periods ended June 30, 2018, respectively. During the three-month period ended September 30, 2017, the Company granted 68,800 RSUs to certain employees which vest 50% on June 1, 2019 with the remaining 50% vesting on June 1, 2021. In the event of a change in control, these RSUs vest 100%. The stock-based compensation expense related to these RSUs was approximately $0.1 million and $0.2 million for the three-month and six-month periods ended June 30, 2018,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58"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The Company entered into a Sponsored Research Agreement (“SRA”) with ODURF during 2014 pursuant to which the Company may annually sponsor research activities performed by ODURF’s Frank Reidy Center. ODURF is compensated by the Company for its conduct of each study in accordance with the budget and payment terms set forth in the applicable task order. During the second quarters of 2017 and 2016, the Company agreed to sponsor $0.7 million and $1.0 million, respectively,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June 30, 2018, no amount remained payable under this agreement.</w:t>
      </w:r>
    </w:p>
    <w:p>
      <w:pPr>
        <w:spacing w:after="0" w:line="121" w:lineRule="exact"/>
        <w:rPr>
          <w:sz w:val="20"/>
          <w:szCs w:val="20"/>
          <w:color w:val="auto"/>
        </w:rPr>
      </w:pPr>
    </w:p>
    <w:p>
      <w:pPr>
        <w:ind w:right="120" w:firstLine="441"/>
        <w:spacing w:after="0" w:line="232" w:lineRule="auto"/>
        <w:rPr>
          <w:sz w:val="20"/>
          <w:szCs w:val="20"/>
          <w:color w:val="auto"/>
        </w:rPr>
      </w:pPr>
      <w:r>
        <w:rPr>
          <w:rFonts w:ascii="Arial" w:cs="Arial" w:eastAsia="Arial" w:hAnsi="Arial"/>
          <w:sz w:val="17"/>
          <w:szCs w:val="17"/>
          <w:color w:val="auto"/>
        </w:rPr>
        <w:t>In addition, during 2017, the Company agreed to provide $0.3 million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June 30, 2018, $75,000 remained available under this agreement.</w:t>
      </w:r>
    </w:p>
    <w:p>
      <w:pPr>
        <w:spacing w:after="0" w:line="122"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During the three-month periods ended June 30, 2018 and 2017, the Company paid and incurred costs relating to the SRAs equal to $0.1 million and $0, respectively. During the six-month periods ended June 30, 2018 and 2017, the Company paid and incurred costs related to the SRAs equal to $0.4 million and $0.3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4" w:lineRule="exact"/>
        <w:rPr>
          <w:sz w:val="20"/>
          <w:szCs w:val="20"/>
          <w:color w:val="auto"/>
        </w:rPr>
      </w:pPr>
    </w:p>
    <w:p>
      <w:pPr>
        <w:ind w:right="120" w:firstLine="441"/>
        <w:spacing w:after="0" w:line="225" w:lineRule="auto"/>
        <w:rPr>
          <w:sz w:val="20"/>
          <w:szCs w:val="20"/>
          <w:color w:val="auto"/>
        </w:rPr>
      </w:pPr>
      <w:r>
        <w:rPr>
          <w:rFonts w:ascii="Arial" w:cs="Arial" w:eastAsia="Arial" w:hAnsi="Arial"/>
          <w:sz w:val="17"/>
          <w:szCs w:val="17"/>
          <w:color w:val="auto"/>
        </w:rPr>
        <w:t>As of June 30, 2018, the Company leases approximately 15,700 square feet for its corporate headquarters in Hayward, California (the “Premises”). The lease commenced on July 1, 2017 and expires in August 2022, with an option to extend the lease term for an additional five years. Under the terms of the lease agreement, the landlord provided an allowance for tenant improvements in the amount of $2.1 million, which was recorded as deferred rent at the inception of the lease term. Rent expense associated with future minimum lease payments is reduced by amortization of the tenant improvement allowance over the life of the lease. An offsetting amount was recorded as leasehold improvements at the inception of the lease term. Leasehold improvements are depreciated over the lease term.</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Future minimum lease payments under non-cancelable operating leases as of June 30, 2018 are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6 months)</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7"/>
        </w:trPr>
        <w:tc>
          <w:tcPr>
            <w:tcW w:w="7880" w:type="dxa"/>
            <w:vAlign w:val="bottom"/>
          </w:tcPr>
          <w:p>
            <w:pPr>
              <w:spacing w:after="0"/>
              <w:rPr>
                <w:sz w:val="18"/>
                <w:szCs w:val="18"/>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r>
    </w:tbl>
    <w:p>
      <w:pPr>
        <w:spacing w:after="0" w:line="148"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The Company leased approximately 4,300 square feet of corporate offices and research facilities in Burlingame, California, at a monthly cost of approximately $21,000. This lease expired on June 30,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6"/>
          <w:szCs w:val="16"/>
          <w:color w:val="auto"/>
        </w:rPr>
        <w:t>During the three-month periods ended June 30, 2018 and 2017, rent expense, including common area maintenance charges, was approximately $69,000 and $74,000, respectively. During the six-month periods ended June 30, 2018 and 2017, rent expense, including common area maintenance charges, was approximately $0.1 million, and $0.1 million, respectively.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4" w:lineRule="exact"/>
        <w:rPr>
          <w:sz w:val="20"/>
          <w:szCs w:val="20"/>
          <w:color w:val="auto"/>
        </w:rPr>
      </w:pPr>
    </w:p>
    <w:p>
      <w:pPr>
        <w:ind w:right="400" w:firstLine="441"/>
        <w:spacing w:after="0" w:line="259" w:lineRule="auto"/>
        <w:rPr>
          <w:sz w:val="20"/>
          <w:szCs w:val="20"/>
          <w:color w:val="auto"/>
        </w:rPr>
      </w:pPr>
      <w:r>
        <w:rPr>
          <w:rFonts w:ascii="Arial" w:cs="Arial" w:eastAsia="Arial" w:hAnsi="Arial"/>
          <w:sz w:val="16"/>
          <w:szCs w:val="16"/>
          <w:color w:val="auto"/>
        </w:rPr>
        <w:t>The Company and certain directors have received subpoenas from the Securities and Exchange Commission requesting documents and other information in connection with an investigation into trading in the Company’s stock in advance of the Company’s September 2017 private placement equity financing. The Company is cooperating with the investigation.</w:t>
      </w:r>
    </w:p>
    <w:p>
      <w:pPr>
        <w:spacing w:after="0" w:line="107" w:lineRule="exact"/>
        <w:rPr>
          <w:sz w:val="20"/>
          <w:szCs w:val="20"/>
          <w:color w:val="auto"/>
        </w:rPr>
      </w:pPr>
    </w:p>
    <w:p>
      <w:pPr>
        <w:ind w:right="400"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this time, the Company is unable to estimate a possible loss, if any, associated with the matter described above</w:t>
      </w:r>
      <w:r>
        <w:rPr>
          <w:rFonts w:ascii="Arial" w:cs="Arial" w:eastAsia="Arial" w:hAnsi="Arial"/>
          <w:sz w:val="20"/>
          <w:szCs w:val="20"/>
          <w:color w:val="auto"/>
        </w:rPr>
        <w:t>.</w:t>
      </w:r>
    </w:p>
    <w:p>
      <w:pPr>
        <w:spacing w:after="0" w:line="182"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48"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Kenneth A. Clark, a director of the Company since November 2017, is a member of the law firm of Wilson Sonsini Goodrich and Rosati (“WSGR”), which also serves as the outside corporate counsel to the Company. During the three and six-month periods ended June 30, 2018, the Company incurred expenses for legal services rendered by WSGR totaling approximately $0.8 million and $1.1 million,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 Some of the information contained in this discussion and analysis or set forth elsewhere in this Quarterly Report, including information with respect to our products, plans and strategy for our business and related financing,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firstLine="441"/>
        <w:spacing w:after="0" w:line="237" w:lineRule="auto"/>
        <w:rPr>
          <w:sz w:val="20"/>
          <w:szCs w:val="20"/>
          <w:color w:val="auto"/>
        </w:rPr>
      </w:pPr>
      <w:r>
        <w:rPr>
          <w:rFonts w:ascii="Arial" w:cs="Arial" w:eastAsia="Arial" w:hAnsi="Arial"/>
          <w:sz w:val="16"/>
          <w:szCs w:val="16"/>
          <w:color w:val="auto"/>
        </w:rPr>
        <w:t>We are a clinical-stage electroceutical, an electrical energy based therapeutic company developing a non-thermal tissue treatment platform technology based upon our proprietary Nano-Pulse Stimulation (“NPS”) technology and pursuing applications in oncology and dermatology and evaluating other potential applications. NPS is a novel patented technology which leverages nano-second duration energy pulses that have demonstrated effective local tumor control and the initiation of an adaptive immune response in pre-clinical studies. We are pursuing a number of clinical applications for NPS, including oncology, dermatology, aesthetics and other minimally invasive applications where we believe NPS has the potential to compare favorably with current therapies and treatments. We are currently conducting research and development activities in pursuit of commercial applications for our NPS technology, but we have not yet commercialized or recognized revenue from our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62"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color w:val="auto"/>
        </w:rPr>
        <w:t>We plan to establish ourselves as an electroceutical company with a local, non-thermal, and drug-free treatment platform that initiates cell death in targeted tissue by a process of cell signaling and also induces a systemic adaptive immune response to the targeted tissue. In order to accomplish this, we plan to:</w:t>
      </w:r>
    </w:p>
    <w:p>
      <w:pPr>
        <w:spacing w:after="0" w:line="136" w:lineRule="exact"/>
        <w:rPr>
          <w:sz w:val="20"/>
          <w:szCs w:val="20"/>
          <w:color w:val="auto"/>
        </w:rPr>
      </w:pPr>
    </w:p>
    <w:p>
      <w:pPr>
        <w:jc w:val="both"/>
        <w:ind w:left="1080" w:right="580" w:hanging="323"/>
        <w:spacing w:after="0" w:line="26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our technology by continuing our research and product development efforts. We expect to develop different devices to target different tissue types that will leverage the novel characteristics of our technology platform.</w:t>
      </w:r>
    </w:p>
    <w:p>
      <w:pPr>
        <w:spacing w:after="0" w:line="140" w:lineRule="exact"/>
        <w:rPr>
          <w:rFonts w:ascii="Arial" w:cs="Arial" w:eastAsia="Arial" w:hAnsi="Arial"/>
          <w:sz w:val="18"/>
          <w:szCs w:val="18"/>
          <w:color w:val="auto"/>
        </w:rPr>
      </w:pPr>
    </w:p>
    <w:p>
      <w:pPr>
        <w:ind w:left="1080" w:right="100" w:hanging="323"/>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clinical studies to demonstrate the benefits of NPS for unmet medical needs that may be addressed by our technology.</w:t>
      </w:r>
    </w:p>
    <w:p>
      <w:pPr>
        <w:spacing w:after="0" w:line="129" w:lineRule="exact"/>
        <w:rPr>
          <w:rFonts w:ascii="Arial" w:cs="Arial" w:eastAsia="Arial" w:hAnsi="Arial"/>
          <w:sz w:val="18"/>
          <w:szCs w:val="18"/>
          <w:color w:val="auto"/>
        </w:rPr>
      </w:pPr>
    </w:p>
    <w:p>
      <w:pPr>
        <w:ind w:left="1080" w:right="20" w:hanging="323"/>
        <w:spacing w:after="0" w:line="26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40" w:lineRule="exact"/>
        <w:rPr>
          <w:rFonts w:ascii="Arial" w:cs="Arial" w:eastAsia="Arial" w:hAnsi="Arial"/>
          <w:sz w:val="18"/>
          <w:szCs w:val="18"/>
          <w:color w:val="auto"/>
        </w:rPr>
      </w:pPr>
    </w:p>
    <w:p>
      <w:pPr>
        <w:ind w:left="1080" w:hanging="323"/>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Commercialize our NPS based products in application areas of value to patients, clinicians and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60" w:firstLine="441"/>
        <w:spacing w:after="0" w:line="235"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48"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June 30, 2018 and 2017</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6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6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r>
      <w:tr>
        <w:trPr>
          <w:trHeight w:val="169"/>
        </w:trPr>
        <w:tc>
          <w:tcPr>
            <w:tcW w:w="54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(9,163)</w:t>
            </w:r>
          </w:p>
        </w:tc>
        <w:tc>
          <w:tcPr>
            <w:tcW w:w="8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(6,180)</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62"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General and administrative expenses consist of salaries and related expenses for executives, finance, legal, human resources, information technology and administrative personnel, professional services, patent fees and costs, insurance costs and other general corporate expenses. General and administrative expenses increased by $1.2 million to $5.2 million for the three-month period ended June 30, 2018, from $3.9 million during the same period in 2017 primarily due to $0.7 million of increased professional services and consulting costs, $0.4 million of increased compensation costs, and $0.1 million of increased insurance related costs. Compensation related expenses increased due to the increase in headcount. Professional services and consulting costs increased primarily due to operations and reporting obligations as a public company and increased legal costs related to intellectual property matters and reincorporation from the State of Nevada to the State of Delaware. General and administrative expenses are expected to substantially increase during 2018 as compared to 2017 reflecting the buildout of additional operational infrastructure to support an increased level of clinical and development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60" w:firstLine="441"/>
        <w:spacing w:after="0" w:line="237" w:lineRule="auto"/>
        <w:rPr>
          <w:sz w:val="20"/>
          <w:szCs w:val="20"/>
          <w:color w:val="auto"/>
        </w:rPr>
      </w:pPr>
      <w:r>
        <w:rPr>
          <w:rFonts w:ascii="Arial" w:cs="Arial" w:eastAsia="Arial" w:hAnsi="Arial"/>
          <w:sz w:val="16"/>
          <w:szCs w:val="16"/>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$1.8 million to $4.0 million for the three-month period ended June 30, 2018, from $2.1 million during the same period in 2017 primarily due to $0.8 million of increased compensation costs, $0.3 million of increased stock-based compensation costs, $0.3 million in prototype expenses, $0.1 million of sponsored research expenses, and $0.1 million increase in depreciation expense. Stock-based compensation increased principally due to the higher Black-Scholes values and grant date intrinsic value ascribed to options and restricted stock units, respectively, granted during the first six months of 2018 and the second and third quarters of 2017. Headcount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increases during 2017 and 2018 also contributed to increased stock-based compensation as well as compensation costs more broadly. Prototype expenses increased as a result of the design and testing of the next generation of our system. The increase is also due to materials purchased during the three-month period ended June 30, 2018 for the assembly of clinical systems to be used in planned clinical trials. Sponsored research expenses increased due to timing of sponsored research activities conducted by ODURF. Depreciation expense increased due to the increased leasehold improvements recorded in property and equipment around mid-2017.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jc w:val="both"/>
        <w:ind w:right="80" w:firstLine="441"/>
        <w:spacing w:after="0" w:line="224" w:lineRule="auto"/>
        <w:rPr>
          <w:sz w:val="20"/>
          <w:szCs w:val="20"/>
          <w:color w:val="auto"/>
        </w:rPr>
      </w:pPr>
      <w:r>
        <w:rPr>
          <w:rFonts w:ascii="Arial" w:cs="Arial" w:eastAsia="Arial" w:hAnsi="Arial"/>
          <w:sz w:val="18"/>
          <w:szCs w:val="18"/>
          <w:color w:val="auto"/>
        </w:rPr>
        <w:t>Interest income increased by $96,000 to $137,000 for the three-month period ended June 30, 2018, from $41,000 during the same period in 2017 due primarily to the higher interest rates earned on higher cash equivalent and investment balances as a result of the proceeds received from private placements that occurred in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six-month periods ended June 30, 2018 and 2017</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6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CEEFF"/>
          </w:tcPr>
          <w:p>
            <w:pPr>
              <w:jc w:val="right"/>
              <w:ind w:right="12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6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3,279</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w:t>
            </w:r>
          </w:p>
        </w:tc>
      </w:tr>
      <w:tr>
        <w:trPr>
          <w:trHeight w:val="169"/>
        </w:trPr>
        <w:tc>
          <w:tcPr>
            <w:tcW w:w="54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(17,831)</w:t>
            </w:r>
          </w:p>
        </w:tc>
        <w:tc>
          <w:tcPr>
            <w:tcW w:w="8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(9,378)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8,453</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62"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General and administrative expenses consist of salaries and related expenses for executives, finance, legal, human resources, information technology and administrative personnel, professional services, patent fees and costs, insurance costs and other general corporate expenses. General and administrative expenses increased by $5.3 million to $10.6 million for the six-month period ended June 30, 2018, from $5.3 million during the same period in 2017 primarily due to $2.5 million of increased stock-based compensation costs, $1.7 million of increased professional services and consulting costs, $0.7 million of increased compensation costs, $0.2 million of increased insurance related costs and $0.1 million of increased office supplies costs. Stock-based compensation increased principally due to the higher Black-Scholes values and grant date intrinsic value ascribed to options and restricted stock units, respectively, granted during the first six months of 2018 and the second and third quarters of 2017. Headcount increases during 2017 and 2018 also contributed to increased stock-based compensation as well as compensation costs more broadly. Professional services and consulting costs increased primarily due to operations and reporting obligations as a public company and increased legal costs related to intellectual property matters and reincorporation from the State of Nevada to the State of Delaware. General and administrative expenses are expected to substantially increase during 2018 as compared to 2017 reflecting the buildout of additional operational infrastructure to support an increased level of clinical and development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$3.3 million to $7.1 million for the six-month period ended June 30, 2018, from $3.9 million during the same period in 2017, primarily due to $1.5 million of increased compensation costs, $1.0 million of increased stock-based compensation costs, $0.4 million in prototype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$0.2 million increase in depreciation expense, and $0.1 million of sponsored research expenses. Stock-based compensation increased principally due to the higher Black-Scholes values and grant date intrinsic value ascribed to options and restricted stock units, respectively, granted during the first six months of 2018 and the second and third quarters of 2017. Headcount increases during 2017 and 2018 also contributed to increased stock-based compensation as well as compensation costs more broadly. Sponsored research expenses increased due to timing of sponsored research activities conducted by ODURF. Prototype expenses increased as a result of the design and testing of the next generation of our system. The increase is also due to materials purchased during the three-month period ended June 30, 2018 for the assembly of clinical systems to be used in planned clinical trials. Depreciation expense increased due to the increased leasehold improvements recorded in property and equipment around mid-2017.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jc w:val="both"/>
        <w:ind w:right="80" w:firstLine="441"/>
        <w:spacing w:after="0" w:line="224" w:lineRule="auto"/>
        <w:rPr>
          <w:sz w:val="20"/>
          <w:szCs w:val="20"/>
          <w:color w:val="auto"/>
        </w:rPr>
      </w:pPr>
      <w:r>
        <w:rPr>
          <w:rFonts w:ascii="Arial" w:cs="Arial" w:eastAsia="Arial" w:hAnsi="Arial"/>
          <w:sz w:val="18"/>
          <w:szCs w:val="18"/>
          <w:color w:val="auto"/>
        </w:rPr>
        <w:t>Interest income increased by $113,000 to $193,000 for the six-month period ended June 30, 2018, from $80,000 during the same period in 2017 due primarily to the higher interest rates earned on higher cash equivalent and investment balances as a result of the proceeds received from private placements that occurred in 2017.</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To date, we have not generated any revenues from product sales and do not expect to generate revenues from product sales in the next year. Since inception, we have funded our business primarily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incur substantial incremental costs associated with operating as a public company.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194"/>
              <w:spacing w:after="0"/>
              <w:rPr>
                <w:sz w:val="20"/>
                <w:szCs w:val="20"/>
                <w:color w:val="auto"/>
              </w:rPr>
            </w:pPr>
            <w:r>
              <w:rPr>
                <w:rFonts w:ascii="Arial" w:cs="Arial" w:eastAsia="Arial" w:hAnsi="Arial"/>
                <w:sz w:val="14"/>
                <w:szCs w:val="14"/>
                <w:b w:val="1"/>
                <w:bCs w:val="1"/>
                <w:color w:val="auto"/>
                <w:w w:val="94"/>
              </w:rPr>
              <w:t>Six-Month Periods Ended</w:t>
            </w:r>
          </w:p>
        </w:tc>
      </w:tr>
      <w:tr>
        <w:trPr>
          <w:trHeight w:val="171"/>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4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At June 30, 2018, we had cash, cash equivalents and investments of $27.5 million. We believe that our existing cash, cash equivalents and investments will be sufficient to fund our projected operating requirements for at least the next twelve months from the filing date of this Quarterly Report;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58"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During the six-month period ended June 30, 2018, we used cash of $10.7 million in operating activities. The difference between cash used in operating activities and net loss consisted primarily of stock-based compensation and depreciation and amortization, an increase in accounts payable, partially offset by increased prepaid expenses and other current assets and decreases in accrued liabilities and deferred rent.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firstLine="441"/>
        <w:spacing w:after="0" w:line="219" w:lineRule="auto"/>
        <w:rPr>
          <w:sz w:val="20"/>
          <w:szCs w:val="20"/>
          <w:color w:val="auto"/>
        </w:rPr>
      </w:pPr>
      <w:r>
        <w:rPr>
          <w:rFonts w:ascii="Arial" w:cs="Arial" w:eastAsia="Arial" w:hAnsi="Arial"/>
          <w:sz w:val="18"/>
          <w:szCs w:val="18"/>
          <w:color w:val="auto"/>
        </w:rPr>
        <w:t>During the six-month period ended June 30, 2017, we used cash of $3.7 million in operating activities. The difference between cash used in operating activities and net loss consisted primarily of stock-based compensation and depreciation and amortization, cash received from our landlord for tenant improvements, a net increase in accounts payable and accrued expenses, offset by increased other current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44"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During the six-month period ended June 30, 2018, $13.9 million of cash provided by investing activities was from the sale of investments of $24.9 million and $18.3 million of cash proceeds from the maturities of investments, partially offset by</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$29.1 million cash used for the purchase of available-for-sale securities and $0.1 million cash used in purchase of property and equipment.</w:t>
      </w:r>
    </w:p>
    <w:p>
      <w:pPr>
        <w:spacing w:after="0" w:line="121" w:lineRule="exact"/>
        <w:rPr>
          <w:sz w:val="20"/>
          <w:szCs w:val="20"/>
          <w:color w:val="auto"/>
        </w:rPr>
      </w:pPr>
    </w:p>
    <w:p>
      <w:pPr>
        <w:jc w:val="both"/>
        <w:ind w:right="80" w:firstLine="441"/>
        <w:spacing w:after="0" w:line="224" w:lineRule="auto"/>
        <w:rPr>
          <w:sz w:val="20"/>
          <w:szCs w:val="20"/>
          <w:color w:val="auto"/>
        </w:rPr>
      </w:pPr>
      <w:r>
        <w:rPr>
          <w:rFonts w:ascii="Arial" w:cs="Arial" w:eastAsia="Arial" w:hAnsi="Arial"/>
          <w:sz w:val="18"/>
          <w:szCs w:val="18"/>
          <w:color w:val="auto"/>
        </w:rPr>
        <w:t>During the six-month period ended June 30, 2017, $1.6 million of cash used in investing activities was from $2.5 million of cash used primarily for leasehold improvement and equipment purchases, $11.4 million used in purchases of investments partially offset by $12.2 million of cash provided by maturities of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right="80" w:firstLine="441"/>
        <w:spacing w:after="0" w:line="258" w:lineRule="auto"/>
        <w:rPr>
          <w:sz w:val="20"/>
          <w:szCs w:val="20"/>
          <w:color w:val="auto"/>
        </w:rPr>
      </w:pPr>
      <w:r>
        <w:rPr>
          <w:rFonts w:ascii="Arial" w:cs="Arial" w:eastAsia="Arial" w:hAnsi="Arial"/>
          <w:sz w:val="17"/>
          <w:szCs w:val="17"/>
          <w:color w:val="auto"/>
        </w:rPr>
        <w:t>During the six-month period ended June 30, 2018, cash provided from financing activities was $0.2 million primarily due to cash received from stock option exercises and the sale of stock under our employee stock purchase plan.</w:t>
      </w:r>
    </w:p>
    <w:p>
      <w:pPr>
        <w:spacing w:after="0" w:line="106" w:lineRule="exact"/>
        <w:rPr>
          <w:sz w:val="20"/>
          <w:szCs w:val="20"/>
          <w:color w:val="auto"/>
        </w:rPr>
      </w:pPr>
    </w:p>
    <w:p>
      <w:pPr>
        <w:ind w:right="160" w:firstLine="441"/>
        <w:spacing w:after="0" w:line="258" w:lineRule="auto"/>
        <w:rPr>
          <w:sz w:val="20"/>
          <w:szCs w:val="20"/>
          <w:color w:val="auto"/>
        </w:rPr>
      </w:pPr>
      <w:r>
        <w:rPr>
          <w:rFonts w:ascii="Arial" w:cs="Arial" w:eastAsia="Arial" w:hAnsi="Arial"/>
          <w:sz w:val="17"/>
          <w:szCs w:val="17"/>
          <w:color w:val="auto"/>
        </w:rPr>
        <w:t>During the six-month period ended June 30, 2017, we received $5.2 million of cash from financing activities primarily as a result of the Private Placement in February 2017 and cash received from stock option and warrant exercises.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ind w:right="200" w:firstLine="416"/>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Annual Report on Form 10-K for the year ended December 31,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960" w:firstLine="441"/>
        <w:spacing w:after="0" w:line="235" w:lineRule="auto"/>
        <w:rPr>
          <w:sz w:val="20"/>
          <w:szCs w:val="20"/>
          <w:color w:val="auto"/>
        </w:rPr>
      </w:pPr>
      <w:r>
        <w:rPr>
          <w:rFonts w:ascii="Arial" w:cs="Arial" w:eastAsia="Arial" w:hAnsi="Arial"/>
          <w:sz w:val="18"/>
          <w:szCs w:val="18"/>
          <w:color w:val="auto"/>
        </w:rPr>
        <w:t>At June 30, 2018, we did not have any transactions, obligations or relationships that constitute off-balance sheet arrangements.</w:t>
      </w:r>
    </w:p>
    <w:p>
      <w:pPr>
        <w:spacing w:after="0" w:line="12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35" w:lineRule="exact"/>
        <w:rPr>
          <w:sz w:val="20"/>
          <w:szCs w:val="20"/>
          <w:color w:val="auto"/>
        </w:rPr>
      </w:pPr>
    </w:p>
    <w:p>
      <w:pPr>
        <w:ind w:right="240"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NPS, including, but not limited to, additional financing through follow-on stock offerings, debt financings, or co-development agreements and /or other alternatives.</w:t>
      </w:r>
    </w:p>
    <w:p>
      <w:pPr>
        <w:spacing w:after="0" w:line="13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2"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As of June 30, 2018 and December 31, 2017, we had cash, cash equivalents and investments totaling $27.5 million and $38.1 million, respectively, all of which have maturities of less than three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risks. We currently do not hedge interest rate exposure. A decline in interest rates would reduce our interest income; however, because of the short-term maturities of our investments, we do not believe that a hypothetical 10% change in market interest rates would have a material negative impact on the value of our investment portfolio.</w:t>
      </w:r>
    </w:p>
    <w:p>
      <w:pPr>
        <w:spacing w:after="0" w:line="5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June 30, 2018,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Rule 13a-15(d) and 15d-15(d) of the Exchange Act, as amended, that occurred during the quarter ended June 30, 2018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80"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4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and certain of our directors have received subpoenas from the Securities and Exchange Commission (“SEC”) requesting documents and other information in connection with an investigation into trading in our stock in advance of our September 2017 financing announcement. According to documents received from the SEC, “This investigation is a non-public, fact-finding inquiry. We are [the SEC is] trying to determine whether there have been any violations of the federal securities laws. The investigation and the subpoena do not mean that we have [the SEC has] concluded that you or anyone else has violated the law. Also, the investigation does not mean that we have a negative opinion of any person, entity or security.” We are fully cooperating with the investigation.</w:t>
      </w:r>
    </w:p>
    <w:p>
      <w:pPr>
        <w:spacing w:after="0" w:line="149"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20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3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We are a clinical-stage medical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9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PulseTx</w:t>
      </w:r>
      <w:r>
        <w:rPr>
          <w:rFonts w:ascii="Arial" w:cs="Arial" w:eastAsia="Arial" w:hAnsi="Arial"/>
          <w:sz w:val="7"/>
          <w:szCs w:val="7"/>
          <w:color w:val="auto"/>
        </w:rPr>
        <w:t>TM</w:t>
      </w:r>
      <w:r>
        <w:rPr>
          <w:rFonts w:ascii="Arial" w:cs="Arial" w:eastAsia="Arial" w:hAnsi="Arial"/>
          <w:sz w:val="16"/>
          <w:szCs w:val="16"/>
          <w:color w:val="auto"/>
        </w:rPr>
        <w:t xml:space="preserve"> System or other products based on Nano-Pulse Stimulation, or NPS; however, our technology is still in development.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5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b w:val="1"/>
          <w:bCs w:val="1"/>
          <w:i w:val="1"/>
          <w:iCs w:val="1"/>
          <w:color w:val="auto"/>
        </w:rPr>
        <w:t>We anticipate needing additional financing to execute our business plan and fund operations, which additional financing may not be available on reasonable terms or at all.</w:t>
      </w:r>
    </w:p>
    <w:p>
      <w:pPr>
        <w:spacing w:after="0" w:line="13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ability to continue as a going concern ultimately depends on our ability to generate cash flow from sales that are sufficient to fund operations or to find adequate financing to support our operations. Currently, we have no revenue, do not plan to have revenue in the near term, and do not have arrangements in place for all the anticipated financing that would be required to fully implement our business plan. We plan to raise additional funds in the future.</w:t>
      </w:r>
    </w:p>
    <w:p>
      <w:pPr>
        <w:spacing w:after="0" w:line="146"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We cannot give any assurance that we will be able to obtain all the necessary funding that we may need.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70"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32"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are highly dependent upon the principal members of our management team, including our Chief Executive Officer, Darrin Uecker, and the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60" w:lineRule="exact"/>
        <w:rPr>
          <w:sz w:val="20"/>
          <w:szCs w:val="20"/>
          <w:color w:val="auto"/>
        </w:rPr>
      </w:pPr>
    </w:p>
    <w:p>
      <w:pPr>
        <w:ind w:right="660" w:firstLine="441"/>
        <w:spacing w:after="0" w:line="381"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9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3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device and product manufacturers with significant resources, and we may not be able to compete effectively.</w:t>
      </w:r>
    </w:p>
    <w:p>
      <w:pPr>
        <w:spacing w:after="0" w:line="83"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may find ourselves in competition with companies that have competitive advantages over us, such as:</w:t>
      </w:r>
    </w:p>
    <w:p>
      <w:pPr>
        <w:spacing w:after="0" w:line="154" w:lineRule="exact"/>
        <w:rPr>
          <w:sz w:val="20"/>
          <w:szCs w:val="20"/>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84" w:lineRule="exact"/>
        <w:rPr>
          <w:rFonts w:ascii="Arial" w:cs="Arial" w:eastAsia="Arial" w:hAnsi="Arial"/>
          <w:sz w:val="18"/>
          <w:szCs w:val="18"/>
          <w:color w:val="auto"/>
        </w:rPr>
      </w:pPr>
    </w:p>
    <w:p>
      <w:pPr>
        <w:ind w:left="1080" w:right="360" w:hanging="323"/>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9" w:lineRule="exact"/>
        <w:rPr>
          <w:rFonts w:ascii="Arial" w:cs="Arial" w:eastAsia="Arial" w:hAnsi="Arial"/>
          <w:sz w:val="18"/>
          <w:szCs w:val="18"/>
          <w:color w:val="auto"/>
        </w:rPr>
      </w:pPr>
    </w:p>
    <w:p>
      <w:pPr>
        <w:ind w:left="1080" w:right="380" w:hanging="323"/>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greater financial and human resources for product development, sales and marketing, and patent litigation.</w:t>
      </w:r>
    </w:p>
    <w:p>
      <w:pPr>
        <w:spacing w:after="0" w:line="196" w:lineRule="exact"/>
        <w:rPr>
          <w:sz w:val="20"/>
          <w:szCs w:val="20"/>
          <w:color w:val="auto"/>
        </w:rPr>
      </w:pPr>
    </w:p>
    <w:p>
      <w:pPr>
        <w:ind w:right="240" w:firstLine="441"/>
        <w:spacing w:after="0" w:line="29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As a result, we may not be able to compete effectively against current and potential future competitors or their devices and products.</w:t>
      </w:r>
    </w:p>
    <w:p>
      <w:pPr>
        <w:spacing w:after="0" w:line="11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30"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6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5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3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our PulseTx System devices and market and sell our NPS technology,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4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38" w:lineRule="exact"/>
        <w:rPr>
          <w:sz w:val="20"/>
          <w:szCs w:val="20"/>
          <w:color w:val="auto"/>
        </w:rPr>
      </w:pPr>
    </w:p>
    <w:p>
      <w:pPr>
        <w:ind w:right="120" w:firstLine="441"/>
        <w:spacing w:after="0" w:line="287"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46" w:lineRule="exact"/>
        <w:rPr>
          <w:sz w:val="20"/>
          <w:szCs w:val="20"/>
          <w:color w:val="auto"/>
        </w:rPr>
      </w:pPr>
    </w:p>
    <w:p>
      <w:pPr>
        <w:ind w:right="260" w:firstLine="441"/>
        <w:spacing w:after="0" w:line="302" w:lineRule="auto"/>
        <w:rPr>
          <w:sz w:val="20"/>
          <w:szCs w:val="20"/>
          <w:color w:val="auto"/>
        </w:rPr>
      </w:pPr>
      <w:r>
        <w:rPr>
          <w:rFonts w:ascii="Arial" w:cs="Arial" w:eastAsia="Arial" w:hAnsi="Arial"/>
          <w:sz w:val="16"/>
          <w:szCs w:val="16"/>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incur substantial costs or require us to change our business practices, systems and compliance procedures in a manner adverse to our business.</w:t>
      </w:r>
    </w:p>
    <w:p>
      <w:pPr>
        <w:spacing w:after="0" w:line="143"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3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38" w:lineRule="exact"/>
        <w:rPr>
          <w:sz w:val="20"/>
          <w:szCs w:val="20"/>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8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For example, if we pursue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NPS Technology or our PulseTx System.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5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9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2032.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66" w:lineRule="exact"/>
        <w:rPr>
          <w:sz w:val="20"/>
          <w:szCs w:val="20"/>
          <w:color w:val="auto"/>
        </w:rPr>
      </w:pPr>
    </w:p>
    <w:p>
      <w:pPr>
        <w:jc w:val="both"/>
        <w:ind w:right="40" w:firstLine="441"/>
        <w:spacing w:after="0" w:line="257"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4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until such analysis is complete, the full impact of the new tax law on us in future periods is uncertain, and no assurances can be made by us on any potential impacts.</w:t>
      </w:r>
    </w:p>
    <w:p>
      <w:pPr>
        <w:spacing w:after="0" w:line="124"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2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27" w:lineRule="exact"/>
        <w:rPr>
          <w:sz w:val="20"/>
          <w:szCs w:val="20"/>
          <w:color w:val="auto"/>
        </w:rPr>
      </w:pPr>
    </w:p>
    <w:p>
      <w:pPr>
        <w:ind w:right="40" w:firstLine="441"/>
        <w:spacing w:after="0" w:line="340" w:lineRule="auto"/>
        <w:rPr>
          <w:sz w:val="20"/>
          <w:szCs w:val="20"/>
          <w:color w:val="auto"/>
        </w:rPr>
      </w:pPr>
      <w:r>
        <w:rPr>
          <w:rFonts w:ascii="Arial" w:cs="Arial" w:eastAsia="Arial" w:hAnsi="Arial"/>
          <w:sz w:val="15"/>
          <w:szCs w:val="15"/>
          <w:b w:val="1"/>
          <w:bCs w:val="1"/>
          <w:i w:val="1"/>
          <w:iCs w:val="1"/>
          <w:color w:val="auto"/>
        </w:rPr>
        <w:t>If we experience additional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38"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39" w:lineRule="exact"/>
        <w:rPr>
          <w:sz w:val="20"/>
          <w:szCs w:val="20"/>
          <w:color w:val="auto"/>
        </w:rPr>
      </w:pPr>
    </w:p>
    <w:p>
      <w:pPr>
        <w:ind w:right="40" w:firstLine="486"/>
        <w:spacing w:after="0" w:line="381"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7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8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medical and other regulatory compliance,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53" w:lineRule="exact"/>
        <w:rPr>
          <w:sz w:val="20"/>
          <w:szCs w:val="20"/>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complete the science and develop any planned products for NPS;</w:t>
      </w:r>
    </w:p>
    <w:p>
      <w:pPr>
        <w:spacing w:after="0" w:line="184" w:lineRule="exact"/>
        <w:rPr>
          <w:rFonts w:ascii="Arial" w:cs="Arial" w:eastAsia="Arial" w:hAnsi="Arial"/>
          <w:sz w:val="18"/>
          <w:szCs w:val="18"/>
          <w:color w:val="auto"/>
        </w:rPr>
      </w:pPr>
    </w:p>
    <w:p>
      <w:pPr>
        <w:ind w:left="1080" w:right="32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for our planned products, or the approved indications may be narrower than we seek;</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experience delays in our development program, clinical trials and the regulatory approval process;</w:t>
      </w:r>
    </w:p>
    <w:p>
      <w:pPr>
        <w:spacing w:after="0" w:line="196" w:lineRule="exact"/>
        <w:rPr>
          <w:rFonts w:ascii="Arial" w:cs="Arial" w:eastAsia="Arial" w:hAnsi="Arial"/>
          <w:sz w:val="17"/>
          <w:szCs w:val="17"/>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84" w:lineRule="exact"/>
        <w:rPr>
          <w:rFonts w:ascii="Arial" w:cs="Arial" w:eastAsia="Arial" w:hAnsi="Arial"/>
          <w:sz w:val="18"/>
          <w:szCs w:val="18"/>
          <w:color w:val="auto"/>
        </w:rPr>
      </w:pPr>
    </w:p>
    <w:p>
      <w:pPr>
        <w:ind w:left="1080" w:right="48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products that are approved may not be accepted in the marketplace by physicians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84" w:lineRule="exact"/>
        <w:rPr>
          <w:rFonts w:ascii="Arial" w:cs="Arial" w:eastAsia="Arial" w:hAnsi="Arial"/>
          <w:sz w:val="18"/>
          <w:szCs w:val="18"/>
          <w:color w:val="auto"/>
        </w:rPr>
      </w:pPr>
    </w:p>
    <w:p>
      <w:pPr>
        <w:ind w:left="1080" w:right="500" w:hanging="323"/>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30" w:lineRule="exact"/>
        <w:rPr>
          <w:sz w:val="20"/>
          <w:szCs w:val="20"/>
          <w:color w:val="auto"/>
        </w:rPr>
      </w:pPr>
    </w:p>
    <w:p>
      <w:pPr>
        <w:ind w:right="640" w:firstLine="441"/>
        <w:spacing w:after="0" w:line="381" w:lineRule="auto"/>
        <w:rPr>
          <w:sz w:val="20"/>
          <w:szCs w:val="20"/>
          <w:color w:val="auto"/>
        </w:rPr>
      </w:pPr>
      <w:r>
        <w:rPr>
          <w:rFonts w:ascii="Arial" w:cs="Arial" w:eastAsia="Arial" w:hAnsi="Arial"/>
          <w:sz w:val="15"/>
          <w:szCs w:val="15"/>
          <w:b w:val="1"/>
          <w:bCs w:val="1"/>
          <w:i w:val="1"/>
          <w:iCs w:val="1"/>
          <w:color w:val="auto"/>
        </w:rPr>
        <w:t>If we fail to obtain and maintain necessary regulatory clearances or approvals for our devices, or if clearances or approvals for future devices and indications are delayed or not issued, our commercial operations would be harmed.</w:t>
      </w:r>
    </w:p>
    <w:p>
      <w:pPr>
        <w:spacing w:after="0" w:line="60"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Our devices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54" w:lineRule="exact"/>
        <w:rPr>
          <w:sz w:val="20"/>
          <w:szCs w:val="20"/>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84" w:lineRule="exact"/>
        <w:rPr>
          <w:rFonts w:ascii="Arial" w:cs="Arial" w:eastAsia="Arial" w:hAnsi="Arial"/>
          <w:sz w:val="18"/>
          <w:szCs w:val="18"/>
          <w:color w:val="auto"/>
        </w:rPr>
      </w:pPr>
    </w:p>
    <w:p>
      <w:pPr>
        <w:ind w:left="1080" w:right="560" w:hanging="323"/>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and serious injuries and recalls and correction and removals.</w:t>
      </w:r>
    </w:p>
    <w:p>
      <w:pPr>
        <w:spacing w:after="0" w:line="13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We may not be able to obtain the necessary clearances or approvals or may be unduly delayed in doing so, which could harm our business. Furthermore, even if we are granted regulatory clearances or approvals, they may include significant limitations on the indicated uses for the device, which may limit the market for the device.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3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53"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3" w:lineRule="exact"/>
        <w:rPr>
          <w:sz w:val="20"/>
          <w:szCs w:val="20"/>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84" w:lineRule="exact"/>
        <w:rPr>
          <w:rFonts w:ascii="Arial" w:cs="Arial" w:eastAsia="Arial" w:hAnsi="Arial"/>
          <w:sz w:val="18"/>
          <w:szCs w:val="18"/>
          <w:color w:val="auto"/>
        </w:rPr>
      </w:pPr>
    </w:p>
    <w:p>
      <w:pPr>
        <w:ind w:left="1080" w:right="1000" w:hanging="323"/>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8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research and development efforts remain subject to all of the risks associated with the development of new therapies, devices, treatment modalities, and related products based on our NPS technology. NPS applications are not yet fully developed. Development of the underlying technology, including the development of the PulseTx System, may be affected by unanticipated technical or other problems, among other development and research issues, and the possible insufficiency of funds needed in order to complete development of these products or devices. Safety, regulatory and efficacy issues, clinical hurdles or challenges also may result in delays and cause us to incur additional expenses that may increase our need for capital and result in additional losses. In addition, the potential indications for NPS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has not been fully determined or validated.</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exact mechanism(s) of action(s) of NPS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stable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b w:val="1"/>
          <w:bCs w:val="1"/>
          <w:i w:val="1"/>
          <w:iCs w:val="1"/>
          <w:color w:val="auto"/>
        </w:rPr>
        <w:t>NPS or 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54"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The risk of failure of clinical development is high. For example, the vast majority of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has been a result of animal testing, and we have only recently completed our first pilot study in humans. It is difficult to predict when or if this or any planned products will prove safe enough to receive regulatory approval. Undesirable side effects caused by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1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Additionally, if NPS or any of our planned products receive marketing approval but, we or others later identify undesirable side effects caused by such product, a number of potentially significant negative consequences could result, including:</w:t>
      </w:r>
    </w:p>
    <w:p>
      <w:pPr>
        <w:spacing w:after="0" w:line="83" w:lineRule="exact"/>
        <w:rPr>
          <w:sz w:val="20"/>
          <w:szCs w:val="20"/>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84"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9" w:lineRule="exact"/>
        <w:rPr>
          <w:rFonts w:ascii="Arial" w:cs="Arial" w:eastAsia="Arial" w:hAnsi="Arial"/>
          <w:sz w:val="18"/>
          <w:szCs w:val="18"/>
          <w:color w:val="auto"/>
        </w:rPr>
      </w:pPr>
    </w:p>
    <w:p>
      <w:pPr>
        <w:ind w:left="1080" w:right="180" w:hanging="323"/>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9" w:lineRule="exact"/>
        <w:rPr>
          <w:rFonts w:ascii="Arial" w:cs="Arial" w:eastAsia="Arial" w:hAnsi="Arial"/>
          <w:sz w:val="18"/>
          <w:szCs w:val="18"/>
          <w:color w:val="auto"/>
        </w:rPr>
      </w:pPr>
    </w:p>
    <w:p>
      <w:pPr>
        <w:ind w:left="1080" w:right="200" w:hanging="323"/>
        <w:spacing w:after="0" w:line="31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106" w:lineRule="exact"/>
        <w:rPr>
          <w:rFonts w:ascii="Arial" w:cs="Arial" w:eastAsia="Arial" w:hAnsi="Arial"/>
          <w:sz w:val="16"/>
          <w:szCs w:val="16"/>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4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Our business is dependent upon physicians adopting our NPS technology, and if we fail to obtain broad adoption, our business would be adversely affected.</w:t>
      </w:r>
    </w:p>
    <w:p>
      <w:pPr>
        <w:spacing w:after="0" w:line="13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obtain regulatory approval for an NPS application or product, our success will depend on our ability to educate physicians regarding the benefits of NPS, such as our PulseTx System, over existing treatment modalities and to persuade them to prescribe PulseTx System treatments for their patients. We do not know if NPS will be successful over the long term, and market acceptance may be hindered if physicians are not presented with compelling data demonstrating the efficacy of our service compared to alternative treatments. Any studies we, or third parties, may conduct comparing our NPS technology with alternative treatments may be expensive, time consuming or may not yield positive results. Additionally, adoption will be directly influenced by a number of financial factors, including the ability of providers to attract cash reimbursement from patients or to obtain sufficient reimbursement from third party commercial payors, and the Centers for Medicare &amp; Medicaid Services, or CMS, for the professional services they provide in administering NPS treatments. The efficacy, safety, performance and cost-effectiveness of our NPS technology, PulseTx System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5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of planned products may be delayed. If there are delays in accumulating the required patients and patient data, there may be delays in completing the trial. Further, if any of our clinical trial sites fail to comply with FDA-approved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3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NPS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8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safety and effectiveness of NPS-based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3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b w:val="1"/>
          <w:bCs w:val="1"/>
          <w:i w:val="1"/>
          <w:iCs w:val="1"/>
          <w:color w:val="auto"/>
        </w:rPr>
        <w:t>We may encounter manufacturing problems or delays that could result in lost revenue. Additionally, we currently rely on third-party suppliers for critical materials needed to manufacture NPS devices such as the PulseTx System and related applicators and, if we obtain regulatory approval, our planned products. Any problems experienced by these suppliers could result in a delay or interruption of their supply to us, and as a result, we may face delays in the development and commercialization of planned products.</w:t>
      </w:r>
    </w:p>
    <w:p>
      <w:pPr>
        <w:spacing w:after="0" w:line="161"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NPS devices.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6"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We currently purchase components for our NPS devices under purchase orders and do not have long-term contracts with most of the suppliers of these materials. If suppliers were to delay or stop producing our components, or if the prices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5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0"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4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3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42"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and harm our ability to leverage our discovery platforms.</w:t>
      </w:r>
    </w:p>
    <w:p>
      <w:pPr>
        <w:spacing w:after="0" w:line="154"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80"/>
          </w:cols>
          <w:pgMar w:left="1220" w:top="108" w:right="1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right="640" w:firstLine="441"/>
        <w:spacing w:after="0" w:line="30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4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4"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28" w:lineRule="exact"/>
        <w:rPr>
          <w:sz w:val="20"/>
          <w:szCs w:val="20"/>
          <w:color w:val="auto"/>
        </w:rPr>
      </w:pPr>
    </w:p>
    <w:p>
      <w:pPr>
        <w:ind w:right="320" w:firstLine="441"/>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hold licenses from ODURF and EVMS and from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8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1" w:lineRule="exact"/>
        <w:rPr>
          <w:sz w:val="20"/>
          <w:szCs w:val="20"/>
          <w:color w:val="auto"/>
        </w:rPr>
      </w:pPr>
    </w:p>
    <w:p>
      <w:pPr>
        <w:ind w:left="108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1080" w:right="26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9" w:lineRule="exact"/>
        <w:rPr>
          <w:rFonts w:ascii="Arial" w:cs="Arial" w:eastAsia="Arial" w:hAnsi="Arial"/>
          <w:sz w:val="18"/>
          <w:szCs w:val="18"/>
          <w:color w:val="auto"/>
        </w:rPr>
      </w:pPr>
    </w:p>
    <w:p>
      <w:pPr>
        <w:ind w:left="1080" w:right="300" w:hanging="323"/>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w:t>
      </w:r>
    </w:p>
    <w:p>
      <w:pPr>
        <w:spacing w:after="0" w:line="106" w:lineRule="exact"/>
        <w:rPr>
          <w:rFonts w:ascii="Arial" w:cs="Arial" w:eastAsia="Arial" w:hAnsi="Arial"/>
          <w:sz w:val="17"/>
          <w:szCs w:val="17"/>
          <w:color w:val="auto"/>
        </w:rPr>
      </w:pPr>
    </w:p>
    <w:p>
      <w:pPr>
        <w:ind w:left="1080" w:right="18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40" w:lineRule="exact"/>
        <w:rPr>
          <w:rFonts w:ascii="Arial" w:cs="Arial" w:eastAsia="Arial" w:hAnsi="Arial"/>
          <w:sz w:val="18"/>
          <w:szCs w:val="18"/>
          <w:color w:val="auto"/>
        </w:rPr>
      </w:pPr>
    </w:p>
    <w:p>
      <w:pPr>
        <w:ind w:left="1080" w:right="10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0" w:lineRule="exact"/>
        <w:rPr>
          <w:rFonts w:ascii="Arial" w:cs="Arial" w:eastAsia="Arial" w:hAnsi="Arial"/>
          <w:sz w:val="18"/>
          <w:szCs w:val="18"/>
          <w:color w:val="auto"/>
        </w:rPr>
      </w:pPr>
    </w:p>
    <w:p>
      <w:pPr>
        <w:ind w:left="1080" w:hanging="32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84" w:lineRule="exact"/>
        <w:rPr>
          <w:rFonts w:ascii="Arial" w:cs="Arial" w:eastAsia="Arial" w:hAnsi="Arial"/>
          <w:sz w:val="18"/>
          <w:szCs w:val="18"/>
          <w:color w:val="auto"/>
        </w:rPr>
      </w:pPr>
    </w:p>
    <w:p>
      <w:pPr>
        <w:ind w:left="1080" w:right="180" w:hanging="323"/>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40"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9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30"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pharmaceutical, medical technology or biotechnology companies, those employers may allege violations of trade secrets and other similar claims in relation to their medical device development activities for us.</w:t>
      </w:r>
    </w:p>
    <w:p>
      <w:pPr>
        <w:spacing w:after="0" w:line="14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4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4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4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43"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our proprietary technology and other confidential information, then our ability to obtain patent protection or to protect our trade secret information would be jeopardized, which would adversely affect our competitive position.</w:t>
      </w:r>
    </w:p>
    <w:p>
      <w:pPr>
        <w:spacing w:after="0" w:line="14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3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9" w:lineRule="exact"/>
        <w:rPr>
          <w:sz w:val="20"/>
          <w:szCs w:val="20"/>
          <w:color w:val="auto"/>
        </w:rPr>
      </w:pPr>
    </w:p>
    <w:p>
      <w:pPr>
        <w:ind w:right="960" w:firstLine="441"/>
        <w:spacing w:after="0" w:line="277"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4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4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never receive regulatory approval, including that from the FDA, for any of our planned products.</w:t>
      </w:r>
    </w:p>
    <w:p>
      <w:pPr>
        <w:spacing w:after="0" w:line="18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We may never receive regulatory approvals, including from the FDA, for any potential therapies, devices or products in the United States or in any foreign market.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 As such, it is highly speculative as to any timing for our planned products to be approved or commercialized. Investors need to take a long-term approach to an investment in our securities, as the commercial realization of our technology is speculative and well into the future.</w:t>
      </w:r>
    </w:p>
    <w:p>
      <w:pPr>
        <w:spacing w:after="0" w:line="13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therapies, devices and products. Any unfavorable regulatory action may materially and adversely affect our future financial condition and business operations and prospects.</w:t>
      </w:r>
    </w:p>
    <w:p>
      <w:pPr>
        <w:spacing w:after="0" w:line="15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Our potential therapies,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therapies, devices and products, or for enhancements, expansion of the indications or modifications to existing products, could:</w:t>
      </w:r>
    </w:p>
    <w:p>
      <w:pPr>
        <w:spacing w:after="0" w:line="137" w:lineRule="exact"/>
        <w:rPr>
          <w:sz w:val="20"/>
          <w:szCs w:val="20"/>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we seek.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We will have ongoing responsibilities under FDA and international regulations, both before and after a product is approved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therapies or devices are ineffective or pose an unreasonable health risk, the FDA or similar foreign regulatory authorities could ban such medical therapies,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therapies,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therapies, devices and products. In addition, negative publicity and product liability claims resulting from any adverse regulatory action could have a material adverse effect on our financial condition and results of operations.</w:t>
      </w:r>
    </w:p>
    <w:p>
      <w:pPr>
        <w:spacing w:after="0" w:line="15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b w:val="1"/>
          <w:bCs w:val="1"/>
          <w:i w:val="1"/>
          <w:iCs w:val="1"/>
          <w:color w:val="auto"/>
        </w:rPr>
        <w:t>We will have to comply with complex statutes prohibiting fraud and abuse, and both we and physicians utilizing our planned products could be subject to significant penalties for noncompliance.</w:t>
      </w:r>
    </w:p>
    <w:p>
      <w:pPr>
        <w:spacing w:after="0" w:line="13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There are many federal and state laws and regulations prohibiting fraud and abuse in the healthcare industry that can result in significant criminal and civil penalties. These federal laws include: the anti-kickback statutes which prohibit certain business practices and relationships, including the payment or receipt of remuneration for the referral of patients whose care will be paid by Medicare or other federal healthcare programs; the physician self-referral prohibition, commonly referred to as the Stark Law; 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 the Civil Monetary Penalties Law, which authorizes the imposition of civil penalties administratively for fraudulent or abusive acts.</w:t>
      </w:r>
    </w:p>
    <w:p>
      <w:pPr>
        <w:spacing w:after="0" w:line="14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Sanctions for violating these federal laws include criminal and civil penalties that range from punitive sanctions, damage assessments, money penalties, imprisonment, denial of Medicare and Medicaid payments, or exclusion from the Medicare and Medicaid programs, or both. 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w:t>
      </w:r>
    </w:p>
    <w:p>
      <w:pPr>
        <w:spacing w:after="0" w:line="16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b w:val="1"/>
          <w:bCs w:val="1"/>
          <w:i w:val="1"/>
          <w:iCs w:val="1"/>
          <w:color w:val="auto"/>
        </w:rPr>
        <w:t>To obtain the necessary device and marketing and manufacturing clearance or approval, as a pre-condition, we will have to conduct various preclinical and clinical tests, which may be costly and time consuming, and may not provide results that will allow us to seek regulatory approval.</w:t>
      </w:r>
    </w:p>
    <w:p>
      <w:pPr>
        <w:spacing w:after="0" w:line="14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48" w:lineRule="exact"/>
        <w:rPr>
          <w:sz w:val="20"/>
          <w:szCs w:val="20"/>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deem a therapy, technology or device to be safe or effective;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approve our manufacturing processes;</w:t>
      </w:r>
    </w:p>
    <w:p>
      <w:pPr>
        <w:spacing w:after="0" w:line="184" w:lineRule="exact"/>
        <w:rPr>
          <w:rFonts w:ascii="Arial" w:cs="Arial" w:eastAsia="Arial" w:hAnsi="Arial"/>
          <w:sz w:val="18"/>
          <w:szCs w:val="18"/>
          <w:color w:val="auto"/>
        </w:rPr>
      </w:pPr>
    </w:p>
    <w:p>
      <w:pPr>
        <w:ind w:left="1080" w:right="120" w:hanging="323"/>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8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in the US. As part of the process for regulatory approval, we may, from time to time, elect to withdraw an application.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66"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3"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Even if a potential device or product of ours is cleared or approved, it may not be cleared or approved for the indications that are necessary or desirable for a successful commercialization.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4"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as well as any potential collaborative partners such as manufacturers and distributors, will be required to adhere to applicable FDA regulations regarding good manufacturing practice, which include testing, control, and documentation requirements. We will be subject to similar regulations in foreign countries.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Ongoing compliance with good manufacturing practice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3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therapies, devices and products and the expense of those trials may adversely affect our business.</w:t>
      </w:r>
    </w:p>
    <w:p>
      <w:pPr>
        <w:spacing w:after="0" w:line="13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2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4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provide accurate information to the FDA and similar foreign regulatory authorities, comply with data privacy and security and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HIPAA, as amended by HITECH, as well as comparable laws in non-U.S. jurisdictions, may impose obligations with respect to safeguarding the privacy, use, security and transmission of individually identifiable health information such as genetic material.</w:t>
      </w:r>
    </w:p>
    <w:p>
      <w:pPr>
        <w:spacing w:after="0" w:line="14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trials, which could result in regulatory sanctions and cause harm to our reputation.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70"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84" w:lineRule="exact"/>
        <w:rPr>
          <w:rFonts w:ascii="Arial" w:cs="Arial" w:eastAsia="Arial" w:hAnsi="Arial"/>
          <w:sz w:val="18"/>
          <w:szCs w:val="18"/>
          <w:color w:val="auto"/>
        </w:rPr>
      </w:pPr>
    </w:p>
    <w:p>
      <w:pPr>
        <w:ind w:left="1080" w:right="28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approvals of our planned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84" w:lineRule="exact"/>
        <w:rPr>
          <w:rFonts w:ascii="Arial" w:cs="Arial" w:eastAsia="Arial" w:hAnsi="Arial"/>
          <w:sz w:val="18"/>
          <w:szCs w:val="18"/>
          <w:color w:val="auto"/>
        </w:rPr>
      </w:pPr>
    </w:p>
    <w:p>
      <w:pPr>
        <w:ind w:left="1080" w:right="28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conditions in our industry and market;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8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210"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or exercisable for our common stock from time to time in connection with financings, acquisitions, investments or otherwise. Any such issuances would result in dilution to our existing stockholders and could cause our stock price to fall.</w:t>
      </w:r>
    </w:p>
    <w:p>
      <w:pPr>
        <w:spacing w:after="0" w:line="14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common stock could be delisted from the Nasdaq Capital Market if we fail to regain compliance with Nasdaq listing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rules.</w:t>
      </w:r>
    </w:p>
    <w:p>
      <w:pPr>
        <w:spacing w:after="0" w:line="170"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On July 30, 2018, we received a notice from Nasdaq indicating that we were not in compliance with the audit committee requirements as set forth in Listing Rule 5605, which requires us to have at least three members of our audit committee. Nasdaq has provided us with a cure period until the earlier of the next annual meeting of stockholders or July 27, 2019 to regain compliance.</w:t>
      </w:r>
    </w:p>
    <w:p>
      <w:pPr>
        <w:spacing w:after="0" w:line="1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our common stock is delisted from the Nasdaq Capital Market and we are unable to obtain listing on another national securities exchange, our common stock may trade only on the over-the-counter market (the “OTC”). If our common stock were to trade on the OTC, the market price and liquidity of our common stock may decline because smaller quantities of shares would likely be bought and sold, and transactions could be delayed. In addition, in the event our common stock is delisted, broker-dealers transacting in our common stock could be subject to certain additional regulatory burdens, which may discourage them from effecting transactions in our common stock, thus further limiting the liquidity of our common stock and potentially resulting in lower prices and larger spreads in the bid and ask prices for our common stock. A delisting from the Nasdaq Capital Market could also negatively impact our ability to raise capital in the future.</w:t>
      </w:r>
    </w:p>
    <w:p>
      <w:pPr>
        <w:spacing w:after="0" w:line="138"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30"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 significant percentage of our outstanding stock is held by a limited number of investors, including Robert W. Duggan. Mr. Duggan, Chairman of our Board, beneficially owns approximately 35% of our outstanding common stock. As a result, such persons will have significant influence over corporate actions requiring stockholder approval, including the following actions:</w:t>
      </w:r>
    </w:p>
    <w:p>
      <w:pPr>
        <w:spacing w:after="0" w:line="120" w:lineRule="exact"/>
        <w:rPr>
          <w:sz w:val="20"/>
          <w:szCs w:val="20"/>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amend or prevent amendment of our articles of incorporation or bylaws;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84" w:lineRule="exact"/>
        <w:rPr>
          <w:rFonts w:ascii="Arial" w:cs="Arial" w:eastAsia="Arial" w:hAnsi="Arial"/>
          <w:sz w:val="18"/>
          <w:szCs w:val="18"/>
          <w:color w:val="auto"/>
        </w:rPr>
      </w:pPr>
    </w:p>
    <w:p>
      <w:pPr>
        <w:ind w:left="4640" w:right="2480" w:hanging="3883"/>
        <w:spacing w:after="0" w:line="496" w:lineRule="auto"/>
        <w:tabs>
          <w:tab w:leader="none" w:pos="10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605409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4"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10% or more of the outstanding shares of common stock, our management will not be able to greatly influence corporate actions requiring stockholder approval.</w:t>
      </w:r>
    </w:p>
    <w:p>
      <w:pPr>
        <w:spacing w:after="0" w:line="146"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30"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Robert W. Duggan, is the Chairman of our Board, beneficially owns approximately 35% of our outstanding common stock.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161"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4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53"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34" w:lineRule="exact"/>
        <w:rPr>
          <w:sz w:val="20"/>
          <w:szCs w:val="20"/>
          <w:color w:val="auto"/>
        </w:rPr>
      </w:pPr>
    </w:p>
    <w:p>
      <w:pPr>
        <w:ind w:right="1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of 2012 and we cannot be certain if the reduced disclosure requirements applicable to emerging growth companies will make our common stock less attractive to investors.</w:t>
      </w:r>
    </w:p>
    <w:p>
      <w:pPr>
        <w:spacing w:after="0" w:line="61" w:lineRule="exact"/>
        <w:rPr>
          <w:sz w:val="20"/>
          <w:szCs w:val="20"/>
          <w:color w:val="auto"/>
        </w:rPr>
      </w:pPr>
    </w:p>
    <w:p>
      <w:pPr>
        <w:ind w:right="40" w:firstLine="441"/>
        <w:spacing w:after="0" w:line="210"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any June 30.</w:t>
      </w:r>
    </w:p>
    <w:p>
      <w:pPr>
        <w:spacing w:after="0" w:line="136" w:lineRule="exact"/>
        <w:rPr>
          <w:sz w:val="20"/>
          <w:szCs w:val="20"/>
          <w:color w:val="auto"/>
        </w:rPr>
      </w:pPr>
    </w:p>
    <w:p>
      <w:pPr>
        <w:ind w:right="100" w:firstLine="441"/>
        <w:spacing w:after="0" w:line="229"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we may be less attractive to investors as an investment opportunity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21"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no analysts covering us and there can be no assurance that analysts will cover us or provide favorable coverage. If one or more of the analysts who cover us downgrade our stock or change their opinion of our stock, our market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22" w:lineRule="exact"/>
        <w:rPr>
          <w:sz w:val="20"/>
          <w:szCs w:val="20"/>
          <w:color w:val="auto"/>
        </w:rPr>
      </w:pPr>
    </w:p>
    <w:p>
      <w:pPr>
        <w:jc w:val="both"/>
        <w:ind w:right="60" w:firstLine="486"/>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3"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We recently reincorporated to the State of Delaware from the State of Nevada. 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80" w:right="260" w:hanging="323"/>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50,000,000 shares of preferred stock and up to approximately 500,000,000 shares of authorized but unissued shares of common stock;</w:t>
      </w:r>
    </w:p>
    <w:p>
      <w:pPr>
        <w:spacing w:after="0" w:line="83" w:lineRule="exact"/>
        <w:rPr>
          <w:rFonts w:ascii="Arial" w:cs="Arial" w:eastAsia="Arial" w:hAnsi="Arial"/>
          <w:sz w:val="16"/>
          <w:szCs w:val="16"/>
          <w:color w:val="auto"/>
        </w:rPr>
      </w:pPr>
    </w:p>
    <w:p>
      <w:pPr>
        <w:ind w:left="1080" w:right="20" w:hanging="323"/>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9" w:lineRule="exact"/>
        <w:rPr>
          <w:rFonts w:ascii="Arial" w:cs="Arial" w:eastAsia="Arial" w:hAnsi="Arial"/>
          <w:sz w:val="18"/>
          <w:szCs w:val="18"/>
          <w:color w:val="auto"/>
        </w:rPr>
      </w:pPr>
    </w:p>
    <w:p>
      <w:pPr>
        <w:ind w:left="1080" w:right="60" w:hanging="323"/>
        <w:spacing w:after="0" w:line="26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40" w:lineRule="exact"/>
        <w:rPr>
          <w:rFonts w:ascii="Arial" w:cs="Arial" w:eastAsia="Arial" w:hAnsi="Arial"/>
          <w:sz w:val="18"/>
          <w:szCs w:val="18"/>
          <w:color w:val="auto"/>
        </w:rPr>
      </w:pPr>
    </w:p>
    <w:p>
      <w:pPr>
        <w:ind w:left="1080" w:right="420" w:hanging="323"/>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06" w:lineRule="exact"/>
        <w:rPr>
          <w:rFonts w:ascii="Arial" w:cs="Arial" w:eastAsia="Arial" w:hAnsi="Arial"/>
          <w:sz w:val="17"/>
          <w:szCs w:val="17"/>
          <w:color w:val="auto"/>
        </w:rPr>
      </w:pPr>
    </w:p>
    <w:p>
      <w:pPr>
        <w:ind w:left="1080" w:right="280" w:hanging="323"/>
        <w:spacing w:after="0" w:line="26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40" w:lineRule="exact"/>
        <w:rPr>
          <w:rFonts w:ascii="Arial" w:cs="Arial" w:eastAsia="Arial" w:hAnsi="Arial"/>
          <w:sz w:val="18"/>
          <w:szCs w:val="18"/>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84" w:lineRule="exact"/>
        <w:rPr>
          <w:rFonts w:ascii="Arial" w:cs="Arial" w:eastAsia="Arial" w:hAnsi="Arial"/>
          <w:sz w:val="18"/>
          <w:szCs w:val="18"/>
          <w:color w:val="auto"/>
        </w:rPr>
      </w:pPr>
    </w:p>
    <w:p>
      <w:pPr>
        <w:ind w:left="1080" w:right="280" w:hanging="323"/>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60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35"/>
        </w:trPr>
        <w:tc>
          <w:tcPr>
            <w:tcW w:w="8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Number</w:t>
            </w:r>
          </w:p>
        </w:tc>
        <w:tc>
          <w:tcPr>
            <w:tcW w:w="8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tcBorders>
              <w:top w:val="single" w:sz="8" w:color="auto"/>
            </w:tcBorders>
            <w:gridSpan w:val="3"/>
            <w:shd w:val="clear" w:color="auto" w:fill="CCEEFF"/>
          </w:tcPr>
          <w:p>
            <w:pPr>
              <w:spacing w:after="0" w:line="156" w:lineRule="exact"/>
              <w:rPr>
                <w:rFonts w:ascii="Arial" w:cs="Arial" w:eastAsia="Arial" w:hAnsi="Arial"/>
                <w:sz w:val="18"/>
                <w:szCs w:val="18"/>
                <w:color w:val="0000EE"/>
              </w:rPr>
            </w:pPr>
            <w:hyperlink r:id="rId87">
              <w:r>
                <w:rPr>
                  <w:rFonts w:ascii="Arial" w:cs="Arial" w:eastAsia="Arial" w:hAnsi="Arial"/>
                  <w:sz w:val="18"/>
                  <w:szCs w:val="18"/>
                  <w:color w:val="0000EE"/>
                </w:rPr>
                <w:t>2.</w:t>
              </w:r>
              <w:r>
                <w:rPr>
                  <w:rFonts w:ascii="Arial" w:cs="Arial" w:eastAsia="Arial" w:hAnsi="Arial"/>
                  <w:sz w:val="18"/>
                  <w:szCs w:val="18"/>
                  <w:u w:val="single" w:color="auto"/>
                  <w:color w:val="0000EE"/>
                </w:rPr>
                <w:t>1</w:t>
              </w:r>
            </w:hyperlink>
            <w:r>
              <w:rPr>
                <w:rFonts w:ascii="Arial" w:cs="Arial" w:eastAsia="Arial" w:hAnsi="Arial"/>
                <w:sz w:val="18"/>
                <w:szCs w:val="18"/>
                <w:color w:val="000000"/>
              </w:rPr>
              <w:t>(1)</w:t>
            </w:r>
          </w:p>
        </w:tc>
        <w:tc>
          <w:tcPr>
            <w:tcW w:w="1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auto"/>
            </w:tcBorders>
            <w:gridSpan w:val="9"/>
            <w:shd w:val="clear" w:color="auto" w:fill="CCEEFF"/>
          </w:tcPr>
          <w:p>
            <w:pPr>
              <w:spacing w:after="0" w:line="156" w:lineRule="exact"/>
              <w:rPr>
                <w:rFonts w:ascii="Arial" w:cs="Arial" w:eastAsia="Arial" w:hAnsi="Arial"/>
                <w:sz w:val="18"/>
                <w:szCs w:val="18"/>
                <w:color w:val="0000EE"/>
              </w:rPr>
            </w:pPr>
            <w:hyperlink r:id="rId87">
              <w:r>
                <w:rPr>
                  <w:rFonts w:ascii="Arial" w:cs="Arial" w:eastAsia="Arial" w:hAnsi="Arial"/>
                  <w:sz w:val="18"/>
                  <w:szCs w:val="18"/>
                  <w:color w:val="0000EE"/>
                </w:rPr>
                <w:t>Plan of Conversion of Pulse Biosciences, Inc.</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360" w:type="dxa"/>
            <w:vAlign w:val="bottom"/>
            <w:tcBorders>
              <w:right w:val="single" w:sz="8" w:color="CCEE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tcPr>
          <w:p>
            <w:pPr>
              <w:spacing w:after="0" w:line="162" w:lineRule="exact"/>
              <w:rPr>
                <w:rFonts w:ascii="Arial" w:cs="Arial" w:eastAsia="Arial" w:hAnsi="Arial"/>
                <w:sz w:val="18"/>
                <w:szCs w:val="18"/>
                <w:color w:val="0000EE"/>
              </w:rPr>
            </w:pPr>
            <w:hyperlink r:id="rId88">
              <w:r>
                <w:rPr>
                  <w:rFonts w:ascii="Arial" w:cs="Arial" w:eastAsia="Arial" w:hAnsi="Arial"/>
                  <w:sz w:val="18"/>
                  <w:szCs w:val="18"/>
                  <w:color w:val="0000EE"/>
                </w:rPr>
                <w:t>3.</w:t>
              </w:r>
              <w:r>
                <w:rPr>
                  <w:rFonts w:ascii="Arial" w:cs="Arial" w:eastAsia="Arial" w:hAnsi="Arial"/>
                  <w:sz w:val="18"/>
                  <w:szCs w:val="18"/>
                  <w:u w:val="single" w:color="auto"/>
                  <w:color w:val="0000EE"/>
                </w:rPr>
                <w:t>1</w:t>
              </w:r>
            </w:hyperlink>
            <w:r>
              <w:rPr>
                <w:rFonts w:ascii="Arial" w:cs="Arial" w:eastAsia="Arial" w:hAnsi="Arial"/>
                <w:sz w:val="18"/>
                <w:szCs w:val="18"/>
                <w:color w:val="000000"/>
              </w:rPr>
              <w:t>(2)</w:t>
            </w:r>
          </w:p>
        </w:tc>
        <w:tc>
          <w:tcPr>
            <w:tcW w:w="8600" w:type="dxa"/>
            <w:vAlign w:val="bottom"/>
            <w:gridSpan w:val="10"/>
          </w:tcPr>
          <w:p>
            <w:pPr>
              <w:ind w:left="120"/>
              <w:spacing w:after="0" w:line="162" w:lineRule="exact"/>
              <w:rPr>
                <w:rFonts w:ascii="Arial" w:cs="Arial" w:eastAsia="Arial" w:hAnsi="Arial"/>
                <w:sz w:val="18"/>
                <w:szCs w:val="18"/>
                <w:color w:val="0000EE"/>
              </w:rPr>
            </w:pPr>
            <w:hyperlink r:id="rId88">
              <w:r>
                <w:rPr>
                  <w:rFonts w:ascii="Arial" w:cs="Arial" w:eastAsia="Arial" w:hAnsi="Arial"/>
                  <w:sz w:val="18"/>
                  <w:szCs w:val="18"/>
                  <w:color w:val="0000EE"/>
                </w:rPr>
                <w:t>Articles of Conversion</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shd w:val="clear" w:color="auto" w:fill="CCEEFF"/>
          </w:tcPr>
          <w:p>
            <w:pPr>
              <w:spacing w:after="0" w:line="162" w:lineRule="exact"/>
              <w:rPr>
                <w:rFonts w:ascii="Arial" w:cs="Arial" w:eastAsia="Arial" w:hAnsi="Arial"/>
                <w:sz w:val="18"/>
                <w:szCs w:val="18"/>
                <w:color w:val="0000EE"/>
              </w:rPr>
            </w:pPr>
            <w:hyperlink r:id="rId89">
              <w:r>
                <w:rPr>
                  <w:rFonts w:ascii="Arial" w:cs="Arial" w:eastAsia="Arial" w:hAnsi="Arial"/>
                  <w:sz w:val="18"/>
                  <w:szCs w:val="18"/>
                  <w:color w:val="0000EE"/>
                </w:rPr>
                <w:t>3.</w:t>
              </w:r>
              <w:r>
                <w:rPr>
                  <w:rFonts w:ascii="Arial" w:cs="Arial" w:eastAsia="Arial" w:hAnsi="Arial"/>
                  <w:sz w:val="18"/>
                  <w:szCs w:val="18"/>
                  <w:u w:val="single" w:color="auto"/>
                  <w:color w:val="0000EE"/>
                </w:rPr>
                <w:t>2</w:t>
              </w:r>
            </w:hyperlink>
            <w:r>
              <w:rPr>
                <w:rFonts w:ascii="Arial" w:cs="Arial" w:eastAsia="Arial" w:hAnsi="Arial"/>
                <w:sz w:val="18"/>
                <w:szCs w:val="18"/>
                <w:color w:val="000000"/>
              </w:rPr>
              <w:t>(3)</w:t>
            </w:r>
          </w:p>
        </w:tc>
        <w:tc>
          <w:tcPr>
            <w:tcW w:w="8600" w:type="dxa"/>
            <w:vAlign w:val="bottom"/>
            <w:gridSpan w:val="10"/>
            <w:shd w:val="clear" w:color="auto" w:fill="CCEEFF"/>
          </w:tcPr>
          <w:p>
            <w:pPr>
              <w:ind w:left="120"/>
              <w:spacing w:after="0" w:line="162" w:lineRule="exact"/>
              <w:rPr>
                <w:rFonts w:ascii="Arial" w:cs="Arial" w:eastAsia="Arial" w:hAnsi="Arial"/>
                <w:sz w:val="18"/>
                <w:szCs w:val="18"/>
                <w:color w:val="0000EE"/>
              </w:rPr>
            </w:pPr>
            <w:hyperlink r:id="rId89">
              <w:r>
                <w:rPr>
                  <w:rFonts w:ascii="Arial" w:cs="Arial" w:eastAsia="Arial" w:hAnsi="Arial"/>
                  <w:sz w:val="18"/>
                  <w:szCs w:val="18"/>
                  <w:color w:val="0000EE"/>
                </w:rPr>
                <w:t>Certificate of Conversion</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360" w:type="dxa"/>
            <w:vAlign w:val="bottom"/>
            <w:tcBorders>
              <w:right w:val="single" w:sz="8" w:color="CCEE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tcPr>
          <w:p>
            <w:pPr>
              <w:spacing w:after="0" w:line="162" w:lineRule="exact"/>
              <w:rPr>
                <w:rFonts w:ascii="Arial" w:cs="Arial" w:eastAsia="Arial" w:hAnsi="Arial"/>
                <w:sz w:val="18"/>
                <w:szCs w:val="18"/>
                <w:color w:val="0000EE"/>
              </w:rPr>
            </w:pPr>
            <w:hyperlink r:id="rId90">
              <w:r>
                <w:rPr>
                  <w:rFonts w:ascii="Arial" w:cs="Arial" w:eastAsia="Arial" w:hAnsi="Arial"/>
                  <w:sz w:val="18"/>
                  <w:szCs w:val="18"/>
                  <w:color w:val="0000EE"/>
                </w:rPr>
                <w:t>3.</w:t>
              </w:r>
              <w:r>
                <w:rPr>
                  <w:rFonts w:ascii="Arial" w:cs="Arial" w:eastAsia="Arial" w:hAnsi="Arial"/>
                  <w:sz w:val="18"/>
                  <w:szCs w:val="18"/>
                  <w:u w:val="single" w:color="auto"/>
                  <w:color w:val="0000EE"/>
                </w:rPr>
                <w:t>3</w:t>
              </w:r>
            </w:hyperlink>
            <w:r>
              <w:rPr>
                <w:rFonts w:ascii="Arial" w:cs="Arial" w:eastAsia="Arial" w:hAnsi="Arial"/>
                <w:sz w:val="18"/>
                <w:szCs w:val="18"/>
                <w:color w:val="000000"/>
              </w:rPr>
              <w:t>(4)</w:t>
            </w:r>
          </w:p>
        </w:tc>
        <w:tc>
          <w:tcPr>
            <w:tcW w:w="8600" w:type="dxa"/>
            <w:vAlign w:val="bottom"/>
            <w:gridSpan w:val="10"/>
          </w:tcPr>
          <w:p>
            <w:pPr>
              <w:ind w:left="120"/>
              <w:spacing w:after="0" w:line="162" w:lineRule="exact"/>
              <w:rPr>
                <w:rFonts w:ascii="Arial" w:cs="Arial" w:eastAsia="Arial" w:hAnsi="Arial"/>
                <w:sz w:val="18"/>
                <w:szCs w:val="18"/>
                <w:color w:val="0000EE"/>
              </w:rPr>
            </w:pPr>
            <w:hyperlink r:id="rId90">
              <w:r>
                <w:rPr>
                  <w:rFonts w:ascii="Arial" w:cs="Arial" w:eastAsia="Arial" w:hAnsi="Arial"/>
                  <w:sz w:val="18"/>
                  <w:szCs w:val="18"/>
                  <w:color w:val="0000EE"/>
                </w:rPr>
                <w:t>Certificate of Incorporation of Pulse Biosciences, Inc.</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shd w:val="clear" w:color="auto" w:fill="CCEEFF"/>
          </w:tcPr>
          <w:p>
            <w:pPr>
              <w:spacing w:after="0" w:line="162" w:lineRule="exact"/>
              <w:rPr>
                <w:rFonts w:ascii="Arial" w:cs="Arial" w:eastAsia="Arial" w:hAnsi="Arial"/>
                <w:sz w:val="18"/>
                <w:szCs w:val="18"/>
                <w:color w:val="0000EE"/>
              </w:rPr>
            </w:pPr>
            <w:hyperlink r:id="rId91">
              <w:r>
                <w:rPr>
                  <w:rFonts w:ascii="Arial" w:cs="Arial" w:eastAsia="Arial" w:hAnsi="Arial"/>
                  <w:sz w:val="18"/>
                  <w:szCs w:val="18"/>
                  <w:color w:val="0000EE"/>
                </w:rPr>
                <w:t>3.</w:t>
              </w:r>
              <w:r>
                <w:rPr>
                  <w:rFonts w:ascii="Arial" w:cs="Arial" w:eastAsia="Arial" w:hAnsi="Arial"/>
                  <w:sz w:val="18"/>
                  <w:szCs w:val="18"/>
                  <w:u w:val="single" w:color="auto"/>
                  <w:color w:val="0000EE"/>
                </w:rPr>
                <w:t>4</w:t>
              </w:r>
            </w:hyperlink>
            <w:r>
              <w:rPr>
                <w:rFonts w:ascii="Arial" w:cs="Arial" w:eastAsia="Arial" w:hAnsi="Arial"/>
                <w:sz w:val="18"/>
                <w:szCs w:val="18"/>
                <w:color w:val="000000"/>
              </w:rPr>
              <w:t>(5)</w:t>
            </w:r>
          </w:p>
        </w:tc>
        <w:tc>
          <w:tcPr>
            <w:tcW w:w="8600" w:type="dxa"/>
            <w:vAlign w:val="bottom"/>
            <w:gridSpan w:val="10"/>
            <w:shd w:val="clear" w:color="auto" w:fill="CCEEFF"/>
          </w:tcPr>
          <w:p>
            <w:pPr>
              <w:ind w:left="120"/>
              <w:spacing w:after="0" w:line="162" w:lineRule="exact"/>
              <w:rPr>
                <w:rFonts w:ascii="Arial" w:cs="Arial" w:eastAsia="Arial" w:hAnsi="Arial"/>
                <w:sz w:val="18"/>
                <w:szCs w:val="18"/>
                <w:color w:val="0000EE"/>
              </w:rPr>
            </w:pPr>
            <w:hyperlink r:id="rId91">
              <w:r>
                <w:rPr>
                  <w:rFonts w:ascii="Arial" w:cs="Arial" w:eastAsia="Arial" w:hAnsi="Arial"/>
                  <w:sz w:val="18"/>
                  <w:szCs w:val="18"/>
                  <w:color w:val="0000EE"/>
                </w:rPr>
                <w:t>Bylaws of Pulse Biosciences, Inc.</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CCEEFF"/>
            </w:tcBorders>
            <w:shd w:val="clear" w:color="auto" w:fill="0000EE"/>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360" w:type="dxa"/>
            <w:vAlign w:val="bottom"/>
            <w:tcBorders>
              <w:right w:val="single" w:sz="8" w:color="CCEE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tcPr>
          <w:p>
            <w:pPr>
              <w:spacing w:after="0" w:line="162" w:lineRule="exact"/>
              <w:rPr>
                <w:rFonts w:ascii="Arial" w:cs="Arial" w:eastAsia="Arial" w:hAnsi="Arial"/>
                <w:sz w:val="18"/>
                <w:szCs w:val="18"/>
                <w:color w:val="0000EE"/>
              </w:rPr>
            </w:pPr>
            <w:hyperlink r:id="rId92">
              <w:r>
                <w:rPr>
                  <w:rFonts w:ascii="Arial" w:cs="Arial" w:eastAsia="Arial" w:hAnsi="Arial"/>
                  <w:sz w:val="18"/>
                  <w:szCs w:val="18"/>
                  <w:color w:val="0000EE"/>
                </w:rPr>
                <w:t>4.</w:t>
              </w:r>
              <w:r>
                <w:rPr>
                  <w:rFonts w:ascii="Arial" w:cs="Arial" w:eastAsia="Arial" w:hAnsi="Arial"/>
                  <w:sz w:val="18"/>
                  <w:szCs w:val="18"/>
                  <w:u w:val="single" w:color="auto"/>
                  <w:color w:val="0000EE"/>
                </w:rPr>
                <w:t>1</w:t>
              </w:r>
            </w:hyperlink>
            <w:r>
              <w:rPr>
                <w:rFonts w:ascii="Arial" w:cs="Arial" w:eastAsia="Arial" w:hAnsi="Arial"/>
                <w:sz w:val="18"/>
                <w:szCs w:val="18"/>
                <w:color w:val="000000"/>
              </w:rPr>
              <w:t>(6)</w:t>
            </w:r>
          </w:p>
        </w:tc>
        <w:tc>
          <w:tcPr>
            <w:tcW w:w="8600" w:type="dxa"/>
            <w:vAlign w:val="bottom"/>
            <w:gridSpan w:val="10"/>
          </w:tcPr>
          <w:p>
            <w:pPr>
              <w:ind w:left="120"/>
              <w:spacing w:after="0" w:line="162" w:lineRule="exact"/>
              <w:rPr>
                <w:rFonts w:ascii="Arial" w:cs="Arial" w:eastAsia="Arial" w:hAnsi="Arial"/>
                <w:sz w:val="18"/>
                <w:szCs w:val="18"/>
                <w:color w:val="0000EE"/>
              </w:rPr>
            </w:pPr>
            <w:hyperlink r:id="rId92">
              <w:r>
                <w:rPr>
                  <w:rFonts w:ascii="Arial" w:cs="Arial" w:eastAsia="Arial" w:hAnsi="Arial"/>
                  <w:sz w:val="18"/>
                  <w:szCs w:val="18"/>
                  <w:color w:val="0000EE"/>
                </w:rPr>
                <w:t>Specimen Common Stock Certificate</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shd w:val="clear" w:color="auto" w:fill="CCEEFF"/>
          </w:tcPr>
          <w:p>
            <w:pPr>
              <w:spacing w:after="0" w:line="162" w:lineRule="exact"/>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(7)</w:t>
            </w:r>
          </w:p>
        </w:tc>
        <w:tc>
          <w:tcPr>
            <w:tcW w:w="8600" w:type="dxa"/>
            <w:vAlign w:val="bottom"/>
            <w:gridSpan w:val="10"/>
            <w:shd w:val="clear" w:color="auto" w:fill="CCEEFF"/>
          </w:tcPr>
          <w:p>
            <w:pPr>
              <w:ind w:left="120"/>
              <w:spacing w:after="0" w:line="162" w:lineRule="exact"/>
              <w:rPr>
                <w:rFonts w:ascii="Arial" w:cs="Arial" w:eastAsia="Arial" w:hAnsi="Arial"/>
                <w:sz w:val="18"/>
                <w:szCs w:val="18"/>
                <w:color w:val="0000EE"/>
              </w:rPr>
            </w:pPr>
            <w:hyperlink r:id="rId93">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360" w:type="dxa"/>
            <w:vAlign w:val="bottom"/>
            <w:tcBorders>
              <w:right w:val="single" w:sz="8" w:color="CCEE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00" w:type="dxa"/>
            <w:vAlign w:val="bottom"/>
            <w:tcBorders>
              <w:bottom w:val="single" w:sz="8" w:color="0000EE"/>
            </w:tcBorders>
            <w:gridSpan w:val="2"/>
          </w:tcPr>
          <w:p>
            <w:pPr>
              <w:spacing w:after="0" w:line="16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40" w:type="dxa"/>
            <w:vAlign w:val="bottom"/>
            <w:tcBorders>
              <w:bottom w:val="single" w:sz="8" w:color="0000EE"/>
            </w:tcBorders>
            <w:gridSpan w:val="7"/>
          </w:tcPr>
          <w:p>
            <w:pPr>
              <w:spacing w:after="0" w:line="162"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Chief Executive Officer pursuant to Section 302 of the Sarbanes-Oxley Act of 2002.</w:t>
              </w:r>
            </w:hyperlink>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gridSpan w:val="2"/>
            <w:shd w:val="clear" w:color="auto" w:fill="CCEEFF"/>
          </w:tcPr>
          <w:p>
            <w:pPr>
              <w:spacing w:after="0" w:line="16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80" w:type="dxa"/>
            <w:vAlign w:val="bottom"/>
            <w:gridSpan w:val="9"/>
            <w:shd w:val="clear" w:color="auto" w:fill="CCEEFF"/>
          </w:tcPr>
          <w:p>
            <w:pPr>
              <w:spacing w:after="0" w:line="162" w:lineRule="exact"/>
              <w:rPr>
                <w:rFonts w:ascii="Arial" w:cs="Arial" w:eastAsia="Arial" w:hAnsi="Arial"/>
                <w:sz w:val="18"/>
                <w:szCs w:val="18"/>
                <w:color w:val="0000EE"/>
              </w:rPr>
            </w:pPr>
            <w:hyperlink w:anchor="page52">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360" w:type="dxa"/>
            <w:vAlign w:val="bottom"/>
            <w:tcBorders>
              <w:right w:val="single" w:sz="8" w:color="CCEEFF"/>
            </w:tcBorders>
            <w:shd w:val="clear" w:color="auto" w:fill="0000EE"/>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0" w:type="dxa"/>
            <w:vAlign w:val="bottom"/>
            <w:gridSpan w:val="3"/>
          </w:tcPr>
          <w:p>
            <w:pPr>
              <w:spacing w:after="0" w:line="162" w:lineRule="exact"/>
              <w:rPr>
                <w:rFonts w:ascii="Arial" w:cs="Arial" w:eastAsia="Arial" w:hAnsi="Arial"/>
                <w:sz w:val="18"/>
                <w:szCs w:val="18"/>
                <w:color w:val="0000EE"/>
              </w:rPr>
            </w:pPr>
            <w:hyperlink w:anchor="page5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8600" w:type="dxa"/>
            <w:vAlign w:val="bottom"/>
            <w:gridSpan w:val="10"/>
          </w:tcPr>
          <w:p>
            <w:pPr>
              <w:ind w:left="120"/>
              <w:spacing w:after="0" w:line="162"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the Chief Executive and Chief Financial Officers pursuant to Section 906 of the Sarbanes-Oxley Act</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of 2002 (18 U.S.C. Section 1350).</w:t>
              </w:r>
            </w:hyperlink>
          </w:p>
        </w:tc>
        <w:tc>
          <w:tcPr>
            <w:tcW w:w="592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101.INS</w:t>
            </w:r>
          </w:p>
        </w:tc>
        <w:tc>
          <w:tcPr>
            <w:tcW w:w="8600" w:type="dxa"/>
            <w:vAlign w:val="bottom"/>
            <w:gridSpan w:val="10"/>
            <w:shd w:val="clear" w:color="auto" w:fill="CCEEFF"/>
          </w:tcPr>
          <w:p>
            <w:pPr>
              <w:ind w:left="120"/>
              <w:spacing w:after="0" w:line="189"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Arial" w:cs="Arial" w:eastAsia="Arial" w:hAnsi="Arial"/>
                <w:sz w:val="18"/>
                <w:szCs w:val="18"/>
                <w:color w:val="auto"/>
              </w:rPr>
              <w:t>101.SCH</w:t>
            </w:r>
          </w:p>
        </w:tc>
        <w:tc>
          <w:tcPr>
            <w:tcW w:w="8600" w:type="dxa"/>
            <w:vAlign w:val="bottom"/>
            <w:gridSpan w:val="10"/>
          </w:tcPr>
          <w:p>
            <w:pPr>
              <w:ind w:left="120"/>
              <w:spacing w:after="0" w:line="189"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101.CAL</w:t>
            </w:r>
          </w:p>
        </w:tc>
        <w:tc>
          <w:tcPr>
            <w:tcW w:w="8600" w:type="dxa"/>
            <w:vAlign w:val="bottom"/>
            <w:gridSpan w:val="10"/>
            <w:shd w:val="clear" w:color="auto" w:fill="CCEEFF"/>
          </w:tcPr>
          <w:p>
            <w:pPr>
              <w:ind w:left="120"/>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tcPr>
          <w:p>
            <w:pPr>
              <w:spacing w:after="0" w:line="189" w:lineRule="exact"/>
              <w:rPr>
                <w:sz w:val="20"/>
                <w:szCs w:val="20"/>
                <w:color w:val="auto"/>
              </w:rPr>
            </w:pPr>
            <w:r>
              <w:rPr>
                <w:rFonts w:ascii="Arial" w:cs="Arial" w:eastAsia="Arial" w:hAnsi="Arial"/>
                <w:sz w:val="18"/>
                <w:szCs w:val="18"/>
                <w:color w:val="auto"/>
              </w:rPr>
              <w:t>101.DEF</w:t>
            </w:r>
          </w:p>
        </w:tc>
        <w:tc>
          <w:tcPr>
            <w:tcW w:w="8600" w:type="dxa"/>
            <w:vAlign w:val="bottom"/>
            <w:gridSpan w:val="10"/>
          </w:tcPr>
          <w:p>
            <w:pPr>
              <w:ind w:left="120"/>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101.LAB</w:t>
            </w:r>
          </w:p>
        </w:tc>
        <w:tc>
          <w:tcPr>
            <w:tcW w:w="8600" w:type="dxa"/>
            <w:vAlign w:val="bottom"/>
            <w:gridSpan w:val="10"/>
            <w:shd w:val="clear" w:color="auto" w:fill="CCEEFF"/>
          </w:tcPr>
          <w:p>
            <w:pPr>
              <w:ind w:left="120"/>
              <w:spacing w:after="0" w:line="189"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600" w:type="dxa"/>
            <w:vAlign w:val="bottom"/>
            <w:gridSpan w:val="10"/>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60" w:hanging="260"/>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2.1 to Registrant’s Current Report on Form 8-K12B filed with the SEC on June 18, 2018.</w:t>
      </w:r>
    </w:p>
    <w:p>
      <w:pPr>
        <w:spacing w:after="0" w:line="7" w:lineRule="exact"/>
        <w:rPr>
          <w:rFonts w:ascii="Arial" w:cs="Arial" w:eastAsia="Arial" w:hAnsi="Arial"/>
          <w:sz w:val="16"/>
          <w:szCs w:val="16"/>
          <w:color w:val="auto"/>
        </w:rPr>
      </w:pPr>
    </w:p>
    <w:p>
      <w:pPr>
        <w:ind w:left="260" w:hanging="260"/>
        <w:spacing w:after="0" w:line="22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3.1 to Registrant’s Current Report on Form 8-K12B filed with the SEC on June 18, 2018.</w:t>
      </w:r>
    </w:p>
    <w:p>
      <w:pPr>
        <w:ind w:left="260" w:hanging="260"/>
        <w:spacing w:after="0" w:line="22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3.2 to Registrant’s Current Report on Form 8-K12B filed with the SEC on June 18, 2018.</w:t>
      </w:r>
    </w:p>
    <w:p>
      <w:pPr>
        <w:ind w:left="260" w:hanging="260"/>
        <w:spacing w:after="0" w:line="22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3.3 to Registrant’s Current Report on Form 8-K12B filed with the SEC on June 18, 2018.</w:t>
      </w:r>
    </w:p>
    <w:p>
      <w:pPr>
        <w:ind w:left="260" w:hanging="260"/>
        <w:spacing w:after="0" w:line="22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3.4 to Registrant’s Current Report on Form 8-K12B filed with the SEC on June 18, 2018.</w:t>
      </w:r>
    </w:p>
    <w:p>
      <w:pPr>
        <w:ind w:left="260" w:hanging="260"/>
        <w:spacing w:after="0" w:line="229"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4.1 to Registrant’s Current Report on Form 8-K12B filed with the SEC on June 18, 2018.</w:t>
      </w:r>
    </w:p>
    <w:p>
      <w:pPr>
        <w:ind w:left="260" w:hanging="260"/>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10.1 to Registrant’s Current Report on Form 8-K12B filed with the SEC on June 18, 2018.</w:t>
      </w:r>
    </w:p>
    <w:p>
      <w:pPr>
        <w:spacing w:after="0" w:line="151" w:lineRule="exact"/>
        <w:rPr>
          <w:sz w:val="20"/>
          <w:szCs w:val="20"/>
          <w:color w:val="auto"/>
        </w:rPr>
      </w:pPr>
    </w:p>
    <w:p>
      <w:pPr>
        <w:ind w:right="40"/>
        <w:spacing w:after="0" w:line="249" w:lineRule="auto"/>
        <w:tabs>
          <w:tab w:leader="none" w:pos="1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460" w:val="left"/>
        </w:tabs>
        <w:rPr>
          <w:sz w:val="20"/>
          <w:szCs w:val="20"/>
          <w:color w:val="auto"/>
        </w:rPr>
      </w:pPr>
      <w:r>
        <w:rPr>
          <w:rFonts w:ascii="Arial" w:cs="Arial" w:eastAsia="Arial" w:hAnsi="Arial"/>
          <w:sz w:val="18"/>
          <w:szCs w:val="18"/>
          <w:color w:val="auto"/>
        </w:rPr>
        <w:t>Date: 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June 30, 2018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840" w:hanging="399"/>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July 31, 2018</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A"/>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87" Type="http://schemas.openxmlformats.org/officeDocument/2006/relationships/hyperlink" Target="http://www.sec.gov/Archives/edgar/data/1625101/000162510118000036/plse-20180618xex2_1.htm" TargetMode="External"/><Relationship Id="rId88" Type="http://schemas.openxmlformats.org/officeDocument/2006/relationships/hyperlink" Target="http://www.sec.gov/Archives/edgar/data/1625101/000162510118000036/plse-20180618xex3_1.htm" TargetMode="External"/><Relationship Id="rId89" Type="http://schemas.openxmlformats.org/officeDocument/2006/relationships/hyperlink" Target="http://www.sec.gov/Archives/edgar/data/1625101/000162510118000036/plse-20180618xex3_2.htm" TargetMode="External"/><Relationship Id="rId90" Type="http://schemas.openxmlformats.org/officeDocument/2006/relationships/hyperlink" Target="http://www.sec.gov/Archives/edgar/data/1625101/000162510118000036/plse-20180618xex3_3.htm" TargetMode="External"/><Relationship Id="rId91" Type="http://schemas.openxmlformats.org/officeDocument/2006/relationships/hyperlink" Target="http://www.sec.gov/Archives/edgar/data/1625101/000162510118000036/plse-20180618xex3_4.htm" TargetMode="External"/><Relationship Id="rId92" Type="http://schemas.openxmlformats.org/officeDocument/2006/relationships/hyperlink" Target="http://www.sec.gov/Archives/edgar/data/1625101/000162510118000036/plse-20180618xex4_1.htm" TargetMode="External"/><Relationship Id="rId93" Type="http://schemas.openxmlformats.org/officeDocument/2006/relationships/hyperlink" Target="http://www.sec.gov/Archives/edgar/data/1625101/000162510118000008/plse-20180129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2019-12-28T20:44:22Z</dcterms:created>
  <dcterms:modified xsi:type="dcterms:W3CDTF">2019-12-28T20:44:22Z</dcterms:modified>
</cp:coreProperties>
</file>