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se20250630_10q.htm"/>
      <w:bookmarkStart w:id="1" w:name="ksplse2025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w:t>
      </w:r>
      <w:r>
        <w:rPr>
          <w:rFonts w:ascii="Times New Roman" w:hAnsi="Times New Roman"/>
          <w:caps w:val="false"/>
          <w:smallCaps w:val="false"/>
          <w:sz w:val="24"/>
        </w:rPr>
        <w:t> </w:t>
      </w:r>
      <w:r>
        <w:rPr>
          <w:rFonts w:ascii="Times New Roman" w:hAnsi="Times New Roman"/>
          <w:b/>
          <w:caps w:val="false"/>
          <w:smallCaps w:val="false"/>
          <w:sz w:val="24"/>
        </w:rPr>
        <w:t>AND</w:t>
      </w:r>
      <w:r>
        <w:rPr>
          <w:rFonts w:ascii="Times New Roman" w:hAnsi="Times New Roman"/>
          <w:caps w:val="false"/>
          <w:smallCaps w:val="false"/>
          <w:sz w:val="24"/>
        </w:rPr>
        <w:t> </w:t>
      </w:r>
      <w:r>
        <w:rPr>
          <w:rFonts w:ascii="Times New Roman" w:hAnsi="Times New Roman"/>
          <w:b/>
          <w:caps w:val="false"/>
          <w:smallCaps w:val="false"/>
          <w:sz w:val="24"/>
        </w:rPr>
        <w:t>EXCHANGE</w:t>
      </w:r>
      <w:r>
        <w:rPr>
          <w:rFonts w:ascii="Times New Roman" w:hAnsi="Times New Roman"/>
          <w:caps w:val="false"/>
          <w:smallCaps w:val="false"/>
          <w:sz w:val="24"/>
        </w:rPr>
        <w:t> </w:t>
      </w:r>
      <w:r>
        <w:rPr>
          <w:rFonts w:ascii="Times New Roman" w:hAnsi="Times New Roman"/>
          <w:b/>
          <w:caps w:val="false"/>
          <w:smallCaps w:val="false"/>
          <w:sz w:val="24"/>
        </w:rPr>
        <w:t>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w:t>
      </w:r>
      <w:r>
        <w:rPr>
          <w:rFonts w:ascii="Times New Roman" w:hAnsi="Times New Roman"/>
          <w:caps w:val="false"/>
          <w:smallCaps w:val="false"/>
          <w:sz w:val="20"/>
        </w:rPr>
        <w:t> </w:t>
      </w:r>
      <w:r>
        <w:rPr>
          <w:rFonts w:ascii="Times New Roman" w:hAnsi="Times New Roman"/>
          <w:b/>
          <w:caps w:val="false"/>
          <w:smallCaps w:val="false"/>
          <w:sz w:val="20"/>
        </w:rPr>
        <w:t>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w:t>
      </w:r>
      <w:r>
        <w:rPr>
          <w:rFonts w:ascii="Times New Roman" w:hAnsi="Times New Roman"/>
          <w:caps w:val="false"/>
          <w:smallCaps w:val="false"/>
          <w:sz w:val="28"/>
        </w:rPr>
        <w:t> </w:t>
      </w:r>
      <w:r>
        <w:rPr>
          <w:rFonts w:ascii="Times New Roman" w:hAnsi="Times New Roman"/>
          <w:b/>
          <w:caps w:val="false"/>
          <w:smallCaps w:val="false"/>
          <w:sz w:val="28"/>
        </w:rPr>
        <w:t>10-Q</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xml:space="preserve"> </w:t>
      </w:r>
      <w:r>
        <w:rPr>
          <w:rFonts w:ascii="Times New Roman" w:hAnsi="Times New Roman"/>
          <w:b/>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001-34899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Pulse</w:t>
      </w:r>
      <w:r>
        <w:rPr>
          <w:rFonts w:ascii="Times New Roman" w:hAnsi="Times New Roman"/>
          <w:caps w:val="false"/>
          <w:smallCaps w:val="false"/>
          <w:sz w:val="36"/>
        </w:rPr>
        <w:t> </w:t>
      </w:r>
      <w:r>
        <w:rPr>
          <w:rFonts w:ascii="Times New Roman" w:hAnsi="Times New Roman"/>
          <w:b/>
          <w:caps w:val="false"/>
          <w:smallCaps w:val="false"/>
          <w:sz w:val="36"/>
        </w:rPr>
        <w:t>Biosciences,</w:t>
      </w:r>
      <w:r>
        <w:rPr>
          <w:rFonts w:ascii="Times New Roman" w:hAnsi="Times New Roman"/>
          <w:caps w:val="false"/>
          <w:smallCaps w:val="false"/>
          <w:sz w:val="36"/>
        </w:rPr>
        <w:t> </w:t>
      </w:r>
      <w:r>
        <w:rPr>
          <w:rFonts w:ascii="Times New Roman" w:hAnsi="Times New Roman"/>
          <w:b/>
          <w:caps w:val="false"/>
          <w:smallCaps w:val="false"/>
          <w:sz w:val="36"/>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46-5696597</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601 Brickell Key Drive, Suite 1080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Miami, FL</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33131</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906-4600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665"/>
        <w:gridCol w:w="1535"/>
        <w:gridCol w:w="3575"/>
      </w:tblGrid>
      <w:tr>
        <w:trPr/>
        <w:tc>
          <w:tcPr>
            <w:tcW w:w="366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PLSE</w:t>
            </w:r>
          </w:p>
        </w:tc>
        <w:tc>
          <w:tcPr>
            <w:tcW w:w="35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55"/>
        <w:gridCol w:w="290"/>
        <w:gridCol w:w="236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shares outstanding of the registrant’s common stock as of August 1, 2025: 67,278,347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560"/>
      </w:tblGrid>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br/>
              <w:t> </w:t>
            </w:r>
            <w:r>
              <w:rPr>
                <w:rFonts w:ascii="Times New Roman" w:hAnsi="Times New Roman"/>
                <w:b/>
                <w:caps w:val="false"/>
                <w:smallCaps w:val="false"/>
                <w:sz w:val="20"/>
              </w:rPr>
              <w:t>No.</w:t>
            </w:r>
          </w:p>
        </w:tc>
      </w:tr>
      <w:tr>
        <w:trPr/>
        <w:tc>
          <w:tcPr>
            <w:tcW w:w="10205" w:type="dxa"/>
            <w:gridSpan w:val="2"/>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rPr>
                <w:t>PART I. FINANCIAL INFORMATION</w:t>
              </w:r>
            </w:hyperlink>
          </w:p>
        </w:tc>
      </w:tr>
      <w:tr>
        <w:trPr/>
        <w:tc>
          <w:tcPr>
            <w:tcW w:w="9645"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Item 1. Financial Statements (unaudited):</w:t>
              </w:r>
            </w:hyperlink>
          </w:p>
        </w:tc>
        <w:tc>
          <w:tcPr>
            <w:tcW w:w="56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bs">
              <w:r>
                <w:rPr>
                  <w:rStyle w:val="InternetLink"/>
                  <w:rFonts w:ascii="Times New Roman" w:hAnsi="Times New Roman"/>
                  <w:caps w:val="false"/>
                  <w:smallCaps w:val="false"/>
                  <w:sz w:val="20"/>
                </w:rPr>
                <w:t>Condensed Consolidated Balance Sheets as of June 30, 2025 and December 31, 2024</w:t>
              </w:r>
            </w:hyperlink>
          </w:p>
        </w:tc>
        <w:tc>
          <w:tcPr>
            <w:tcW w:w="56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income">
              <w:r>
                <w:rPr>
                  <w:rStyle w:val="InternetLink"/>
                  <w:rFonts w:ascii="Times New Roman" w:hAnsi="Times New Roman"/>
                  <w:caps w:val="false"/>
                  <w:smallCaps w:val="false"/>
                  <w:sz w:val="20"/>
                </w:rPr>
                <w:t>Condensed Consolidated Statements of Operations and Comprehensive Loss for the Three- and Six-Month Periods Ended June 30, 2025 and 2024</w:t>
              </w:r>
            </w:hyperlink>
          </w:p>
        </w:tc>
        <w:tc>
          <w:tcPr>
            <w:tcW w:w="56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9645" w:type="dxa"/>
            <w:tcBorders/>
            <w:vAlign w:val="center"/>
          </w:tcPr>
          <w:p>
            <w:pPr>
              <w:pStyle w:val="TableContents"/>
              <w:bidi w:val="0"/>
              <w:spacing w:before="0" w:after="0"/>
              <w:ind w:left="180" w:right="0" w:hanging="0"/>
              <w:jc w:val="left"/>
              <w:rPr/>
            </w:pPr>
            <w:hyperlink w:anchor="cashflows">
              <w:r>
                <w:rPr>
                  <w:rStyle w:val="InternetLink"/>
                  <w:rFonts w:ascii="Times New Roman" w:hAnsi="Times New Roman"/>
                  <w:caps w:val="false"/>
                  <w:smallCaps w:val="false"/>
                  <w:sz w:val="20"/>
                </w:rPr>
                <w:t>Condensed Consolidated Statements of Cash Flows for the Six-Month Periods Ended June 30, 2025 and 2024</w:t>
              </w:r>
            </w:hyperlink>
          </w:p>
        </w:tc>
        <w:tc>
          <w:tcPr>
            <w:tcW w:w="56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5</w:t>
              </w:r>
            </w:hyperlink>
          </w:p>
        </w:tc>
      </w:tr>
      <w:tr>
        <w:trPr/>
        <w:tc>
          <w:tcPr>
            <w:tcW w:w="9645" w:type="dxa"/>
            <w:tcBorders/>
            <w:vAlign w:val="center"/>
          </w:tcPr>
          <w:p>
            <w:pPr>
              <w:pStyle w:val="TableContents"/>
              <w:bidi w:val="0"/>
              <w:spacing w:before="0" w:after="0"/>
              <w:ind w:left="200" w:right="0" w:hanging="0"/>
              <w:jc w:val="left"/>
              <w:rPr/>
            </w:pPr>
            <w:hyperlink w:anchor="equity">
              <w:r>
                <w:rPr>
                  <w:rStyle w:val="InternetLink"/>
                  <w:rFonts w:ascii="Times New Roman" w:hAnsi="Times New Roman"/>
                  <w:caps w:val="false"/>
                  <w:smallCaps w:val="false"/>
                  <w:sz w:val="20"/>
                </w:rPr>
                <w:t>Condensed Consolidated Statements of Stockholders’ Equity for the Three- and Six-Month Periods Ended June 30, 2025 and 2024</w:t>
              </w:r>
            </w:hyperlink>
          </w:p>
        </w:tc>
        <w:tc>
          <w:tcPr>
            <w:tcW w:w="56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9645" w:type="dxa"/>
            <w:tcBorders/>
            <w:vAlign w:val="center"/>
          </w:tcPr>
          <w:p>
            <w:pPr>
              <w:pStyle w:val="TableContents"/>
              <w:bidi w:val="0"/>
              <w:spacing w:before="0" w:after="0"/>
              <w:ind w:left="20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56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9645"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19</w:t>
              </w:r>
            </w:hyperlink>
          </w:p>
        </w:tc>
      </w:tr>
      <w:tr>
        <w:trPr/>
        <w:tc>
          <w:tcPr>
            <w:tcW w:w="9645"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26</w:t>
              </w:r>
            </w:hyperlink>
          </w:p>
        </w:tc>
      </w:tr>
      <w:tr>
        <w:trPr/>
        <w:tc>
          <w:tcPr>
            <w:tcW w:w="9645"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26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rPr>
                <w:t>PART II. OTHER INFORMATION</w:t>
              </w:r>
            </w:hyperlink>
          </w:p>
        </w:tc>
      </w:tr>
      <w:tr>
        <w:trPr/>
        <w:tc>
          <w:tcPr>
            <w:tcW w:w="964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27</w:t>
              </w:r>
            </w:hyperlink>
          </w:p>
        </w:tc>
      </w:tr>
      <w:tr>
        <w:trPr/>
        <w:tc>
          <w:tcPr>
            <w:tcW w:w="964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27</w:t>
              </w:r>
            </w:hyperlink>
          </w:p>
        </w:tc>
      </w:tr>
      <w:tr>
        <w:trPr/>
        <w:tc>
          <w:tcPr>
            <w:tcW w:w="9645"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49</w:t>
              </w:r>
            </w:hyperlink>
          </w:p>
        </w:tc>
      </w:tr>
      <w:tr>
        <w:trPr/>
        <w:tc>
          <w:tcPr>
            <w:tcW w:w="9645" w:type="dxa"/>
            <w:tcBorders/>
            <w:vAlign w:val="center"/>
          </w:tcPr>
          <w:p>
            <w:pPr>
              <w:pStyle w:val="TableContents"/>
              <w:bidi w:val="0"/>
              <w:spacing w:before="0" w:after="0"/>
              <w:ind w:left="0" w:right="0" w:hanging="0"/>
              <w:jc w:val="left"/>
              <w:rPr/>
            </w:pPr>
            <w:hyperlink w:anchor="default">
              <w:r>
                <w:rPr>
                  <w:rStyle w:val="InternetLink"/>
                  <w:rFonts w:ascii="Times New Roman" w:hAnsi="Times New Roman"/>
                  <w:caps w:val="false"/>
                  <w:smallCaps w:val="false"/>
                  <w:sz w:val="20"/>
                </w:rPr>
                <w:t>Item 3. Default Upon Senior Securities</w:t>
              </w:r>
            </w:hyperlink>
          </w:p>
        </w:tc>
        <w:tc>
          <w:tcPr>
            <w:tcW w:w="560" w:type="dxa"/>
            <w:tcBorders/>
            <w:vAlign w:val="center"/>
          </w:tcPr>
          <w:p>
            <w:pPr>
              <w:pStyle w:val="TableContents"/>
              <w:bidi w:val="0"/>
              <w:spacing w:before="0" w:after="0"/>
              <w:ind w:left="0" w:right="0" w:hanging="0"/>
              <w:jc w:val="right"/>
              <w:rPr/>
            </w:pPr>
            <w:hyperlink w:anchor="default">
              <w:r>
                <w:rPr>
                  <w:rStyle w:val="InternetLink"/>
                  <w:rFonts w:ascii="Times New Roman" w:hAnsi="Times New Roman"/>
                  <w:caps w:val="false"/>
                  <w:smallCaps w:val="false"/>
                  <w:sz w:val="20"/>
                </w:rPr>
                <w:t>49</w:t>
              </w:r>
            </w:hyperlink>
          </w:p>
        </w:tc>
      </w:tr>
      <w:tr>
        <w:trPr/>
        <w:tc>
          <w:tcPr>
            <w:tcW w:w="9645"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49</w:t>
              </w:r>
            </w:hyperlink>
          </w:p>
        </w:tc>
      </w:tr>
      <w:tr>
        <w:trPr/>
        <w:tc>
          <w:tcPr>
            <w:tcW w:w="9645"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49</w:t>
              </w:r>
            </w:hyperlink>
          </w:p>
        </w:tc>
      </w:tr>
      <w:tr>
        <w:trPr/>
        <w:tc>
          <w:tcPr>
            <w:tcW w:w="964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49</w:t>
              </w:r>
            </w:hyperlink>
          </w:p>
        </w:tc>
      </w:tr>
      <w:tr>
        <w:trPr/>
        <w:tc>
          <w:tcPr>
            <w:tcW w:w="964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50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both"/>
        <w:rPr>
          <w:caps w:val="false"/>
          <w:smallCaps w:val="false"/>
        </w:rPr>
      </w:pPr>
      <w:r>
        <w:rPr>
          <w:caps w:val="false"/>
          <w:smallCaps w:val="false"/>
        </w:rPr>
        <w:t>“</w:t>
      </w:r>
      <w:r>
        <w:rPr>
          <w:rFonts w:ascii="Times New Roman;Times;serif" w:hAnsi="Times New Roman;Times;serif"/>
          <w:caps w:val="false"/>
          <w:smallCaps w:val="false"/>
          <w:sz w:val="20"/>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nsPFA, nano-PFA, CellFX nsPFA,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bidi w:val="0"/>
        <w:spacing w:before="0" w:after="283"/>
        <w:jc w:val="left"/>
        <w:rPr/>
      </w:pPr>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2"/>
        <w:gridCol w:w="60"/>
        <w:gridCol w:w="125"/>
        <w:gridCol w:w="755"/>
        <w:gridCol w:w="80"/>
        <w:gridCol w:w="60"/>
        <w:gridCol w:w="143"/>
        <w:gridCol w:w="869"/>
        <w:gridCol w:w="81"/>
      </w:tblGrid>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118,038</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w:t>
            </w:r>
          </w:p>
        </w:tc>
        <w:tc>
          <w:tcPr>
            <w:tcW w:w="81" w:type="dxa"/>
            <w:tcBorders/>
            <w:shd w:fill="CCEEFF" w:val="clear"/>
            <w:vAlign w:val="center"/>
          </w:tcPr>
          <w:p>
            <w:pPr>
              <w:pStyle w:val="TableContents"/>
              <w:bidi w:val="0"/>
              <w:spacing w:before="0" w:after="283"/>
              <w:ind w:left="360" w:right="0" w:hanging="0"/>
              <w:jc w:val="left"/>
              <w:rPr/>
            </w:pPr>
            <w:r>
              <w:rPr/>
              <w:t> </w:t>
            </w:r>
          </w:p>
        </w:tc>
      </w:tr>
      <w:tr>
        <w:trPr/>
        <w:tc>
          <w:tcPr>
            <w:tcW w:w="803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119,449</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7,163</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81" w:type="dxa"/>
            <w:tcBorders/>
            <w:shd w:fill="FFFFFF" w:val="clear"/>
            <w:vAlign w:val="center"/>
          </w:tcPr>
          <w:p>
            <w:pPr>
              <w:pStyle w:val="TableContents"/>
              <w:bidi w:val="0"/>
              <w:spacing w:before="0" w:after="283"/>
              <w:ind w:left="360" w:right="0" w:hanging="0"/>
              <w:jc w:val="left"/>
              <w:rPr/>
            </w:pPr>
            <w:r>
              <w:rPr/>
              <w:t> </w:t>
            </w:r>
          </w:p>
        </w:tc>
      </w:tr>
      <w:tr>
        <w:trPr/>
        <w:tc>
          <w:tcPr>
            <w:tcW w:w="8032"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132,460</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803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1" w:type="dxa"/>
            <w:tcBorders/>
            <w:shd w:fill="CCEEFF" w:val="clear"/>
            <w:vAlign w:val="center"/>
          </w:tcPr>
          <w:p>
            <w:pPr>
              <w:pStyle w:val="TableContents"/>
              <w:bidi w:val="0"/>
              <w:spacing w:before="0" w:after="283"/>
              <w:ind w:left="360" w:right="0" w:hanging="0"/>
              <w:jc w:val="left"/>
              <w:rPr/>
            </w:pPr>
            <w:r>
              <w:rPr/>
              <w:t> </w:t>
            </w:r>
          </w:p>
        </w:tc>
      </w:tr>
      <w:tr>
        <w:trPr/>
        <w:tc>
          <w:tcPr>
            <w:tcW w:w="803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10,055</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7,543</w:t>
            </w:r>
          </w:p>
        </w:tc>
        <w:tc>
          <w:tcPr>
            <w:tcW w:w="81" w:type="dxa"/>
            <w:tcBorders/>
            <w:shd w:fill="FFFFFF" w:val="clear"/>
            <w:vAlign w:val="center"/>
          </w:tcPr>
          <w:p>
            <w:pPr>
              <w:pStyle w:val="TableContents"/>
              <w:bidi w:val="0"/>
              <w:spacing w:before="0" w:after="283"/>
              <w:ind w:left="360" w:right="0" w:hanging="0"/>
              <w:jc w:val="left"/>
              <w:rPr/>
            </w:pPr>
            <w:r>
              <w:rPr/>
              <w:t> </w:t>
            </w:r>
          </w:p>
        </w:tc>
      </w:tr>
      <w:tr>
        <w:trPr/>
        <w:tc>
          <w:tcPr>
            <w:tcW w:w="8032"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17,598</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803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authorized – 50,000 shares; no shares issued and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authorized – 500,000 shares; issued and outstanding – 67,278 shares and 65,926 shares at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803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505,296</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(390,500</w:t>
            </w:r>
          </w:p>
        </w:tc>
        <w:tc>
          <w:tcPr>
            <w:tcW w:w="81" w:type="dxa"/>
            <w:tcBorders/>
            <w:shd w:fill="CCEE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803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114,862</w:t>
            </w:r>
          </w:p>
        </w:tc>
        <w:tc>
          <w:tcPr>
            <w:tcW w:w="81" w:type="dxa"/>
            <w:tcBorders/>
            <w:shd w:fill="FFFFFF" w:val="clear"/>
            <w:vAlign w:val="center"/>
          </w:tcPr>
          <w:p>
            <w:pPr>
              <w:pStyle w:val="TableContents"/>
              <w:bidi w:val="0"/>
              <w:spacing w:before="0" w:after="283"/>
              <w:ind w:left="360" w:right="0" w:hanging="0"/>
              <w:jc w:val="left"/>
              <w:rPr/>
            </w:pPr>
            <w:r>
              <w:rPr/>
              <w:t> </w:t>
            </w:r>
          </w:p>
        </w:tc>
      </w:tr>
      <w:tr>
        <w:trPr/>
        <w:tc>
          <w:tcPr>
            <w:tcW w:w="8032"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33"/>
        <w:gridCol w:w="60"/>
        <w:gridCol w:w="167"/>
        <w:gridCol w:w="873"/>
        <w:gridCol w:w="106"/>
        <w:gridCol w:w="80"/>
        <w:gridCol w:w="167"/>
        <w:gridCol w:w="873"/>
        <w:gridCol w:w="80"/>
        <w:gridCol w:w="60"/>
        <w:gridCol w:w="156"/>
        <w:gridCol w:w="816"/>
        <w:gridCol w:w="99"/>
        <w:gridCol w:w="74"/>
        <w:gridCol w:w="156"/>
        <w:gridCol w:w="816"/>
        <w:gridCol w:w="89"/>
      </w:tblGrid>
      <w:tr>
        <w:trPr/>
        <w:tc>
          <w:tcPr>
            <w:tcW w:w="5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22,401</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13,971</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8,370</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22,341</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r>
      <w:tr>
        <w:trPr/>
        <w:tc>
          <w:tcPr>
            <w:tcW w:w="5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67,276</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67,201</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57,152</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cashflows"/>
      <w:bookmarkEnd w:id="7"/>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32" w:type="dxa"/>
        <w:jc w:val="left"/>
        <w:tblInd w:w="0" w:type="dxa"/>
        <w:tblLayout w:type="fixed"/>
        <w:tblCellMar>
          <w:top w:w="0" w:type="dxa"/>
          <w:left w:w="0" w:type="dxa"/>
          <w:bottom w:w="0" w:type="dxa"/>
          <w:right w:w="0" w:type="dxa"/>
        </w:tblCellMar>
      </w:tblPr>
      <w:tblGrid>
        <w:gridCol w:w="6695"/>
        <w:gridCol w:w="60"/>
        <w:gridCol w:w="165"/>
        <w:gridCol w:w="921"/>
        <w:gridCol w:w="106"/>
        <w:gridCol w:w="79"/>
        <w:gridCol w:w="165"/>
        <w:gridCol w:w="861"/>
        <w:gridCol w:w="80"/>
      </w:tblGrid>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sz w:val="20"/>
              </w:rPr>
            </w:pPr>
            <w:r>
              <w:rPr>
                <w:sz w:val="20"/>
              </w:rPr>
              <w:t>$</w:t>
            </w:r>
          </w:p>
        </w:tc>
        <w:tc>
          <w:tcPr>
            <w:tcW w:w="921" w:type="dxa"/>
            <w:tcBorders/>
            <w:shd w:fill="FFFFFF" w:val="clear"/>
            <w:vAlign w:val="center"/>
          </w:tcPr>
          <w:p>
            <w:pPr>
              <w:pStyle w:val="TableContents"/>
              <w:bidi w:val="0"/>
              <w:spacing w:before="0" w:after="283"/>
              <w:ind w:left="0" w:right="0" w:hanging="0"/>
              <w:jc w:val="right"/>
              <w:rPr>
                <w:sz w:val="20"/>
              </w:rPr>
            </w:pPr>
            <w:r>
              <w:rPr>
                <w:sz w:val="20"/>
              </w:rPr>
              <w:t>(35,963</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sz w:val="20"/>
              </w:rPr>
            </w:pPr>
            <w:r>
              <w:rPr>
                <w:sz w:val="20"/>
              </w:rPr>
              <w:t>$</w:t>
            </w:r>
          </w:p>
        </w:tc>
        <w:tc>
          <w:tcPr>
            <w:tcW w:w="861" w:type="dxa"/>
            <w:tcBorders/>
            <w:shd w:fill="FFFFFF" w:val="clear"/>
            <w:vAlign w:val="center"/>
          </w:tcPr>
          <w:p>
            <w:pPr>
              <w:pStyle w:val="TableContents"/>
              <w:bidi w:val="0"/>
              <w:spacing w:before="0" w:after="283"/>
              <w:ind w:left="0" w:right="0" w:hanging="0"/>
              <w:jc w:val="right"/>
              <w:rPr>
                <w:sz w:val="20"/>
              </w:rPr>
            </w:pPr>
            <w:r>
              <w:rPr>
                <w:sz w:val="20"/>
              </w:rPr>
              <w:t>(21,520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sz w:val="20"/>
              </w:rPr>
            </w:pPr>
            <w:r>
              <w:rPr>
                <w:sz w:val="20"/>
              </w:rPr>
              <w:t>223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264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333</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333</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sz w:val="20"/>
              </w:rPr>
            </w:pPr>
            <w:r>
              <w:rPr>
                <w:sz w:val="20"/>
              </w:rPr>
              <w:t>10,870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3,811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556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438</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540"/>
              <w:jc w:val="left"/>
              <w:rPr>
                <w:rFonts w:ascii="Times New Roman;Times;serif" w:hAnsi="Times New Roman;Times;serif"/>
                <w:b w:val="false"/>
                <w:sz w:val="20"/>
              </w:rPr>
            </w:pPr>
            <w:r>
              <w:rPr>
                <w:rFonts w:ascii="Times New Roman;Times;serif" w:hAnsi="Times New Roman;Times;serif"/>
                <w:b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(51</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540"/>
              <w:jc w:val="left"/>
              <w:rPr>
                <w:rFonts w:ascii="Times New Roman;Times;serif" w:hAnsi="Times New Roman;Times;serif"/>
                <w:b w:val="false"/>
                <w:sz w:val="20"/>
              </w:rPr>
            </w:pPr>
            <w:r>
              <w:rPr>
                <w:rFonts w:ascii="Times New Roman;Times;serif" w:hAnsi="Times New Roman;Times;serif"/>
                <w:b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sz w:val="20"/>
              </w:rPr>
            </w:pPr>
            <w:r>
              <w:rPr>
                <w:sz w:val="20"/>
              </w:rPr>
              <w:t>(423</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(82</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695" w:type="dxa"/>
            <w:tcBorders/>
            <w:shd w:fill="CCEEFF" w:val="clear"/>
            <w:vAlign w:val="center"/>
          </w:tcPr>
          <w:p>
            <w:pPr>
              <w:pStyle w:val="TableContents"/>
              <w:bidi w:val="0"/>
              <w:spacing w:before="0" w:after="0"/>
              <w:ind w:left="0" w:right="0" w:firstLine="540"/>
              <w:jc w:val="left"/>
              <w:rPr>
                <w:rFonts w:ascii="Times New Roman;Times;serif" w:hAnsi="Times New Roman;Times;serif"/>
                <w:b w:val="false"/>
                <w:sz w:val="20"/>
              </w:rPr>
            </w:pPr>
            <w:r>
              <w:rPr>
                <w:rFonts w:ascii="Times New Roman;Times;serif" w:hAnsi="Times New Roman;Times;serif"/>
                <w:b w:val="false"/>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(14</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3</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54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sz w:val="20"/>
              </w:rPr>
            </w:pPr>
            <w:r>
              <w:rPr>
                <w:sz w:val="20"/>
              </w:rPr>
              <w:t>1,044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(286</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695" w:type="dxa"/>
            <w:tcBorders/>
            <w:shd w:fill="CCEEFF" w:val="clear"/>
            <w:vAlign w:val="center"/>
          </w:tcPr>
          <w:p>
            <w:pPr>
              <w:pStyle w:val="TableContents"/>
              <w:bidi w:val="0"/>
              <w:spacing w:before="0" w:after="0"/>
              <w:ind w:left="0" w:right="0" w:firstLine="540"/>
              <w:jc w:val="left"/>
              <w:rPr>
                <w:rFonts w:ascii="Times New Roman;Times;serif" w:hAnsi="Times New Roman;Times;serif"/>
                <w:b w:val="false"/>
                <w:sz w:val="20"/>
              </w:rPr>
            </w:pPr>
            <w:r>
              <w:rPr>
                <w:rFonts w:ascii="Times New Roman;Times;serif" w:hAnsi="Times New Roman;Times;serif"/>
                <w:b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(2,250</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(635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695" w:type="dxa"/>
            <w:tcBorders/>
            <w:shd w:fill="FFFFFF" w:val="clear"/>
            <w:vAlign w:val="center"/>
          </w:tcPr>
          <w:p>
            <w:pPr>
              <w:pStyle w:val="TableContents"/>
              <w:bidi w:val="0"/>
              <w:spacing w:before="0" w:after="0"/>
              <w:ind w:left="0" w:right="0" w:firstLine="540"/>
              <w:jc w:val="left"/>
              <w:rPr>
                <w:rFonts w:ascii="Times New Roman;Times;serif" w:hAnsi="Times New Roman;Times;serif"/>
                <w:b w:val="false"/>
                <w:sz w:val="20"/>
              </w:rPr>
            </w:pPr>
            <w:r>
              <w:rPr>
                <w:rFonts w:ascii="Times New Roman;Times;serif" w:hAnsi="Times New Roman;Times;serif"/>
                <w:b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(653</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(501</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695" w:type="dxa"/>
            <w:tcBorders/>
            <w:shd w:fill="CCEEFF" w:val="clear"/>
            <w:vAlign w:val="center"/>
          </w:tcPr>
          <w:p>
            <w:pPr>
              <w:pStyle w:val="TableContents"/>
              <w:bidi w:val="0"/>
              <w:spacing w:before="0" w:after="0"/>
              <w:ind w:left="0" w:right="0" w:firstLine="900"/>
              <w:jc w:val="left"/>
              <w:rPr>
                <w:rFonts w:ascii="Times New Roman;Times;serif" w:hAnsi="Times New Roman;Times;serif"/>
                <w:b w:val="false"/>
                <w:sz w:val="20"/>
              </w:rPr>
            </w:pPr>
            <w:r>
              <w:rPr>
                <w:rFonts w:ascii="Times New Roman;Times;serif" w:hAnsi="Times New Roman;Times;serif"/>
                <w:b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(26,328</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(18,175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(148</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(34</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6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Purchases of intangible assets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(20</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90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(168</w:t>
            </w:r>
          </w:p>
        </w:tc>
        <w:tc>
          <w:tcPr>
            <w:tcW w:w="106"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(34</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Proceeds from 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sz w:val="20"/>
              </w:rPr>
            </w:pPr>
            <w:r>
              <w:rPr>
                <w:sz w:val="20"/>
              </w:rPr>
              <w:t>352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296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Proceeds from exercises of warrants, net of issuance costs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sz w:val="20"/>
              </w:rPr>
            </w:pPr>
            <w:r>
              <w:rPr>
                <w:sz w:val="20"/>
              </w:rPr>
              <w:t>14,063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Proceeds from exercises of stock options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color w:val="000000"/>
                <w:sz w:val="20"/>
              </w:rPr>
            </w:pPr>
            <w:r>
              <w:rPr>
                <w:color w:val="000000"/>
                <w:sz w:val="20"/>
              </w:rPr>
              <w:t>392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color w:val="000000"/>
                <w:sz w:val="20"/>
              </w:rPr>
            </w:pPr>
            <w:r>
              <w:rPr>
                <w:color w:val="000000"/>
                <w:sz w:val="20"/>
              </w:rPr>
              <w:t>22</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Issuance cost in relation to rights offering</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(278</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695" w:type="dxa"/>
            <w:tcBorders/>
            <w:shd w:fill="CCEEFF" w:val="clear"/>
            <w:vAlign w:val="center"/>
          </w:tcPr>
          <w:p>
            <w:pPr>
              <w:pStyle w:val="TableContents"/>
              <w:bidi w:val="0"/>
              <w:spacing w:before="0" w:after="0"/>
              <w:ind w:left="0" w:right="0" w:firstLine="900"/>
              <w:jc w:val="left"/>
              <w:rPr>
                <w:rFonts w:ascii="Times New Roman;Times;serif" w:hAnsi="Times New Roman;Times;serif"/>
                <w:b w:val="false"/>
                <w:sz w:val="20"/>
              </w:rPr>
            </w:pPr>
            <w:r>
              <w:rPr>
                <w:rFonts w:ascii="Times New Roman;Times;serif" w:hAnsi="Times New Roman;Times;serif"/>
                <w:b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14,807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40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900"/>
              <w:jc w:val="left"/>
              <w:rPr>
                <w:rFonts w:ascii="Times New Roman;Times;serif" w:hAnsi="Times New Roman;Times;serif"/>
                <w:b w:val="false"/>
                <w:sz w:val="20"/>
              </w:rPr>
            </w:pPr>
            <w:r>
              <w:rPr>
                <w:rFonts w:ascii="Times New Roman;Times;serif" w:hAnsi="Times New Roman;Times;serif"/>
                <w:b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(11,689</w:t>
            </w:r>
          </w:p>
        </w:tc>
        <w:tc>
          <w:tcPr>
            <w:tcW w:w="106"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(18,169</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118,038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44,365</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106,349</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26,196</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Equipment purchases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sz w:val="20"/>
              </w:rPr>
            </w:pPr>
            <w:r>
              <w:rPr>
                <w:sz w:val="20"/>
              </w:rPr>
              <w:t>$</w:t>
            </w:r>
          </w:p>
        </w:tc>
        <w:tc>
          <w:tcPr>
            <w:tcW w:w="921" w:type="dxa"/>
            <w:tcBorders/>
            <w:shd w:fill="CCEEFF" w:val="clear"/>
            <w:vAlign w:val="center"/>
          </w:tcPr>
          <w:p>
            <w:pPr>
              <w:pStyle w:val="TableContents"/>
              <w:bidi w:val="0"/>
              <w:spacing w:before="0" w:after="283"/>
              <w:ind w:left="0" w:right="0" w:hanging="0"/>
              <w:jc w:val="right"/>
              <w:rPr>
                <w:sz w:val="20"/>
              </w:rPr>
            </w:pPr>
            <w:r>
              <w:rPr>
                <w:sz w:val="20"/>
              </w:rPr>
              <w:t>24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sz w:val="20"/>
              </w:rPr>
            </w:pPr>
            <w:r>
              <w:rPr>
                <w:sz w:val="20"/>
              </w:rPr>
              <w:t>$</w:t>
            </w:r>
          </w:p>
        </w:tc>
        <w:tc>
          <w:tcPr>
            <w:tcW w:w="861" w:type="dxa"/>
            <w:tcBorders/>
            <w:shd w:fill="CCEEFF" w:val="clear"/>
            <w:vAlign w:val="center"/>
          </w:tcPr>
          <w:p>
            <w:pPr>
              <w:pStyle w:val="TableContents"/>
              <w:bidi w:val="0"/>
              <w:spacing w:before="0" w:after="283"/>
              <w:ind w:left="0" w:right="0" w:hanging="0"/>
              <w:jc w:val="right"/>
              <w:rPr>
                <w:sz w:val="20"/>
              </w:rPr>
            </w:pPr>
            <w:r>
              <w:rPr>
                <w:sz w:val="20"/>
              </w:rPr>
              <w:t>16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offering deemed pro-rata distribution to shareholders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sz w:val="20"/>
              </w:rPr>
            </w:pPr>
            <w:r>
              <w:rPr>
                <w:sz w:val="20"/>
              </w:rPr>
              <w:t>$</w:t>
            </w:r>
          </w:p>
        </w:tc>
        <w:tc>
          <w:tcPr>
            <w:tcW w:w="921"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sz w:val="20"/>
              </w:rPr>
            </w:pPr>
            <w:r>
              <w:rPr>
                <w:sz w:val="20"/>
              </w:rPr>
              <w:t>$</w:t>
            </w:r>
          </w:p>
        </w:tc>
        <w:tc>
          <w:tcPr>
            <w:tcW w:w="861" w:type="dxa"/>
            <w:tcBorders/>
            <w:shd w:fill="FFFFFF" w:val="clear"/>
            <w:vAlign w:val="center"/>
          </w:tcPr>
          <w:p>
            <w:pPr>
              <w:pStyle w:val="TableContents"/>
              <w:bidi w:val="0"/>
              <w:spacing w:before="0" w:after="283"/>
              <w:jc w:val="right"/>
              <w:rPr>
                <w:sz w:val="20"/>
              </w:rPr>
            </w:pPr>
            <w:r>
              <w:rPr>
                <w:sz w:val="20"/>
              </w:rPr>
              <w:t>47,700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receivable from exercises of warrants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sz w:val="20"/>
              </w:rPr>
            </w:pPr>
            <w:r>
              <w:rPr>
                <w:sz w:val="20"/>
              </w:rPr>
              <w:t>$</w:t>
            </w:r>
          </w:p>
        </w:tc>
        <w:tc>
          <w:tcPr>
            <w:tcW w:w="921" w:type="dxa"/>
            <w:tcBorders/>
            <w:shd w:fill="CCEEFF" w:val="clear"/>
            <w:vAlign w:val="center"/>
          </w:tcPr>
          <w:p>
            <w:pPr>
              <w:pStyle w:val="TableContents"/>
              <w:bidi w:val="0"/>
              <w:spacing w:before="0" w:after="283"/>
              <w:ind w:left="0" w:right="0" w:hanging="0"/>
              <w:jc w:val="right"/>
              <w:rPr>
                <w:sz w:val="20"/>
              </w:rPr>
            </w:pPr>
            <w:r>
              <w:rPr>
                <w:sz w:val="20"/>
              </w:rPr>
              <w:t>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sz w:val="20"/>
              </w:rPr>
            </w:pPr>
            <w:r>
              <w:rPr>
                <w:sz w:val="20"/>
              </w:rPr>
              <w:t>$</w:t>
            </w:r>
          </w:p>
        </w:tc>
        <w:tc>
          <w:tcPr>
            <w:tcW w:w="8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Issuance costs in 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sz w:val="20"/>
              </w:rPr>
            </w:pPr>
            <w:r>
              <w:rPr>
                <w:sz w:val="20"/>
              </w:rPr>
              <w:t>$</w:t>
            </w:r>
          </w:p>
        </w:tc>
        <w:tc>
          <w:tcPr>
            <w:tcW w:w="921" w:type="dxa"/>
            <w:tcBorders/>
            <w:shd w:fill="FFFFFF" w:val="clear"/>
            <w:vAlign w:val="center"/>
          </w:tcPr>
          <w:p>
            <w:pPr>
              <w:pStyle w:val="TableContents"/>
              <w:bidi w:val="0"/>
              <w:spacing w:before="0" w:after="283"/>
              <w:ind w:left="0" w:right="0" w:hanging="0"/>
              <w:jc w:val="right"/>
              <w:rPr>
                <w:sz w:val="20"/>
              </w:rPr>
            </w:pPr>
            <w:r>
              <w:rPr>
                <w:sz w:val="20"/>
              </w:rPr>
              <w:t>1</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sz w:val="20"/>
              </w:rPr>
            </w:pPr>
            <w:r>
              <w:rPr>
                <w:sz w:val="20"/>
              </w:rPr>
              <w:t>$</w:t>
            </w:r>
          </w:p>
        </w:tc>
        <w:tc>
          <w:tcPr>
            <w:tcW w:w="861" w:type="dxa"/>
            <w:tcBorders/>
            <w:shd w:fill="FFFFFF" w:val="clear"/>
            <w:vAlign w:val="center"/>
          </w:tcPr>
          <w:p>
            <w:pPr>
              <w:pStyle w:val="TableContents"/>
              <w:bidi w:val="0"/>
              <w:spacing w:before="0" w:after="283"/>
              <w:ind w:left="0" w:right="0" w:hanging="0"/>
              <w:jc w:val="right"/>
              <w:rPr>
                <w:sz w:val="20"/>
              </w:rPr>
            </w:pPr>
            <w:r>
              <w:rPr>
                <w:sz w:val="20"/>
              </w:rPr>
              <w:t>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9"/>
        <w:gridCol w:w="60"/>
        <w:gridCol w:w="62"/>
        <w:gridCol w:w="617"/>
        <w:gridCol w:w="62"/>
        <w:gridCol w:w="62"/>
        <w:gridCol w:w="220"/>
        <w:gridCol w:w="460"/>
        <w:gridCol w:w="60"/>
        <w:gridCol w:w="60"/>
        <w:gridCol w:w="140"/>
        <w:gridCol w:w="780"/>
        <w:gridCol w:w="60"/>
        <w:gridCol w:w="60"/>
        <w:gridCol w:w="527"/>
        <w:gridCol w:w="912"/>
        <w:gridCol w:w="60"/>
        <w:gridCol w:w="60"/>
        <w:gridCol w:w="158"/>
        <w:gridCol w:w="957"/>
        <w:gridCol w:w="80"/>
        <w:gridCol w:w="60"/>
        <w:gridCol w:w="170"/>
        <w:gridCol w:w="954"/>
        <w:gridCol w:w="85"/>
      </w:tblGrid>
      <w:tr>
        <w:trPr/>
        <w:tc>
          <w:tcPr>
            <w:tcW w:w="3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shd w:fill="FFFF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5" w:type="dxa"/>
            <w:tcBorders/>
            <w:shd w:fill="FFFF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5"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67,274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(407,295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118,452</w:t>
            </w:r>
          </w:p>
        </w:tc>
        <w:tc>
          <w:tcPr>
            <w:tcW w:w="85"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 upon exercise of warrants, net of issuance costs of $1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347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347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347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(19,168</w:t>
            </w:r>
          </w:p>
        </w:tc>
        <w:tc>
          <w:tcPr>
            <w:tcW w:w="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4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67,278</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530,883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(426,463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104,487</w:t>
            </w:r>
          </w:p>
        </w:tc>
        <w:tc>
          <w:tcPr>
            <w:tcW w:w="8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3"/>
        <w:gridCol w:w="60"/>
        <w:gridCol w:w="62"/>
        <w:gridCol w:w="617"/>
        <w:gridCol w:w="62"/>
        <w:gridCol w:w="62"/>
        <w:gridCol w:w="220"/>
        <w:gridCol w:w="460"/>
        <w:gridCol w:w="60"/>
        <w:gridCol w:w="60"/>
        <w:gridCol w:w="140"/>
        <w:gridCol w:w="780"/>
        <w:gridCol w:w="60"/>
        <w:gridCol w:w="60"/>
        <w:gridCol w:w="527"/>
        <w:gridCol w:w="909"/>
        <w:gridCol w:w="60"/>
        <w:gridCol w:w="60"/>
        <w:gridCol w:w="158"/>
        <w:gridCol w:w="957"/>
        <w:gridCol w:w="80"/>
        <w:gridCol w:w="60"/>
        <w:gridCol w:w="170"/>
        <w:gridCol w:w="954"/>
        <w:gridCol w:w="84"/>
      </w:tblGrid>
      <w:tr>
        <w:trPr/>
        <w:tc>
          <w:tcPr>
            <w:tcW w:w="3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Stockholders’</w:t>
            </w:r>
          </w:p>
        </w:tc>
        <w:tc>
          <w:tcPr>
            <w:tcW w:w="84" w:type="dxa"/>
            <w:tcBorders/>
            <w:shd w:fill="FFFF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Equity</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65,926</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66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505,296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(390,500</w:t>
            </w:r>
          </w:p>
        </w:tc>
        <w:tc>
          <w:tcPr>
            <w:tcW w:w="80" w:type="dxa"/>
            <w:tcBorders/>
            <w:shd w:fill="CCEEFF" w:val="clear"/>
            <w:vAlign w:val="center"/>
          </w:tcPr>
          <w:p>
            <w:pPr>
              <w:pStyle w:val="TableContents"/>
              <w:bidi w:val="0"/>
              <w:spacing w:before="0" w:after="0"/>
              <w:ind w:left="0" w:right="0" w:hanging="0"/>
              <w:jc w:val="left"/>
              <w:rPr>
                <w:sz w:val="20"/>
              </w:rPr>
            </w:pPr>
            <w:r>
              <w:rPr>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114,862</w:t>
            </w:r>
          </w:p>
        </w:tc>
        <w:tc>
          <w:tcPr>
            <w:tcW w:w="84" w:type="dxa"/>
            <w:tcBorders/>
            <w:shd w:fill="CCEEFF" w:val="clear"/>
            <w:vAlign w:val="center"/>
          </w:tcPr>
          <w:p>
            <w:pPr>
              <w:pStyle w:val="TableContents"/>
              <w:bidi w:val="0"/>
              <w:spacing w:before="0" w:after="0"/>
              <w:jc w:val="left"/>
              <w:rPr/>
            </w:pPr>
            <w:r>
              <w:rPr/>
              <w:t> </w:t>
            </w:r>
          </w:p>
        </w:tc>
      </w:tr>
      <w:tr>
        <w:trPr/>
        <w:tc>
          <w:tcPr>
            <w:tcW w:w="3483"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Issuance of common stock upon exercise of warrants, net of issuance costs of $14</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sz w:val="20"/>
              </w:rPr>
            </w:pPr>
            <w:r>
              <w:rPr>
                <w:sz w:val="20"/>
              </w:rPr>
              <w:t>1,271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sz w:val="20"/>
              </w:rPr>
            </w:pPr>
            <w:r>
              <w:rPr>
                <w:sz w:val="20"/>
              </w:rPr>
              <w:t>13,973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sz w:val="20"/>
              </w:rPr>
            </w:pPr>
            <w:r>
              <w:rPr>
                <w:sz w:val="20"/>
              </w:rPr>
              <w:t>13,974</w:t>
            </w:r>
          </w:p>
        </w:tc>
        <w:tc>
          <w:tcPr>
            <w:tcW w:w="84" w:type="dxa"/>
            <w:tcBorders/>
            <w:shd w:fill="FFFFFF" w:val="clear"/>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7" w:type="dxa"/>
            <w:tcBorders/>
            <w:shd w:fill="CCEEFF" w:val="clear"/>
            <w:vAlign w:val="center"/>
          </w:tcPr>
          <w:p>
            <w:pPr>
              <w:pStyle w:val="TableContents"/>
              <w:bidi w:val="0"/>
              <w:spacing w:before="0" w:after="283"/>
              <w:ind w:left="0" w:right="0" w:hanging="0"/>
              <w:jc w:val="right"/>
              <w:rPr>
                <w:sz w:val="20"/>
              </w:rPr>
            </w:pPr>
            <w:r>
              <w:rPr>
                <w:sz w:val="20"/>
              </w:rPr>
              <w:t>55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sz w:val="20"/>
              </w:rPr>
            </w:pPr>
            <w:r>
              <w:rPr>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sz w:val="20"/>
              </w:rPr>
            </w:pPr>
            <w:r>
              <w:rPr>
                <w:sz w:val="20"/>
              </w:rPr>
              <w:t>392</w:t>
            </w:r>
          </w:p>
        </w:tc>
        <w:tc>
          <w:tcPr>
            <w:tcW w:w="84" w:type="dxa"/>
            <w:tcBorders/>
            <w:shd w:fill="CCEE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Issuance of shares under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sz w:val="20"/>
              </w:rPr>
            </w:pPr>
            <w:r>
              <w:rPr>
                <w:sz w:val="20"/>
              </w:rPr>
              <w:t>26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sz w:val="20"/>
              </w:rPr>
            </w:pPr>
            <w:r>
              <w:rPr>
                <w:sz w:val="20"/>
              </w:rPr>
              <w:t>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sz w:val="20"/>
              </w:rPr>
            </w:pPr>
            <w:r>
              <w:rPr>
                <w:sz w:val="20"/>
              </w:rPr>
              <w:t>352</w:t>
            </w:r>
          </w:p>
        </w:tc>
        <w:tc>
          <w:tcPr>
            <w:tcW w:w="84" w:type="dxa"/>
            <w:tcBorders/>
            <w:shd w:fill="FFFFFF" w:val="clear"/>
            <w:vAlign w:val="center"/>
          </w:tcPr>
          <w:p>
            <w:pPr>
              <w:pStyle w:val="TableContents"/>
              <w:bidi w:val="0"/>
              <w:spacing w:before="0" w:after="283"/>
              <w:jc w:val="left"/>
              <w:rPr/>
            </w:pPr>
            <w:r>
              <w:rPr/>
              <w:t> </w:t>
            </w:r>
          </w:p>
        </w:tc>
      </w:tr>
      <w:tr>
        <w:trPr/>
        <w:tc>
          <w:tcPr>
            <w:tcW w:w="3483"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7"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sz w:val="20"/>
              </w:rPr>
            </w:pPr>
            <w:r>
              <w:rPr>
                <w:sz w:val="20"/>
              </w:rPr>
              <w:t>10,870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sz w:val="20"/>
              </w:rPr>
            </w:pPr>
            <w:r>
              <w:rPr>
                <w:sz w:val="20"/>
              </w:rPr>
              <w:t>10,870</w:t>
            </w:r>
          </w:p>
        </w:tc>
        <w:tc>
          <w:tcPr>
            <w:tcW w:w="84" w:type="dxa"/>
            <w:tcBorders/>
            <w:shd w:fill="CCEE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color w:val="00000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rPr>
            </w:pPr>
            <w:r>
              <w:rPr>
                <w:color w:val="00000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(35,963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(35,963</w:t>
            </w:r>
          </w:p>
        </w:tc>
        <w:tc>
          <w:tcPr>
            <w:tcW w:w="84" w:type="dxa"/>
            <w:tcBorders/>
            <w:shd w:fill="FFFFFF" w:val="clear"/>
            <w:vAlign w:val="center"/>
          </w:tcPr>
          <w:p>
            <w:pPr>
              <w:pStyle w:val="TableContents"/>
              <w:bidi w:val="0"/>
              <w:spacing w:before="0" w:after="283"/>
              <w:jc w:val="left"/>
              <w:rPr>
                <w:sz w:val="20"/>
              </w:rPr>
            </w:pPr>
            <w:r>
              <w:rPr>
                <w:sz w:val="20"/>
              </w:rPr>
              <w:t>)</w:t>
            </w:r>
          </w:p>
        </w:tc>
      </w:tr>
      <w:tr>
        <w:trPr/>
        <w:tc>
          <w:tcPr>
            <w:tcW w:w="348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Balance, June 30, 2025</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67,278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530,883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(426,463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104,487</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4"/>
        <w:gridCol w:w="60"/>
        <w:gridCol w:w="62"/>
        <w:gridCol w:w="615"/>
        <w:gridCol w:w="62"/>
        <w:gridCol w:w="62"/>
        <w:gridCol w:w="220"/>
        <w:gridCol w:w="460"/>
        <w:gridCol w:w="60"/>
        <w:gridCol w:w="60"/>
        <w:gridCol w:w="140"/>
        <w:gridCol w:w="780"/>
        <w:gridCol w:w="80"/>
        <w:gridCol w:w="60"/>
        <w:gridCol w:w="527"/>
        <w:gridCol w:w="901"/>
        <w:gridCol w:w="60"/>
        <w:gridCol w:w="60"/>
        <w:gridCol w:w="158"/>
        <w:gridCol w:w="957"/>
        <w:gridCol w:w="80"/>
        <w:gridCol w:w="60"/>
        <w:gridCol w:w="180"/>
        <w:gridCol w:w="943"/>
        <w:gridCol w:w="84"/>
      </w:tblGrid>
      <w:tr>
        <w:trPr/>
        <w:tc>
          <w:tcPr>
            <w:tcW w:w="3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55,225</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(347,052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36,287</w:t>
            </w:r>
          </w:p>
        </w:tc>
        <w:tc>
          <w:tcPr>
            <w:tcW w:w="84" w:type="dxa"/>
            <w:tcBorders/>
            <w:shd w:fill="CCEEFF" w:val="clear"/>
            <w:vAlign w:val="center"/>
          </w:tcPr>
          <w:p>
            <w:pPr>
              <w:pStyle w:val="TableContents"/>
              <w:bidi w:val="0"/>
              <w:spacing w:before="0" w:after="0"/>
              <w:jc w:val="left"/>
              <w:rPr/>
            </w:pPr>
            <w:r>
              <w:rPr/>
              <w:t> </w:t>
            </w:r>
          </w:p>
        </w:tc>
      </w:tr>
      <w:tr>
        <w:trPr/>
        <w:tc>
          <w:tcPr>
            <w:tcW w:w="347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equity-classified subscription rights as part of rights offering (Note 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47,700</w:t>
            </w:r>
          </w:p>
        </w:tc>
        <w:tc>
          <w:tcPr>
            <w:tcW w:w="84" w:type="dxa"/>
            <w:tcBorders/>
            <w:shd w:fill="CCEE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Rights offering deemed pro-rata distribution to shareholders (Note 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(47,700</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w:t>
            </w:r>
          </w:p>
        </w:tc>
        <w:tc>
          <w:tcPr>
            <w:tcW w:w="84" w:type="dxa"/>
            <w:tcBorders/>
            <w:shd w:fill="CCEE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2024</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55,228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4"/>
        <w:gridCol w:w="60"/>
        <w:gridCol w:w="62"/>
        <w:gridCol w:w="615"/>
        <w:gridCol w:w="62"/>
        <w:gridCol w:w="62"/>
        <w:gridCol w:w="220"/>
        <w:gridCol w:w="460"/>
        <w:gridCol w:w="60"/>
        <w:gridCol w:w="60"/>
        <w:gridCol w:w="140"/>
        <w:gridCol w:w="780"/>
        <w:gridCol w:w="80"/>
        <w:gridCol w:w="60"/>
        <w:gridCol w:w="527"/>
        <w:gridCol w:w="901"/>
        <w:gridCol w:w="60"/>
        <w:gridCol w:w="60"/>
        <w:gridCol w:w="158"/>
        <w:gridCol w:w="957"/>
        <w:gridCol w:w="80"/>
        <w:gridCol w:w="60"/>
        <w:gridCol w:w="180"/>
        <w:gridCol w:w="943"/>
        <w:gridCol w:w="84"/>
      </w:tblGrid>
      <w:tr>
        <w:trPr/>
        <w:tc>
          <w:tcPr>
            <w:tcW w:w="3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Stockholders’</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Balance, December 31, 2023</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55,144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381,220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(336,915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44,360</w:t>
            </w:r>
          </w:p>
        </w:tc>
        <w:tc>
          <w:tcPr>
            <w:tcW w:w="84" w:type="dxa"/>
            <w:tcBorders/>
            <w:shd w:fill="CCEE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Issuance of shares under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sz w:val="20"/>
              </w:rPr>
            </w:pPr>
            <w:r>
              <w:rPr>
                <w:sz w:val="20"/>
              </w:rPr>
              <w:t>78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sz w:val="20"/>
              </w:rPr>
            </w:pPr>
            <w:r>
              <w:rPr>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296</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sz w:val="20"/>
              </w:rPr>
            </w:pPr>
            <w:r>
              <w:rPr>
                <w:sz w:val="20"/>
              </w:rPr>
              <w:t>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sz w:val="20"/>
              </w:rPr>
            </w:pPr>
            <w:r>
              <w:rPr>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22</w:t>
            </w:r>
          </w:p>
        </w:tc>
        <w:tc>
          <w:tcPr>
            <w:tcW w:w="84" w:type="dxa"/>
            <w:tcBorders/>
            <w:shd w:fill="CCEEFF" w:val="clear"/>
            <w:vAlign w:val="center"/>
          </w:tcPr>
          <w:p>
            <w:pPr>
              <w:pStyle w:val="TableContents"/>
              <w:bidi w:val="0"/>
              <w:spacing w:before="0" w:after="283"/>
              <w:jc w:val="left"/>
              <w:rPr/>
            </w:pPr>
            <w:r>
              <w:rPr/>
              <w:t> </w:t>
            </w:r>
          </w:p>
        </w:tc>
      </w:tr>
      <w:tr>
        <w:trPr/>
        <w:tc>
          <w:tcPr>
            <w:tcW w:w="347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Issuance of equity-classified subscription rights as part of rights offering (Note 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sz w:val="20"/>
              </w:rPr>
            </w:pPr>
            <w:r>
              <w:rPr>
                <w:sz w:val="20"/>
              </w:rPr>
              <w:t>47,700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47,700</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Rights offering deemed pro-rata distribution to shareholders (Note 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sz w:val="20"/>
              </w:rPr>
            </w:pPr>
            <w:r>
              <w:rPr>
                <w:sz w:val="20"/>
              </w:rPr>
              <w:t>(47,700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(47,700</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347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sz w:val="20"/>
              </w:rPr>
            </w:pPr>
            <w:r>
              <w:rPr>
                <w:sz w:val="20"/>
              </w:rPr>
              <w:t>3,811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3,811</w:t>
            </w:r>
          </w:p>
        </w:tc>
        <w:tc>
          <w:tcPr>
            <w:tcW w:w="84" w:type="dxa"/>
            <w:tcBorders/>
            <w:shd w:fill="FFFFFF" w:val="clear"/>
            <w:vAlign w:val="center"/>
          </w:tcPr>
          <w:p>
            <w:pPr>
              <w:pStyle w:val="TableContents"/>
              <w:bidi w:val="0"/>
              <w:spacing w:before="0" w:after="283"/>
              <w:jc w:val="left"/>
              <w:rPr/>
            </w:pPr>
            <w:r>
              <w:rPr/>
              <w:t> </w:t>
            </w:r>
          </w:p>
        </w:tc>
      </w:tr>
      <w:tr>
        <w:trPr/>
        <w:tc>
          <w:tcPr>
            <w:tcW w:w="347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(21,520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(21,520</w:t>
            </w:r>
          </w:p>
        </w:tc>
        <w:tc>
          <w:tcPr>
            <w:tcW w:w="84" w:type="dxa"/>
            <w:tcBorders/>
            <w:shd w:fill="CCEEFF" w:val="clear"/>
            <w:vAlign w:val="center"/>
          </w:tcPr>
          <w:p>
            <w:pPr>
              <w:pStyle w:val="TableContents"/>
              <w:bidi w:val="0"/>
              <w:spacing w:before="0" w:after="283"/>
              <w:jc w:val="left"/>
              <w:rPr>
                <w:sz w:val="20"/>
              </w:rPr>
            </w:pPr>
            <w:r>
              <w:rPr>
                <w:sz w:val="20"/>
              </w:rPr>
              <w:t>)</w:t>
            </w:r>
          </w:p>
        </w:tc>
      </w:tr>
      <w:tr>
        <w:trPr/>
        <w:tc>
          <w:tcPr>
            <w:tcW w:w="347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Balance, June 30, 2024</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55,228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385,349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(358,435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26,969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Pulse Biosciences, Inc. is a novel ablation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long, to nonthermally clear or kill targeted cells.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its preclinical experience and the potential to significantly improve outcomes for patients in a large and growing market, the Company decided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focus its primary efforts on the use of nsPFA energy and the CellFX platform in the treatment of atrial fibrillation ("AF") and in a select few other markets where it could have a profound positive impact on healthcare for both patients and providers, such as surgical soft tissue ablation.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is incorporated in the State of Delaware. It is located in Miami, Florida, and continues to maintain its offices in Hayward, California. The Company maintains a website at www.pulsebiosciences.com where general information about the Company is available.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activities are subject to significant risks and uncertainties, including the need for additional capital.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material cash flows from operations. It currently generates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revenue and will need to raise additional capital to finance its operations.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the Company will be able to obtain additional financing on acceptable terms and in the amounts necessary to fully fund its operating requirements.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accompanying unaudited condensed consolidated financial statements have been prepared on a basis consistent with the Company’s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was derived from the audited consolidated financial statements as of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entire year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financial statements of Pulse Biosciences, Inc. and its wholly-owned subsidiaries. Intercompany balances and transactions, if any,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preparation of financial statements in conformity with U.S. GAAP requires the Company to make estimates that affect the amounts reported in the financial statements and accompanying notes to the financial statements.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limited to, the valuation and recognition of stock-based compensation, the valuation of equity-classified subscription rights, inventory valuation,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significant accounting policies are described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continually evaluates the accounting policies and estimates used in preparing the consolidated financial statements.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stock-based compensation programs include stock options and an employee stock purchase program.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recognize compensation expense until it is probable that the performance-based vesting condition will be achieved. The analysis to determine such probability involves estimates and judgements from management and the estimate of expense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revised periodically. In </w:t>
      </w:r>
      <w:r>
        <w:rPr>
          <w:rStyle w:val="Emphasis"/>
          <w:rFonts w:ascii="Times New Roman" w:hAnsi="Times New Roman"/>
          <w:caps w:val="false"/>
          <w:smallCaps w:val="false"/>
          <w:sz w:val="20"/>
        </w:rPr>
        <w:t xml:space="preserve"> October 2024, </w:t>
      </w:r>
      <w:r>
        <w:rPr>
          <w:rFonts w:ascii="Times New Roman" w:hAnsi="Times New Roman"/>
          <w:caps w:val="false"/>
          <w:smallCaps w:val="false"/>
          <w:sz w:val="20"/>
        </w:rPr>
        <w:t>the Board approved changes to the vesting conditions of certain outstanding common stock option awards so that the performance-based vesting criteria of those particular awards were modified to either time-based or market-based vesting criteria.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During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issued certain stock options with market-based vesting conditions and modified certain performance-based stock option awards to market-based options. These vesting conditions relate to the achievement of certain market capitalization targets of the Company. Using a Monte Carlo simulation model, the Company estimated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issued certain executives stock options with both market-based and performance-based vesting conditions. These vesting conditions relate to both the achievement of certain market capitalization targets of the Company, as well as the achievement of certain revenue and margin metrics. 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being achieved or the employee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Monte Carlo simulation models require the Company to make assumptions and judgements about the variables used in the calculations including the expected volatility, the risk-free interest rate, cost of equity, and the expected term.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See Note </w:t>
      </w:r>
      <w:r>
        <w:rPr>
          <w:rStyle w:val="Emphasis"/>
          <w:rFonts w:ascii="Times New Roman" w:hAnsi="Times New Roman"/>
          <w:caps w:val="false"/>
          <w:smallCaps w:val="false"/>
          <w:sz w:val="20"/>
        </w:rPr>
        <w:t>6</w:t>
      </w:r>
      <w:r>
        <w:rPr>
          <w:rFonts w:ascii="Times New Roman" w:hAnsi="Times New Roman"/>
          <w:caps w:val="false"/>
          <w:smallCaps w:val="false"/>
          <w:sz w:val="20"/>
        </w:rPr>
        <w:t> for a detailed discussion of the Company’s stock plans and stock-based compensation expense.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Valuation of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began to capitalize inventory in preparation of its early pilot commercialization of percutaneous electrodes for its nsPFA Percutaneous Electrode System. Inventory is stated at lower of cost or net realizable value. The Company establishes the inventory basis by determining the cost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was no reduction to the balance of inventory for excessive and obsolete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 xml:space="preserve">Based on the Accounting Standards Codification ("ASC") </w:t>
      </w:r>
      <w:r>
        <w:rPr>
          <w:rStyle w:val="Emphasis"/>
          <w:rFonts w:ascii="Times New Roman;Times;serif" w:hAnsi="Times New Roman;Times;serif"/>
          <w:caps w:val="false"/>
          <w:smallCaps w:val="false"/>
          <w:sz w:val="20"/>
        </w:rPr>
        <w:t>260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55,</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Earnings Per Share - Implementation Guidance and Illustrations</w:t>
      </w:r>
      <w:r>
        <w:rPr>
          <w:rFonts w:ascii="Times New Roman;Times;serif" w:hAnsi="Times New Roman;Times;serif"/>
          <w:caps w:val="false"/>
          <w:smallCaps w:val="false"/>
          <w:sz w:val="20"/>
        </w:rPr>
        <w:t>, the Company determined that the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Rights Offering (Note </w:t>
      </w:r>
      <w:r>
        <w:rPr>
          <w:rStyle w:val="Emphasis"/>
          <w:rFonts w:ascii="Times New Roman;Times;serif" w:hAnsi="Times New Roman;Times;serif"/>
          <w:caps w:val="false"/>
          <w:smallCaps w:val="false"/>
          <w:sz w:val="20"/>
        </w:rPr>
        <w:t>6</w:t>
      </w:r>
      <w:r>
        <w:rPr>
          <w:rFonts w:ascii="Times New Roman;Times;serif" w:hAnsi="Times New Roman;Times;serif"/>
          <w:caps w:val="false"/>
          <w:smallCaps w:val="false"/>
          <w:sz w:val="20"/>
        </w:rPr>
        <w:t>), contained a bonus element. A rights offering is deemed to have a bonus element when the exercise price at issuance is less than fair value of the Company's stock. The Company has retroactively adjusted earnings per share and weighted average number of shares outstanding for the bonus element for prior periods presented.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Basic and diluted net loss per common share is the same for all periods presented because all warrants, stock options and restricted stock units outstanding are anti-dilutive.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outstanding stock options, and warrants were excluded from the computation of diluted net loss per share for the periods presented because including them would have had an anti-dilutive effect:</w:t>
      </w:r>
    </w:p>
    <w:p>
      <w:pPr>
        <w:pStyle w:val="TextBody"/>
        <w:bidi w:val="0"/>
        <w:spacing w:before="0" w:after="0"/>
        <w:ind w:left="0" w:right="0" w:hanging="0"/>
        <w:jc w:val="left"/>
        <w:rPr>
          <w:caps w:val="false"/>
          <w:smallCaps w:val="false"/>
        </w:rPr>
      </w:pPr>
      <w:r>
        <w:rPr>
          <w:caps w:val="false"/>
          <w:smallCaps w:val="false"/>
        </w:rPr>
        <w:t> </w:t>
      </w:r>
    </w:p>
    <w:tbl>
      <w:tblPr>
        <w:tblW w:w="4388" w:type="dxa"/>
        <w:jc w:val="left"/>
        <w:tblInd w:w="0" w:type="dxa"/>
        <w:tblLayout w:type="fixed"/>
        <w:tblCellMar>
          <w:top w:w="0" w:type="dxa"/>
          <w:left w:w="0" w:type="dxa"/>
          <w:bottom w:w="0" w:type="dxa"/>
          <w:right w:w="0" w:type="dxa"/>
        </w:tblCellMar>
      </w:tblPr>
      <w:tblGrid>
        <w:gridCol w:w="1970"/>
        <w:gridCol w:w="60"/>
        <w:gridCol w:w="64"/>
        <w:gridCol w:w="1021"/>
        <w:gridCol w:w="64"/>
        <w:gridCol w:w="64"/>
        <w:gridCol w:w="64"/>
        <w:gridCol w:w="1021"/>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208,406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13,511,482</w:t>
            </w:r>
          </w:p>
        </w:tc>
        <w:tc>
          <w:tcPr>
            <w:tcW w:w="64"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11,596,762</w:t>
            </w:r>
          </w:p>
        </w:tc>
        <w:tc>
          <w:tcPr>
            <w:tcW w:w="60" w:type="dxa"/>
            <w:tcBorders/>
            <w:shd w:fill="FFFFFF" w:val="clear"/>
            <w:vAlign w:val="center"/>
          </w:tcPr>
          <w:p>
            <w:pPr>
              <w:pStyle w:val="TableContents"/>
              <w:bidi w:val="0"/>
              <w:spacing w:before="0" w:after="0"/>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13,719,888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11,596,762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Certain reclassifications have been made to the prior period presentation of the cash flows from operating activities within the Condensed Consolidated Statements of Cash Flows to conform to current period presentation. Specifically, the presentation of operating lease expenses has been reclassified from “Right-of-use assets” within “Changes in operating assets and liabilities” to “Non-cash lease expense” within “Adjustments to reconcile net loss to net cash used in operating activities”. As a result of this change, the presentation of these expenses in the comparative periods has been changed to conform to the current period. These reclassifications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impact on the Company’s results of operations, total cash flows from operating activities, or financial position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material changes to the information provided regarding recent accounting pronouncements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“Summary of Significant Accounting Policies” in the Company’s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ind w:left="0" w:right="0" w:firstLine="540"/>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authoritative guidance with respect to fair value established a fair value hierarchy that prioritizes the inputs to valuation techniques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and requires that assets and liabilities carried at fair value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as presented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Observable inputs such as quoted prices in active markets for an identical asset or liability that the Company has the ability to access as of the measurement date. Financial assets and liabilities utilizing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include money market funds.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observable for the asset or liability or indirectly observable through corroboration with observable market data.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classify any of its investments within Level </w:t>
      </w:r>
      <w:r>
        <w:rPr>
          <w:rStyle w:val="Emphasis"/>
          <w:rFonts w:ascii="Times New Roman" w:hAnsi="Times New Roman"/>
          <w:caps w:val="false"/>
          <w:smallCaps w:val="false"/>
          <w:sz w:val="20"/>
        </w:rPr>
        <w:t>2</w:t>
      </w:r>
      <w:r>
        <w:rPr>
          <w:rFonts w:ascii="Times New Roman" w:hAnsi="Times New Roman"/>
          <w:caps w:val="false"/>
          <w:smallCaps w:val="false"/>
          <w:sz w:val="20"/>
        </w:rPr>
        <w:t> of the fair value hierarchy.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for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asset or liability which requires the reporting entity to develop its own assumptions.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sets forth the fair value of the Company’s financial instruments measured on a recurring basis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 (in thousands):</w:t>
      </w:r>
    </w:p>
    <w:p>
      <w:pPr>
        <w:pStyle w:val="TextBody"/>
        <w:bidi w:val="0"/>
        <w:spacing w:before="0" w:after="0"/>
        <w:ind w:left="0" w:right="0" w:hanging="0"/>
        <w:jc w:val="left"/>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1700"/>
        <w:gridCol w:w="2210"/>
        <w:gridCol w:w="60"/>
        <w:gridCol w:w="125"/>
        <w:gridCol w:w="695"/>
        <w:gridCol w:w="60"/>
        <w:gridCol w:w="60"/>
        <w:gridCol w:w="200"/>
        <w:gridCol w:w="419"/>
        <w:gridCol w:w="60"/>
        <w:gridCol w:w="60"/>
        <w:gridCol w:w="200"/>
        <w:gridCol w:w="419"/>
        <w:gridCol w:w="60"/>
        <w:gridCol w:w="60"/>
        <w:gridCol w:w="125"/>
        <w:gridCol w:w="695"/>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103,606</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firstLine="18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268" w:type="dxa"/>
        <w:jc w:val="left"/>
        <w:tblInd w:w="0" w:type="dxa"/>
        <w:tblLayout w:type="fixed"/>
        <w:tblCellMar>
          <w:top w:w="0" w:type="dxa"/>
          <w:left w:w="0" w:type="dxa"/>
          <w:bottom w:w="0" w:type="dxa"/>
          <w:right w:w="0" w:type="dxa"/>
        </w:tblCellMar>
      </w:tblPr>
      <w:tblGrid>
        <w:gridCol w:w="1700"/>
        <w:gridCol w:w="2210"/>
        <w:gridCol w:w="60"/>
        <w:gridCol w:w="125"/>
        <w:gridCol w:w="695"/>
        <w:gridCol w:w="60"/>
        <w:gridCol w:w="60"/>
        <w:gridCol w:w="200"/>
        <w:gridCol w:w="419"/>
        <w:gridCol w:w="60"/>
        <w:gridCol w:w="60"/>
        <w:gridCol w:w="200"/>
        <w:gridCol w:w="419"/>
        <w:gridCol w:w="60"/>
        <w:gridCol w:w="60"/>
        <w:gridCol w:w="125"/>
        <w:gridCol w:w="695"/>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firstLine="18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did not have any financial liabilities measured on a recurring basis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4055"/>
        <w:gridCol w:w="60"/>
        <w:gridCol w:w="135"/>
        <w:gridCol w:w="589"/>
        <w:gridCol w:w="80"/>
        <w:gridCol w:w="60"/>
        <w:gridCol w:w="212"/>
        <w:gridCol w:w="932"/>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5,128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(3,968</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1,160</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Depreciation expense was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$0.2 million and $0.3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Intangible Assets, Net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straight-line over an estimated useful life of 12 years.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793" w:type="dxa"/>
        <w:jc w:val="left"/>
        <w:tblInd w:w="0" w:type="dxa"/>
        <w:tblLayout w:type="fixed"/>
        <w:tblCellMar>
          <w:top w:w="0" w:type="dxa"/>
          <w:left w:w="0" w:type="dxa"/>
          <w:bottom w:w="0" w:type="dxa"/>
          <w:right w:w="0" w:type="dxa"/>
        </w:tblCellMar>
      </w:tblPr>
      <w:tblGrid>
        <w:gridCol w:w="2645"/>
        <w:gridCol w:w="60"/>
        <w:gridCol w:w="135"/>
        <w:gridCol w:w="589"/>
        <w:gridCol w:w="80"/>
        <w:gridCol w:w="60"/>
        <w:gridCol w:w="212"/>
        <w:gridCol w:w="932"/>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patents and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(6,765</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1,220</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schedule of the amortization of intangible assets for the remainder of </w:t>
      </w:r>
      <w:r>
        <w:rPr>
          <w:rStyle w:val="Emphasis"/>
          <w:rFonts w:ascii="Times New Roman" w:hAnsi="Times New Roman"/>
          <w:caps w:val="false"/>
          <w:smallCaps w:val="false"/>
          <w:sz w:val="20"/>
        </w:rPr>
        <w:t>2025</w:t>
      </w:r>
      <w:r>
        <w:rPr>
          <w:rFonts w:ascii="Times New Roman" w:hAnsi="Times New Roman"/>
          <w:caps w:val="false"/>
          <w:smallCaps w:val="false"/>
          <w:sz w:val="20"/>
        </w:rPr>
        <w:t> and the succeeding final year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2255"/>
        <w:gridCol w:w="60"/>
        <w:gridCol w:w="125"/>
        <w:gridCol w:w="335"/>
        <w:gridCol w:w="60"/>
      </w:tblGrid>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318" w:type="dxa"/>
        <w:jc w:val="left"/>
        <w:tblInd w:w="0" w:type="dxa"/>
        <w:tblLayout w:type="fixed"/>
        <w:tblCellMar>
          <w:top w:w="0" w:type="dxa"/>
          <w:left w:w="0" w:type="dxa"/>
          <w:bottom w:w="0" w:type="dxa"/>
          <w:right w:w="0" w:type="dxa"/>
        </w:tblCellMar>
      </w:tblPr>
      <w:tblGrid>
        <w:gridCol w:w="2210"/>
        <w:gridCol w:w="60"/>
        <w:gridCol w:w="148"/>
        <w:gridCol w:w="576"/>
        <w:gridCol w:w="60"/>
        <w:gridCol w:w="60"/>
        <w:gridCol w:w="234"/>
        <w:gridCol w:w="910"/>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4,097</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fees and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settlement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Severance</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accrued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acquired three companies (the “Acquisitions”) for aggregate consideration of $5.5 million.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Company recorded goodwill of $2.8 million in connection with the Acquisitions as the consideration paid exceeded the fair value of the net tangible assets and the intangible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Intangibles-Goodwill and Other</w:t>
      </w:r>
      <w:r>
        <w:rPr>
          <w:rFonts w:ascii="Times New Roman" w:hAnsi="Times New Roman"/>
          <w:caps w:val="false"/>
          <w:smallCaps w:val="false"/>
          <w:sz w:val="20"/>
        </w:rPr>
        <w:t xml:space="preserve"> (as amended by Accounting Standards Update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the Company reviews goodwill for impairment at least annually or whenever any events or circumstances indicate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indicators of impairment and it was determined that no impairment of goodwill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2024</w:t>
      </w:r>
      <w:r>
        <w:rPr>
          <w:rFonts w:ascii="Times New Roman" w:hAnsi="Times New Roman"/>
          <w:b/>
          <w:i/>
          <w:caps w:val="false"/>
          <w:smallCaps w:val="false"/>
          <w:sz w:val="20"/>
        </w:rPr>
        <w:t xml:space="preserve"> Rights Offering and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28, 2024, </w:t>
      </w:r>
      <w:r>
        <w:rPr>
          <w:rFonts w:ascii="Times New Roman" w:hAnsi="Times New Roman"/>
          <w:caps w:val="false"/>
          <w:smallCaps w:val="false"/>
          <w:sz w:val="20"/>
        </w:rPr>
        <w:t>the Company announced that its Board unanimously approved plans to initiate a rights offering, whereby the Company would distribute non-transferable subscription rights at </w:t>
      </w:r>
      <w:r>
        <w:rPr>
          <w:rStyle w:val="Emphasis"/>
          <w:rFonts w:ascii="Times New Roman" w:hAnsi="Times New Roman"/>
          <w:caps w:val="false"/>
          <w:smallCaps w:val="false"/>
          <w:sz w:val="20"/>
        </w:rPr>
        <w:t>no</w:t>
      </w:r>
      <w:r>
        <w:rPr>
          <w:rFonts w:ascii="Times New Roman" w:hAnsi="Times New Roman"/>
          <w:caps w:val="false"/>
          <w:smallCaps w:val="false"/>
          <w:sz w:val="20"/>
        </w:rPr>
        <w:t> charge to all holders of the Company's common stock, par value $0.001 per share (the "Common Stock"), as of the close of business on a record date to be determined. On </w:t>
      </w:r>
      <w:r>
        <w:rPr>
          <w:rStyle w:val="Emphasis"/>
          <w:rFonts w:ascii="Times New Roman" w:hAnsi="Times New Roman"/>
          <w:caps w:val="false"/>
          <w:smallCaps w:val="false"/>
          <w:sz w:val="20"/>
        </w:rPr>
        <w:t xml:space="preserve"> May 20, 2024, </w:t>
      </w:r>
      <w:r>
        <w:rPr>
          <w:rFonts w:ascii="Times New Roman" w:hAnsi="Times New Roman"/>
          <w:caps w:val="false"/>
          <w:smallCaps w:val="false"/>
          <w:sz w:val="20"/>
        </w:rPr>
        <w:t>the Company announced that the Board had set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as the record date (the "Record Date"). All holders of Common Stock as of the Record Date received non-transferable subscription rights to purchase up to an aggregate of six million units (the </w:t>
      </w:r>
      <w:r>
        <w:rPr>
          <w:rStyle w:val="Emphasis"/>
          <w:rFonts w:ascii="Times New Roman" w:hAnsi="Times New Roman"/>
          <w:caps w:val="false"/>
          <w:smallCaps w:val="false"/>
          <w:sz w:val="20"/>
        </w:rPr>
        <w:t>"2024</w:t>
      </w:r>
      <w:r>
        <w:rPr>
          <w:rFonts w:ascii="Times New Roman" w:hAnsi="Times New Roman"/>
          <w:caps w:val="false"/>
          <w:smallCaps w:val="false"/>
          <w:sz w:val="20"/>
        </w:rPr>
        <w:t> Units") with an aggregate offering value of up to $60 million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at a price per </w:t>
      </w:r>
      <w:r>
        <w:rPr>
          <w:rStyle w:val="Emphasis"/>
          <w:rFonts w:ascii="Times New Roman" w:hAnsi="Times New Roman"/>
          <w:caps w:val="false"/>
          <w:smallCaps w:val="false"/>
          <w:sz w:val="20"/>
        </w:rPr>
        <w:t>2024</w:t>
      </w:r>
      <w:r>
        <w:rPr>
          <w:rFonts w:ascii="Times New Roman" w:hAnsi="Times New Roman"/>
          <w:caps w:val="false"/>
          <w:smallCaps w:val="false"/>
          <w:sz w:val="20"/>
        </w:rPr>
        <w:t> Unit equal to the lesser of: (i) $10 (the "Initial Price") and (ii) the volume weighted average price of the Common Stock for the </w:t>
      </w:r>
      <w:r>
        <w:rPr>
          <w:rStyle w:val="Emphasis"/>
          <w:rFonts w:ascii="Times New Roman" w:hAnsi="Times New Roman"/>
          <w:caps w:val="false"/>
          <w:smallCaps w:val="false"/>
          <w:sz w:val="20"/>
        </w:rPr>
        <w:t>ten</w:t>
      </w:r>
      <w:r>
        <w:rPr>
          <w:rFonts w:ascii="Times New Roman" w:hAnsi="Times New Roman"/>
          <w:caps w:val="false"/>
          <w:smallCaps w:val="false"/>
          <w:sz w:val="20"/>
        </w:rPr>
        <w:t> trading day period through and including the expiration date,  </w:t>
      </w:r>
      <w:r>
        <w:rPr>
          <w:rStyle w:val="Emphasis"/>
          <w:rFonts w:ascii="Times New Roman" w:hAnsi="Times New Roman"/>
          <w:caps w:val="false"/>
          <w:smallCaps w:val="false"/>
          <w:sz w:val="20"/>
        </w:rPr>
        <w:t xml:space="preserve"> June 26, 2024 (</w:t>
      </w:r>
      <w:r>
        <w:rPr>
          <w:rFonts w:ascii="Times New Roman" w:hAnsi="Times New Roman"/>
          <w:caps w:val="false"/>
          <w:smallCaps w:val="false"/>
          <w:sz w:val="20"/>
        </w:rPr>
        <w:t>the "Expiration Date"), of the Rights Offering (the "Alternate Price"). Each subscription right entitled the holder to purchase 0.10864186 </w:t>
      </w:r>
      <w:r>
        <w:rPr>
          <w:rStyle w:val="Emphasis"/>
          <w:rFonts w:ascii="Times New Roman" w:hAnsi="Times New Roman"/>
          <w:caps w:val="false"/>
          <w:smallCaps w:val="false"/>
          <w:sz w:val="20"/>
        </w:rPr>
        <w:t>2024</w:t>
      </w:r>
      <w:r>
        <w:rPr>
          <w:rFonts w:ascii="Times New Roman" w:hAnsi="Times New Roman"/>
          <w:caps w:val="false"/>
          <w:smallCaps w:val="false"/>
          <w:sz w:val="20"/>
        </w:rPr>
        <w:t> Units for each share of Common Stock owned as of the Record Date. Each </w:t>
      </w:r>
      <w:r>
        <w:rPr>
          <w:rStyle w:val="Emphasis"/>
          <w:rFonts w:ascii="Times New Roman" w:hAnsi="Times New Roman"/>
          <w:caps w:val="false"/>
          <w:smallCaps w:val="false"/>
          <w:sz w:val="20"/>
        </w:rPr>
        <w:t>2024</w:t>
      </w:r>
      <w:r>
        <w:rPr>
          <w:rFonts w:ascii="Times New Roman" w:hAnsi="Times New Roman"/>
          <w:caps w:val="false"/>
          <w:smallCaps w:val="false"/>
          <w:sz w:val="20"/>
        </w:rPr>
        <w:t> Unit consisted of one share of Common Stock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The subscription rights were to expire and have </w:t>
      </w:r>
      <w:r>
        <w:rPr>
          <w:rStyle w:val="Emphasis"/>
          <w:rFonts w:ascii="Times New Roman" w:hAnsi="Times New Roman"/>
          <w:caps w:val="false"/>
          <w:smallCaps w:val="false"/>
          <w:sz w:val="20"/>
        </w:rPr>
        <w:t>no</w:t>
      </w:r>
      <w:r>
        <w:rPr>
          <w:rFonts w:ascii="Times New Roman" w:hAnsi="Times New Roman"/>
          <w:caps w:val="false"/>
          <w:smallCaps w:val="false"/>
          <w:sz w:val="20"/>
        </w:rPr>
        <w:t> value if they were </w:t>
      </w:r>
      <w:r>
        <w:rPr>
          <w:rStyle w:val="Emphasis"/>
          <w:rFonts w:ascii="Times New Roman" w:hAnsi="Times New Roman"/>
          <w:caps w:val="false"/>
          <w:smallCaps w:val="false"/>
          <w:sz w:val="20"/>
        </w:rPr>
        <w:t>not</w:t>
      </w:r>
      <w:r>
        <w:rPr>
          <w:rFonts w:ascii="Times New Roman" w:hAnsi="Times New Roman"/>
          <w:caps w:val="false"/>
          <w:smallCaps w:val="false"/>
          <w:sz w:val="20"/>
        </w:rPr>
        <w:t> exercised prior to the Expiration Date. The Company determined that the equity-classified subscription rights represent a pro-rata distribution issued to existing stockholders as of the Record Date, which is based on a purchase price of $10 per </w:t>
      </w:r>
      <w:r>
        <w:rPr>
          <w:rStyle w:val="Emphasis"/>
          <w:rFonts w:ascii="Times New Roman" w:hAnsi="Times New Roman"/>
          <w:caps w:val="false"/>
          <w:smallCaps w:val="false"/>
          <w:sz w:val="20"/>
        </w:rPr>
        <w:t>2024</w:t>
      </w:r>
      <w:r>
        <w:rPr>
          <w:rFonts w:ascii="Times New Roman" w:hAnsi="Times New Roman"/>
          <w:caps w:val="false"/>
          <w:smallCaps w:val="false"/>
          <w:sz w:val="20"/>
        </w:rPr>
        <w:t> Unit as compared to (</w:t>
      </w:r>
      <w:r>
        <w:rPr>
          <w:rStyle w:val="Emphasis"/>
          <w:rFonts w:ascii="Times New Roman" w:hAnsi="Times New Roman"/>
          <w:caps w:val="false"/>
          <w:smallCaps w:val="false"/>
          <w:sz w:val="20"/>
        </w:rPr>
        <w:t>1</w:t>
      </w:r>
      <w:r>
        <w:rPr>
          <w:rFonts w:ascii="Times New Roman" w:hAnsi="Times New Roman"/>
          <w:caps w:val="false"/>
          <w:smallCaps w:val="false"/>
          <w:sz w:val="20"/>
        </w:rPr>
        <w:t>) the price of $11.55 per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on the Record Date, plus (</w:t>
      </w:r>
      <w:r>
        <w:rPr>
          <w:rStyle w:val="Emphasis"/>
          <w:rFonts w:ascii="Times New Roman" w:hAnsi="Times New Roman"/>
          <w:caps w:val="false"/>
          <w:smallCaps w:val="false"/>
          <w:sz w:val="20"/>
        </w:rPr>
        <w:t>2</w:t>
      </w:r>
      <w:r>
        <w:rPr>
          <w:rFonts w:ascii="Times New Roman" w:hAnsi="Times New Roman"/>
          <w:caps w:val="false"/>
          <w:smallCaps w:val="false"/>
          <w:sz w:val="20"/>
        </w:rPr>
        <w:t>) the value of the warrants on the Record Date. The Company determined the fair value of the equity-classified subscription rights as of the Record Date, which involved the use of a Monte Carlo simulation model to value the underlying warrants. The Monte Carlo simulation model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3, 2024, </w:t>
      </w:r>
      <w:r>
        <w:rPr>
          <w:rFonts w:ascii="Times New Roman" w:hAnsi="Times New Roman"/>
          <w:caps w:val="false"/>
          <w:smallCaps w:val="false"/>
          <w:sz w:val="20"/>
        </w:rPr>
        <w:t>the Company announced the closing of its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resulted in the sale of six million </w:t>
      </w:r>
      <w:r>
        <w:rPr>
          <w:rStyle w:val="Emphasis"/>
          <w:rFonts w:ascii="Times New Roman" w:hAnsi="Times New Roman"/>
          <w:caps w:val="false"/>
          <w:smallCaps w:val="false"/>
          <w:sz w:val="20"/>
        </w:rPr>
        <w:t>2024</w:t>
      </w:r>
      <w:r>
        <w:rPr>
          <w:rFonts w:ascii="Times New Roman" w:hAnsi="Times New Roman"/>
          <w:caps w:val="false"/>
          <w:smallCaps w:val="false"/>
          <w:sz w:val="20"/>
        </w:rPr>
        <w:t> Units, at a price of $10.00 per </w:t>
      </w:r>
      <w:r>
        <w:rPr>
          <w:rStyle w:val="Emphasis"/>
          <w:rFonts w:ascii="Times New Roman" w:hAnsi="Times New Roman"/>
          <w:caps w:val="false"/>
          <w:smallCaps w:val="false"/>
          <w:sz w:val="20"/>
        </w:rPr>
        <w:t>2024</w:t>
      </w:r>
      <w:r>
        <w:rPr>
          <w:rFonts w:ascii="Times New Roman" w:hAnsi="Times New Roman"/>
          <w:caps w:val="false"/>
          <w:smallCaps w:val="false"/>
          <w:sz w:val="20"/>
        </w:rPr>
        <w:t> Unit. Each </w:t>
      </w:r>
      <w:r>
        <w:rPr>
          <w:rStyle w:val="Emphasis"/>
          <w:rFonts w:ascii="Times New Roman" w:hAnsi="Times New Roman"/>
          <w:caps w:val="false"/>
          <w:smallCaps w:val="false"/>
          <w:sz w:val="20"/>
        </w:rPr>
        <w:t>2024</w:t>
      </w:r>
      <w:r>
        <w:rPr>
          <w:rFonts w:ascii="Times New Roman" w:hAnsi="Times New Roman"/>
          <w:caps w:val="false"/>
          <w:smallCaps w:val="false"/>
          <w:sz w:val="20"/>
        </w:rPr>
        <w:t> Unit consisted of one share of the Company’s common stock, par value $0.001 per share,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The common stock and warrants comprising the </w:t>
      </w:r>
      <w:r>
        <w:rPr>
          <w:rStyle w:val="Emphasis"/>
          <w:rFonts w:ascii="Times New Roman" w:hAnsi="Times New Roman"/>
          <w:caps w:val="false"/>
          <w:smallCaps w:val="false"/>
          <w:sz w:val="20"/>
        </w:rPr>
        <w:t>2024</w:t>
      </w:r>
      <w:r>
        <w:rPr>
          <w:rFonts w:ascii="Times New Roman" w:hAnsi="Times New Roman"/>
          <w:caps w:val="false"/>
          <w:smallCaps w:val="false"/>
          <w:sz w:val="20"/>
        </w:rPr>
        <w:t> Units separated upon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and were issued individually. A total of 5,999,998 shares of common stock and warrants to acquire up to approximately an additional six million shares of common stock were issued in the offering. The Company received aggregate gross proceeds from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of $60 million. See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below for additional details of the warrants. Robert W. Duggan, the Company’s majority stockholder and Co-Chairman, purchased approximately 88% of the units offered through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Style w:val="Emphasis"/>
          <w:rFonts w:ascii="Times New Roman" w:hAnsi="Times New Roman"/>
          <w:b/>
          <w:i/>
          <w:caps w:val="false"/>
          <w:smallCaps w:val="false"/>
          <w:sz w:val="20"/>
        </w:rPr>
        <w:t>2024</w:t>
      </w:r>
      <w:r>
        <w:rPr>
          <w:rFonts w:ascii="Times New Roman" w:hAnsi="Times New Roman"/>
          <w:b/>
          <w:i/>
          <w:caps w:val="false"/>
          <w:smallCaps w:val="false"/>
          <w:sz w:val="20"/>
        </w:rPr>
        <w:t> Rights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connection with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the Company issued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to purchase a total of 5,999,999 shares of its common stock at an exercise price of $11.00 per whole share, which equaled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Half of the warrants issued in the rights offering were redeemable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less than </w:t>
      </w:r>
      <w:r>
        <w:rPr>
          <w:rStyle w:val="Emphasis"/>
          <w:rFonts w:ascii="Times New Roman" w:hAnsi="Times New Roman"/>
          <w:caps w:val="false"/>
          <w:smallCaps w:val="false"/>
          <w:sz w:val="20"/>
        </w:rPr>
        <w:t>thirty</w:t>
      </w:r>
      <w:r>
        <w:rPr>
          <w:rFonts w:ascii="Times New Roman" w:hAnsi="Times New Roman"/>
          <w:caps w:val="false"/>
          <w:smallCaps w:val="false"/>
          <w:sz w:val="20"/>
        </w:rPr>
        <w:t> days’ written notice, if the volume-weighted average price ("VWAP") of the Company’s common stock equaled or exceeded 150% of the exercise price for the warrants, or $16.50, for </w:t>
      </w:r>
      <w:r>
        <w:rPr>
          <w:rStyle w:val="Emphasis"/>
          <w:rFonts w:ascii="Times New Roman" w:hAnsi="Times New Roman"/>
          <w:caps w:val="false"/>
          <w:smallCaps w:val="false"/>
          <w:sz w:val="20"/>
        </w:rPr>
        <w:t>twenty</w:t>
      </w:r>
      <w:r>
        <w:rPr>
          <w:rFonts w:ascii="Times New Roman" w:hAnsi="Times New Roman"/>
          <w:caps w:val="false"/>
          <w:smallCaps w:val="false"/>
          <w:sz w:val="20"/>
        </w:rPr>
        <w:t> consecutive trading days. In </w:t>
      </w:r>
      <w:r>
        <w:rPr>
          <w:rStyle w:val="Emphasis"/>
          <w:rFonts w:ascii="Times New Roman" w:hAnsi="Times New Roman"/>
          <w:caps w:val="false"/>
          <w:smallCaps w:val="false"/>
          <w:sz w:val="20"/>
        </w:rPr>
        <w:t xml:space="preserve"> December 2024, </w:t>
      </w:r>
      <w:r>
        <w:rPr>
          <w:rFonts w:ascii="Times New Roman" w:hAnsi="Times New Roman"/>
          <w:caps w:val="false"/>
          <w:smallCaps w:val="false"/>
          <w:sz w:val="20"/>
        </w:rPr>
        <w:t>the Company delivered an irrevocable notice of redemption to redeem this </w:t>
      </w:r>
      <w:r>
        <w:rPr>
          <w:rStyle w:val="Emphasis"/>
          <w:rFonts w:ascii="Times New Roman" w:hAnsi="Times New Roman"/>
          <w:caps w:val="false"/>
          <w:smallCaps w:val="false"/>
          <w:sz w:val="20"/>
        </w:rPr>
        <w:t>first</w:t>
      </w:r>
      <w:r>
        <w:rPr>
          <w:rFonts w:ascii="Times New Roman" w:hAnsi="Times New Roman"/>
          <w:caps w:val="false"/>
          <w:smallCaps w:val="false"/>
          <w:sz w:val="20"/>
        </w:rPr>
        <w:t> tranche of common stock warrants because the VWAP of the Company's common stock over the </w:t>
      </w:r>
      <w:r>
        <w:rPr>
          <w:rStyle w:val="Emphasis"/>
          <w:rFonts w:ascii="Times New Roman" w:hAnsi="Times New Roman"/>
          <w:caps w:val="false"/>
          <w:smallCaps w:val="false"/>
          <w:sz w:val="20"/>
        </w:rPr>
        <w:t>twenty</w:t>
      </w:r>
      <w:r>
        <w:rPr>
          <w:rFonts w:ascii="Times New Roman" w:hAnsi="Times New Roman"/>
          <w:caps w:val="false"/>
          <w:smallCaps w:val="false"/>
          <w:sz w:val="20"/>
        </w:rPr>
        <w:t> consecutive trading days before the notice was $18.85. Accordingly, pursuant to the 150% redemption feature, the Company redeemed 18,221 warrants on the redemption date, </w:t>
      </w:r>
      <w:r>
        <w:rPr>
          <w:rStyle w:val="Emphasis"/>
          <w:rFonts w:ascii="Times New Roman" w:hAnsi="Times New Roman"/>
          <w:caps w:val="false"/>
          <w:smallCaps w:val="false"/>
          <w:sz w:val="20"/>
        </w:rPr>
        <w:t xml:space="preserve"> February 5,</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and none of these warrants are still outstanding.  The other half of the warrants issued in the rights offering remain redeemable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less than </w:t>
      </w:r>
      <w:r>
        <w:rPr>
          <w:rStyle w:val="Emphasis"/>
          <w:rFonts w:ascii="Times New Roman" w:hAnsi="Times New Roman"/>
          <w:caps w:val="false"/>
          <w:smallCaps w:val="false"/>
          <w:sz w:val="20"/>
        </w:rPr>
        <w:t>thirty</w:t>
      </w:r>
      <w:r>
        <w:rPr>
          <w:rFonts w:ascii="Times New Roman" w:hAnsi="Times New Roman"/>
          <w:caps w:val="false"/>
          <w:smallCaps w:val="false"/>
          <w:sz w:val="20"/>
        </w:rPr>
        <w:t> days’ written notice, but only if the VWAP of the Company’s common stock equals or exceeds 200% of the exercise price for the warrants, or $22.00, for </w:t>
      </w:r>
      <w:r>
        <w:rPr>
          <w:rStyle w:val="Emphasis"/>
          <w:rFonts w:ascii="Times New Roman" w:hAnsi="Times New Roman"/>
          <w:caps w:val="false"/>
          <w:smallCaps w:val="false"/>
          <w:sz w:val="20"/>
        </w:rPr>
        <w:t>twenty</w:t>
      </w:r>
      <w:r>
        <w:rPr>
          <w:rFonts w:ascii="Times New Roman" w:hAnsi="Times New Roman"/>
          <w:caps w:val="false"/>
          <w:smallCaps w:val="false"/>
          <w:sz w:val="20"/>
        </w:rPr>
        <w:t> consecutive trading days.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there were no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outstanding which were subject to the 150% redemption feature and there were 208,406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outstanding which were subject to the 200% redemption feature.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we have received a total of $14.0 million in gross proceeds from exercises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Rights Offering Warrants. Cumulatively,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we have received a total of $63.5 million in gross proceeds from exercises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Equity Incentive Plan and </w:t>
      </w: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w:t>
      </w:r>
      <w:r>
        <w:rPr>
          <w:rStyle w:val="Emphasis"/>
          <w:rFonts w:ascii="Times New Roman;Times;serif" w:hAnsi="Times New Roman;Times;serif"/>
          <w:caps w:val="false"/>
          <w:smallCaps w:val="false"/>
          <w:sz w:val="20"/>
        </w:rPr>
        <w:t xml:space="preserve"> may </w:t>
      </w:r>
      <w:r>
        <w:rPr>
          <w:rFonts w:ascii="Times New Roman;Times;serif" w:hAnsi="Times New Roman;Times;serif"/>
          <w:caps w:val="false"/>
          <w:smallCaps w:val="false"/>
          <w:sz w:val="20"/>
        </w:rPr>
        <w:t>determine. 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In addition, shares remaining available under the Company’s </w:t>
      </w:r>
      <w:r>
        <w:rPr>
          <w:rStyle w:val="Emphasis"/>
          <w:rFonts w:ascii="Times New Roman;Times;serif" w:hAnsi="Times New Roman;Times;serif"/>
          <w:caps w:val="false"/>
          <w:smallCaps w:val="false"/>
          <w:sz w:val="20"/>
        </w:rPr>
        <w:t>2015</w:t>
      </w:r>
      <w:r>
        <w:rPr>
          <w:rFonts w:ascii="Times New Roman;Times;serif" w:hAnsi="Times New Roman;Times;serif"/>
          <w:caps w:val="false"/>
          <w:smallCaps w:val="false"/>
          <w:sz w:val="20"/>
        </w:rPr>
        <w:t> Equity Incentive Plan, as amended (the </w:t>
      </w:r>
      <w:r>
        <w:rPr>
          <w:rStyle w:val="Emphasis"/>
          <w:rFonts w:ascii="Times New Roman;Times;serif" w:hAnsi="Times New Roman;Times;serif"/>
          <w:caps w:val="false"/>
          <w:smallCaps w:val="false"/>
          <w:sz w:val="20"/>
        </w:rPr>
        <w:t>“2015</w:t>
      </w:r>
      <w:r>
        <w:rPr>
          <w:rFonts w:ascii="Times New Roman;Times;serif" w:hAnsi="Times New Roman;Times;serif"/>
          <w:caps w:val="false"/>
          <w:smallCaps w:val="false"/>
          <w:sz w:val="20"/>
        </w:rPr>
        <w:t> Plan”), and shares reserved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is administered by the Board’s Compensation Committee. Effective at both </w:t>
      </w:r>
      <w:r>
        <w:rPr>
          <w:rStyle w:val="Emphasis"/>
          <w:rFonts w:ascii="Times New Roman;Times;serif" w:hAnsi="Times New Roman;Times;serif"/>
          <w:caps w:val="false"/>
          <w:smallCaps w:val="false"/>
          <w:sz w:val="20"/>
        </w:rPr>
        <w:t>January 1, 2025 </w:t>
      </w:r>
      <w:r>
        <w:rPr>
          <w:rFonts w:ascii="Times New Roman;Times;serif" w:hAnsi="Times New Roman;Times;serif"/>
          <w:caps w:val="false"/>
          <w:smallCaps w:val="false"/>
          <w:sz w:val="20"/>
        </w:rPr>
        <w:t>and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the number of shares of common stock available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increased by 1,200,000, respectively, pursuant to the evergreen provision of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Under the evergreen provision of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the share increase is determined based on the least of (i) 1,200,000 shares, (ii) 4% of the Company’s common stock outstanding at </w:t>
      </w:r>
      <w:r>
        <w:rPr>
          <w:rStyle w:val="Emphasis"/>
          <w:rFonts w:ascii="Times New Roman;Times;serif" w:hAnsi="Times New Roman;Times;serif"/>
          <w:caps w:val="false"/>
          <w:smallCaps w:val="false"/>
          <w:sz w:val="20"/>
        </w:rPr>
        <w:t xml:space="preserve"> December 31 </w:t>
      </w:r>
      <w:r>
        <w:rPr>
          <w:rFonts w:ascii="Times New Roman;Times;serif" w:hAnsi="Times New Roman;Times;serif"/>
          <w:caps w:val="false"/>
          <w:smallCaps w:val="false"/>
          <w:sz w:val="20"/>
        </w:rPr>
        <w:t>of the immediately preceding year, or (iii) such number of shares as determined by the Board. Additionally, the number of shares of common stock available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increased by 1,375,000 shares as a result of a stockholder vote held at a special meeting of stockholders in </w:t>
      </w:r>
      <w:r>
        <w:rPr>
          <w:rStyle w:val="Emphasis"/>
          <w:rFonts w:ascii="Times New Roman;Times;serif" w:hAnsi="Times New Roman;Times;serif"/>
          <w:caps w:val="false"/>
          <w:smallCaps w:val="false"/>
          <w:sz w:val="20"/>
        </w:rPr>
        <w:t xml:space="preserve">December 2023. </w:t>
      </w: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June 30, 2025</w:t>
      </w:r>
      <w:r>
        <w:rPr>
          <w:rFonts w:ascii="Times New Roman;Times;serif" w:hAnsi="Times New Roman;Times;serif"/>
          <w:caps w:val="false"/>
          <w:smallCaps w:val="false"/>
          <w:sz w:val="20"/>
        </w:rPr>
        <w:t xml:space="preserve">, a total of zero shares of common stock remained available for issuance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The Company plans to increase the shares available in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via a stockholder vote at the Company's next annual stockholder's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and reserved 1,000,000 shares of the Company’s common stock for issuance pursuant to equity awards granted under the Inducement Plan. The Inducement Plan was adopted without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The Inducement Plan has a 10-year term and provides for the grant of equity-based awards, including non-statutory stock options, RSUs, restricted stock, stock appreciation rights, performance shares, and performance units, and its terms are substantially similar to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including with respect to treatment of equity awards in the event of a “merger” or “change in control” as defined under the Inducement Plan. Options issued under the Inducement Plan </w:t>
      </w:r>
      <w:r>
        <w:rPr>
          <w:rStyle w:val="Emphasis"/>
          <w:rFonts w:ascii="Times New Roman;Times;serif" w:hAnsi="Times New Roman;Times;serif"/>
          <w:caps w:val="false"/>
          <w:smallCaps w:val="false"/>
          <w:sz w:val="20"/>
        </w:rPr>
        <w:t xml:space="preserve"> may </w:t>
      </w:r>
      <w:r>
        <w:rPr>
          <w:rFonts w:ascii="Times New Roman;Times;serif" w:hAnsi="Times New Roman;Times;serif"/>
          <w:caps w:val="false"/>
          <w:smallCaps w:val="false"/>
          <w:sz w:val="20"/>
        </w:rPr>
        <w:t>have a term up to ten years and have variable vesting provisions. New hire grants to non-executive employees generally vest 25% per year starting upon the first anniversary of the grant. New hire grants to executive employees generally consist of both time-vesting and performance-vesting options. Equity-based awards issued under the Inducement Plan are only issuable to individuals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previously engaged as employees or individuals returning to employment with the Company following a bona-fide period of non-employment. In </w:t>
      </w:r>
      <w:r>
        <w:rPr>
          <w:rStyle w:val="Emphasis"/>
          <w:rFonts w:ascii="Times New Roman;Times;serif" w:hAnsi="Times New Roman;Times;serif"/>
          <w:caps w:val="false"/>
          <w:smallCaps w:val="false"/>
          <w:sz w:val="20"/>
        </w:rPr>
        <w:t xml:space="preserve"> May 2021, </w:t>
      </w:r>
      <w:r>
        <w:rPr>
          <w:rFonts w:ascii="Times New Roman;Times;serif" w:hAnsi="Times New Roman;Times;serif"/>
          <w:caps w:val="false"/>
          <w:smallCaps w:val="false"/>
          <w:sz w:val="20"/>
        </w:rPr>
        <w:t>the Board approved an amendment to the Inducement Plan to reserve an additional </w:t>
      </w:r>
      <w:r>
        <w:rPr>
          <w:rStyle w:val="Emphasis"/>
          <w:rFonts w:ascii="Times New Roman;Times;serif" w:hAnsi="Times New Roman;Times;serif"/>
          <w:caps w:val="false"/>
          <w:smallCaps w:val="false"/>
          <w:sz w:val="20"/>
        </w:rPr>
        <w:t>1,000,000</w:t>
      </w:r>
      <w:r>
        <w:rPr>
          <w:rFonts w:ascii="Times New Roman;Times;serif" w:hAnsi="Times New Roman;Times;serif"/>
          <w:caps w:val="false"/>
          <w:smallCaps w:val="false"/>
          <w:sz w:val="20"/>
        </w:rPr>
        <w:t> shares of the Company’s common stock for issuance pursuant to the Inducement Plan. And, in </w:t>
      </w:r>
      <w:r>
        <w:rPr>
          <w:rStyle w:val="Emphasis"/>
          <w:rFonts w:ascii="Times New Roman;Times;serif" w:hAnsi="Times New Roman;Times;serif"/>
          <w:caps w:val="false"/>
          <w:smallCaps w:val="false"/>
          <w:sz w:val="20"/>
        </w:rPr>
        <w:t xml:space="preserve"> March 2024, </w:t>
      </w:r>
      <w:r>
        <w:rPr>
          <w:rFonts w:ascii="Times New Roman;Times;serif" w:hAnsi="Times New Roman;Times;serif"/>
          <w:caps w:val="false"/>
          <w:smallCaps w:val="false"/>
          <w:sz w:val="20"/>
        </w:rPr>
        <w:t>the Board approved a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amendment to the Inducement Plan to reserve an additional 2,000,000 shares of the Company’s common stock for issuance pursuant to the Inducement Plan. As of </w:t>
      </w:r>
      <w:r>
        <w:rPr>
          <w:rStyle w:val="Emphasis"/>
          <w:rFonts w:ascii="Times New Roman;Times;serif" w:hAnsi="Times New Roman;Times;serif"/>
          <w:caps w:val="false"/>
          <w:smallCaps w:val="false"/>
          <w:sz w:val="20"/>
        </w:rPr>
        <w:t>June 30, 2025</w:t>
      </w:r>
      <w:r>
        <w:rPr>
          <w:rFonts w:ascii="Times New Roman;Times;serif" w:hAnsi="Times New Roman;Times;serif"/>
          <w:caps w:val="false"/>
          <w:smallCaps w:val="false"/>
          <w:sz w:val="20"/>
        </w:rPr>
        <w:t>, 2,355,726 shares of common stock remained available for issuance under the Inducement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A summary of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7"/>
        <w:gridCol w:w="60"/>
        <w:gridCol w:w="84"/>
        <w:gridCol w:w="1340"/>
        <w:gridCol w:w="80"/>
        <w:gridCol w:w="60"/>
        <w:gridCol w:w="524"/>
        <w:gridCol w:w="2036"/>
        <w:gridCol w:w="60"/>
        <w:gridCol w:w="60"/>
        <w:gridCol w:w="454"/>
        <w:gridCol w:w="2887"/>
        <w:gridCol w:w="63"/>
      </w:tblGrid>
      <w:tr>
        <w:trPr/>
        <w:tc>
          <w:tcPr>
            <w:tcW w:w="24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10,979,332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p>
        </w:tc>
        <w:tc>
          <w:tcPr>
            <w:tcW w:w="63" w:type="dxa"/>
            <w:tcBorders/>
            <w:shd w:fill="CCEE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ind w:left="0" w:right="0" w:hanging="0"/>
              <w:jc w:val="left"/>
              <w:rPr/>
            </w:pPr>
            <w:r>
              <w:rPr/>
              <w:t> </w:t>
            </w:r>
          </w:p>
        </w:tc>
        <w:tc>
          <w:tcPr>
            <w:tcW w:w="2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7"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ind w:left="0" w:right="0" w:hanging="0"/>
              <w:jc w:val="left"/>
              <w:rPr/>
            </w:pPr>
            <w:r>
              <w:rPr/>
              <w:t> </w:t>
            </w:r>
          </w:p>
        </w:tc>
        <w:tc>
          <w:tcPr>
            <w:tcW w:w="2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7"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ind w:left="0" w:right="0" w:hanging="0"/>
              <w:jc w:val="left"/>
              <w:rPr/>
            </w:pPr>
            <w:r>
              <w:rPr/>
              <w:t> </w:t>
            </w:r>
          </w:p>
        </w:tc>
        <w:tc>
          <w:tcPr>
            <w:tcW w:w="2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7"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8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2025</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13,511,482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2025</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4,988,292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Time-based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time-based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92"/>
        <w:gridCol w:w="1325"/>
        <w:gridCol w:w="80"/>
        <w:gridCol w:w="60"/>
        <w:gridCol w:w="525"/>
        <w:gridCol w:w="2037"/>
        <w:gridCol w:w="60"/>
        <w:gridCol w:w="60"/>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8,075,265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8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2025</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9,174,915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2025</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4,550,614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time-based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was $18.2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performance conditions related to certain financial measures and achievements of strategic and operational milestones. Once a specific performance condition is fulfilled, the associated options will fully vest and become exercisable.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performance-based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110"/>
        <w:gridCol w:w="1295"/>
        <w:gridCol w:w="68"/>
        <w:gridCol w:w="68"/>
        <w:gridCol w:w="632"/>
        <w:gridCol w:w="1930"/>
        <w:gridCol w:w="68"/>
        <w:gridCol w:w="68"/>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442,678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ind w:left="0" w:right="0" w:hanging="0"/>
              <w:jc w:val="left"/>
              <w:rPr/>
            </w:pPr>
            <w:r>
              <w:rPr/>
              <w:t> </w:t>
            </w:r>
          </w:p>
        </w:tc>
        <w:tc>
          <w:tcPr>
            <w:tcW w:w="1930"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ind w:left="0" w:right="0" w:hanging="0"/>
              <w:jc w:val="left"/>
              <w:rPr/>
            </w:pPr>
            <w:r>
              <w:rPr/>
              <w:t> </w:t>
            </w:r>
          </w:p>
        </w:tc>
        <w:tc>
          <w:tcPr>
            <w:tcW w:w="1930"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ind w:left="0" w:right="0" w:hanging="0"/>
              <w:jc w:val="left"/>
              <w:rPr/>
            </w:pPr>
            <w:r>
              <w:rPr/>
              <w:t> </w:t>
            </w:r>
          </w:p>
        </w:tc>
        <w:tc>
          <w:tcPr>
            <w:tcW w:w="1930"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8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2025</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442,678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437,678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were no performance-based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and therefore no associated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time-based and performance-based stock options on the grant date using the Black-Scholes option pricing model. The estimated fair value of the time-based employee stock options is amortized on a straight-line basis over the requisite service period of the awards. The estimated fair value of the performance-based employee stock options is amortized using a graded vesting attribution method over the requisite service period of each respective vesting tranche that is probable of vesting. The Company reviews, and when deemed appropriate, updates the assumptions used on a periodic basis. The fair value of time-based and performance-based stock options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865"/>
        <w:gridCol w:w="60"/>
        <w:gridCol w:w="69"/>
        <w:gridCol w:w="1168"/>
        <w:gridCol w:w="69"/>
        <w:gridCol w:w="69"/>
        <w:gridCol w:w="69"/>
        <w:gridCol w:w="1064"/>
        <w:gridCol w:w="60"/>
        <w:gridCol w:w="60"/>
        <w:gridCol w:w="60"/>
        <w:gridCol w:w="1036"/>
        <w:gridCol w:w="60"/>
        <w:gridCol w:w="60"/>
        <w:gridCol w:w="60"/>
        <w:gridCol w:w="1021"/>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5.3 - 6.3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5.0 - 6.9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5.3 - 6.3</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91% - 95%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93% - 100%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91% - 95%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 - 4.3%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 - 4.6%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 - 4.5%</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center"/>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Market-based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market conditions related to achievement of certain market capitalization targets. The options will vest and become exercisable once the specific market capitalization targets are fulfilled.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market-based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3"/>
        <w:gridCol w:w="60"/>
        <w:gridCol w:w="93"/>
        <w:gridCol w:w="1325"/>
        <w:gridCol w:w="60"/>
        <w:gridCol w:w="60"/>
        <w:gridCol w:w="526"/>
        <w:gridCol w:w="2041"/>
        <w:gridCol w:w="60"/>
        <w:gridCol w:w="60"/>
        <w:gridCol w:w="455"/>
        <w:gridCol w:w="2895"/>
        <w:gridCol w:w="67"/>
      </w:tblGrid>
      <w:tr>
        <w:trPr/>
        <w:tc>
          <w:tcPr>
            <w:tcW w:w="2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2,461,389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0"/>
              <w:jc w:val="left"/>
              <w:rPr/>
            </w:pPr>
            <w:r>
              <w:rPr/>
              <w:t> </w:t>
            </w:r>
          </w:p>
        </w:tc>
        <w:tc>
          <w:tcPr>
            <w:tcW w:w="2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ind w:left="0" w:right="0" w:hanging="0"/>
              <w:jc w:val="left"/>
              <w:rPr/>
            </w:pPr>
            <w:r>
              <w:rPr/>
              <w:t> </w:t>
            </w:r>
          </w:p>
        </w:tc>
        <w:tc>
          <w:tcPr>
            <w:tcW w:w="2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2895" w:type="dxa"/>
            <w:tcBorders/>
            <w:shd w:fill="FFFFFF" w:val="clear"/>
            <w:vAlign w:val="center"/>
          </w:tcPr>
          <w:p>
            <w:pPr>
              <w:pStyle w:val="TableContents"/>
              <w:bidi w:val="0"/>
              <w:spacing w:before="0" w:after="283"/>
              <w:jc w:val="righ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ind w:left="0" w:right="0" w:hanging="0"/>
              <w:jc w:val="left"/>
              <w:rPr/>
            </w:pPr>
            <w:r>
              <w:rPr/>
              <w:t> </w:t>
            </w:r>
          </w:p>
        </w:tc>
        <w:tc>
          <w:tcPr>
            <w:tcW w:w="20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2895" w:type="dxa"/>
            <w:tcBorders/>
            <w:shd w:fill="CCEEFF" w:val="clear"/>
            <w:vAlign w:val="center"/>
          </w:tcPr>
          <w:p>
            <w:pPr>
              <w:pStyle w:val="TableContents"/>
              <w:bidi w:val="0"/>
              <w:spacing w:before="0" w:after="283"/>
              <w:jc w:val="lef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ind w:left="0" w:right="0" w:hanging="0"/>
              <w:jc w:val="left"/>
              <w:rPr/>
            </w:pPr>
            <w:r>
              <w:rPr/>
              <w:t> </w:t>
            </w:r>
          </w:p>
        </w:tc>
        <w:tc>
          <w:tcPr>
            <w:tcW w:w="20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2895" w:type="dxa"/>
            <w:tcBorders/>
            <w:shd w:fill="FFFFFF" w:val="clear"/>
            <w:vAlign w:val="center"/>
          </w:tcPr>
          <w:p>
            <w:pPr>
              <w:pStyle w:val="TableContents"/>
              <w:bidi w:val="0"/>
              <w:spacing w:before="0" w:after="283"/>
              <w:jc w:val="lef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5"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2025</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2,693,889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2025</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market-based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was $3.7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941" w:type="dxa"/>
        <w:jc w:val="left"/>
        <w:tblInd w:w="0" w:type="dxa"/>
        <w:tblLayout w:type="fixed"/>
        <w:tblCellMar>
          <w:top w:w="0" w:type="dxa"/>
          <w:left w:w="0" w:type="dxa"/>
          <w:bottom w:w="0" w:type="dxa"/>
          <w:right w:w="0" w:type="dxa"/>
        </w:tblCellMar>
      </w:tblPr>
      <w:tblGrid>
        <w:gridCol w:w="1865"/>
        <w:gridCol w:w="60"/>
        <w:gridCol w:w="129"/>
        <w:gridCol w:w="559"/>
        <w:gridCol w:w="129"/>
        <w:gridCol w:w="129"/>
        <w:gridCol w:w="129"/>
        <w:gridCol w:w="1463"/>
        <w:gridCol w:w="60"/>
        <w:gridCol w:w="60"/>
        <w:gridCol w:w="61"/>
        <w:gridCol w:w="1027"/>
        <w:gridCol w:w="61"/>
        <w:gridCol w:w="61"/>
        <w:gridCol w:w="61"/>
        <w:gridCol w:w="1027"/>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ind w:left="0" w:right="0" w:hanging="0"/>
              <w:jc w:val="left"/>
              <w:rPr/>
            </w:pPr>
            <w:r>
              <w:rPr/>
              <w:t> </w:t>
            </w:r>
          </w:p>
        </w:tc>
        <w:tc>
          <w:tcPr>
            <w:tcW w:w="15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center"/>
              <w:rPr/>
            </w:pPr>
            <w:r>
              <w:rPr>
                <w:rStyle w:val="Emphasis"/>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46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3.7 - 5.8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5.5 - 7.0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3.7 - 5.8</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center"/>
              <w:rPr/>
            </w:pPr>
            <w:r>
              <w:rPr>
                <w:rStyle w:val="Emphasis"/>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46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center"/>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46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 - 4.6%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 - 4.4%</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center"/>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463"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Market and Performance-based Options</w:t>
      </w:r>
    </w:p>
    <w:p>
      <w:pPr>
        <w:pStyle w:val="TextBody"/>
        <w:bidi w:val="0"/>
        <w:spacing w:before="0" w:after="0"/>
        <w:ind w:left="0" w:right="0" w:firstLine="54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Certain stock options awarded by the Company contain market conditions related to the achievement of certain market capitalization targets as well as the achievement of certain revenue and margin metrics. The options will vest and become exercisable once both the specific market capitalization targets as well as the specific revenue and margin targets are fulfilled. </w:t>
      </w:r>
    </w:p>
    <w:p>
      <w:pPr>
        <w:pStyle w:val="TextBody"/>
        <w:bidi w:val="0"/>
        <w:spacing w:before="0" w:after="0"/>
        <w:ind w:left="0" w:right="0" w:firstLine="54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A summary of the market and performance-based option activity under the </w:t>
      </w:r>
      <w:r>
        <w:rPr>
          <w:rStyle w:val="Emphasis"/>
          <w:rFonts w:ascii="Times New Roman;Times;serif" w:hAnsi="Times New Roman;Times;serif"/>
          <w:sz w:val="20"/>
        </w:rPr>
        <w:t>2017</w:t>
      </w:r>
      <w:r>
        <w:rPr>
          <w:rFonts w:ascii="Times New Roman;Times;serif" w:hAnsi="Times New Roman;Times;serif"/>
          <w:sz w:val="20"/>
        </w:rPr>
        <w:t xml:space="preserve"> Plan for the </w:t>
      </w:r>
      <w:r>
        <w:rPr>
          <w:rStyle w:val="Emphasis"/>
          <w:rFonts w:ascii="Times New Roman;Times;serif" w:hAnsi="Times New Roman;Times;serif"/>
          <w:sz w:val="20"/>
        </w:rPr>
        <w:t>six</w:t>
      </w:r>
      <w:r>
        <w:rPr>
          <w:rFonts w:ascii="Times New Roman;Times;serif" w:hAnsi="Times New Roman;Times;serif"/>
          <w:sz w:val="20"/>
        </w:rPr>
        <w:t>-months ended </w:t>
      </w:r>
      <w:r>
        <w:rPr>
          <w:rStyle w:val="Emphasis"/>
          <w:rFonts w:ascii="Times New Roman;Times;serif" w:hAnsi="Times New Roman;Times;serif"/>
          <w:sz w:val="20"/>
        </w:rPr>
        <w:t xml:space="preserve"> June 30, 2025</w:t>
      </w:r>
      <w:r>
        <w:rPr>
          <w:rFonts w:ascii="Times New Roman;Times;serif" w:hAnsi="Times New Roman;Times;serif"/>
          <w:sz w:val="20"/>
        </w:rPr>
        <w:t xml:space="preserve"> is presented below:</w:t>
      </w:r>
    </w:p>
    <w:p>
      <w:pPr>
        <w:pStyle w:val="TextBody"/>
        <w:bidi w:val="0"/>
        <w:spacing w:before="0" w:after="0"/>
        <w:ind w:left="0" w:right="0" w:firstLine="540"/>
        <w:jc w:val="left"/>
        <w:rPr/>
      </w:pPr>
      <w:r>
        <w:rPr/>
        <w:t> </w:t>
      </w:r>
    </w:p>
    <w:tbl>
      <w:tblPr>
        <w:tblW w:w="10205" w:type="dxa"/>
        <w:jc w:val="left"/>
        <w:tblInd w:w="0" w:type="dxa"/>
        <w:tblLayout w:type="fixed"/>
        <w:tblCellMar>
          <w:top w:w="0" w:type="dxa"/>
          <w:left w:w="0" w:type="dxa"/>
          <w:bottom w:w="0" w:type="dxa"/>
          <w:right w:w="0" w:type="dxa"/>
        </w:tblCellMar>
      </w:tblPr>
      <w:tblGrid>
        <w:gridCol w:w="2503"/>
        <w:gridCol w:w="60"/>
        <w:gridCol w:w="93"/>
        <w:gridCol w:w="1325"/>
        <w:gridCol w:w="60"/>
        <w:gridCol w:w="60"/>
        <w:gridCol w:w="526"/>
        <w:gridCol w:w="2041"/>
        <w:gridCol w:w="60"/>
        <w:gridCol w:w="60"/>
        <w:gridCol w:w="455"/>
        <w:gridCol w:w="2895"/>
        <w:gridCol w:w="67"/>
      </w:tblGrid>
      <w:tr>
        <w:trPr/>
        <w:tc>
          <w:tcPr>
            <w:tcW w:w="2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 Options Outstanding</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life (in years)</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0"/>
              <w:jc w:val="left"/>
              <w:rPr/>
            </w:pPr>
            <w:r>
              <w:rPr/>
              <w:t> </w:t>
            </w:r>
          </w:p>
        </w:tc>
        <w:tc>
          <w:tcPr>
            <w:tcW w:w="2895" w:type="dxa"/>
            <w:tcBorders/>
            <w:shd w:fill="CCEEFF" w:val="clear"/>
            <w:vAlign w:val="center"/>
          </w:tcPr>
          <w:p>
            <w:pPr>
              <w:pStyle w:val="TableContents"/>
              <w:bidi w:val="0"/>
              <w:spacing w:before="0" w:after="283"/>
              <w:ind w:left="0" w:right="0" w:hanging="0"/>
              <w:jc w:val="right"/>
              <w:rPr/>
            </w:pPr>
            <w:r>
              <w:rPr>
                <w:rStyle w:val="Emphasis"/>
              </w:rPr>
              <w:t>—</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ind w:left="0" w:right="0" w:hanging="0"/>
              <w:jc w:val="left"/>
              <w:rPr/>
            </w:pPr>
            <w:r>
              <w:rPr/>
              <w:t> </w:t>
            </w:r>
          </w:p>
        </w:tc>
        <w:tc>
          <w:tcPr>
            <w:tcW w:w="2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2895" w:type="dxa"/>
            <w:tcBorders/>
            <w:shd w:fill="FFFFFF" w:val="clear"/>
            <w:vAlign w:val="center"/>
          </w:tcPr>
          <w:p>
            <w:pPr>
              <w:pStyle w:val="TableContents"/>
              <w:bidi w:val="0"/>
              <w:spacing w:before="0" w:after="283"/>
              <w:jc w:val="righ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ind w:left="0" w:right="0" w:hanging="0"/>
              <w:jc w:val="left"/>
              <w:rPr/>
            </w:pPr>
            <w:r>
              <w:rPr/>
              <w:t> </w:t>
            </w:r>
          </w:p>
        </w:tc>
        <w:tc>
          <w:tcPr>
            <w:tcW w:w="20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2895" w:type="dxa"/>
            <w:tcBorders/>
            <w:shd w:fill="CCEEFF" w:val="clear"/>
            <w:vAlign w:val="center"/>
          </w:tcPr>
          <w:p>
            <w:pPr>
              <w:pStyle w:val="TableContents"/>
              <w:bidi w:val="0"/>
              <w:spacing w:before="0" w:after="283"/>
              <w:jc w:val="lef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ind w:left="0" w:right="0" w:hanging="0"/>
              <w:jc w:val="left"/>
              <w:rPr/>
            </w:pPr>
            <w:r>
              <w:rPr/>
              <w:t> </w:t>
            </w:r>
          </w:p>
        </w:tc>
        <w:tc>
          <w:tcPr>
            <w:tcW w:w="20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2895" w:type="dxa"/>
            <w:tcBorders/>
            <w:shd w:fill="FFFFFF" w:val="clear"/>
            <w:vAlign w:val="center"/>
          </w:tcPr>
          <w:p>
            <w:pPr>
              <w:pStyle w:val="TableContents"/>
              <w:bidi w:val="0"/>
              <w:spacing w:before="0" w:after="283"/>
              <w:jc w:val="lef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5"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 June 30, 2025</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 June 30, 2025</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The fair value of the market and performance-based options granted during the </w:t>
      </w:r>
      <w:r>
        <w:rPr>
          <w:rStyle w:val="Emphasis"/>
          <w:rFonts w:ascii="Times New Roman;Times;serif" w:hAnsi="Times New Roman;Times;serif"/>
          <w:sz w:val="20"/>
        </w:rPr>
        <w:t>six</w:t>
      </w:r>
      <w:r>
        <w:rPr>
          <w:rFonts w:ascii="Times New Roman;Times;serif" w:hAnsi="Times New Roman;Times;serif"/>
          <w:sz w:val="20"/>
        </w:rPr>
        <w:t>-month period ended </w:t>
      </w:r>
      <w:r>
        <w:rPr>
          <w:rStyle w:val="Emphasis"/>
          <w:rFonts w:ascii="Times New Roman;Times;serif" w:hAnsi="Times New Roman;Times;serif"/>
          <w:sz w:val="20"/>
        </w:rPr>
        <w:t xml:space="preserve"> June 30, 2025</w:t>
      </w:r>
      <w:r>
        <w:rPr>
          <w:rFonts w:ascii="Times New Roman;Times;serif" w:hAnsi="Times New Roman;Times;serif"/>
          <w:sz w:val="20"/>
        </w:rPr>
        <w:t xml:space="preserve"> was $18.9 million.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being achieved or the employee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determined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that any of the performance conditions in these grants will be achieved and therefore did not book any associated stock-based compensation expense. The Company will reassess the probability of these performance conditions at each reporting period. The fair value of market-based stock options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939" w:type="dxa"/>
        <w:jc w:val="left"/>
        <w:tblInd w:w="0" w:type="dxa"/>
        <w:tblLayout w:type="fixed"/>
        <w:tblCellMar>
          <w:top w:w="0" w:type="dxa"/>
          <w:left w:w="0" w:type="dxa"/>
          <w:bottom w:w="0" w:type="dxa"/>
          <w:right w:w="0" w:type="dxa"/>
        </w:tblCellMar>
      </w:tblPr>
      <w:tblGrid>
        <w:gridCol w:w="1865"/>
        <w:gridCol w:w="60"/>
        <w:gridCol w:w="200"/>
        <w:gridCol w:w="868"/>
        <w:gridCol w:w="200"/>
        <w:gridCol w:w="200"/>
        <w:gridCol w:w="200"/>
        <w:gridCol w:w="868"/>
        <w:gridCol w:w="60"/>
        <w:gridCol w:w="60"/>
        <w:gridCol w:w="91"/>
        <w:gridCol w:w="1538"/>
        <w:gridCol w:w="91"/>
        <w:gridCol w:w="91"/>
        <w:gridCol w:w="91"/>
        <w:gridCol w:w="396"/>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ind w:left="0" w:right="0" w:hanging="0"/>
              <w:jc w:val="left"/>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4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center"/>
              <w:rPr/>
            </w:pPr>
            <w:r>
              <w:rPr>
                <w:rStyle w:val="Emphasis"/>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53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6.1 - 8.9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center"/>
              <w:rPr/>
            </w:pPr>
            <w:r>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53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center"/>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53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 - 4.6%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center"/>
              <w:rPr/>
            </w:pPr>
            <w:r>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538" w:type="dxa"/>
            <w:tcBorders/>
            <w:shd w:fill="FFFFFF" w:val="clear"/>
            <w:vAlign w:val="center"/>
          </w:tcPr>
          <w:p>
            <w:pPr>
              <w:pStyle w:val="TableContents"/>
              <w:bidi w:val="0"/>
              <w:spacing w:before="0" w:after="283"/>
              <w:ind w:left="0" w:right="0" w:hanging="0"/>
              <w:jc w:val="center"/>
              <w:rPr/>
            </w:pPr>
            <w:r>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immediately preceding year, or (iii) such number of shares as determined by the Board.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reserved an additional 450,000 shares, respectively,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evergreen provision.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issued 25,844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869,935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tbl>
      <w:tblPr>
        <w:tblW w:w="6909" w:type="dxa"/>
        <w:jc w:val="left"/>
        <w:tblInd w:w="0" w:type="dxa"/>
        <w:tblLayout w:type="fixed"/>
        <w:tblCellMar>
          <w:top w:w="0" w:type="dxa"/>
          <w:left w:w="0" w:type="dxa"/>
          <w:bottom w:w="0" w:type="dxa"/>
          <w:right w:w="0" w:type="dxa"/>
        </w:tblCellMar>
      </w:tblPr>
      <w:tblGrid>
        <w:gridCol w:w="1865"/>
        <w:gridCol w:w="60"/>
        <w:gridCol w:w="66"/>
        <w:gridCol w:w="1121"/>
        <w:gridCol w:w="66"/>
        <w:gridCol w:w="66"/>
        <w:gridCol w:w="66"/>
        <w:gridCol w:w="1121"/>
        <w:gridCol w:w="60"/>
        <w:gridCol w:w="60"/>
        <w:gridCol w:w="61"/>
        <w:gridCol w:w="1027"/>
        <w:gridCol w:w="61"/>
        <w:gridCol w:w="61"/>
        <w:gridCol w:w="61"/>
        <w:gridCol w:w="1027"/>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 - 4.3%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 - 5.3%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 - 4.3%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 - 5.3%</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center"/>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consisted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3350"/>
        <w:gridCol w:w="60"/>
        <w:gridCol w:w="234"/>
        <w:gridCol w:w="908"/>
        <w:gridCol w:w="112"/>
        <w:gridCol w:w="112"/>
        <w:gridCol w:w="234"/>
        <w:gridCol w:w="908"/>
        <w:gridCol w:w="60"/>
        <w:gridCol w:w="60"/>
        <w:gridCol w:w="198"/>
        <w:gridCol w:w="939"/>
        <w:gridCol w:w="95"/>
        <w:gridCol w:w="95"/>
        <w:gridCol w:w="198"/>
        <w:gridCol w:w="771"/>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performance conditions of the performance-based and market and performance-based options are probable to be achieved, and as such, no expense has been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award type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3350"/>
        <w:gridCol w:w="60"/>
        <w:gridCol w:w="234"/>
        <w:gridCol w:w="908"/>
        <w:gridCol w:w="112"/>
        <w:gridCol w:w="112"/>
        <w:gridCol w:w="234"/>
        <w:gridCol w:w="908"/>
        <w:gridCol w:w="60"/>
        <w:gridCol w:w="60"/>
        <w:gridCol w:w="198"/>
        <w:gridCol w:w="939"/>
        <w:gridCol w:w="95"/>
        <w:gridCol w:w="95"/>
        <w:gridCol w:w="198"/>
        <w:gridCol w:w="771"/>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Time-based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7,686</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2,478</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Performance-based options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Market-based options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ESPP</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Commitments and Contingencies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Hayward Lease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January 2017, </w:t>
      </w:r>
      <w:r>
        <w:rPr>
          <w:rFonts w:ascii="Times New Roman" w:hAnsi="Times New Roman"/>
          <w:caps w:val="false"/>
          <w:smallCaps w:val="false"/>
          <w:sz w:val="20"/>
        </w:rPr>
        <w:t>the Company entered into a five-year lease (the "Existing Lease") for approximately 15,700 square feet for its principal operating facility located in Hayward, California. The lease commenced during </w:t>
      </w:r>
      <w:r>
        <w:rPr>
          <w:rStyle w:val="Emphasis"/>
          <w:rFonts w:ascii="Times New Roman" w:hAnsi="Times New Roman"/>
          <w:caps w:val="false"/>
          <w:smallCaps w:val="false"/>
          <w:sz w:val="20"/>
        </w:rPr>
        <w:t xml:space="preserve"> July 2017.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2019, </w:t>
      </w:r>
      <w:r>
        <w:rPr>
          <w:rFonts w:ascii="Times New Roman" w:hAnsi="Times New Roman"/>
          <w:caps w:val="false"/>
          <w:smallCaps w:val="false"/>
          <w:sz w:val="20"/>
        </w:rPr>
        <w:t>the Company entered into Lease Amendment </w:t>
      </w:r>
      <w:r>
        <w:rPr>
          <w:rStyle w:val="Emphasis"/>
          <w:rFonts w:ascii="Times New Roman" w:hAnsi="Times New Roman"/>
          <w:caps w:val="false"/>
          <w:smallCaps w:val="false"/>
          <w:sz w:val="20"/>
        </w:rPr>
        <w:t>1</w:t>
      </w:r>
      <w:r>
        <w:rPr>
          <w:rFonts w:ascii="Times New Roman" w:hAnsi="Times New Roman"/>
          <w:caps w:val="false"/>
          <w:smallCaps w:val="false"/>
          <w:sz w:val="20"/>
        </w:rPr>
        <w:t> (the "Lease Amendment") in relation to the Existing Lease and added the lease of new premises of approximately 13,300 square feet and 21,300 square feet,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respectively). Additionally, the term of the Existing Lease was extended to </w:t>
      </w:r>
      <w:r>
        <w:rPr>
          <w:rStyle w:val="Emphasis"/>
          <w:rFonts w:ascii="Times New Roman" w:hAnsi="Times New Roman"/>
          <w:caps w:val="false"/>
          <w:smallCaps w:val="false"/>
          <w:sz w:val="20"/>
        </w:rPr>
        <w:t xml:space="preserve"> October 2029 </w:t>
      </w:r>
      <w:r>
        <w:rPr>
          <w:rFonts w:ascii="Times New Roman" w:hAnsi="Times New Roman"/>
          <w:caps w:val="false"/>
          <w:smallCaps w:val="false"/>
          <w:sz w:val="20"/>
        </w:rPr>
        <w:t>to be coterminous with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The Company evaluated the lease amendment under the provisions of ASC </w:t>
      </w:r>
      <w:r>
        <w:rPr>
          <w:rStyle w:val="Emphasis"/>
          <w:rFonts w:ascii="Times New Roman" w:hAnsi="Times New Roman"/>
          <w:caps w:val="false"/>
          <w:smallCaps w:val="false"/>
          <w:sz w:val="20"/>
        </w:rPr>
        <w:t>842.</w:t>
      </w:r>
      <w:r>
        <w:rPr>
          <w:rFonts w:ascii="Times New Roman" w:hAnsi="Times New Roman"/>
          <w:caps w:val="false"/>
          <w:smallCaps w:val="false"/>
          <w:sz w:val="20"/>
        </w:rPr>
        <w:t> It concluded that the Lease Amendment would be accounted for as a single contract with the Existing Lease because the additional lease payments due to the Lease Amendment was </w:t>
      </w:r>
      <w:r>
        <w:rPr>
          <w:rStyle w:val="Emphasis"/>
          <w:rFonts w:ascii="Times New Roman" w:hAnsi="Times New Roman"/>
          <w:caps w:val="false"/>
          <w:smallCaps w:val="false"/>
          <w:sz w:val="20"/>
        </w:rPr>
        <w:t>not</w:t>
      </w:r>
      <w:r>
        <w:rPr>
          <w:rFonts w:ascii="Times New Roman" w:hAnsi="Times New Roman"/>
          <w:caps w:val="false"/>
          <w:smallCaps w:val="false"/>
          <w:sz w:val="20"/>
        </w:rPr>
        <w:t> commensurate with the right-of-use ("ROU") asset granted to the Company. Though the Lease Amendment was accounted for as a single contract, the Existing Premises,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(occupied in </w:t>
      </w:r>
      <w:r>
        <w:rPr>
          <w:rStyle w:val="Emphasis"/>
          <w:rFonts w:ascii="Times New Roman" w:hAnsi="Times New Roman"/>
          <w:caps w:val="false"/>
          <w:smallCaps w:val="false"/>
          <w:sz w:val="20"/>
        </w:rPr>
        <w:t xml:space="preserve"> November 2019) </w:t>
      </w:r>
      <w:r>
        <w:rPr>
          <w:rFonts w:ascii="Times New Roman" w:hAnsi="Times New Roman"/>
          <w:caps w:val="false"/>
          <w:smallCaps w:val="false"/>
          <w:sz w:val="20"/>
        </w:rPr>
        <w:t>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(occupied in </w:t>
      </w:r>
      <w:r>
        <w:rPr>
          <w:rStyle w:val="Emphasis"/>
          <w:rFonts w:ascii="Times New Roman" w:hAnsi="Times New Roman"/>
          <w:caps w:val="false"/>
          <w:smallCaps w:val="false"/>
          <w:sz w:val="20"/>
        </w:rPr>
        <w:t xml:space="preserve"> May 2020) </w:t>
      </w:r>
      <w:r>
        <w:rPr>
          <w:rFonts w:ascii="Times New Roman" w:hAnsi="Times New Roman"/>
          <w:caps w:val="false"/>
          <w:smallCaps w:val="false"/>
          <w:sz w:val="20"/>
        </w:rPr>
        <w:t>are accounted for as separate lease components. Accordingly, the Company measured and allocated consideration to each lease component as of the modification date.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Miami Lease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Company entered into a 65-month lease for approximately 2,000 square feet for its corporate headquarters located in Miami, Florida, which commenced on </w:t>
      </w:r>
      <w:r>
        <w:rPr>
          <w:rStyle w:val="Emphasis"/>
          <w:rFonts w:ascii="Times New Roman" w:hAnsi="Times New Roman"/>
          <w:caps w:val="false"/>
          <w:smallCaps w:val="false"/>
          <w:sz w:val="20"/>
        </w:rPr>
        <w:t xml:space="preserve"> November 8, 2024. </w:t>
      </w:r>
      <w:r>
        <w:rPr>
          <w:rFonts w:ascii="Times New Roman" w:hAnsi="Times New Roman"/>
          <w:caps w:val="false"/>
          <w:smallCaps w:val="false"/>
          <w:sz w:val="20"/>
        </w:rPr>
        <w:t>The lease contains one five-year extension option, however, as of the lease commencement date, the Company has determined that it is </w:t>
      </w:r>
      <w:r>
        <w:rPr>
          <w:rStyle w:val="Emphasis"/>
          <w:rFonts w:ascii="Times New Roman" w:hAnsi="Times New Roman"/>
          <w:caps w:val="false"/>
          <w:smallCaps w:val="false"/>
          <w:sz w:val="20"/>
        </w:rPr>
        <w:t>not</w:t>
      </w:r>
      <w:r>
        <w:rPr>
          <w:rFonts w:ascii="Times New Roman" w:hAnsi="Times New Roman"/>
          <w:caps w:val="false"/>
          <w:smallCaps w:val="false"/>
          <w:sz w:val="20"/>
        </w:rPr>
        <w:t> reasonably certain to exercise the option to extend the lease and has </w:t>
      </w:r>
      <w:r>
        <w:rPr>
          <w:rStyle w:val="Emphasis"/>
          <w:rFonts w:ascii="Times New Roman" w:hAnsi="Times New Roman"/>
          <w:caps w:val="false"/>
          <w:smallCaps w:val="false"/>
          <w:sz w:val="20"/>
        </w:rPr>
        <w:t>not</w:t>
      </w:r>
      <w:r>
        <w:rPr>
          <w:rFonts w:ascii="Times New Roman" w:hAnsi="Times New Roman"/>
          <w:caps w:val="false"/>
          <w:smallCaps w:val="false"/>
          <w:sz w:val="20"/>
        </w:rPr>
        <w:t> included the extension period in the lease term. The monthly lease payment is approximately $0.02 million with annual escalation of approximately 3%. Variable lease costs are comprised primarily of the Company's proportionate share of operating expenses, property taxes, and insurance. Operating lease ROU assets and liabilities on our Condensed Consolidated Balance Sheet are based on the net present value of the remaining lease payments over the remaining lease term. As the lease did </w:t>
      </w:r>
      <w:r>
        <w:rPr>
          <w:rStyle w:val="Emphasis"/>
          <w:rFonts w:ascii="Times New Roman" w:hAnsi="Times New Roman"/>
          <w:caps w:val="false"/>
          <w:smallCaps w:val="false"/>
          <w:sz w:val="20"/>
        </w:rPr>
        <w:t>not</w:t>
      </w:r>
      <w:r>
        <w:rPr>
          <w:rFonts w:ascii="Times New Roman" w:hAnsi="Times New Roman"/>
          <w:caps w:val="false"/>
          <w:smallCaps w:val="false"/>
          <w:sz w:val="20"/>
        </w:rPr>
        <w:t> provide an implicit rate, the Company used its incremental borrowing rate based on the information available in determining the present value of lease payments. The Company’s incremental borrowing rate of 8% was based on the term of the lease, the economic environment of the lease, and reflects the rate the Company would have had to pay to borrow on a secured basis. The Company recorded a ROU asset and lease liability upon lease commencement in the amount of $0.8 million.</w:t>
      </w:r>
    </w:p>
    <w:p>
      <w:pPr>
        <w:pStyle w:val="TextBody"/>
        <w:bidi w:val="0"/>
        <w:spacing w:before="0" w:after="0"/>
        <w:ind w:left="0" w:right="0" w:hanging="0"/>
        <w:jc w:val="both"/>
        <w:rPr/>
      </w:pPr>
      <w:r>
        <w:rPr/>
        <w:t> </w:t>
      </w:r>
    </w:p>
    <w:p>
      <w:pPr>
        <w:pStyle w:val="TextBody"/>
        <w:bidi w:val="0"/>
        <w:spacing w:before="0" w:after="0"/>
        <w:ind w:left="520" w:right="0" w:hanging="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3658" w:type="dxa"/>
        <w:jc w:val="left"/>
        <w:tblInd w:w="0" w:type="dxa"/>
        <w:tblLayout w:type="fixed"/>
        <w:tblCellMar>
          <w:top w:w="0" w:type="dxa"/>
          <w:left w:w="0" w:type="dxa"/>
          <w:bottom w:w="0" w:type="dxa"/>
          <w:right w:w="0" w:type="dxa"/>
        </w:tblCellMar>
      </w:tblPr>
      <w:tblGrid>
        <w:gridCol w:w="1550"/>
        <w:gridCol w:w="60"/>
        <w:gridCol w:w="148"/>
        <w:gridCol w:w="576"/>
        <w:gridCol w:w="60"/>
        <w:gridCol w:w="60"/>
        <w:gridCol w:w="234"/>
        <w:gridCol w:w="910"/>
        <w:gridCol w:w="6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03" w:type="dxa"/>
        <w:jc w:val="left"/>
        <w:tblInd w:w="0" w:type="dxa"/>
        <w:tblLayout w:type="fixed"/>
        <w:tblCellMar>
          <w:top w:w="0" w:type="dxa"/>
          <w:left w:w="0" w:type="dxa"/>
          <w:bottom w:w="0" w:type="dxa"/>
          <w:right w:w="0" w:type="dxa"/>
        </w:tblCellMar>
      </w:tblPr>
      <w:tblGrid>
        <w:gridCol w:w="3095"/>
        <w:gridCol w:w="60"/>
        <w:gridCol w:w="148"/>
        <w:gridCol w:w="576"/>
        <w:gridCol w:w="60"/>
        <w:gridCol w:w="60"/>
        <w:gridCol w:w="234"/>
        <w:gridCol w:w="910"/>
        <w:gridCol w:w="6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7,543</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Total cash paid for operating lease liabilities (in thousands):</w:t>
      </w:r>
    </w:p>
    <w:p>
      <w:pPr>
        <w:pStyle w:val="TextBody"/>
        <w:bidi w:val="0"/>
        <w:spacing w:before="0" w:after="0"/>
        <w:ind w:left="520" w:right="0" w:hanging="0"/>
        <w:jc w:val="left"/>
        <w:rPr>
          <w:caps w:val="false"/>
          <w:smallCaps w:val="false"/>
        </w:rPr>
      </w:pPr>
      <w:r>
        <w:rPr>
          <w:caps w:val="false"/>
          <w:smallCaps w:val="false"/>
        </w:rPr>
        <w:t> </w:t>
      </w:r>
    </w:p>
    <w:tbl>
      <w:tblPr>
        <w:tblW w:w="5616" w:type="dxa"/>
        <w:jc w:val="left"/>
        <w:tblInd w:w="0" w:type="dxa"/>
        <w:tblLayout w:type="fixed"/>
        <w:tblCellMar>
          <w:top w:w="0" w:type="dxa"/>
          <w:left w:w="0" w:type="dxa"/>
          <w:bottom w:w="0" w:type="dxa"/>
          <w:right w:w="0" w:type="dxa"/>
        </w:tblCellMar>
      </w:tblPr>
      <w:tblGrid>
        <w:gridCol w:w="3200"/>
        <w:gridCol w:w="60"/>
        <w:gridCol w:w="241"/>
        <w:gridCol w:w="937"/>
        <w:gridCol w:w="115"/>
        <w:gridCol w:w="115"/>
        <w:gridCol w:w="241"/>
        <w:gridCol w:w="647"/>
        <w:gridCol w:w="6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(in thousands):</w:t>
      </w:r>
    </w:p>
    <w:p>
      <w:pPr>
        <w:pStyle w:val="TextBody"/>
        <w:bidi w:val="0"/>
        <w:spacing w:before="0" w:after="0"/>
        <w:ind w:left="16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2225"/>
        <w:gridCol w:w="60"/>
        <w:gridCol w:w="125"/>
        <w:gridCol w:w="590"/>
        <w:gridCol w:w="80"/>
      </w:tblGrid>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2,302</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2,381</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pPr>
      <w:r>
        <w:rPr>
          <w:rFonts w:ascii="Times New Roman" w:hAnsi="Times New Roman"/>
          <w:caps w:val="false"/>
          <w:smallCaps w:val="false"/>
          <w:sz w:val="20"/>
        </w:rPr>
        <w:t xml:space="preserve">Weighted-average remaining lease term and discount rate,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were as follows:</w:t>
      </w:r>
    </w:p>
    <w:p>
      <w:pPr>
        <w:pStyle w:val="TextBody"/>
        <w:bidi w:val="0"/>
        <w:spacing w:before="0" w:after="0"/>
        <w:ind w:left="52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3230"/>
        <w:gridCol w:w="60"/>
        <w:gridCol w:w="60"/>
        <w:gridCol w:w="380"/>
        <w:gridCol w:w="185"/>
      </w:tblGrid>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Rent expense, including common area maintenance charges, was approximately $0.6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approximately $1.3 million and $1.2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From time to time, 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involved in various legal proceedings arising in the ordinary course of business. We are </w:t>
      </w:r>
      <w:r>
        <w:rPr>
          <w:rStyle w:val="Emphasis"/>
          <w:rFonts w:ascii="Times New Roman" w:hAnsi="Times New Roman"/>
          <w:caps w:val="false"/>
          <w:smallCaps w:val="false"/>
          <w:sz w:val="20"/>
        </w:rPr>
        <w:t>not</w:t>
      </w:r>
      <w:r>
        <w:rPr>
          <w:rFonts w:ascii="Times New Roman" w:hAnsi="Times New Roman"/>
          <w:caps w:val="false"/>
          <w:smallCaps w:val="false"/>
          <w:sz w:val="20"/>
        </w:rPr>
        <w: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about which separate discrete information is available for evaluation by the chief operating decision-maker (the "CODM"), in deciding how to allocate resources and assess performance. The Company has one operating and reportable segment relating to the research and development of the Company’s NPS technology. The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Condensed Consolidated Statement of Operations and Comprehensive Loss. The table below shows a reconciliation of the Company’s net loss, including the significant expense categories regularly provided to and reviewed by the CODM, as computed under U.S. GAAP to the Company’s total net loss in the statements of operations (in thousands).</w:t>
      </w:r>
    </w:p>
    <w:p>
      <w:pPr>
        <w:pStyle w:val="TextBody"/>
        <w:bidi w:val="0"/>
        <w:spacing w:before="0" w:after="0"/>
        <w:ind w:left="0" w:right="0" w:firstLine="540"/>
        <w:jc w:val="left"/>
        <w:rPr>
          <w:caps w:val="false"/>
          <w:smallCaps w:val="false"/>
        </w:rPr>
      </w:pPr>
      <w:r>
        <w:rPr>
          <w:caps w:val="false"/>
          <w:smallCaps w:val="false"/>
        </w:rPr>
        <w:t> </w:t>
      </w:r>
    </w:p>
    <w:tbl>
      <w:tblPr>
        <w:tblW w:w="8464" w:type="dxa"/>
        <w:jc w:val="left"/>
        <w:tblInd w:w="0" w:type="dxa"/>
        <w:tblLayout w:type="fixed"/>
        <w:tblCellMar>
          <w:top w:w="0" w:type="dxa"/>
          <w:left w:w="0" w:type="dxa"/>
          <w:bottom w:w="0" w:type="dxa"/>
          <w:right w:w="0" w:type="dxa"/>
        </w:tblCellMar>
      </w:tblPr>
      <w:tblGrid>
        <w:gridCol w:w="3380"/>
        <w:gridCol w:w="60"/>
        <w:gridCol w:w="185"/>
        <w:gridCol w:w="965"/>
        <w:gridCol w:w="118"/>
        <w:gridCol w:w="89"/>
        <w:gridCol w:w="185"/>
        <w:gridCol w:w="965"/>
        <w:gridCol w:w="80"/>
        <w:gridCol w:w="60"/>
        <w:gridCol w:w="170"/>
        <w:gridCol w:w="884"/>
        <w:gridCol w:w="108"/>
        <w:gridCol w:w="81"/>
        <w:gridCol w:w="170"/>
        <w:gridCol w:w="884"/>
        <w:gridCol w:w="8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 platform research and engineering1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4,122</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6,502</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regulatory3</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administrative4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6,517</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marketing5</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items6</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5,461</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4,409</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1</w:t>
      </w:r>
      <w:r>
        <w:rPr>
          <w:rFonts w:ascii="Times New Roman" w:hAnsi="Times New Roman"/>
          <w:caps w:val="false"/>
          <w:smallCaps w:val="false"/>
          <w:sz w:val="20"/>
        </w:rPr>
        <w:t> Cross platform research and engineering includes compensation costs, fees paid to consultants and outside service providers and organizations, prototype spending and other expenses relating to the acquisition, design and development of the Company’s clinical stage devices.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2</w:t>
      </w:r>
      <w:r>
        <w:rPr>
          <w:rFonts w:ascii="Times New Roman" w:hAnsi="Times New Roman"/>
          <w:caps w:val="false"/>
          <w:smallCaps w:val="false"/>
          <w:sz w:val="20"/>
        </w:rPr>
        <w:t> Manufacturing includes compensation costs, fees paid to consultants and outside service providers and organizations, and costs associated with the procurement of materials and the manufacturing of the Company’s clinical stage devices.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3</w:t>
      </w:r>
      <w:r>
        <w:rPr>
          <w:rFonts w:ascii="Times New Roman" w:hAnsi="Times New Roman"/>
          <w:caps w:val="false"/>
          <w:smallCaps w:val="false"/>
          <w:sz w:val="20"/>
        </w:rPr>
        <w:t> Clinical and regulatory includes compensation costs, fees paid to consultants and outside service providers and organizations, and costs associated with clinical trials and regulatory approvals required for the development of the Company’s clinical stage devices.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4</w:t>
      </w:r>
      <w:r>
        <w:rPr>
          <w:rFonts w:ascii="Times New Roman" w:hAnsi="Times New Roman"/>
          <w:caps w:val="false"/>
          <w:smallCaps w:val="false"/>
          <w:sz w:val="20"/>
        </w:rPr>
        <w:t> Adjusted general and administrative includes compensation costs and fees paid to consultants and outside service providers and organizations in support of the administrative functions of the Company, including finance, legal, human resources, IT and facilities.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5</w:t>
      </w:r>
      <w:r>
        <w:rPr>
          <w:rFonts w:ascii="Times New Roman" w:hAnsi="Times New Roman"/>
          <w:caps w:val="false"/>
          <w:smallCaps w:val="false"/>
          <w:sz w:val="20"/>
        </w:rPr>
        <w:t> Sales and marketing includes compensation costs, fees paid to consultants and outside service providers and organizations, costs associated with marketing and sales strategy as well as execution of marketing and sales initiatives for the Company's products.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6</w:t>
      </w:r>
      <w:r>
        <w:rPr>
          <w:rFonts w:ascii="Times New Roman" w:hAnsi="Times New Roman"/>
          <w:caps w:val="false"/>
          <w:smallCaps w:val="false"/>
          <w:sz w:val="20"/>
        </w:rPr>
        <w:t> Other segment items includes stock-based compensation,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all of the Company’s long-lived assets are located in the United States.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3, 2024, </w:t>
      </w:r>
      <w:r>
        <w:rPr>
          <w:rFonts w:ascii="Times New Roman" w:hAnsi="Times New Roman"/>
          <w:caps w:val="false"/>
          <w:smallCaps w:val="false"/>
          <w:sz w:val="20"/>
        </w:rPr>
        <w:t>the Company announced the closing of its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resulted in the sale of six million </w:t>
      </w:r>
      <w:r>
        <w:rPr>
          <w:rStyle w:val="Emphasis"/>
          <w:rFonts w:ascii="Times New Roman" w:hAnsi="Times New Roman"/>
          <w:caps w:val="false"/>
          <w:smallCaps w:val="false"/>
          <w:sz w:val="20"/>
        </w:rPr>
        <w:t>2024</w:t>
      </w:r>
      <w:r>
        <w:rPr>
          <w:rFonts w:ascii="Times New Roman" w:hAnsi="Times New Roman"/>
          <w:caps w:val="false"/>
          <w:smallCaps w:val="false"/>
          <w:sz w:val="20"/>
        </w:rPr>
        <w:t> Units, at a price of $10.00 per </w:t>
      </w:r>
      <w:r>
        <w:rPr>
          <w:rStyle w:val="Emphasis"/>
          <w:rFonts w:ascii="Times New Roman" w:hAnsi="Times New Roman"/>
          <w:caps w:val="false"/>
          <w:smallCaps w:val="false"/>
          <w:sz w:val="20"/>
        </w:rPr>
        <w:t>2024</w:t>
      </w:r>
      <w:r>
        <w:rPr>
          <w:rFonts w:ascii="Times New Roman" w:hAnsi="Times New Roman"/>
          <w:caps w:val="false"/>
          <w:smallCaps w:val="false"/>
          <w:sz w:val="20"/>
        </w:rPr>
        <w:t> Unit. Each </w:t>
      </w:r>
      <w:r>
        <w:rPr>
          <w:rStyle w:val="Emphasis"/>
          <w:rFonts w:ascii="Times New Roman" w:hAnsi="Times New Roman"/>
          <w:caps w:val="false"/>
          <w:smallCaps w:val="false"/>
          <w:sz w:val="20"/>
        </w:rPr>
        <w:t>2024</w:t>
      </w:r>
      <w:r>
        <w:rPr>
          <w:rFonts w:ascii="Times New Roman" w:hAnsi="Times New Roman"/>
          <w:caps w:val="false"/>
          <w:smallCaps w:val="false"/>
          <w:sz w:val="20"/>
        </w:rPr>
        <w:t> Unit consisted of one share of the Company’s common stock, par value $0.001 per share,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The common stock and warrants comprising the </w:t>
      </w:r>
      <w:r>
        <w:rPr>
          <w:rStyle w:val="Emphasis"/>
          <w:rFonts w:ascii="Times New Roman" w:hAnsi="Times New Roman"/>
          <w:caps w:val="false"/>
          <w:smallCaps w:val="false"/>
          <w:sz w:val="20"/>
        </w:rPr>
        <w:t>2024</w:t>
      </w:r>
      <w:r>
        <w:rPr>
          <w:rFonts w:ascii="Times New Roman" w:hAnsi="Times New Roman"/>
          <w:caps w:val="false"/>
          <w:smallCaps w:val="false"/>
          <w:sz w:val="20"/>
        </w:rPr>
        <w:t> Units separated upon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and were issued individually. A total of 5,999,998 shares of common stock and warrants to acquire up to approximately an additional six million shares of common stock were issued in the offering. The Company received aggregate gross proceeds from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of $60 million. Robert W. Duggan, the Company’s majority stockholder and Co-Chairman, purchased approximately 88% of the units offered through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See Note </w:t>
      </w:r>
      <w:r>
        <w:rPr>
          <w:rStyle w:val="Emphasis"/>
          <w:rFonts w:ascii="Times New Roman" w:hAnsi="Times New Roman"/>
          <w:caps w:val="false"/>
          <w:smallCaps w:val="false"/>
          <w:sz w:val="20"/>
        </w:rPr>
        <w:t>6</w:t>
      </w:r>
      <w:r>
        <w:rPr>
          <w:rFonts w:ascii="Times New Roman" w:hAnsi="Times New Roman"/>
          <w:caps w:val="false"/>
          <w:smallCaps w:val="false"/>
          <w:sz w:val="20"/>
        </w:rPr>
        <w:t> for further details.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caps w:val="false"/>
          <w:smallCaps w:val="false"/>
          <w:sz w:val="20"/>
        </w:rPr>
        <w:t>10.</w:t>
      </w:r>
      <w:r>
        <w:rPr>
          <w:rFonts w:ascii="Times New Roman;Times;serif" w:hAnsi="Times New Roman;Times;serif"/>
          <w:b/>
          <w:caps w:val="false"/>
          <w:smallCaps w:val="false"/>
          <w:sz w:val="20"/>
        </w:rPr>
        <w:t xml:space="preserve">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Subsequent Events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July 4, 2025, </w:t>
      </w:r>
      <w:r>
        <w:rPr>
          <w:rFonts w:ascii="Times New Roman;Times;serif" w:hAnsi="Times New Roman;Times;serif"/>
          <w:caps w:val="false"/>
          <w:smallCaps w:val="false"/>
          <w:sz w:val="20"/>
        </w:rPr>
        <w:t>the One Big Beautiful Bill Act (“OBBBA”), was signed into law in the United States. The OBBBA includes significant changes to federal tax law and other regulatory provisions. The Company is in the process of evaluating the impact of the OBBBA on our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CellFX System, a novel nsPFA delivery platform, and commercialized the initial application of its nsPFA technology to treat benign lesions of the skin. In parallel, we have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CellFX platform in the treatment of atrial fibrillation and in a select few other markets where it could have a profound positive impact on healthcare for both patients and providers, such as surgical soft tissue ablation.</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CellFX nsPFA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first product for soft tissue ablation in a surgical setting, the nsPFA Percutaneous Electrode System, consists of a disposable, percutaneous, needle electrode for use with our proprietary CellFX Console. This novel electrode is designed to harness and deliver the key advantages of nsPFA energy, enabling precise nonthermal removal of cellular tissue without inducing thermal necrosis.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post-procedure showed treated portions of the benign thyroid nodules were mostly resorbed with no sign of scarring or fibrosis by ultrasound, which can be a side effect of other ablation modalities using thermal energies.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parallel, in November 2023, we filed a premarket notification 510(k) with the FDA for clearance to commercialize our novel nsPFA Percutaneous Electrode System in the United States. In March 2024, we received FDA 510(k) clearance for our nsPFA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Having secured 510(k) clearance to market and sell the nsPFA Percutaneous Electrode System in the United States with different sizes of percutaneous electrode needles, we have engaged with experts in the field of soft tissue ablation to gather information that will help shape our future commercial endeavors. To date, we have placed our CellFX System with nine sites in the United States and these sites have been performing initial patient treatments and evaluating the CellFX System under short-term evaluation and related consulting agreements. To date, the clinicians in our pilot program have completed more than 140 patient procedures. We expect to pursue more clinical evidenced-based milestones throughout 2025 in connection with evaluating the early pilot commercialization of our percutaneous electrodes, and we expect to commence a clinical trial in the third quarter of 2025 to support planned commercialization during the second half of 2025 of the nsPFA Percutaneous Electrode System in the United States as a treatment for benign thyroid nodules.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Our Cardiac Surgical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results of preclinical and clinical testing of both our nsPFA cardiac products, namely our surgical ablation clamp and our endocardial ablation catheter, have exceeded our expectations and initial data have been presented at physician and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CellFX nsPFA Cardiac Clamp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nsPFA technology can provide important advantages over today’s thermal modalities in creating these ablation lines. For example, surgeons using the CellFX System should be able to deliver faster ablations and through thicker tissue than thermal modalities because of the nonthermal mechanism of action that nsPFA employs, which is not affected by heatsinks such as blood in the heart. In preclinical studies, our nsPFA Cardiac Clamp has consistently achieved transmural ablations in less than two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Today, we plan to pursue a PMA application for FDA approval to market the cardiac clamp specifically as a surgical way to treat AF.  Seeking an AF indication through a PMA application will require pivotal clinical data to support the application. We have submitted our IDE to the FDA for review and expect to begin our pivotal clinical trial of the cardiac surgical clamp for AF in the next few months. With PMA approval, we expect that we would then commercialize the nsPFA Cardiac Surgical System in the United States specifically as a treatment for AF. Separately, we have already enrolled 40 patients in our first-in-human clinical feasibility study of the cardiac clamp, a multi-site study of AF in the Netherlands. All of the patients in our first-in-human study have tolerated the procedure well and acute data have been encouraging. The data has served to provide an initial safety profile in support of the IDE submission for the pivotal clinical trial of our cardiac surgical ablation clamp as a surgical way to treat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CellFX nsPFA 360</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Cardiac Catheter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endocardial catheter ablation device will have many of the same advantages that the surgical ablation clamp appears to have with respect to both performance and safety compared to standard thermal modalities. Our CellFX nsPFA Cardiac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nsPFA 360° Cardiac Catheter in patients with AF and both acute data and remapping data from this study have been promising. We therefore expanded the initial clinical protocol in 2024 to include participation by two additional sites. In May 2025, we initiated a clinical study in Rome, Italy, with Dr. Andrea Natale M.D., F.A.C.C., F.H.R.S., F.E.S.C., a world recognized leader in the world of electrophysiology and the current Executive Director at the Texas Cardiac Arrhythmia Institute. Total enrollment consists of more than 140 patients treated to date. Investigators have successfully remapped more than half of the study participants and we have been encouraged by the results seen in the study. Therefore, given the compelling data to date, we have submitted our IDE for review by the FDA and expect to commence a U.S. IDE pivotal clinical study of our proprietary 360° Cardiac Catheter sometime in the next few months. We continue to believe we will need PMA approval from the FDA in order to market and sell our catheter in the United States.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The CellFX Console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Console is a tunable, software-enabled, console-based platform, designed to accommodate the clinical workflow preferred by physicians. The CellFX System is configured to accept a variety of disposable applicators or electrodes across a range of clinical applications. In February 2021, we received 510(k) clearance from the FDA for the CellFX System for dermatologic procedures requiring ablation and resurfacing of the skin. In January 2021, we received Conformité Européene (“CE”) marking approval for the CellFX System, which allows for marketing of the system in the European Union (“EU”). Shortly after these regulatory clearances, we began commercializing the CellFX System in dermatology for the treatment of benign skin lesions. However, in September 2022, we announced a shift in our focus from dermatology to cardiology and soft tissue ablation. We have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nsPFA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nsPFA ablation, as well as NPS technology more broadly, has the potential to provide superior outcomes across a variety of medical disciplines and we may seek partnership opportunities to develop additional applications.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Financing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past few years, Robert Duggan, our majority stockholder and Co-Chairman, has made significant investments in our Company to fund its operations. In June 2022, we completed a common stock rights offering to our existing stockholders, which raised $15.0 million in aggregate. Mr. Duggan purchased approximately 56% of the shares offered through this offering. Then, in September 2022, we entered into a loan agreement with Mr. Duggan pursuant to which he lent us $65.0 million to fund our product development operations. In April 2023, this loan agreement was terminated when Mr. Duggan and the Company entered into a Securities Purchase Agreement whereby the shares were paid for through the cancellation of both the principal sum of $65.0 million and all accrued and unpaid interest owed at the time under the 2022 Loan Agreement, which totaled approximately $0.2 million. In June 2024, we completed a rights offering of units (each unit comprising a share of our common stock and two warrants, each to purchase a one-half share of our common stock) to our existing stockholders, which raised $60.0 million in aggregate. Mr. Duggan purchased approximately 88% of the shares offered through this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in order to maintain the Company as a 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the Middle East and Ukraine and high interest rates, together with other market factors, could have an adverse impact on potential sources of future financing.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substantial operating losses and have used cash in our operating activities since inception. To fund our business, we may utilize some combination of public or private equity offerings, debt financings, or potential new collaborations in the future. There can be no assurance, however, that any additional financing or any revenue-generating collaboration will be available when needed or that we will be able to obtain financing or enter into a collaboration on terms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critical accounting policies and estimates. Our critical accounting policies and estimates are described in our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first quarter of 2025, the Company issued certain executives stock options with both market-based and performance-based vesting conditions. These vesting conditions relate to both the achievement of certain market capitalization targets of the Company, as well as the achievement of certain revenue and margin metrics. 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Monte Carlo simulation models require the Company to make assumptions and judgements about the variables used in the calculations including the expected volatility, the risk-free interest rate, cost of equity, and the expected term.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Refer to “Recent Accounting Pronouncements” in Note 2 of Notes to Condensed Consolidated Financial Statements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Segment and Geographical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one operating and reporting segment and reports segment information in accordance with ASC 280, Segment Reporting. The Company’s Chief Executive Officer, who is the chief operating decision maker ("CODM"), reviews financial information on an aggregate basis for allocating and evaluating financial performance; however, the CODM is regularly provided with more detailed expense information than what is included in the Condensed Consolidated Statement of Operations and Comprehensive Loss. See Note 8 for further details of the Company's segment disclosures.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xml:space="preserve"> </w:t>
      </w:r>
      <w:r>
        <w:rPr>
          <w:rFonts w:ascii="Times New Roman" w:hAnsi="Times New Roman"/>
          <w:b/>
          <w:i/>
          <w:caps w:val="false"/>
          <w:smallCaps w:val="false"/>
          <w:sz w:val="20"/>
        </w:rPr>
        <w:t>three-month</w:t>
      </w:r>
      <w:r>
        <w:rPr>
          <w:rFonts w:ascii="Times New Roman" w:hAnsi="Times New Roman"/>
          <w:caps w:val="false"/>
          <w:smallCaps w:val="false"/>
          <w:sz w:val="20"/>
        </w:rPr>
        <w:t xml:space="preserve"> </w:t>
      </w:r>
      <w:r>
        <w:rPr>
          <w:rFonts w:ascii="Times New Roman" w:hAnsi="Times New Roman"/>
          <w:b/>
          <w:i/>
          <w:caps w:val="false"/>
          <w:smallCaps w:val="false"/>
          <w:sz w:val="20"/>
        </w:rPr>
        <w:t>periods</w:t>
      </w:r>
      <w:r>
        <w:rPr>
          <w:rFonts w:ascii="Times New Roman" w:hAnsi="Times New Roman"/>
          <w:caps w:val="false"/>
          <w:smallCaps w:val="false"/>
          <w:sz w:val="20"/>
        </w:rPr>
        <w:t xml:space="preserve">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307" w:type="dxa"/>
        <w:jc w:val="left"/>
        <w:tblInd w:w="0" w:type="dxa"/>
        <w:tblLayout w:type="fixed"/>
        <w:tblCellMar>
          <w:top w:w="0" w:type="dxa"/>
          <w:left w:w="0" w:type="dxa"/>
          <w:bottom w:w="0" w:type="dxa"/>
          <w:right w:w="0" w:type="dxa"/>
        </w:tblCellMar>
      </w:tblPr>
      <w:tblGrid>
        <w:gridCol w:w="3425"/>
        <w:gridCol w:w="60"/>
        <w:gridCol w:w="132"/>
        <w:gridCol w:w="688"/>
        <w:gridCol w:w="84"/>
        <w:gridCol w:w="63"/>
        <w:gridCol w:w="132"/>
        <w:gridCol w:w="688"/>
        <w:gridCol w:w="80"/>
        <w:gridCol w:w="60"/>
        <w:gridCol w:w="152"/>
        <w:gridCol w:w="663"/>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3,691</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8,549</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revenues for the three-month periods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 Research and development expenses increased by $4.9 million to $12.1 million for the three-month period ended June 30, 2025, compared to $7.2 million during the same period in 2024 primarily due to increases of $1.9 million in paid services and external research, $1.3 million in stock-based compensation, $1.3 million in compensation and other employee-related expenses, and $0.4 million in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employee-related expenses for executives, finance, legal, human resources, information technology, and administrative personnel, professional fees, patent fees and costs, insurance costs and other general corporate expenses. General and administrative expenses increased by $3.7 million to $8.2 million for the three-month period ended June 30, 2025, compared to $4.5 million during the same period in 2024 primarily due to increases of $1.8 million in stock-based compensation, $1.4 million in compensation and other employee-related expenses, and $0.5 million in paid services and general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net, increased by $0.8 million to $1.1 million for the three-month period ended June 30, 2025, compared to $0.3 million during the same period in 2024. Interest income increased by $0.8 million, driven by increased returns on higher cash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w:t>
      </w:r>
      <w:r>
        <w:rPr>
          <w:rFonts w:ascii="Times New Roman" w:hAnsi="Times New Roman"/>
          <w:b/>
          <w:i/>
          <w:caps w:val="false"/>
          <w:smallCaps w:val="false"/>
          <w:sz w:val="20"/>
        </w:rPr>
        <w:t>six-month</w:t>
      </w:r>
      <w:r>
        <w:rPr>
          <w:rFonts w:ascii="Times New Roman" w:hAnsi="Times New Roman"/>
          <w:caps w:val="false"/>
          <w:smallCaps w:val="false"/>
          <w:sz w:val="20"/>
        </w:rPr>
        <w:t xml:space="preserve"> </w:t>
      </w:r>
      <w:r>
        <w:rPr>
          <w:rFonts w:ascii="Times New Roman" w:hAnsi="Times New Roman"/>
          <w:b/>
          <w:i/>
          <w:caps w:val="false"/>
          <w:smallCaps w:val="false"/>
          <w:sz w:val="20"/>
        </w:rPr>
        <w:t>periods</w:t>
      </w:r>
      <w:r>
        <w:rPr>
          <w:rFonts w:ascii="Times New Roman" w:hAnsi="Times New Roman"/>
          <w:caps w:val="false"/>
          <w:smallCaps w:val="false"/>
          <w:sz w:val="20"/>
        </w:rPr>
        <w:t xml:space="preserve">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3425"/>
        <w:gridCol w:w="60"/>
        <w:gridCol w:w="125"/>
        <w:gridCol w:w="650"/>
        <w:gridCol w:w="80"/>
        <w:gridCol w:w="60"/>
        <w:gridCol w:w="125"/>
        <w:gridCol w:w="650"/>
        <w:gridCol w:w="80"/>
        <w:gridCol w:w="60"/>
        <w:gridCol w:w="131"/>
        <w:gridCol w:w="684"/>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7,548</w:t>
            </w:r>
          </w:p>
        </w:tc>
        <w:tc>
          <w:tcPr>
            <w:tcW w:w="80" w:type="dxa"/>
            <w:tcBorders/>
            <w:shd w:fill="FFFFFF" w:val="clear"/>
            <w:vAlign w:val="center"/>
          </w:tcPr>
          <w:p>
            <w:pPr>
              <w:pStyle w:val="TableContents"/>
              <w:bidi w:val="0"/>
              <w:spacing w:before="0" w:after="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15,978</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revenues for the six-month periods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$8.4 million to $22.4 million for the six-month period ended June 30, 2025, compared to $14.0 million during the same period in 2024 primarily due to increases of $3.1 million in stock-based compensation, $2.4 million in paid services and external research, $2.2 million in compensation and other employee-related expenses, and $0.6 million in supplies.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$7.5 million to $15.9 million for the six-month period ended June 30, 2025, compared to $8.4 million during the same period in 2024 primarily due to increases of $3.9 million in stock-based compensation, $2.9 million in compensation and other employee-related expenses, and $1.3 million in paid services and general administrative costs. These increases were partially offset by a decrease of $0.6 million driven by funds received from an insurance claim in relation to a legal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net, increased by $1.5 million to $2.4 million for the six-month period ended June 30, 2025, compared to $0.8 million during the same period in 2024 driven by increased returns on higher cash balances.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June 30, 2025, there were no Rights Offering Warrants outstanding which were subject to the 150% redemption feature and there were 208,406 2024 Rights Offering Warrants outstanding which were subject to the 200% redemption feature. During the six months ended June 30, 2025, we have received a total of $14.0 million in gross proceeds from exercises of the 2024 Rights Offering Warrants. Cumulatively, as of June 30, 2025, we have received a total of $63.5 million in gross proceeds from exercises of the 2024 Rights Offering Warrants.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cash flows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5832" w:type="dxa"/>
        <w:jc w:val="left"/>
        <w:tblInd w:w="0" w:type="dxa"/>
        <w:tblLayout w:type="fixed"/>
        <w:tblCellMar>
          <w:top w:w="0" w:type="dxa"/>
          <w:left w:w="0" w:type="dxa"/>
          <w:bottom w:w="0" w:type="dxa"/>
          <w:right w:w="0" w:type="dxa"/>
        </w:tblCellMar>
      </w:tblPr>
      <w:tblGrid>
        <w:gridCol w:w="3395"/>
        <w:gridCol w:w="60"/>
        <w:gridCol w:w="170"/>
        <w:gridCol w:w="884"/>
        <w:gridCol w:w="108"/>
        <w:gridCol w:w="81"/>
        <w:gridCol w:w="170"/>
        <w:gridCol w:w="884"/>
        <w:gridCol w:w="8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(26,328</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(11,689</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generated limited revenue and used cash in our operating activities. As a result, we have incurred significant operating losses in each year since our inception and we may continue to incur additional losses for the next several years. As of June 30, 2025, we had cash and cash equivalents of $106.3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Operating Activities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we used cash in the amount of $26.3 million in operating activities. The difference between cash used in operating activities and net loss consisted primarily of stock-based compensation, depreciation and amortization, with a decrease in accrued expenses and increases in prepaids and other current assets, inventory, and accounts payable.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we used cash in the amount of $18.2 million in operating activities. The difference between cash used in operating activities and net loss consisted primarily of stock-based compensation, depreciation and amortization, as well as decreases in accounts payable and accrued expenses.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cs="Times New Roman"/>
          <w:bCs/>
          <w:iCs/>
          <w:caps w:val="false"/>
          <w:smallCaps w:val="false"/>
          <w:szCs w:val="20"/>
        </w:rPr>
        <w:t>﻿</w:t>
      </w:r>
      <w:r>
        <w:rPr>
          <w:rFonts w:ascii="Times New Roman" w:hAnsi="Times New Roman"/>
          <w:b/>
          <w:i/>
          <w:caps w:val="false"/>
          <w:smallCaps w:val="false"/>
          <w:sz w:val="20"/>
        </w:rPr>
        <w:t xml:space="preserve">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investing activities consist primarily of investment purchases, sales and maturities and capital expenditures.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we used cash in the amount of $0.2 million in investing activities which was driven primarily by the purchase of property and equipment.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an immaterial amount of cash was used in investing activities which was driven by the purchase of property and equipment.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cash provided by financing activities was $14.8 million, primarily due to $14.1 million of proceeds from the exercise of warrants, $0.4 million of proceeds from issuance of common stock under employee stock purchase plan, and $0.4 million of proceeds from the exercise of stock options.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2024, an immaterial amount of cash was provided from financing activities which was driven by $0.3 million of proceeds from issuance of common stock under employee stock purchase plan, offset by $0.3 million of issuance costs in relation to the 2024 Rights Offering.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Contractual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our business to the contractual obligations disclosed in our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Off-Balance-Sheet Arrangements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June 30, 2025, we did not have any transactions, obligations or relationships that constitute off-balance sheet arrangements.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date, we have not incurred costs to defend lawsuits or settle claims related to these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and/or other alternatives.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market risk from the information provided in our Annual Report on Form 10-K for the year ended December 31, 2024.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Chief Financial Officer have concluded that, as of June 30, 2025,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identified in connection with the evaluation required by Rule 13a-15(d) and 15d-15(d) of the Exchange Act, as amended, that occurred during the quarter ended June 30, 2025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Summary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Financial Position and Need for Additional Capital</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will need to obtain additional funding to finance our operations and complete the development and commercialization of our products. If we do not receive substantial capital when needed, we may be forced to restrict our operations or delay, reduce or eliminate our product development programs.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an organization.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are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will need to raise additional capital, which may result in further dilution to our investors, or incur indebtedness. The servicing of future debt may impair our liquidity position.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Development and Commercialization of our Medical Products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Medical device development and commercialization is a complex, time-consuming and expensive process. Our industry is fraught with risk and a high rate of failure.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can provide no assurance that our clinical product candidates, including our product candidates for the treatment of atrial fibrillation ("AF"), such as our nsPFA Cardiac Clamp and our nsPFA 360° Cardiac Catheter, will obtain regulatory approval or that the results of clinical studies will be favorable.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have very limited sales and marketing experience and we can give no assurances that our devices will be adopted by surgeons or other physicians to treat any medical condition.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Regulatory requirements and timelines may affect the scope and timeline of our trials and the potential market for our product candidates, including the possibility of significant delays to any product launch.</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Commercialization of our product candidates could be delayed or prevented if we experience any number of possible unforeseen events in connection with our clinical trials.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Industry and Market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face substantial competition, which may result in others developing or commercializing competitive products before or more successfully than we do.</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compete against well-established incumbent technologies offering products in cardiology, oncology, and minimally invasive procedures. All of these companies currently have greater financial, technical, research, and/or other resources than we do and have larger and more established manufacturing capabilities and marketing, sales, and support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result in a change of control or cause us to incur a material amount of indebtedness.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u w:val="single"/>
        </w:rPr>
      </w:pPr>
      <w:r>
        <w:rPr>
          <w:rFonts w:ascii="Times New Roman" w:hAnsi="Times New Roman"/>
          <w:b/>
          <w:sz w:val="20"/>
          <w:u w:val="single"/>
        </w:rPr>
        <w:t>Legal, Tax, Regulatory, and Compliance Risks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ability to commercialize any of our product candidates is subject to substantial regulatory and legislative uncertainty, including as to pricing, reimbursement practices or other healthcare initiatives which could harm our business.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may face costly legal claims, in particular related to product liability and intellectual property infringement.</w:t>
            </w:r>
          </w:p>
        </w:tc>
      </w:tr>
    </w:tbl>
    <w:p>
      <w:pPr>
        <w:pStyle w:val="TextBody"/>
        <w:bidi w:val="0"/>
        <w:spacing w:before="0" w:after="0"/>
        <w:ind w:left="0" w:right="0" w:hanging="0"/>
        <w:jc w:val="both"/>
        <w:rPr/>
      </w:pPr>
      <w:r>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60" w:type="dxa"/>
            <w:tcBorders/>
            <w:vAlign w:val="center"/>
          </w:tcPr>
          <w:p>
            <w:pPr>
              <w:pStyle w:val="TableContents"/>
              <w:bidi w:val="0"/>
              <w:spacing w:before="0" w:after="283"/>
              <w:jc w:val="both"/>
              <w:rPr/>
            </w:pPr>
            <w:r>
              <w:rPr/>
              <w:t>Trade tariffs and changes at the U.S. FDA may adversely affect our operating costs and timelines.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are subject to certain U.S. and foreign anti-corruption, anti-money laundering, export control, sanctions, and other trade laws and regulations. We can face serious consequences for violations.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u w:val="single"/>
        </w:rPr>
      </w:pPr>
      <w:r>
        <w:rPr>
          <w:rFonts w:ascii="Times New Roman" w:hAnsi="Times New Roman"/>
          <w:b/>
          <w:sz w:val="20"/>
          <w:u w:val="single"/>
        </w:rPr>
        <w:t>Risks Related to Our Intellectual Property, Cybersecurity and Data Privacy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rely upon patents to protect our technology. We may be unable to protect our intellectual property rights and we may be liable for infringing the intellectual property rights of others.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Corporate Governance and Employee Relations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future success depends on our ability to retain our chief executive officers and other key executives and to attract, retain and motivate qualified personnel.</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Co-Chairman owns approximately 72% of the voting power of the outstanding shares of our common stock and, as a result, investors may have limited ability to affect either the corporate governance of the Company or the taking of certain major decisions.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Substantial future sales of our shares of common stock in the public market, or the perception that these sales could occur, could cause the price of the shares to decline significantly, even if our business is doing well.</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prices of our shares of common stock may be volatile and fluctuate substantially, which could result in substantial losses for our stockholders.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72% of our outstanding shares are owned by our Co-Chairman, Robert Duggan, and his affiliates, which can reduce liquidity of our stock. Historically, our trading volume on Nasdaq has been 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Because we have a limited operating history and no significant revenue stream, it is difficult to evaluate the future of our business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novel ablation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generated significant</w:t>
      </w:r>
      <w:r>
        <w:rPr>
          <w:rFonts w:ascii="Times New Roman" w:hAnsi="Times New Roman"/>
          <w:caps w:val="false"/>
          <w:smallCaps w:val="false"/>
          <w:sz w:val="20"/>
        </w:rPr>
        <w:t> </w:t>
      </w:r>
      <w:r>
        <w:rPr>
          <w:rFonts w:ascii="Times New Roman" w:hAnsi="Times New Roman"/>
          <w:b/>
          <w:i/>
          <w:caps w:val="false"/>
          <w:smallCaps w:val="false"/>
          <w:sz w:val="20"/>
        </w:rPr>
        <w:t>revenue, and we may never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revenues and future profitability are entirely dependent upon one family of products, the CellFX System, and one platform technology, Nano-pulse Stimulation.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CellFX System, which consists of a console, connectors and end-effectors, and these products and all our potential products under development are based upon the same patented platform technology,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market the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pStyle w:val="TextBody"/>
        <w:bidi w:val="0"/>
        <w:spacing w:before="0" w:after="0"/>
        <w:ind w:left="0" w:right="0" w:firstLine="180"/>
        <w:jc w:val="both"/>
        <w:rPr/>
      </w:pPr>
      <w:r>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45" w:type="dxa"/>
            <w:tcBorders/>
            <w:vAlign w:val="center"/>
          </w:tcPr>
          <w:p>
            <w:pPr>
              <w:pStyle w:val="TableContents"/>
              <w:bidi w:val="0"/>
              <w:spacing w:before="0" w:after="283"/>
              <w:jc w:val="both"/>
              <w:rPr/>
            </w:pPr>
            <w:r>
              <w:rPr/>
              <w:t>lack of experience with our products;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lack of adequate reimbursement or patient costs or lack of evidence showing that procedures using our devices are reimbursable by third party payers;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lack of conviction regarding evidence supporting cost benefits or cost effectiveness of our products over existing alternatives;</w:t>
            </w:r>
          </w:p>
        </w:tc>
      </w:tr>
    </w:tbl>
    <w:p>
      <w:pPr>
        <w:pStyle w:val="TextBody"/>
        <w:bidi w:val="0"/>
        <w:spacing w:before="0" w:after="0"/>
        <w:ind w:left="0" w:right="0" w:hanging="0"/>
        <w:jc w:val="both"/>
        <w:rPr/>
      </w:pPr>
      <w:r>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pPr>
            <w:r>
              <w:rPr/>
              <w:t>lack of clinical data showing longer-term patient benefits;</w:t>
            </w:r>
          </w:p>
        </w:tc>
      </w:tr>
    </w:tbl>
    <w:p>
      <w:pPr>
        <w:pStyle w:val="TextBody"/>
        <w:bidi w:val="0"/>
        <w:spacing w:before="0" w:after="0"/>
        <w:ind w:left="0" w:right="0" w:hanging="0"/>
        <w:jc w:val="both"/>
        <w:rPr/>
      </w:pPr>
      <w:r>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283"/>
              <w:jc w:val="both"/>
              <w:rPr/>
            </w:pPr>
            <w:r>
              <w:rPr/>
              <w:t>the possible introduction of new technologies competitive to our products; and</w:t>
            </w:r>
          </w:p>
        </w:tc>
      </w:tr>
    </w:tbl>
    <w:p>
      <w:pPr>
        <w:pStyle w:val="TextBody"/>
        <w:bidi w:val="0"/>
        <w:spacing w:before="0" w:after="0"/>
        <w:ind w:left="0" w:right="0" w:hanging="0"/>
        <w:jc w:val="both"/>
        <w:rPr/>
      </w:pPr>
      <w:r>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35" w:type="dxa"/>
            <w:tcBorders/>
            <w:vAlign w:val="center"/>
          </w:tcPr>
          <w:p>
            <w:pPr>
              <w:pStyle w:val="TableContents"/>
              <w:bidi w:val="0"/>
              <w:spacing w:before="0" w:after="283"/>
              <w:jc w:val="both"/>
              <w:rPr/>
            </w:pPr>
            <w:r>
              <w:rPr/>
              <w:t>liability risks generally associated with the use of new products and procedures.</w:t>
            </w:r>
          </w:p>
        </w:tc>
      </w:tr>
    </w:tbl>
    <w:p>
      <w:pPr>
        <w:pStyle w:val="TextBody"/>
        <w:bidi w:val="0"/>
        <w:spacing w:before="0" w:after="0"/>
        <w:ind w:left="0" w:right="0" w:firstLine="180"/>
        <w:jc w:val="both"/>
        <w:rPr/>
      </w:pPr>
      <w:r>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Moreover, our products, including our platform NPS technology, could be rendered obsolete or economically impractical by numerous factors, many of which are beyond our control, including but not limited to:</w:t>
      </w:r>
    </w:p>
    <w:p>
      <w:pPr>
        <w:pStyle w:val="TextBody"/>
        <w:bidi w:val="0"/>
        <w:spacing w:before="0" w:after="0"/>
        <w:ind w:left="0" w:right="0" w:hanging="0"/>
        <w:jc w:val="both"/>
        <w:rPr/>
      </w:pPr>
      <w:r>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55" w:type="dxa"/>
            <w:tcBorders/>
            <w:vAlign w:val="center"/>
          </w:tcPr>
          <w:p>
            <w:pPr>
              <w:pStyle w:val="TableContents"/>
              <w:bidi w:val="0"/>
              <w:spacing w:before="0" w:after="283"/>
              <w:jc w:val="both"/>
              <w:rPr/>
            </w:pPr>
            <w:r>
              <w:rPr/>
              <w:t>entrance of new competitors into our markets;</w:t>
            </w:r>
          </w:p>
        </w:tc>
      </w:tr>
    </w:tbl>
    <w:p>
      <w:pPr>
        <w:pStyle w:val="TextBody"/>
        <w:bidi w:val="0"/>
        <w:spacing w:before="0" w:after="0"/>
        <w:ind w:left="0" w:right="0" w:hanging="0"/>
        <w:jc w:val="both"/>
        <w:rPr/>
      </w:pPr>
      <w:r>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pPr>
            <w:r>
              <w:rPr/>
              <w:t>technological advancements of alternative technologies;</w:t>
            </w:r>
          </w:p>
        </w:tc>
      </w:tr>
    </w:tbl>
    <w:p>
      <w:pPr>
        <w:pStyle w:val="TextBody"/>
        <w:bidi w:val="0"/>
        <w:spacing w:before="0" w:after="0"/>
        <w:ind w:left="0" w:right="0" w:hanging="0"/>
        <w:jc w:val="both"/>
        <w:rPr/>
      </w:pPr>
      <w:r>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20" w:type="dxa"/>
            <w:tcBorders/>
            <w:vAlign w:val="center"/>
          </w:tcPr>
          <w:p>
            <w:pPr>
              <w:pStyle w:val="TableContents"/>
              <w:bidi w:val="0"/>
              <w:spacing w:before="0" w:after="283"/>
              <w:jc w:val="both"/>
              <w:rPr/>
            </w:pPr>
            <w:r>
              <w:rPr/>
              <w:t>loss of key relationships with suppliers, group purchasing organizations, or end-user customers;</w:t>
            </w:r>
          </w:p>
        </w:tc>
      </w:tr>
    </w:tbl>
    <w:p>
      <w:pPr>
        <w:pStyle w:val="TextBody"/>
        <w:bidi w:val="0"/>
        <w:spacing w:before="0" w:after="0"/>
        <w:ind w:left="0" w:right="0" w:hanging="0"/>
        <w:jc w:val="both"/>
        <w:rPr/>
      </w:pPr>
      <w:r>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50" w:type="dxa"/>
            <w:tcBorders/>
            <w:vAlign w:val="center"/>
          </w:tcPr>
          <w:p>
            <w:pPr>
              <w:pStyle w:val="TableContents"/>
              <w:bidi w:val="0"/>
              <w:spacing w:before="0" w:after="283"/>
              <w:jc w:val="both"/>
              <w:rPr/>
            </w:pPr>
            <w:r>
              <w:rPr/>
              <w:t>manufacturing or supply interruptions;</w:t>
            </w:r>
          </w:p>
        </w:tc>
      </w:tr>
    </w:tbl>
    <w:p>
      <w:pPr>
        <w:pStyle w:val="TextBody"/>
        <w:bidi w:val="0"/>
        <w:spacing w:before="0" w:after="0"/>
        <w:ind w:left="0" w:right="0" w:hanging="0"/>
        <w:jc w:val="both"/>
        <w:rPr/>
      </w:pPr>
      <w:r>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pPr>
            <w:r>
              <w:rPr/>
              <w:t>product liability claims;</w:t>
            </w:r>
          </w:p>
        </w:tc>
      </w:tr>
    </w:tbl>
    <w:p>
      <w:pPr>
        <w:pStyle w:val="TextBody"/>
        <w:bidi w:val="0"/>
        <w:spacing w:before="0" w:after="0"/>
        <w:ind w:left="0" w:right="0" w:hanging="0"/>
        <w:jc w:val="both"/>
        <w:rPr/>
      </w:pPr>
      <w:r>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160" w:type="dxa"/>
            <w:tcBorders/>
            <w:vAlign w:val="center"/>
          </w:tcPr>
          <w:p>
            <w:pPr>
              <w:pStyle w:val="TableContents"/>
              <w:bidi w:val="0"/>
              <w:spacing w:before="0" w:after="283"/>
              <w:jc w:val="both"/>
              <w:rPr/>
            </w:pPr>
            <w:r>
              <w:rPr/>
              <w:t>trade tariffs;</w:t>
            </w:r>
          </w:p>
        </w:tc>
      </w:tr>
    </w:tbl>
    <w:p>
      <w:pPr>
        <w:pStyle w:val="TextBody"/>
        <w:bidi w:val="0"/>
        <w:spacing w:before="0" w:after="0"/>
        <w:ind w:left="0" w:right="0" w:hanging="0"/>
        <w:jc w:val="both"/>
        <w:rPr/>
      </w:pPr>
      <w:r>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0" w:type="dxa"/>
            <w:tcBorders/>
            <w:vAlign w:val="center"/>
          </w:tcPr>
          <w:p>
            <w:pPr>
              <w:pStyle w:val="TableContents"/>
              <w:bidi w:val="0"/>
              <w:spacing w:before="0" w:after="283"/>
              <w:jc w:val="both"/>
              <w:rPr/>
            </w:pPr>
            <w:r>
              <w:rPr/>
              <w:t>our reputation and product market acceptance;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loss of existing regulatory approvals or the imposition of new requirements to maintain such approvals or to receive new approvals; and</w:t>
            </w:r>
          </w:p>
        </w:tc>
      </w:tr>
    </w:tbl>
    <w:p>
      <w:pPr>
        <w:pStyle w:val="TextBody"/>
        <w:bidi w:val="0"/>
        <w:spacing w:before="0" w:after="0"/>
        <w:ind w:left="0" w:right="0" w:hanging="0"/>
        <w:jc w:val="both"/>
        <w:rPr/>
      </w:pPr>
      <w:r>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00" w:type="dxa"/>
            <w:tcBorders/>
            <w:vAlign w:val="center"/>
          </w:tcPr>
          <w:p>
            <w:pPr>
              <w:pStyle w:val="TableContents"/>
              <w:bidi w:val="0"/>
              <w:spacing w:before="0" w:after="283"/>
              <w:jc w:val="both"/>
              <w:rPr/>
            </w:pPr>
            <w:r>
              <w:rPr/>
              <w:t>product recalls or safety alerts.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fail to meet our publicly announced guidance or other expectations about our business and future operating results, which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operating results may fluctuate significantly, which makes our future operating results difficult to predict and could cause our operating results to fall below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timing and cost of, and level of investment in, research, development, and commercialization activities relating to our product and product candidates, which may change from time to time;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timing of receipt of approvals or clearances for our product candidates from regulatory authorities internationally or in the United States, such as the U.S. FDA;</w:t>
            </w:r>
          </w:p>
        </w:tc>
      </w:tr>
    </w:tbl>
    <w:p>
      <w:pPr>
        <w:pStyle w:val="TextBody"/>
        <w:bidi w:val="0"/>
        <w:spacing w:before="0" w:after="0"/>
        <w:ind w:left="0" w:right="0" w:hanging="0"/>
        <w:jc w:val="both"/>
        <w:rPr/>
      </w:pPr>
      <w:r>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300" w:type="dxa"/>
            <w:tcBorders/>
            <w:vAlign w:val="center"/>
          </w:tcPr>
          <w:p>
            <w:pPr>
              <w:pStyle w:val="TableContents"/>
              <w:bidi w:val="0"/>
              <w:spacing w:before="0" w:after="283"/>
              <w:jc w:val="both"/>
              <w:rPr/>
            </w:pPr>
            <w:r>
              <w:rPr/>
              <w:t>the timing and status of enrollment for our clinical trials;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costs of manufacturing our products, as well as building out our supply chain, which may vary depending on the quantity of production and which will vary significantly depending upon the terms of our agreements with manufacturers;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expenditures that we may incur to acquire, develop or commercialize additional product candidates and technologies;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level of demand for our product and any product candidates, if approved or cleared, which may vary significantly over time;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litigation, including patent, employment, securities class action, stockholder derivative, general commercial, and other lawsuits;</w:t>
            </w:r>
          </w:p>
        </w:tc>
      </w:tr>
    </w:tbl>
    <w:p>
      <w:pPr>
        <w:pStyle w:val="TextBody"/>
        <w:bidi w:val="0"/>
        <w:spacing w:before="0" w:after="0"/>
        <w:ind w:left="0" w:right="0" w:hanging="0"/>
        <w:jc w:val="both"/>
        <w:rPr/>
      </w:pPr>
      <w:r>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pPr>
            <w:r>
              <w:rPr/>
              <w:t>future accounting pronouncements or changes in our accounting policies;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timing and success or failure of nonclinical studies and clinical trials for our product candidates or competing product candidates, or any other change in the competitive landscape of our industry, including consolidation among our competitors or partners.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Because we operate in highly competitive markets, we can expect to face competition from large</w:t>
      </w:r>
      <w:r>
        <w:rPr>
          <w:rFonts w:ascii="Times New Roman" w:hAnsi="Times New Roman"/>
          <w:caps w:val="false"/>
          <w:smallCaps w:val="false"/>
          <w:sz w:val="20"/>
        </w:rPr>
        <w:t> </w:t>
      </w:r>
      <w:r>
        <w:rPr>
          <w:rFonts w:ascii="Times New Roman" w:hAnsi="Times New Roman"/>
          <w:b/>
          <w:i/>
          <w:caps w:val="false"/>
          <w:smallCaps w:val="false"/>
          <w:sz w:val="20"/>
        </w:rPr>
        <w:t>well-established manufacturers of medical technologies, devices and similar products; we may not be able to compete effectively against companies with significantly more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pStyle w:val="TextBody"/>
        <w:bidi w:val="0"/>
        <w:spacing w:before="0" w:after="0"/>
        <w:ind w:left="16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50" w:type="dxa"/>
            <w:tcBorders/>
            <w:vAlign w:val="center"/>
          </w:tcPr>
          <w:p>
            <w:pPr>
              <w:pStyle w:val="TableContents"/>
              <w:bidi w:val="0"/>
              <w:spacing w:before="0" w:after="283"/>
              <w:jc w:val="both"/>
              <w:rPr/>
            </w:pPr>
            <w:r>
              <w:rPr/>
              <w:t>significantly greater name recognition;</w:t>
            </w:r>
          </w:p>
        </w:tc>
      </w:tr>
    </w:tbl>
    <w:p>
      <w:pPr>
        <w:pStyle w:val="TextBody"/>
        <w:bidi w:val="0"/>
        <w:spacing w:before="0" w:after="0"/>
        <w:ind w:left="16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20" w:type="dxa"/>
            <w:tcBorders/>
            <w:vAlign w:val="center"/>
          </w:tcPr>
          <w:p>
            <w:pPr>
              <w:pStyle w:val="TableContents"/>
              <w:bidi w:val="0"/>
              <w:spacing w:before="0" w:after="283"/>
              <w:jc w:val="both"/>
              <w:rPr/>
            </w:pPr>
            <w:r>
              <w:rPr/>
              <w:t>established relationships with healthcare professionals, customers, and third-party payers;</w:t>
            </w:r>
          </w:p>
        </w:tc>
      </w:tr>
    </w:tbl>
    <w:p>
      <w:pPr>
        <w:pStyle w:val="TextBody"/>
        <w:bidi w:val="0"/>
        <w:spacing w:before="0" w:after="0"/>
        <w:ind w:left="16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75" w:type="dxa"/>
            <w:tcBorders/>
            <w:vAlign w:val="center"/>
          </w:tcPr>
          <w:p>
            <w:pPr>
              <w:pStyle w:val="TableContents"/>
              <w:bidi w:val="0"/>
              <w:spacing w:before="0" w:after="283"/>
              <w:jc w:val="both"/>
              <w:rPr/>
            </w:pPr>
            <w:r>
              <w:rPr/>
              <w:t>competitive products with greater efficacy or better safety profiles;</w:t>
            </w:r>
          </w:p>
        </w:tc>
      </w:tr>
    </w:tbl>
    <w:p>
      <w:pPr>
        <w:pStyle w:val="TextBody"/>
        <w:bidi w:val="0"/>
        <w:spacing w:before="0" w:after="0"/>
        <w:ind w:left="16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pPr>
            <w:r>
              <w:rPr/>
              <w:t>established distribution networks;</w:t>
            </w:r>
          </w:p>
        </w:tc>
      </w:tr>
    </w:tbl>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additional lines of products and the ability to offer rebates, higher discounts, or incentives to gain a competitive advantage;</w:t>
            </w:r>
          </w:p>
        </w:tc>
      </w:tr>
    </w:tbl>
    <w:p>
      <w:pPr>
        <w:pStyle w:val="TextBody"/>
        <w:bidi w:val="0"/>
        <w:spacing w:before="0" w:after="0"/>
        <w:ind w:left="16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70"/>
        <w:gridCol w:w="8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85" w:type="dxa"/>
            <w:tcBorders/>
            <w:vAlign w:val="center"/>
          </w:tcPr>
          <w:p>
            <w:pPr>
              <w:pStyle w:val="TableContents"/>
              <w:bidi w:val="0"/>
              <w:spacing w:before="0" w:after="283"/>
              <w:jc w:val="both"/>
              <w:rPr/>
            </w:pPr>
            <w:r>
              <w:rPr/>
              <w:t>greater experience in obtaining patents and regulatory approvals for product candidates;</w:t>
            </w:r>
          </w:p>
        </w:tc>
      </w:tr>
    </w:tbl>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greater experience conducting new product research and development, manufacturing therapies, conducting clinical trials, obtaining regulatory approval for products, and marketing approved products; and</w:t>
            </w:r>
          </w:p>
        </w:tc>
      </w:tr>
    </w:tbl>
    <w:p>
      <w:pPr>
        <w:pStyle w:val="TextBody"/>
        <w:bidi w:val="0"/>
        <w:spacing w:before="0" w:after="0"/>
        <w:ind w:left="16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30" w:type="dxa"/>
            <w:tcBorders/>
            <w:vAlign w:val="center"/>
          </w:tcPr>
          <w:p>
            <w:pPr>
              <w:pStyle w:val="TableContents"/>
              <w:bidi w:val="0"/>
              <w:spacing w:before="0" w:after="283"/>
              <w:jc w:val="both"/>
              <w:rPr/>
            </w:pPr>
            <w:r>
              <w:rPr/>
              <w:t>greater financial and human resources for product development, sales and marketing.</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but has recently seen increased use of a different type of PFA called micro-PFA.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rely on third parties for our sales, marketing, manufacturing, and/or distribution activities, and these third parties may not perform satisfactorily.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Paul LaViolette, our Chief Financial Officer, Jon Skinner,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very limited experience selling the CellFX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2024, we had no international sales force and very few employees in the Unites States with sales and marketing experience. We have only just recently begun to hire employees to help market and sell our nsPFA Percutaneous Electrode System. We therefore have limited experience marketing and selling the CellFX System and our revenues and cash flows have been volatile and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commercialization efforts depend on the efforts of our management and sales team, our third-party manufacturers and suppliers, physicians and medical clinics, and general economic conditions, among other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283"/>
              <w:jc w:val="both"/>
              <w:rPr>
                <w:sz w:val="20"/>
              </w:rPr>
            </w:pPr>
            <w:r>
              <w:rPr>
                <w:sz w:val="20"/>
              </w:rPr>
              <w:t>the effectiveness of our marketing and sales efforts in the United States and internationally;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sz w:val="20"/>
              </w:rPr>
            </w:pPr>
            <w:r>
              <w:rPr>
                <w:sz w:val="20"/>
              </w:rPr>
              <w:t>our success in educating surgeons and other physicians and patients about the benefits, administration and use of our products;</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50" w:type="dxa"/>
            <w:tcBorders/>
            <w:vAlign w:val="center"/>
          </w:tcPr>
          <w:p>
            <w:pPr>
              <w:pStyle w:val="TableContents"/>
              <w:bidi w:val="0"/>
              <w:spacing w:before="0" w:after="283"/>
              <w:jc w:val="both"/>
              <w:rPr>
                <w:sz w:val="20"/>
              </w:rPr>
            </w:pPr>
            <w:r>
              <w:rPr>
                <w:sz w:val="20"/>
              </w:rPr>
              <w:t>the acceptance by physicians and patients of the safety and effectiveness of our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sz w:val="20"/>
              </w:rPr>
            </w:pPr>
            <w:r>
              <w:rPr>
                <w:sz w:val="20"/>
              </w:rPr>
              <w:t>the availability, perceived advantages, relative cost, relative safety, and relative efficacy of alternative and competing therapies; and</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sz w:val="20"/>
              </w:rPr>
            </w:pPr>
            <w:r>
              <w:rPr>
                <w:sz w:val="20"/>
              </w:rPr>
              <w:t>our ability to achieve and maintain compliance with all regulatory requirements applicable to our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Rapidly changing technology in life sciences could make the products we are developing obsolete.</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manage the anticipated growth of our business, our future revenue and operating results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currently experiencing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b/>
          <w:i/>
          <w:caps w:val="false"/>
          <w:smallCaps w:val="false"/>
          <w:sz w:val="20"/>
        </w:rPr>
      </w:pPr>
      <w:r>
        <w:rPr>
          <w:rFonts w:ascii="Times New Roman" w:hAnsi="Times New Roman"/>
          <w:b/>
          <w:i/>
          <w:caps w:val="false"/>
          <w:smallCaps w:val="false"/>
          <w:sz w:val="20"/>
        </w:rPr>
        <w:t>We must successfully educate and train surgeons and their staff on the proper use of the CellFX System; if our customers do not adopt our technology into their medical practices, or adopt our technology slower than expected,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components needed to manufacture the CellFX System and related applicators. Any problems experienced by these suppliers could result in a delay or interruption of their supply to us and, as a result, we may face delays in the development and commercialization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CellFX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Product Development and Product-Related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CellFX 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CellFX System, a number of potentially significant negative consequences could result, including:</w:t>
      </w:r>
    </w:p>
    <w:p>
      <w:pPr>
        <w:pStyle w:val="TextBody"/>
        <w:bidi w:val="0"/>
        <w:spacing w:before="0" w:after="0"/>
        <w:ind w:left="16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170"/>
        <w:gridCol w:w="79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85" w:type="dxa"/>
            <w:tcBorders/>
            <w:vAlign w:val="center"/>
          </w:tcPr>
          <w:p>
            <w:pPr>
              <w:pStyle w:val="TableContents"/>
              <w:bidi w:val="0"/>
              <w:spacing w:before="0" w:after="283"/>
              <w:jc w:val="both"/>
              <w:rPr/>
            </w:pPr>
            <w:r>
              <w:rPr/>
              <w:t>we may be forced to recall such product and suspend the marketing of such product;</w:t>
            </w:r>
          </w:p>
        </w:tc>
      </w:tr>
    </w:tbl>
    <w:p>
      <w:pPr>
        <w:pStyle w:val="TextBody"/>
        <w:bidi w:val="0"/>
        <w:spacing w:before="0" w:after="0"/>
        <w:ind w:left="0" w:right="0" w:hanging="0"/>
        <w:jc w:val="both"/>
        <w:rPr/>
      </w:pPr>
      <w:r>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00" w:type="dxa"/>
            <w:tcBorders/>
            <w:vAlign w:val="center"/>
          </w:tcPr>
          <w:p>
            <w:pPr>
              <w:pStyle w:val="TableContents"/>
              <w:bidi w:val="0"/>
              <w:spacing w:before="0" w:after="283"/>
              <w:jc w:val="both"/>
              <w:rPr/>
            </w:pPr>
            <w:r>
              <w:rPr/>
              <w:t>regulatory authorities may withdraw their approvals of such product;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regulatory authorities may require additional warnings on the label and/or narrow the indication of use for the product which could diminish the usage or otherwise limit the commercial success of such product;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FDA or other regulatory authorities may issue safety alerts, “Dear Healthcare Provider” letters, press releases, or other communications containing warnings about such product;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FDA may restrict distribution of our product and impose burdensome implementation requirements on us;</w:t>
            </w:r>
          </w:p>
        </w:tc>
      </w:tr>
    </w:tbl>
    <w:p>
      <w:pPr>
        <w:pStyle w:val="TextBody"/>
        <w:bidi w:val="0"/>
        <w:spacing w:before="0" w:after="0"/>
        <w:ind w:left="0" w:right="0" w:hanging="0"/>
        <w:jc w:val="left"/>
        <w:rPr/>
      </w:pPr>
      <w:r>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50" w:type="dxa"/>
            <w:tcBorders/>
            <w:vAlign w:val="center"/>
          </w:tcPr>
          <w:p>
            <w:pPr>
              <w:pStyle w:val="TableContents"/>
              <w:bidi w:val="0"/>
              <w:spacing w:before="0" w:after="283"/>
              <w:jc w:val="both"/>
              <w:rPr/>
            </w:pPr>
            <w:r>
              <w:rPr/>
              <w:t>we may be required to change the way the product is administered or conduct additional clinical trials;</w:t>
            </w:r>
          </w:p>
        </w:tc>
      </w:tr>
    </w:tbl>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50" w:type="dxa"/>
            <w:tcBorders/>
            <w:vAlign w:val="center"/>
          </w:tcPr>
          <w:p>
            <w:pPr>
              <w:pStyle w:val="TableContents"/>
              <w:bidi w:val="0"/>
              <w:spacing w:before="0" w:after="283"/>
              <w:jc w:val="both"/>
              <w:rPr/>
            </w:pPr>
            <w:r>
              <w:rPr/>
              <w:t>we could be sued and held liable for harm caused to subjects or patients; and</w:t>
            </w:r>
          </w:p>
        </w:tc>
      </w:tr>
    </w:tbl>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00" w:type="dxa"/>
            <w:tcBorders/>
            <w:vAlign w:val="center"/>
          </w:tcPr>
          <w:p>
            <w:pPr>
              <w:pStyle w:val="TableContents"/>
              <w:bidi w:val="0"/>
              <w:spacing w:before="0" w:after="283"/>
              <w:jc w:val="both"/>
              <w:rPr/>
            </w:pPr>
            <w:r>
              <w:rPr/>
              <w:t>our reputation could suffer.</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CellFX System or of any future particular planned product,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limited clinical experience treating AF with our nsPFA 360° Cardiac Catheter and our nsPFA Cardiac Surgery Clamp and only limited clinical experience treating benign thyroid nodules with our nsPFA Percutaneous Electrode System; our past successes in dermatology may not translate into similar results in cardiology or in any other medical field.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Our long-term growth depends on our ability to develop marketable products to treat AF, tumors and nodules</w:t>
      </w:r>
      <w:r>
        <w:rPr>
          <w:rFonts w:ascii="Times New Roman" w:hAnsi="Times New Roman"/>
          <w:caps w:val="false"/>
          <w:smallCaps w:val="false"/>
          <w:sz w:val="20"/>
        </w:rPr>
        <w:t> </w:t>
      </w:r>
      <w:r>
        <w:rPr>
          <w:rFonts w:ascii="Times New Roman" w:hAnsi="Times New Roman"/>
          <w:b/>
          <w:i/>
          <w:caps w:val="false"/>
          <w:smallCaps w:val="false"/>
          <w:sz w:val="20"/>
        </w:rPr>
        <w:t>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Interim</w:t>
      </w:r>
      <w:r>
        <w:rPr>
          <w:rFonts w:ascii="Times New Roman" w:hAnsi="Times New Roman"/>
          <w:caps w:val="false"/>
          <w:smallCaps w:val="false"/>
          <w:sz w:val="20"/>
        </w:rPr>
        <w:t> “</w:t>
      </w:r>
      <w:r>
        <w:rPr>
          <w:rFonts w:ascii="Times New Roman" w:hAnsi="Times New Roman"/>
          <w:b/>
          <w:i/>
          <w:caps w:val="false"/>
          <w:smallCaps w:val="false"/>
          <w:sz w:val="20"/>
        </w:rPr>
        <w:t>top-line</w:t>
      </w:r>
      <w:r>
        <w:rPr>
          <w:rFonts w:ascii="Times New Roman" w:hAnsi="Times New Roman"/>
          <w:caps w:val="false"/>
          <w:smallCaps w:val="false"/>
          <w:sz w:val="20"/>
        </w:rPr>
        <w:t>”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fail to maintain necessary regulatory clearance for our products, or if clearances or approvals for future devices and indications are delayed or not issued, the commercial prospects for our CellFX System and other NPS technologies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bidi w:val="0"/>
        <w:spacing w:before="0" w:after="0"/>
        <w:ind w:left="0" w:right="0" w:hanging="0"/>
        <w:jc w:val="both"/>
        <w:rPr/>
      </w:pPr>
      <w:r>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55" w:type="dxa"/>
            <w:tcBorders/>
            <w:vAlign w:val="center"/>
          </w:tcPr>
          <w:p>
            <w:pPr>
              <w:pStyle w:val="TableContents"/>
              <w:bidi w:val="0"/>
              <w:spacing w:before="0" w:after="283"/>
              <w:jc w:val="both"/>
              <w:rPr/>
            </w:pPr>
            <w:r>
              <w:rPr/>
              <w:t>device design, development and manufacture;</w:t>
            </w:r>
          </w:p>
        </w:tc>
      </w:tr>
    </w:tbl>
    <w:p>
      <w:pPr>
        <w:pStyle w:val="TextBody"/>
        <w:bidi w:val="0"/>
        <w:spacing w:before="0" w:after="0"/>
        <w:ind w:left="0" w:right="0" w:hanging="0"/>
        <w:jc w:val="left"/>
        <w:rPr/>
      </w:pPr>
      <w:r>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30" w:type="dxa"/>
            <w:tcBorders/>
            <w:vAlign w:val="center"/>
          </w:tcPr>
          <w:p>
            <w:pPr>
              <w:pStyle w:val="TableContents"/>
              <w:bidi w:val="0"/>
              <w:spacing w:before="0" w:after="283"/>
              <w:jc w:val="both"/>
              <w:rPr/>
            </w:pPr>
            <w:r>
              <w:rPr/>
              <w:t>laboratory, preclinical and clinical testing, labeling, packaging, and storage;</w:t>
            </w:r>
          </w:p>
        </w:tc>
      </w:tr>
    </w:tbl>
    <w:p>
      <w:pPr>
        <w:pStyle w:val="TextBody"/>
        <w:bidi w:val="0"/>
        <w:spacing w:before="0" w:after="0"/>
        <w:ind w:left="0" w:right="0" w:hanging="0"/>
        <w:jc w:val="left"/>
        <w:rPr/>
      </w:pPr>
      <w:r>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pPr>
            <w:r>
              <w:rPr/>
              <w:t>premarketing clearance or approval;</w:t>
            </w:r>
          </w:p>
        </w:tc>
      </w:tr>
    </w:tbl>
    <w:p>
      <w:pPr>
        <w:pStyle w:val="TextBody"/>
        <w:bidi w:val="0"/>
        <w:spacing w:before="0" w:after="0"/>
        <w:ind w:left="0" w:right="0" w:hanging="0"/>
        <w:jc w:val="left"/>
        <w:rPr/>
      </w:pPr>
      <w:r>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505" w:type="dxa"/>
            <w:tcBorders/>
            <w:vAlign w:val="center"/>
          </w:tcPr>
          <w:p>
            <w:pPr>
              <w:pStyle w:val="TableContents"/>
              <w:bidi w:val="0"/>
              <w:spacing w:before="0" w:after="283"/>
              <w:jc w:val="both"/>
              <w:rPr/>
            </w:pPr>
            <w:r>
              <w:rPr/>
              <w:t>record keeping;</w:t>
            </w:r>
          </w:p>
        </w:tc>
      </w:tr>
    </w:tbl>
    <w:p>
      <w:pPr>
        <w:pStyle w:val="TextBody"/>
        <w:bidi w:val="0"/>
        <w:spacing w:before="0" w:after="0"/>
        <w:ind w:left="0" w:right="0" w:hanging="0"/>
        <w:jc w:val="left"/>
        <w:rPr/>
      </w:pPr>
      <w:r>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pPr>
            <w:r>
              <w:rPr/>
              <w:t>device marketing, promotion and advertising, sales and distribution;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post-marketing surveillance, including reporting of deaths and serious injuries and recalls and correction and removals.</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0" w:after="0"/>
        <w:ind w:left="0" w:right="0" w:firstLine="54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283"/>
              <w:jc w:val="both"/>
              <w:rPr/>
            </w:pPr>
            <w:r>
              <w:rPr/>
              <w:t>adverse publicity, warning letters, fines, injunctions, consent decrees, and civil penalties;</w:t>
            </w:r>
          </w:p>
        </w:tc>
      </w:tr>
    </w:tbl>
    <w:p>
      <w:pPr>
        <w:pStyle w:val="TextBody"/>
        <w:bidi w:val="0"/>
        <w:spacing w:before="0" w:after="0"/>
        <w:ind w:left="0" w:right="0" w:hanging="0"/>
        <w:jc w:val="left"/>
        <w:rPr/>
      </w:pPr>
      <w:r>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55" w:type="dxa"/>
            <w:tcBorders/>
            <w:vAlign w:val="center"/>
          </w:tcPr>
          <w:p>
            <w:pPr>
              <w:pStyle w:val="TableContents"/>
              <w:bidi w:val="0"/>
              <w:spacing w:before="0" w:after="283"/>
              <w:jc w:val="both"/>
              <w:rPr/>
            </w:pPr>
            <w:r>
              <w:rPr/>
              <w:t>obligations to repair, replace, refund, or recall our marketed devices, or government seizure of them;</w:t>
            </w:r>
          </w:p>
        </w:tc>
      </w:tr>
    </w:tbl>
    <w:p>
      <w:pPr>
        <w:pStyle w:val="TextBody"/>
        <w:bidi w:val="0"/>
        <w:spacing w:before="0" w:after="0"/>
        <w:ind w:left="0" w:right="0" w:hanging="0"/>
        <w:jc w:val="left"/>
        <w:rPr/>
      </w:pPr>
      <w:r>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65" w:type="dxa"/>
            <w:tcBorders/>
            <w:vAlign w:val="center"/>
          </w:tcPr>
          <w:p>
            <w:pPr>
              <w:pStyle w:val="TableContents"/>
              <w:bidi w:val="0"/>
              <w:spacing w:before="0" w:after="283"/>
              <w:jc w:val="both"/>
              <w:rPr/>
            </w:pPr>
            <w:r>
              <w:rPr/>
              <w:t>operating restrictions, partial suspension, or total shutdown of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refusing our requests for 510(k) clearance or premarket approval of new devices, new intended uses or modifications to existing devices;</w:t>
            </w:r>
          </w:p>
        </w:tc>
      </w:tr>
    </w:tbl>
    <w:p>
      <w:pPr>
        <w:pStyle w:val="TextBody"/>
        <w:bidi w:val="0"/>
        <w:spacing w:before="0" w:after="0"/>
        <w:ind w:left="0" w:right="0" w:hanging="0"/>
        <w:jc w:val="left"/>
        <w:rPr/>
      </w:pPr>
      <w:r>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pPr>
            <w:r>
              <w:rPr/>
              <w:t>withdrawing 510(k) clearance or premarket approvals that have already been granted; and</w:t>
            </w:r>
          </w:p>
        </w:tc>
      </w:tr>
    </w:tbl>
    <w:p>
      <w:pPr>
        <w:pStyle w:val="TextBody"/>
        <w:bidi w:val="0"/>
        <w:spacing w:before="0" w:after="0"/>
        <w:ind w:left="0" w:right="0" w:hanging="0"/>
        <w:jc w:val="left"/>
        <w:rPr/>
      </w:pPr>
      <w:r>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015" w:type="dxa"/>
            <w:tcBorders/>
            <w:vAlign w:val="center"/>
          </w:tcPr>
          <w:p>
            <w:pPr>
              <w:pStyle w:val="TableContents"/>
              <w:bidi w:val="0"/>
              <w:spacing w:before="0" w:after="283"/>
              <w:jc w:val="both"/>
              <w:rPr/>
            </w:pPr>
            <w:r>
              <w:rPr/>
              <w:t>criminal prosecution.</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NPS technology platform has not been fully determined or validated.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Laboratory conditions differ from commercial conditions and field conditions, and the safety and effectiveness of our product candidates may depend on the technique of the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Risks Related to Intellectual Property, Cybersecurity,</w:t>
      </w:r>
      <w:r>
        <w:rPr>
          <w:rFonts w:ascii="Times New Roman" w:hAnsi="Times New Roman"/>
          <w:caps w:val="false"/>
          <w:smallCaps w:val="false"/>
          <w:sz w:val="20"/>
        </w:rPr>
        <w:t> </w:t>
      </w:r>
      <w:r>
        <w:rPr>
          <w:rFonts w:ascii="Times New Roman" w:hAnsi="Times New Roman"/>
          <w:b/>
          <w:caps w:val="false"/>
          <w:smallCaps w:val="false"/>
          <w:sz w:val="20"/>
        </w:rPr>
        <w:t>Data Privacy, &amp;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others may be able to make products that are similar to our product candidates but that are not covered by the claims of the patents that we own or have exclusively licensed;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others may independently develop similar or alternative technologies without infringing on our intellectual property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issued patents that we own or have exclusively licensed may not provide us with any competitive advantages, or may be held invalid or unenforceable, as a result of legal challenges by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55" w:type="dxa"/>
            <w:tcBorders/>
            <w:vAlign w:val="center"/>
          </w:tcPr>
          <w:p>
            <w:pPr>
              <w:pStyle w:val="TableContents"/>
              <w:bidi w:val="0"/>
              <w:spacing w:before="0" w:after="283"/>
              <w:jc w:val="both"/>
              <w:rPr/>
            </w:pPr>
            <w:r>
              <w:rPr/>
              <w:t>we may fail to develop additional proprietary technologies that are patentable;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patents of others may have an adverse effect on our business, for example by preventing us from marketing one or more of our product candidates for one or more indications.</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intellectual property used in our products, others may be able to copy our innovations which may impair our ability to compete effectively in our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 or any future products that we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pStyle w:val="TextBody"/>
        <w:bidi w:val="0"/>
        <w:spacing w:before="0" w:after="0"/>
        <w:ind w:left="140" w:right="0" w:firstLine="54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our product or any planned products that we may develop;</w:t>
            </w:r>
          </w:p>
        </w:tc>
      </w:tr>
    </w:tbl>
    <w:p>
      <w:pPr>
        <w:pStyle w:val="TextBody"/>
        <w:bidi w:val="0"/>
        <w:spacing w:before="0" w:after="0"/>
        <w:ind w:left="0" w:right="0" w:hanging="0"/>
        <w:jc w:val="both"/>
        <w:rPr/>
      </w:pPr>
      <w:r>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283"/>
              <w:jc w:val="both"/>
              <w:rPr/>
            </w:pPr>
            <w:r>
              <w:rPr/>
              <w:t>injury to our reputation and significant negative media attention;</w:t>
            </w:r>
          </w:p>
        </w:tc>
      </w:tr>
    </w:tbl>
    <w:p>
      <w:pPr>
        <w:pStyle w:val="TextBody"/>
        <w:bidi w:val="0"/>
        <w:spacing w:before="0" w:after="0"/>
        <w:ind w:left="0" w:right="0" w:hanging="0"/>
        <w:jc w:val="both"/>
        <w:rPr/>
      </w:pPr>
      <w:r>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20" w:type="dxa"/>
            <w:tcBorders/>
            <w:vAlign w:val="center"/>
          </w:tcPr>
          <w:p>
            <w:pPr>
              <w:pStyle w:val="TableContents"/>
              <w:bidi w:val="0"/>
              <w:spacing w:before="0" w:after="283"/>
              <w:jc w:val="both"/>
              <w:rPr/>
            </w:pPr>
            <w:r>
              <w:rPr/>
              <w:t>withdrawal of patients from our clinical studies or cancellation of studies;</w:t>
            </w:r>
          </w:p>
        </w:tc>
      </w:tr>
    </w:tbl>
    <w:p>
      <w:pPr>
        <w:pStyle w:val="TextBody"/>
        <w:bidi w:val="0"/>
        <w:spacing w:before="0" w:after="0"/>
        <w:ind w:left="0" w:right="0" w:hanging="0"/>
        <w:jc w:val="both"/>
        <w:rPr/>
      </w:pPr>
      <w:r>
        <w:rPr/>
        <w:t> </w:t>
      </w:r>
    </w:p>
    <w:tbl>
      <w:tblPr>
        <w:tblW w:w="8530" w:type="dxa"/>
        <w:jc w:val="left"/>
        <w:tblInd w:w="0" w:type="dxa"/>
        <w:tblLayout w:type="fixed"/>
        <w:tblCellMar>
          <w:top w:w="0" w:type="dxa"/>
          <w:left w:w="0" w:type="dxa"/>
          <w:bottom w:w="0" w:type="dxa"/>
          <w:right w:w="0" w:type="dxa"/>
        </w:tblCellMar>
      </w:tblPr>
      <w:tblGrid>
        <w:gridCol w:w="75"/>
        <w:gridCol w:w="170"/>
        <w:gridCol w:w="8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85" w:type="dxa"/>
            <w:tcBorders/>
            <w:vAlign w:val="center"/>
          </w:tcPr>
          <w:p>
            <w:pPr>
              <w:pStyle w:val="TableContents"/>
              <w:bidi w:val="0"/>
              <w:spacing w:before="0" w:after="283"/>
              <w:jc w:val="both"/>
              <w:rPr/>
            </w:pPr>
            <w:r>
              <w:rPr/>
              <w:t>significant costs to defend the related litigation and distraction to our management team;</w:t>
            </w:r>
          </w:p>
        </w:tc>
      </w:tr>
    </w:tbl>
    <w:p>
      <w:pPr>
        <w:pStyle w:val="TextBody"/>
        <w:bidi w:val="0"/>
        <w:spacing w:before="0" w:after="0"/>
        <w:ind w:left="0" w:right="0" w:hanging="0"/>
        <w:jc w:val="both"/>
        <w:rPr/>
      </w:pPr>
      <w:r>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pPr>
            <w:r>
              <w:rPr/>
              <w:t>substantial monetary awards to patients;</w:t>
            </w:r>
          </w:p>
        </w:tc>
      </w:tr>
    </w:tbl>
    <w:p>
      <w:pPr>
        <w:pStyle w:val="TextBody"/>
        <w:bidi w:val="0"/>
        <w:spacing w:before="0" w:after="0"/>
        <w:ind w:left="0" w:right="0" w:hanging="0"/>
        <w:jc w:val="both"/>
        <w:rPr/>
      </w:pPr>
      <w:r>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520" w:type="dxa"/>
            <w:tcBorders/>
            <w:vAlign w:val="center"/>
          </w:tcPr>
          <w:p>
            <w:pPr>
              <w:pStyle w:val="TableContents"/>
              <w:bidi w:val="0"/>
              <w:spacing w:before="0" w:after="283"/>
              <w:jc w:val="both"/>
              <w:rPr/>
            </w:pPr>
            <w:r>
              <w:rPr/>
              <w:t>loss of revenue;</w:t>
            </w:r>
          </w:p>
        </w:tc>
      </w:tr>
    </w:tbl>
    <w:p>
      <w:pPr>
        <w:pStyle w:val="TextBody"/>
        <w:bidi w:val="0"/>
        <w:spacing w:before="0" w:after="0"/>
        <w:ind w:left="0" w:right="0" w:hanging="0"/>
        <w:jc w:val="both"/>
        <w:rPr/>
      </w:pPr>
      <w:r>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80" w:type="dxa"/>
            <w:tcBorders/>
            <w:vAlign w:val="center"/>
          </w:tcPr>
          <w:p>
            <w:pPr>
              <w:pStyle w:val="TableContents"/>
              <w:bidi w:val="0"/>
              <w:spacing w:before="0" w:after="283"/>
              <w:jc w:val="both"/>
              <w:rPr/>
            </w:pPr>
            <w:r>
              <w:rPr/>
              <w:t>government investigations or enforcement actions; and</w:t>
            </w:r>
          </w:p>
        </w:tc>
      </w:tr>
    </w:tbl>
    <w:p>
      <w:pPr>
        <w:pStyle w:val="TextBody"/>
        <w:bidi w:val="0"/>
        <w:spacing w:before="0" w:after="0"/>
        <w:ind w:left="0" w:right="0" w:hanging="0"/>
        <w:jc w:val="both"/>
        <w:rPr/>
      </w:pPr>
      <w:r>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85" w:type="dxa"/>
            <w:tcBorders/>
            <w:vAlign w:val="center"/>
          </w:tcPr>
          <w:p>
            <w:pPr>
              <w:pStyle w:val="TableContents"/>
              <w:bidi w:val="0"/>
              <w:spacing w:before="0" w:after="283"/>
              <w:jc w:val="both"/>
              <w:rPr/>
            </w:pPr>
            <w:r>
              <w:rPr/>
              <w:t>the inability to commercialize any future products that we may develop.</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if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bidi w:val="0"/>
        <w:spacing w:before="0" w:after="0"/>
        <w:ind w:left="0" w:right="0" w:firstLine="54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 significant indeterminate amount of time;</w:t>
            </w:r>
          </w:p>
        </w:tc>
      </w:tr>
    </w:tbl>
    <w:p>
      <w:pPr>
        <w:pStyle w:val="TextBody"/>
        <w:bidi w:val="0"/>
        <w:spacing w:before="0" w:after="0"/>
        <w:ind w:left="0" w:right="0" w:hanging="0"/>
        <w:jc w:val="both"/>
        <w:rPr/>
      </w:pPr>
      <w:r>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520" w:type="dxa"/>
            <w:tcBorders/>
            <w:vAlign w:val="center"/>
          </w:tcPr>
          <w:p>
            <w:pPr>
              <w:pStyle w:val="TableContents"/>
              <w:bidi w:val="0"/>
              <w:spacing w:before="0" w:after="283"/>
              <w:jc w:val="both"/>
              <w:rPr/>
            </w:pPr>
            <w:r>
              <w:rPr/>
              <w:t>require the expenditure of substantial resources;</w:t>
            </w:r>
          </w:p>
        </w:tc>
      </w:tr>
    </w:tbl>
    <w:p>
      <w:pPr>
        <w:pStyle w:val="TextBody"/>
        <w:bidi w:val="0"/>
        <w:spacing w:before="0" w:after="0"/>
        <w:ind w:left="0" w:right="0" w:hanging="0"/>
        <w:jc w:val="both"/>
        <w:rPr/>
      </w:pPr>
      <w:r>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50" w:type="dxa"/>
            <w:tcBorders/>
            <w:vAlign w:val="center"/>
          </w:tcPr>
          <w:p>
            <w:pPr>
              <w:pStyle w:val="TableContents"/>
              <w:bidi w:val="0"/>
              <w:spacing w:before="0" w:after="283"/>
              <w:jc w:val="both"/>
              <w:rPr/>
            </w:pPr>
            <w:r>
              <w:rPr/>
              <w:t>involve rigorous preclinical and clinical testing, and possibly post-market surveillance;</w:t>
            </w:r>
          </w:p>
        </w:tc>
      </w:tr>
    </w:tbl>
    <w:p>
      <w:pPr>
        <w:pStyle w:val="TextBody"/>
        <w:bidi w:val="0"/>
        <w:spacing w:before="0" w:after="0"/>
        <w:ind w:left="0" w:right="0" w:hanging="0"/>
        <w:jc w:val="both"/>
        <w:rPr/>
      </w:pPr>
      <w:r>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30" w:type="dxa"/>
            <w:tcBorders/>
            <w:vAlign w:val="center"/>
          </w:tcPr>
          <w:p>
            <w:pPr>
              <w:pStyle w:val="TableContents"/>
              <w:bidi w:val="0"/>
              <w:spacing w:before="0" w:after="283"/>
              <w:jc w:val="both"/>
              <w:rPr/>
            </w:pPr>
            <w:r>
              <w:rPr/>
              <w:t>involve modifications, repairs or replacements of our products;</w:t>
            </w:r>
          </w:p>
        </w:tc>
      </w:tr>
    </w:tbl>
    <w:p>
      <w:pPr>
        <w:pStyle w:val="TextBody"/>
        <w:bidi w:val="0"/>
        <w:spacing w:before="0" w:after="0"/>
        <w:ind w:left="0" w:right="0" w:hanging="0"/>
        <w:jc w:val="both"/>
        <w:rPr/>
      </w:pPr>
      <w:r>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55" w:type="dxa"/>
            <w:tcBorders/>
            <w:vAlign w:val="center"/>
          </w:tcPr>
          <w:p>
            <w:pPr>
              <w:pStyle w:val="TableContents"/>
              <w:bidi w:val="0"/>
              <w:spacing w:before="0" w:after="283"/>
              <w:jc w:val="both"/>
              <w:rPr/>
            </w:pPr>
            <w:r>
              <w:rPr/>
              <w:t>require design changes of our products;</w:t>
            </w:r>
          </w:p>
        </w:tc>
      </w:tr>
    </w:tbl>
    <w:p>
      <w:pPr>
        <w:pStyle w:val="TextBody"/>
        <w:bidi w:val="0"/>
        <w:spacing w:before="0" w:after="0"/>
        <w:ind w:left="0" w:right="0" w:hanging="0"/>
        <w:jc w:val="both"/>
        <w:rPr/>
      </w:pPr>
      <w:r>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10" w:type="dxa"/>
            <w:tcBorders/>
            <w:vAlign w:val="center"/>
          </w:tcPr>
          <w:p>
            <w:pPr>
              <w:pStyle w:val="TableContents"/>
              <w:bidi w:val="0"/>
              <w:spacing w:before="0" w:after="283"/>
              <w:jc w:val="both"/>
              <w:rPr/>
            </w:pPr>
            <w:r>
              <w:rPr/>
              <w:t>result in limitations on the indicated uses of our products; and</w:t>
            </w:r>
          </w:p>
        </w:tc>
      </w:tr>
    </w:tbl>
    <w:p>
      <w:pPr>
        <w:pStyle w:val="TextBody"/>
        <w:bidi w:val="0"/>
        <w:spacing w:before="0" w:after="0"/>
        <w:ind w:left="0" w:right="0" w:hanging="0"/>
        <w:jc w:val="both"/>
        <w:rPr/>
      </w:pPr>
      <w:r>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30" w:type="dxa"/>
            <w:tcBorders/>
            <w:vAlign w:val="center"/>
          </w:tcPr>
          <w:p>
            <w:pPr>
              <w:pStyle w:val="TableContents"/>
              <w:bidi w:val="0"/>
              <w:spacing w:before="0" w:after="283"/>
              <w:jc w:val="both"/>
              <w:rPr/>
            </w:pPr>
            <w:r>
              <w:rPr/>
              <w:t>result in our never being granted the regulatory approval or clearance we seek.</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Changes in healthcare policy could increase our costs, decrease our revenues, and impact sales of, and reimbursement for, our current and future products. For example, the Affordable Care Act substantially changed the way healthcare is financed by both governmental and private insurers, and significantly impacted our industry.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Furthermore, given changes to the U.S. government's policies and priorities since the new administration entered office in January 2025, there is substantial uncertainty as to how, if at all, the new administration will seek to modify or revise the requirements and policies of the FDA and other regulatory agencies with jurisdiction over our product candidates. There is also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research funding by the National Institutes of Health of medical research could have substantial indirect impacts on our research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10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California Consumer Privacy Act ("CCPA") requires covered companies to, among other things provide new disclosures to California consumers and afford such consumers new abilities to opt-out of certain sales of personal information. We cannot yet predict the impact of the CCPA or the recently approved California Privacy Rights Act ("CPRA") on our business or operations, but it may require us to modify our data processing practices and policies and could cause us to incur substantial costs and expenses in an effort to comply;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consumer protection and unfair competition laws, which broadly regulate marketplace activities and activities that potentially harm consumers;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Also, any material changes to any of the laws or regulations applicable to our business could harm our business, financial condition and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bidi w:val="0"/>
        <w:spacing w:before="0" w:after="0"/>
        <w:ind w:left="140" w:right="0" w:firstLine="54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deem a technology or device to be reasonably safe or effective for any intended use or indication;</w:t>
            </w:r>
          </w:p>
        </w:tc>
      </w:tr>
    </w:tbl>
    <w:p>
      <w:pPr>
        <w:pStyle w:val="TextBody"/>
        <w:bidi w:val="0"/>
        <w:spacing w:before="0" w:after="0"/>
        <w:ind w:left="0" w:right="0" w:hanging="0"/>
        <w:jc w:val="both"/>
        <w:rPr/>
      </w:pPr>
      <w:r>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95" w:type="dxa"/>
            <w:tcBorders/>
            <w:vAlign w:val="center"/>
          </w:tcPr>
          <w:p>
            <w:pPr>
              <w:pStyle w:val="TableContents"/>
              <w:bidi w:val="0"/>
              <w:spacing w:before="0" w:after="283"/>
              <w:jc w:val="both"/>
              <w:rPr/>
            </w:pPr>
            <w:r>
              <w:rPr/>
              <w:t>may interpret data from preclinical and clinical testing differently than we do;</w:t>
            </w:r>
          </w:p>
        </w:tc>
      </w:tr>
    </w:tbl>
    <w:p>
      <w:pPr>
        <w:pStyle w:val="TextBody"/>
        <w:bidi w:val="0"/>
        <w:spacing w:before="0" w:after="0"/>
        <w:ind w:left="0" w:right="0" w:hanging="0"/>
        <w:jc w:val="both"/>
        <w:rPr/>
      </w:pPr>
      <w:r>
        <w:rPr/>
        <w:t> </w:t>
      </w:r>
    </w:p>
    <w:tbl>
      <w:tblPr>
        <w:tblW w:w="9865" w:type="dxa"/>
        <w:jc w:val="left"/>
        <w:tblInd w:w="0" w:type="dxa"/>
        <w:tblLayout w:type="fixed"/>
        <w:tblCellMar>
          <w:top w:w="0" w:type="dxa"/>
          <w:left w:w="0" w:type="dxa"/>
          <w:bottom w:w="0" w:type="dxa"/>
          <w:right w:w="0" w:type="dxa"/>
        </w:tblCellMar>
      </w:tblPr>
      <w:tblGrid>
        <w:gridCol w:w="75"/>
        <w:gridCol w:w="170"/>
        <w:gridCol w:w="96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20" w:type="dxa"/>
            <w:tcBorders/>
            <w:vAlign w:val="center"/>
          </w:tcPr>
          <w:p>
            <w:pPr>
              <w:pStyle w:val="TableContents"/>
              <w:bidi w:val="0"/>
              <w:spacing w:before="0" w:after="283"/>
              <w:jc w:val="both"/>
              <w:rPr/>
            </w:pPr>
            <w:r>
              <w:rPr/>
              <w:t>may determine our manufacturing facility or processes do not comply with quality system regulations;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may conclude that our products do not meet quality standards for durability, long-term reliability, biocompatibility, electromagnetic compatibility, or electrical safety;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may change their approval or clearance policies or adopt new regulations in a manner that is adverse to us.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could be negatively impacted by actual or perceived violations of applicable anti-corruption law or our own internal policies designed to ensure ethical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results of clinical trials of our planned products or those of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actions by regulatory bodies, such as the FDA, that affect our business or have the effect of delaying or rejecting approval or clearance of our planned products;</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80" w:type="dxa"/>
            <w:tcBorders/>
            <w:vAlign w:val="center"/>
          </w:tcPr>
          <w:p>
            <w:pPr>
              <w:pStyle w:val="TableContents"/>
              <w:bidi w:val="0"/>
              <w:spacing w:before="0" w:after="283"/>
              <w:jc w:val="both"/>
              <w:rPr/>
            </w:pPr>
            <w:r>
              <w:rPr/>
              <w:t>actual or anticipated fluctuations in our financial condition and operating results;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announcements by our customers, partners or suppliers relating directly or indirectly to our products, services or technologies;</w:t>
            </w:r>
          </w:p>
        </w:tc>
      </w:tr>
    </w:tbl>
    <w:p>
      <w:pPr>
        <w:pStyle w:val="TextBody"/>
        <w:bidi w:val="0"/>
        <w:spacing w:before="0" w:after="0"/>
        <w:ind w:left="0" w:right="0" w:hanging="0"/>
        <w:jc w:val="both"/>
        <w:rPr/>
      </w:pPr>
      <w:r>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pPr>
            <w:r>
              <w:rPr/>
              <w:t>announcements of technological innovations by us or our competitors;</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35" w:type="dxa"/>
            <w:tcBorders/>
            <w:vAlign w:val="center"/>
          </w:tcPr>
          <w:p>
            <w:pPr>
              <w:pStyle w:val="TableContents"/>
              <w:bidi w:val="0"/>
              <w:spacing w:before="0" w:after="283"/>
              <w:jc w:val="both"/>
              <w:rPr/>
            </w:pPr>
            <w:r>
              <w:rPr/>
              <w:t>changes in laws or regulations applicable to the CellFX System or to our planned end-effectors;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announcements by us or our competitors of significant acquisitions, strategic partnerships, joint ventures, capital commitments, or achievement of significant milestones;</w:t>
            </w:r>
          </w:p>
        </w:tc>
      </w:tr>
    </w:tbl>
    <w:p>
      <w:pPr>
        <w:pStyle w:val="TextBody"/>
        <w:bidi w:val="0"/>
        <w:spacing w:before="0" w:after="0"/>
        <w:ind w:left="0" w:right="0" w:hanging="0"/>
        <w:jc w:val="left"/>
        <w:rPr/>
      </w:pPr>
      <w:r>
        <w:rPr/>
        <w:t> </w:t>
      </w:r>
    </w:p>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75" w:type="dxa"/>
            <w:tcBorders/>
            <w:vAlign w:val="center"/>
          </w:tcPr>
          <w:p>
            <w:pPr>
              <w:pStyle w:val="TableContents"/>
              <w:bidi w:val="0"/>
              <w:spacing w:before="0" w:after="283"/>
              <w:jc w:val="both"/>
              <w:rPr/>
            </w:pPr>
            <w:r>
              <w:rPr/>
              <w:t>additions or departures of key personnel;</w:t>
            </w:r>
          </w:p>
        </w:tc>
      </w:tr>
    </w:tbl>
    <w:p>
      <w:pPr>
        <w:pStyle w:val="TextBody"/>
        <w:bidi w:val="0"/>
        <w:spacing w:before="0" w:after="0"/>
        <w:ind w:left="0" w:right="0" w:hanging="0"/>
        <w:jc w:val="both"/>
        <w:rPr/>
      </w:pPr>
      <w:r>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pPr>
            <w:r>
              <w:rPr/>
              <w:t>competition from existing products or new products that may emerge;</w:t>
            </w:r>
          </w:p>
        </w:tc>
      </w:tr>
    </w:tbl>
    <w:p>
      <w:pPr>
        <w:pStyle w:val="TextBody"/>
        <w:bidi w:val="0"/>
        <w:spacing w:before="0" w:after="0"/>
        <w:ind w:left="0" w:right="0" w:hanging="0"/>
        <w:jc w:val="left"/>
        <w:rPr/>
      </w:pPr>
      <w:r>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pPr>
            <w:r>
              <w:rPr/>
              <w:t>fluctuations in the valuation of companies perceived by investors to be comparable to us;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disputes or other developments related to proprietary rights, including patents, litigation matters or our ability to obtain intellectual property protection for our technologies;</w:t>
            </w:r>
          </w:p>
        </w:tc>
      </w:tr>
    </w:tbl>
    <w:p>
      <w:pPr>
        <w:pStyle w:val="TextBody"/>
        <w:bidi w:val="0"/>
        <w:spacing w:before="0" w:after="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20" w:type="dxa"/>
            <w:tcBorders/>
            <w:vAlign w:val="center"/>
          </w:tcPr>
          <w:p>
            <w:pPr>
              <w:pStyle w:val="TableContents"/>
              <w:bidi w:val="0"/>
              <w:spacing w:before="0" w:after="283"/>
              <w:jc w:val="both"/>
              <w:rPr/>
            </w:pPr>
            <w:r>
              <w:rPr/>
              <w:t>actual or alleged security breaches;</w:t>
            </w:r>
          </w:p>
        </w:tc>
      </w:tr>
    </w:tbl>
    <w:p>
      <w:pPr>
        <w:pStyle w:val="TextBody"/>
        <w:bidi w:val="0"/>
        <w:spacing w:before="0" w:after="0"/>
        <w:ind w:left="0" w:right="0" w:hanging="0"/>
        <w:jc w:val="both"/>
        <w:rPr/>
      </w:pPr>
      <w:r>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00" w:type="dxa"/>
            <w:tcBorders/>
            <w:vAlign w:val="center"/>
          </w:tcPr>
          <w:p>
            <w:pPr>
              <w:pStyle w:val="TableContents"/>
              <w:bidi w:val="0"/>
              <w:spacing w:before="0" w:after="283"/>
              <w:jc w:val="both"/>
              <w:rPr/>
            </w:pPr>
            <w:r>
              <w:rPr/>
              <w:t>announcements or expectations of additional financing efforts;</w:t>
            </w:r>
          </w:p>
        </w:tc>
      </w:tr>
    </w:tbl>
    <w:p>
      <w:pPr>
        <w:pStyle w:val="TextBody"/>
        <w:bidi w:val="0"/>
        <w:spacing w:before="0" w:after="0"/>
        <w:ind w:left="0" w:right="0" w:hanging="0"/>
        <w:jc w:val="left"/>
        <w:rPr/>
      </w:pPr>
      <w:r>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60" w:type="dxa"/>
            <w:tcBorders/>
            <w:vAlign w:val="center"/>
          </w:tcPr>
          <w:p>
            <w:pPr>
              <w:pStyle w:val="TableContents"/>
              <w:bidi w:val="0"/>
              <w:spacing w:before="0" w:after="283"/>
              <w:jc w:val="both"/>
              <w:rPr/>
            </w:pPr>
            <w:r>
              <w:rPr/>
              <w:t>sales of our common stock by us or our stockholders;</w:t>
            </w:r>
          </w:p>
        </w:tc>
      </w:tr>
    </w:tbl>
    <w:p>
      <w:pPr>
        <w:pStyle w:val="TextBody"/>
        <w:bidi w:val="0"/>
        <w:spacing w:before="0" w:after="0"/>
        <w:ind w:left="0" w:right="0" w:hanging="0"/>
        <w:jc w:val="both"/>
        <w:rPr/>
      </w:pPr>
      <w:r>
        <w:rPr/>
        <w:t> </w:t>
      </w:r>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20" w:type="dxa"/>
            <w:tcBorders/>
            <w:vAlign w:val="center"/>
          </w:tcPr>
          <w:p>
            <w:pPr>
              <w:pStyle w:val="TableContents"/>
              <w:bidi w:val="0"/>
              <w:spacing w:before="0" w:after="283"/>
              <w:jc w:val="both"/>
              <w:rPr/>
            </w:pPr>
            <w:r>
              <w:rPr/>
              <w:t>stock price and volume fluctuations attributable to inconsistent trading volume levels of our shares;</w:t>
            </w:r>
          </w:p>
        </w:tc>
      </w:tr>
    </w:tbl>
    <w:p>
      <w:pPr>
        <w:pStyle w:val="TextBody"/>
        <w:bidi w:val="0"/>
        <w:spacing w:before="0" w:after="0"/>
        <w:ind w:left="0" w:right="0" w:hanging="0"/>
        <w:jc w:val="left"/>
        <w:rPr/>
      </w:pPr>
      <w:r>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pPr>
            <w:r>
              <w:rPr/>
              <w:t>reports, guidance and ratings issued by securities or industry analysts;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overall conditions in our industry and market, including the negative impact of armed conflicts, health epidemics and climate change on the global economy and markets; and</w:t>
            </w:r>
          </w:p>
        </w:tc>
      </w:tr>
    </w:tbl>
    <w:p>
      <w:pPr>
        <w:pStyle w:val="TextBody"/>
        <w:bidi w:val="0"/>
        <w:spacing w:before="0" w:after="0"/>
        <w:ind w:left="0" w:right="0" w:hanging="0"/>
        <w:jc w:val="left"/>
        <w:rPr/>
      </w:pPr>
      <w:r>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05" w:type="dxa"/>
            <w:tcBorders/>
            <w:vAlign w:val="center"/>
          </w:tcPr>
          <w:p>
            <w:pPr>
              <w:pStyle w:val="TableContents"/>
              <w:bidi w:val="0"/>
              <w:spacing w:before="0" w:after="283"/>
              <w:jc w:val="both"/>
              <w:rPr/>
            </w:pPr>
            <w:r>
              <w:rPr/>
              <w:t>general economic and market conditions.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Co-Chairman of our Board, who beneficially owns approximately 72% of our common stock outstanding as of the date of this Quarterly Report. As a result, Mr. Duggan has control over corporate actions requiring stockholder approval, including the following actions:</w:t>
      </w:r>
    </w:p>
    <w:p>
      <w:pPr>
        <w:pStyle w:val="TextBody"/>
        <w:bidi w:val="0"/>
        <w:spacing w:before="0" w:after="0"/>
        <w:ind w:left="16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or defeat the election of our directors;</w:t>
            </w:r>
          </w:p>
        </w:tc>
      </w:tr>
    </w:tbl>
    <w:p>
      <w:pPr>
        <w:pStyle w:val="TextBody"/>
        <w:bidi w:val="0"/>
        <w:spacing w:before="0" w:after="0"/>
        <w:ind w:left="0" w:right="0" w:hanging="0"/>
        <w:jc w:val="both"/>
        <w:rPr/>
      </w:pPr>
      <w:r>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amend or prevent amendment of our certificate of incorporation or bylaws;</w:t>
            </w:r>
          </w:p>
        </w:tc>
      </w:tr>
    </w:tbl>
    <w:p>
      <w:pPr>
        <w:pStyle w:val="TextBody"/>
        <w:bidi w:val="0"/>
        <w:spacing w:before="0" w:after="0"/>
        <w:ind w:left="0" w:right="0" w:hanging="0"/>
        <w:jc w:val="both"/>
        <w:rPr/>
      </w:pPr>
      <w:r>
        <w:rPr/>
        <w:t> </w:t>
      </w:r>
    </w:p>
    <w:tbl>
      <w:tblPr>
        <w:tblW w:w="6505" w:type="dxa"/>
        <w:jc w:val="left"/>
        <w:tblInd w:w="0" w:type="dxa"/>
        <w:tblLayout w:type="fixed"/>
        <w:tblCellMar>
          <w:top w:w="0" w:type="dxa"/>
          <w:left w:w="0" w:type="dxa"/>
          <w:bottom w:w="0" w:type="dxa"/>
          <w:right w:w="0" w:type="dxa"/>
        </w:tblCellMar>
      </w:tblPr>
      <w:tblGrid>
        <w:gridCol w:w="75"/>
        <w:gridCol w:w="170"/>
        <w:gridCol w:w="62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effect or prevent a merger, sale of assets or other corporate transaction; and</w:t>
            </w:r>
          </w:p>
        </w:tc>
      </w:tr>
    </w:tbl>
    <w:p>
      <w:pPr>
        <w:pStyle w:val="TextBody"/>
        <w:bidi w:val="0"/>
        <w:spacing w:before="0" w:after="0"/>
        <w:ind w:left="0" w:right="0" w:hanging="0"/>
        <w:jc w:val="both"/>
        <w:rPr/>
      </w:pPr>
      <w:r>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control the outcome of any other matter submitted to our stockholders for vote.</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exceeds 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Co-Chairman, and he beneficially owns approximately 72%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are a</w:t>
      </w:r>
      <w:r>
        <w:rPr>
          <w:rFonts w:ascii="Times New Roman" w:hAnsi="Times New Roman"/>
          <w:caps w:val="false"/>
          <w:smallCaps w:val="false"/>
          <w:sz w:val="20"/>
        </w:rPr>
        <w:t> “</w:t>
      </w:r>
      <w:r>
        <w:rPr>
          <w:rFonts w:ascii="Times New Roman" w:hAnsi="Times New Roman"/>
          <w:b/>
          <w:i/>
          <w:caps w:val="false"/>
          <w:smallCaps w:val="false"/>
          <w:sz w:val="20"/>
        </w:rPr>
        <w:t>smaller reporting company</w:t>
      </w:r>
      <w:r>
        <w:rPr>
          <w:rFonts w:ascii="Times New Roman" w:hAnsi="Times New Roman"/>
          <w:caps w:val="false"/>
          <w:smallCaps w:val="false"/>
          <w:sz w:val="20"/>
        </w:rPr>
        <w:t>”</w:t>
      </w:r>
      <w:r>
        <w:rPr>
          <w:rFonts w:ascii="Times New Roman" w:hAnsi="Times New Roman"/>
          <w:b/>
          <w:i/>
          <w:caps w:val="false"/>
          <w:smallCaps w:val="false"/>
          <w:sz w:val="20"/>
        </w:rPr>
        <w:t>; we cannot be certain if the applicable reduced disclosure requirements will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any action to be taken by our stockholders be effected at a duly called annual or special meeting and not by written consent;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an advance notice procedure for stockholder approvals to be brought before an annual meeting of our stockholders, including proposed nominations of persons for election to our board of directors;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bidi w:val="0"/>
        <w:spacing w:before="0" w:after="0"/>
        <w:ind w:left="0" w:right="0" w:hanging="0"/>
        <w:jc w:val="both"/>
        <w:rPr/>
      </w:pPr>
      <w:r>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our board of directors the ability to amend our bylaws by majority vote;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global financial markets and economy may also be adversely affected by the current or anticipated impact of military conflict, including the ongoing Russian-Ukrainian war, and the Hamas-Israel war, terrorism or other geopolitical events. Sanctions imposed by the United States and other countries in response to such conflicts, including the Russian-Ukrainian war and the Hamas-Israel war, may also adversely impact the financial markets and the global economy, and any economic countermeasures by the affected countries or others could exacerbate market and economic instability.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Recently, the U.S. government has indicated its intent to alter its approach to international trade policy and in some cases to renegotiate, or potentially terminate, certain existing bilateral or multi-lateral trade agreements and treaties with foreign countries. In addition, the U.S. government has initiated or is considering imposing tariffs on certain foreign goods. Related to this action, certain foreign governments, including those of China, Canada and Mexico, have instituted or are considering imposing tariffs on certain U.S. goods. It remains unclear what the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the interpretations, estimates or judgments we use to prepare our financial statements prove to be incorrect, investors and others may lose confidence in our financial data,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facilities in California are located near known earthquake faults, and the occurrence of an earthquake or other catastrophic disaster could cause damage to our facilities and equipment, which could require us to cease or curtail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three-month period ended June 30, 2025, we completed no unregistered sale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default"/>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Default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otherinfo"/>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3"/>
        <w:gridCol w:w="60"/>
        <w:gridCol w:w="9392"/>
      </w:tblGrid>
      <w:tr>
        <w:trPr/>
        <w:tc>
          <w:tcPr>
            <w:tcW w:w="75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Exhibit </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92"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 Description</w:t>
            </w:r>
            <w:r>
              <w:rPr>
                <w:rFonts w:ascii="Times New Roman" w:hAnsi="Times New Roman"/>
                <w:caps w:val="false"/>
                <w:smallCaps w:val="false"/>
                <w:sz w:val="20"/>
              </w:rPr>
              <w:t> </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pPr>
            <w:hyperlink w:anchor="ex_827274.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753" w:type="dxa"/>
            <w:tcBorders/>
            <w:tcMar>
              <w:bottom w:w="0" w:type="dxa"/>
            </w:tcMar>
            <w:vAlign w:val="center"/>
          </w:tcPr>
          <w:p>
            <w:pPr>
              <w:pStyle w:val="TableContents"/>
              <w:bidi w:val="0"/>
              <w:spacing w:before="0" w:after="283"/>
              <w:jc w:val="left"/>
              <w:rPr/>
            </w:pPr>
            <w:r>
              <w:rPr/>
              <w:t>31.2</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283"/>
              <w:jc w:val="left"/>
              <w:rPr/>
            </w:pPr>
            <w:hyperlink w:anchor="ex_827275.htm">
              <w:r>
                <w:rPr>
                  <w:rStyle w:val="InternetLink"/>
                </w:rPr>
                <w:t>Certification of Chief Financial Officer pursuant to Section 302 of the Sarbanes-Oxley Act of 2002.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pPr>
            <w:hyperlink w:anchor="ex_827276.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r>
      <w:tr>
        <w:trPr/>
        <w:tc>
          <w:tcPr>
            <w:tcW w:w="753" w:type="dxa"/>
            <w:tcBorders/>
            <w:tcMar>
              <w:bottom w:w="0" w:type="dxa"/>
            </w:tcMar>
            <w:vAlign w:val="center"/>
          </w:tcPr>
          <w:p>
            <w:pPr>
              <w:pStyle w:val="TableContents"/>
              <w:bidi w:val="0"/>
              <w:spacing w:before="0" w:after="283"/>
              <w:jc w:val="left"/>
              <w:rPr/>
            </w:pPr>
            <w:r>
              <w:rPr/>
              <w:t>32.2*</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283"/>
              <w:jc w:val="left"/>
              <w:rPr/>
            </w:pPr>
            <w:hyperlink w:anchor="ex_827277.htm">
              <w:r>
                <w:rPr>
                  <w:rStyle w:val="InternetLink"/>
                </w:rPr>
                <w:t>Certification of the Chief Financial Officer pursuant to Section 906 of the Sarbanes-Oxley Act of 2002 (18 U.S.C. Section 1350).</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certifications attached as Exhibit 32.1 and Exhibit 32.2 that accompanies this Quarterly Report are deemed furnished and not filed with the Securities and Exchange Commission and are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1934, the registrant has duly caused this report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1850"/>
        <w:gridCol w:w="320"/>
        <w:gridCol w:w="3200"/>
        <w:gridCol w:w="60"/>
      </w:tblGrid>
      <w:tr>
        <w:trPr/>
        <w:tc>
          <w:tcPr>
            <w:tcW w:w="185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b/>
              </w:rPr>
            </w:pPr>
            <w:r>
              <w:rPr>
                <w:b/>
              </w:rPr>
              <w:t>Paul A. LaViolette</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President and Chief</w:t>
            </w:r>
            <w:r>
              <w:rPr>
                <w:rFonts w:ascii="Times New Roman" w:hAnsi="Times New Roman"/>
                <w:caps w:val="false"/>
                <w:smallCaps w:val="false"/>
                <w:sz w:val="20"/>
              </w:rPr>
              <w:t> </w:t>
            </w:r>
            <w:r>
              <w:rPr>
                <w:rFonts w:ascii="Times New Roman" w:hAnsi="Times New Roman"/>
                <w:b/>
                <w:caps w:val="false"/>
                <w:smallCaps w:val="false"/>
                <w:sz w:val="20"/>
              </w:rPr>
              <w:t>Executive</w:t>
            </w:r>
            <w:r>
              <w:rPr>
                <w:rFonts w:ascii="Times New Roman" w:hAnsi="Times New Roman"/>
                <w:caps w:val="false"/>
                <w:smallCaps w:val="false"/>
                <w:sz w:val="20"/>
              </w:rPr>
              <w:t> </w:t>
            </w:r>
            <w:r>
              <w:rPr>
                <w:rFonts w:ascii="Times New Roman" w:hAnsi="Times New Roman"/>
                <w:b/>
                <w:caps w:val="false"/>
                <w:smallCaps w:val="false"/>
                <w:sz w:val="20"/>
              </w:rPr>
              <w:t>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50 </w:t>
      </w:r>
    </w:p>
    <w:p>
      <w:pPr>
        <w:pStyle w:val="TextBody"/>
        <w:bidi w:val="0"/>
        <w:spacing w:before="0" w:after="0"/>
        <w:ind w:left="0" w:right="0" w:hanging="0"/>
        <w:jc w:val="right"/>
        <w:rPr>
          <w:rFonts w:ascii="Times New Roman" w:hAnsi="Times New Roman"/>
          <w:b/>
          <w:caps w:val="false"/>
          <w:smallCaps w:val="false"/>
          <w:sz w:val="20"/>
        </w:rPr>
      </w:pPr>
      <w:bookmarkStart w:id="22" w:name="ex_827274.htm"/>
      <w:bookmarkStart w:id="23" w:name="ksex_827274"/>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Paul A. LaViolette, certify that: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w:t>
            </w:r>
            <w:bookmarkStart w:id="24" w:name="led395676F20233241682357414418"/>
            <w:bookmarkEnd w:id="24"/>
            <w:r>
              <w:rPr>
                <w:rFonts w:ascii="Times New Roman;Times;serif" w:hAnsi="Times New Roman;Times;serif"/>
                <w:caps w:val="false"/>
                <w:smallCaps w:val="false"/>
                <w:sz w:val="20"/>
              </w:rPr>
              <w:t>June 30, 2025 of Pulse Biosciences,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850"/>
        <w:gridCol w:w="320"/>
        <w:gridCol w:w="3125"/>
        <w:gridCol w:w="6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Paul A. LaViolette</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caps w:val="false"/>
          <w:smallCaps w:val="false"/>
          <w:sz w:val="20"/>
        </w:rPr>
      </w:pPr>
      <w:bookmarkStart w:id="25" w:name="ex_827275.htm"/>
      <w:bookmarkStart w:id="26" w:name="ksex_827275"/>
      <w:bookmarkEnd w:id="25"/>
      <w:bookmarkEnd w:id="26"/>
      <w:r>
        <w:rPr>
          <w:rFonts w:ascii="Times New Roman;Times;serif" w:hAnsi="Times New Roman;Time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Jon Skinner, certify that: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for the quarter ended </w:t>
            </w:r>
            <w:bookmarkStart w:id="27" w:name="led395676F2025551749126614443"/>
            <w:bookmarkEnd w:id="27"/>
            <w:r>
              <w:rPr>
                <w:rFonts w:ascii="Times New Roman" w:hAnsi="Times New Roman"/>
                <w:caps w:val="false"/>
                <w:smallCaps w:val="false"/>
                <w:sz w:val="20"/>
              </w:rPr>
              <w:t>June 30, 2025 of Pulse Biosciences,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850"/>
        <w:gridCol w:w="320"/>
        <w:gridCol w:w="2285"/>
        <w:gridCol w:w="6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827276.htm"/>
      <w:bookmarkStart w:id="29" w:name="ksex_827276"/>
      <w:bookmarkEnd w:id="28"/>
      <w:bookmarkEnd w:id="2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Pulse Biosciences, Inc. (the “Company”) on Form 10-Q for the period ended </w:t>
      </w:r>
      <w:bookmarkStart w:id="30" w:name="led395676F20233241682357328176"/>
      <w:bookmarkEnd w:id="30"/>
      <w:r>
        <w:rPr>
          <w:rFonts w:ascii="Times New Roman" w:hAnsi="Times New Roman"/>
          <w:caps w:val="false"/>
          <w:smallCaps w:val="false"/>
          <w:sz w:val="20"/>
        </w:rPr>
        <w:t>June 30, 2025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850"/>
        <w:gridCol w:w="60"/>
        <w:gridCol w:w="3125"/>
        <w:gridCol w:w="60"/>
      </w:tblGrid>
      <w:tr>
        <w:trPr/>
        <w:tc>
          <w:tcPr>
            <w:tcW w:w="1850" w:type="dxa"/>
            <w:tcBorders/>
            <w:vAlign w:val="center"/>
          </w:tcPr>
          <w:p>
            <w:pPr>
              <w:pStyle w:val="TableContents"/>
              <w:bidi w:val="0"/>
              <w:spacing w:before="0" w:after="0"/>
              <w:ind w:left="0" w:right="0" w:hanging="0"/>
              <w:jc w:val="left"/>
              <w:rPr>
                <w:caps w:val="false"/>
                <w:smallCaps w:val="false"/>
              </w:rPr>
            </w:pPr>
            <w:r>
              <w:rPr>
                <w:rFonts w:cs="Times New Roman"/>
                <w:caps w:val="false"/>
                <w:smallCaps w:val="false"/>
                <w:szCs w:val="20"/>
              </w:rPr>
              <w:t>﻿</w:t>
            </w:r>
            <w:r>
              <w:rPr>
                <w:rFonts w:ascii="Times New Roman" w:hAnsi="Times New Roman"/>
                <w:caps w:val="false"/>
                <w:smallCaps w:val="false"/>
                <w:sz w:val="20"/>
              </w:rPr>
              <w:t>Date: August 12, 2025</w:t>
            </w:r>
          </w:p>
        </w:tc>
        <w:tc>
          <w:tcPr>
            <w:tcW w:w="60" w:type="dxa"/>
            <w:tcBorders/>
            <w:vAlign w:val="center"/>
          </w:tcPr>
          <w:p>
            <w:pPr>
              <w:pStyle w:val="TableContents"/>
              <w:bidi w:val="0"/>
              <w:spacing w:before="0" w:after="283"/>
              <w:jc w:val="left"/>
              <w:rPr/>
            </w:pPr>
            <w:r>
              <w:rPr/>
              <w:t>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Paul A. LaViolette</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1" w:name="ex_827277.htm"/>
      <w:bookmarkStart w:id="32" w:name="ksex_827277"/>
      <w:bookmarkEnd w:id="31"/>
      <w:bookmarkEnd w:id="32"/>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the Quarterly Report of Pulse Biosciences, Inc. (the “Company”) on Form 10-Q for the period ended </w:t>
      </w:r>
      <w:bookmarkStart w:id="33" w:name="led395676F2025551749126649955"/>
      <w:bookmarkEnd w:id="33"/>
      <w:r>
        <w:rPr>
          <w:rFonts w:ascii="Times New Roman;Times;serif" w:hAnsi="Times New Roman;Times;serif"/>
          <w:caps w:val="false"/>
          <w:smallCaps w:val="false"/>
          <w:sz w:val="20"/>
        </w:rPr>
        <w:t>June 30, 2025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180"/>
        <w:gridCol w:w="60"/>
        <w:gridCol w:w="2285"/>
        <w:gridCol w:w="60"/>
      </w:tblGrid>
      <w:tr>
        <w:trPr/>
        <w:tc>
          <w:tcPr>
            <w:tcW w:w="2180" w:type="dxa"/>
            <w:tcBorders/>
            <w:vAlign w:val="center"/>
          </w:tcPr>
          <w:p>
            <w:pPr>
              <w:pStyle w:val="TableContents"/>
              <w:bidi w:val="0"/>
              <w:spacing w:before="0" w:after="283"/>
              <w:jc w:val="left"/>
              <w:rPr/>
            </w:pPr>
            <w:r>
              <w:rPr/>
              <w:t>Date: August 12, 2025</w:t>
            </w:r>
          </w:p>
        </w:tc>
        <w:tc>
          <w:tcPr>
            <w:tcW w:w="6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40729</Words>
  <Characters>226705</Characters>
  <CharactersWithSpaces>269145</CharactersWithSpaces>
  <Paragraphs>6158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