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755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55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755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5715"/>
                    </a:xfrm>
                    <a:prstGeom prst="rect">
                      <a:avLst/>
                    </a:prstGeom>
                    <a:noFill/>
                  </pic:spPr>
                </pic:pic>
              </a:graphicData>
            </a:graphic>
          </wp:anchor>
        </w:drawing>
      </w:r>
    </w:p>
    <w:p>
      <w:pPr>
        <w:jc w:val="center"/>
        <w:ind w:right="-45"/>
        <w:spacing w:after="0" w:line="22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45"/>
        <w:spacing w:after="0" w:line="209" w:lineRule="auto"/>
        <w:rPr>
          <w:sz w:val="20"/>
          <w:szCs w:val="20"/>
          <w:color w:val="auto"/>
        </w:rPr>
      </w:pPr>
      <w:r>
        <w:rPr>
          <w:rFonts w:ascii="Times New Roman" w:cs="Times New Roman" w:eastAsia="Times New Roman" w:hAnsi="Times New Roman"/>
          <w:sz w:val="14"/>
          <w:szCs w:val="14"/>
          <w:b w:val="1"/>
          <w:bCs w:val="1"/>
          <w:color w:val="auto"/>
        </w:rPr>
        <w:t>Washington, D.C. 20549</w:t>
      </w: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9"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9" w:lineRule="exact"/>
        <w:rPr>
          <w:sz w:val="24"/>
          <w:szCs w:val="24"/>
          <w:color w:val="auto"/>
        </w:rPr>
      </w:pP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3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255"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2" w:lineRule="exact"/>
        <w:rPr>
          <w:rFonts w:ascii="Times New Roman" w:cs="Times New Roman" w:eastAsia="Times New Roman" w:hAnsi="Times New Roman"/>
          <w:sz w:val="14"/>
          <w:szCs w:val="14"/>
          <w:b w:val="1"/>
          <w:bCs w:val="1"/>
          <w:color w:val="auto"/>
        </w:rPr>
      </w:pPr>
    </w:p>
    <w:p>
      <w:pPr>
        <w:ind w:left="4306"/>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b w:val="1"/>
          <w:bCs w:val="1"/>
          <w:color w:val="auto"/>
        </w:rPr>
        <w:t>For the quarterly period ended September 30, 2020</w:t>
      </w:r>
    </w:p>
    <w:p>
      <w:pPr>
        <w:spacing w:after="0" w:line="102"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255"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65405" cy="66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05" cy="66040"/>
                    </a:xfrm>
                    <a:prstGeom prst="rect">
                      <a:avLst/>
                    </a:prstGeom>
                    <a:noFill/>
                  </pic:spPr>
                </pic:pic>
              </a:graphicData>
            </a:graphic>
          </wp:anchor>
        </w:drawing>
      </w:r>
    </w:p>
    <w:p>
      <w:pPr>
        <w:spacing w:after="0" w:line="63" w:lineRule="exact"/>
        <w:rPr>
          <w:sz w:val="24"/>
          <w:szCs w:val="24"/>
          <w:color w:val="auto"/>
        </w:rPr>
      </w:pPr>
    </w:p>
    <w:tbl>
      <w:tblPr>
        <w:tblLayout w:type="fixed"/>
        <w:tblInd w:w="1046"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3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Commission File Number: 001-34899</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tc>
        <w:tc>
          <w:tcPr>
            <w:tcW w:w="0" w:type="dxa"/>
            <w:vAlign w:val="bottom"/>
          </w:tcPr>
          <w:p>
            <w:pPr>
              <w:spacing w:after="0"/>
              <w:rPr>
                <w:sz w:val="1"/>
                <w:szCs w:val="1"/>
                <w:color w:val="auto"/>
              </w:rPr>
            </w:pPr>
          </w:p>
        </w:tc>
      </w:tr>
      <w:tr>
        <w:trPr>
          <w:trHeight w:val="316"/>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27"/>
                <w:szCs w:val="27"/>
                <w:b w:val="1"/>
                <w:bCs w:val="1"/>
                <w:color w:val="auto"/>
                <w:w w:val="99"/>
              </w:rPr>
              <w:t>Pulse Biosciences, Inc.</w:t>
            </w: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0"/>
                <w:szCs w:val="10"/>
                <w:b w:val="1"/>
                <w:bCs w:val="1"/>
                <w:color w:val="auto"/>
                <w:w w:val="97"/>
              </w:rPr>
              <w:t>(Exact name of registrant as specified in its charter)</w:t>
            </w:r>
          </w:p>
        </w:tc>
        <w:tc>
          <w:tcPr>
            <w:tcW w:w="0" w:type="dxa"/>
            <w:vAlign w:val="bottom"/>
          </w:tcPr>
          <w:p>
            <w:pPr>
              <w:spacing w:after="0"/>
              <w:rPr>
                <w:sz w:val="1"/>
                <w:szCs w:val="1"/>
                <w:color w:val="auto"/>
              </w:rPr>
            </w:pPr>
          </w:p>
        </w:tc>
      </w:tr>
      <w:tr>
        <w:trPr>
          <w:trHeight w:val="339"/>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Times New Roman" w:cs="Times New Roman" w:eastAsia="Times New Roman" w:hAnsi="Times New Roman"/>
                <w:sz w:val="11"/>
                <w:szCs w:val="11"/>
                <w:b w:val="1"/>
                <w:bCs w:val="1"/>
                <w:color w:val="auto"/>
              </w:rPr>
              <w:t>46-5696597</w:t>
            </w:r>
          </w:p>
        </w:tc>
        <w:tc>
          <w:tcPr>
            <w:tcW w:w="0" w:type="dxa"/>
            <w:vAlign w:val="bottom"/>
          </w:tcPr>
          <w:p>
            <w:pPr>
              <w:spacing w:after="0"/>
              <w:rPr>
                <w:sz w:val="1"/>
                <w:szCs w:val="1"/>
                <w:color w:val="auto"/>
              </w:rPr>
            </w:pPr>
          </w:p>
        </w:tc>
      </w:tr>
      <w:tr>
        <w:trPr>
          <w:trHeight w:val="111"/>
        </w:trPr>
        <w:tc>
          <w:tcPr>
            <w:tcW w:w="3000" w:type="dxa"/>
            <w:vAlign w:val="bottom"/>
          </w:tcPr>
          <w:p>
            <w:pPr>
              <w:jc w:val="center"/>
              <w:ind w:left="505"/>
              <w:spacing w:after="0" w:line="111"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340" w:type="dxa"/>
            <w:vAlign w:val="bottom"/>
          </w:tcPr>
          <w:p>
            <w:pPr>
              <w:spacing w:after="0"/>
              <w:rPr>
                <w:sz w:val="9"/>
                <w:szCs w:val="9"/>
                <w:color w:val="auto"/>
              </w:rPr>
            </w:pPr>
          </w:p>
        </w:tc>
        <w:tc>
          <w:tcPr>
            <w:tcW w:w="3680" w:type="dxa"/>
            <w:vAlign w:val="bottom"/>
          </w:tcPr>
          <w:p>
            <w:pPr>
              <w:jc w:val="center"/>
              <w:ind w:left="464"/>
              <w:spacing w:after="0" w:line="111"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187"/>
        </w:trPr>
        <w:tc>
          <w:tcPr>
            <w:tcW w:w="3000" w:type="dxa"/>
            <w:vAlign w:val="bottom"/>
          </w:tcPr>
          <w:p>
            <w:pPr>
              <w:jc w:val="center"/>
              <w:ind w:left="525"/>
              <w:spacing w:after="0"/>
              <w:rPr>
                <w:sz w:val="20"/>
                <w:szCs w:val="20"/>
                <w:color w:val="auto"/>
              </w:rPr>
            </w:pPr>
            <w:r>
              <w:rPr>
                <w:rFonts w:ascii="Times New Roman" w:cs="Times New Roman" w:eastAsia="Times New Roman" w:hAnsi="Times New Roman"/>
                <w:sz w:val="11"/>
                <w:szCs w:val="11"/>
                <w:b w:val="1"/>
                <w:bCs w:val="1"/>
                <w:color w:val="auto"/>
              </w:rPr>
              <w:t>3957 Point Eden Way</w:t>
            </w:r>
          </w:p>
        </w:tc>
        <w:tc>
          <w:tcPr>
            <w:tcW w:w="2340" w:type="dxa"/>
            <w:vAlign w:val="bottom"/>
          </w:tcPr>
          <w:p>
            <w:pPr>
              <w:spacing w:after="0"/>
              <w:rPr>
                <w:sz w:val="16"/>
                <w:szCs w:val="16"/>
                <w:color w:val="auto"/>
              </w:rPr>
            </w:pPr>
          </w:p>
        </w:tc>
        <w:tc>
          <w:tcPr>
            <w:tcW w:w="3680" w:type="dxa"/>
            <w:vAlign w:val="bottom"/>
            <w:vMerge w:val="restart"/>
          </w:tcPr>
          <w:p>
            <w:pPr>
              <w:jc w:val="right"/>
              <w:ind w:right="1404"/>
              <w:spacing w:after="0"/>
              <w:rPr>
                <w:sz w:val="20"/>
                <w:szCs w:val="20"/>
                <w:color w:val="auto"/>
              </w:rPr>
            </w:pPr>
            <w:r>
              <w:rPr>
                <w:rFonts w:ascii="Times New Roman" w:cs="Times New Roman" w:eastAsia="Times New Roman" w:hAnsi="Times New Roman"/>
                <w:sz w:val="11"/>
                <w:szCs w:val="11"/>
                <w:b w:val="1"/>
                <w:bCs w:val="1"/>
                <w:color w:val="auto"/>
              </w:rPr>
              <w:t>94545</w:t>
            </w:r>
          </w:p>
        </w:tc>
        <w:tc>
          <w:tcPr>
            <w:tcW w:w="0" w:type="dxa"/>
            <w:vAlign w:val="bottom"/>
          </w:tcPr>
          <w:p>
            <w:pPr>
              <w:spacing w:after="0"/>
              <w:rPr>
                <w:sz w:val="1"/>
                <w:szCs w:val="1"/>
                <w:color w:val="auto"/>
              </w:rPr>
            </w:pPr>
          </w:p>
        </w:tc>
      </w:tr>
      <w:tr>
        <w:trPr>
          <w:trHeight w:val="111"/>
        </w:trPr>
        <w:tc>
          <w:tcPr>
            <w:tcW w:w="3000" w:type="dxa"/>
            <w:vAlign w:val="bottom"/>
          </w:tcPr>
          <w:p>
            <w:pPr>
              <w:jc w:val="center"/>
              <w:ind w:left="525"/>
              <w:spacing w:after="0" w:line="111" w:lineRule="exact"/>
              <w:rPr>
                <w:sz w:val="20"/>
                <w:szCs w:val="20"/>
                <w:color w:val="auto"/>
              </w:rPr>
            </w:pPr>
            <w:r>
              <w:rPr>
                <w:rFonts w:ascii="Times New Roman" w:cs="Times New Roman" w:eastAsia="Times New Roman" w:hAnsi="Times New Roman"/>
                <w:sz w:val="11"/>
                <w:szCs w:val="11"/>
                <w:b w:val="1"/>
                <w:bCs w:val="1"/>
                <w:color w:val="auto"/>
              </w:rPr>
              <w:t>Hayward, CA</w:t>
            </w:r>
          </w:p>
        </w:tc>
        <w:tc>
          <w:tcPr>
            <w:tcW w:w="234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340" w:type="dxa"/>
            <w:vAlign w:val="bottom"/>
            <w:vMerge w:val="restart"/>
          </w:tcPr>
          <w:p>
            <w:pPr>
              <w:jc w:val="center"/>
              <w:ind w:left="796"/>
              <w:spacing w:after="0"/>
              <w:rPr>
                <w:sz w:val="20"/>
                <w:szCs w:val="20"/>
                <w:color w:val="auto"/>
              </w:rPr>
            </w:pPr>
            <w:r>
              <w:rPr>
                <w:rFonts w:ascii="Times New Roman" w:cs="Times New Roman" w:eastAsia="Times New Roman" w:hAnsi="Times New Roman"/>
                <w:sz w:val="11"/>
                <w:szCs w:val="11"/>
                <w:b w:val="1"/>
                <w:bCs w:val="1"/>
                <w:color w:val="auto"/>
                <w:w w:val="98"/>
              </w:rPr>
              <w:t>(510) 906-4600</w:t>
            </w: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77"/>
        </w:trPr>
        <w:tc>
          <w:tcPr>
            <w:tcW w:w="30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3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1" w:lineRule="exact"/>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1" w:lineRule="exact"/>
              <w:rPr>
                <w:sz w:val="20"/>
                <w:szCs w:val="20"/>
                <w:color w:val="auto"/>
              </w:rPr>
            </w:pPr>
            <w:r>
              <w:rPr>
                <w:rFonts w:ascii="Times New Roman" w:cs="Times New Roman" w:eastAsia="Times New Roman" w:hAnsi="Times New Roman"/>
                <w:sz w:val="11"/>
                <w:szCs w:val="11"/>
                <w:b w:val="1"/>
                <w:bCs w:val="1"/>
                <w:color w:val="auto"/>
              </w:rPr>
              <w:t>___________________________________</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0" w:type="dxa"/>
            <w:vAlign w:val="bottom"/>
          </w:tcPr>
          <w:p>
            <w:pPr>
              <w:spacing w:after="0"/>
              <w:rPr>
                <w:sz w:val="1"/>
                <w:szCs w:val="1"/>
                <w:color w:val="auto"/>
              </w:rPr>
            </w:pPr>
          </w:p>
        </w:tc>
      </w:tr>
      <w:tr>
        <w:trPr>
          <w:trHeight w:val="231"/>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color w:val="auto"/>
              </w:rPr>
              <w:t>Title of each class</w:t>
            </w:r>
          </w:p>
        </w:tc>
        <w:tc>
          <w:tcPr>
            <w:tcW w:w="2340" w:type="dxa"/>
            <w:vAlign w:val="bottom"/>
          </w:tcPr>
          <w:p>
            <w:pPr>
              <w:jc w:val="center"/>
              <w:ind w:left="476"/>
              <w:spacing w:after="0"/>
              <w:rPr>
                <w:sz w:val="20"/>
                <w:szCs w:val="20"/>
                <w:color w:val="auto"/>
              </w:rPr>
            </w:pPr>
            <w:r>
              <w:rPr>
                <w:rFonts w:ascii="Times New Roman" w:cs="Times New Roman" w:eastAsia="Times New Roman" w:hAnsi="Times New Roman"/>
                <w:sz w:val="11"/>
                <w:szCs w:val="11"/>
                <w:color w:val="auto"/>
              </w:rPr>
              <w:t>Trading Symbol(s)</w:t>
            </w:r>
          </w:p>
        </w:tc>
        <w:tc>
          <w:tcPr>
            <w:tcW w:w="3680" w:type="dxa"/>
            <w:vAlign w:val="bottom"/>
          </w:tcPr>
          <w:p>
            <w:pPr>
              <w:jc w:val="center"/>
              <w:ind w:left="1664"/>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b w:val="1"/>
                <w:bCs w:val="1"/>
                <w:color w:val="auto"/>
              </w:rPr>
              <w:t>Common Stock, par value $0.001 per share</w:t>
            </w:r>
          </w:p>
        </w:tc>
        <w:tc>
          <w:tcPr>
            <w:tcW w:w="2340" w:type="dxa"/>
            <w:vAlign w:val="bottom"/>
          </w:tcPr>
          <w:p>
            <w:pPr>
              <w:jc w:val="center"/>
              <w:ind w:left="476"/>
              <w:spacing w:after="0"/>
              <w:rPr>
                <w:sz w:val="20"/>
                <w:szCs w:val="20"/>
                <w:color w:val="auto"/>
              </w:rPr>
            </w:pPr>
            <w:r>
              <w:rPr>
                <w:rFonts w:ascii="Times New Roman" w:cs="Times New Roman" w:eastAsia="Times New Roman" w:hAnsi="Times New Roman"/>
                <w:sz w:val="11"/>
                <w:szCs w:val="11"/>
                <w:b w:val="1"/>
                <w:bCs w:val="1"/>
                <w:color w:val="auto"/>
              </w:rPr>
              <w:t>PLSE</w:t>
            </w:r>
          </w:p>
        </w:tc>
        <w:tc>
          <w:tcPr>
            <w:tcW w:w="3680" w:type="dxa"/>
            <w:vAlign w:val="bottom"/>
          </w:tcPr>
          <w:p>
            <w:pPr>
              <w:jc w:val="center"/>
              <w:ind w:left="1644"/>
              <w:spacing w:after="0"/>
              <w:rPr>
                <w:sz w:val="20"/>
                <w:szCs w:val="20"/>
                <w:color w:val="auto"/>
              </w:rPr>
            </w:pPr>
            <w:r>
              <w:rPr>
                <w:rFonts w:ascii="Times New Roman" w:cs="Times New Roman" w:eastAsia="Times New Roman" w:hAnsi="Times New Roman"/>
                <w:sz w:val="11"/>
                <w:szCs w:val="11"/>
                <w:b w:val="1"/>
                <w:bCs w:val="1"/>
                <w:color w:val="auto"/>
              </w:rPr>
              <w:t>The Nasdaq Stock Market</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 w:right="100" w:firstLine="301"/>
        <w:spacing w:after="0" w:line="13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68" w:lineRule="exact"/>
        <w:rPr>
          <w:sz w:val="24"/>
          <w:szCs w:val="24"/>
          <w:color w:val="auto"/>
        </w:rPr>
      </w:pPr>
    </w:p>
    <w:p>
      <w:pPr>
        <w:ind w:left="6" w:right="80" w:firstLine="301"/>
        <w:spacing w:after="0" w:line="13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68" w:lineRule="exact"/>
        <w:rPr>
          <w:sz w:val="24"/>
          <w:szCs w:val="24"/>
          <w:color w:val="auto"/>
        </w:rPr>
      </w:pPr>
    </w:p>
    <w:p>
      <w:pPr>
        <w:ind w:left="6" w:right="60" w:firstLine="301"/>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6" w:type="dxa"/>
        <w:tblCellMar>
          <w:top w:w="0" w:type="dxa"/>
          <w:left w:w="0" w:type="dxa"/>
          <w:bottom w:w="0" w:type="dxa"/>
          <w:right w:w="0" w:type="dxa"/>
        </w:tblCellMar>
      </w:tblPr>
      <w:tr>
        <w:trPr>
          <w:trHeight w:val="129"/>
        </w:trPr>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Accelerated filer</w:t>
            </w:r>
          </w:p>
        </w:tc>
        <w:tc>
          <w:tcPr>
            <w:tcW w:w="104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1"/>
              </w:rPr>
              <w:t>x</w:t>
            </w:r>
          </w:p>
        </w:tc>
      </w:tr>
      <w:tr>
        <w:trPr>
          <w:trHeight w:val="111"/>
        </w:trPr>
        <w:tc>
          <w:tcPr>
            <w:tcW w:w="19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line="111" w:lineRule="exact"/>
              <w:rPr>
                <w:sz w:val="20"/>
                <w:szCs w:val="20"/>
                <w:color w:val="auto"/>
              </w:rPr>
            </w:pPr>
            <w:r>
              <w:rPr>
                <w:rFonts w:ascii="Times New Roman" w:cs="Times New Roman" w:eastAsia="Times New Roman" w:hAnsi="Times New Roman"/>
                <w:sz w:val="11"/>
                <w:szCs w:val="11"/>
                <w:color w:val="auto"/>
              </w:rPr>
              <w:t>Smaller reporting company</w:t>
            </w:r>
          </w:p>
        </w:tc>
        <w:tc>
          <w:tcPr>
            <w:tcW w:w="1040" w:type="dxa"/>
            <w:vAlign w:val="bottom"/>
          </w:tcPr>
          <w:p>
            <w:pPr>
              <w:ind w:left="980"/>
              <w:spacing w:after="0" w:line="111" w:lineRule="exact"/>
              <w:rPr>
                <w:sz w:val="20"/>
                <w:szCs w:val="20"/>
                <w:color w:val="auto"/>
              </w:rPr>
            </w:pPr>
            <w:r>
              <w:rPr>
                <w:rFonts w:ascii="Times New Roman" w:cs="Times New Roman" w:eastAsia="Times New Roman" w:hAnsi="Times New Roman"/>
                <w:sz w:val="11"/>
                <w:szCs w:val="11"/>
                <w:color w:val="auto"/>
                <w:w w:val="71"/>
              </w:rPr>
              <w:t>x</w:t>
            </w:r>
          </w:p>
        </w:tc>
      </w:tr>
      <w:tr>
        <w:trPr>
          <w:trHeight w:val="143"/>
        </w:trPr>
        <w:tc>
          <w:tcPr>
            <w:tcW w:w="19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4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1"/>
              </w:rPr>
              <w:t>x</w:t>
            </w:r>
          </w:p>
        </w:tc>
      </w:tr>
    </w:tbl>
    <w:p>
      <w:pPr>
        <w:spacing w:after="0" w:line="75" w:lineRule="exact"/>
        <w:rPr>
          <w:sz w:val="24"/>
          <w:szCs w:val="24"/>
          <w:color w:val="auto"/>
        </w:rPr>
      </w:pPr>
    </w:p>
    <w:p>
      <w:pPr>
        <w:ind w:left="306"/>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ind w:left="6"/>
        <w:spacing w:after="0"/>
        <w:rPr>
          <w:sz w:val="20"/>
          <w:szCs w:val="20"/>
          <w:color w:val="auto"/>
        </w:rPr>
      </w:pPr>
      <w:r>
        <w:rPr>
          <w:rFonts w:ascii="Times New Roman" w:cs="Times New Roman" w:eastAsia="Times New Roman" w:hAnsi="Times New Roman"/>
          <w:sz w:val="11"/>
          <w:szCs w:val="11"/>
          <w:color w:val="auto"/>
        </w:rPr>
        <w:t>Act. x</w:t>
      </w:r>
    </w:p>
    <w:p>
      <w:pPr>
        <w:spacing w:after="0" w:line="65" w:lineRule="exact"/>
        <w:rPr>
          <w:sz w:val="24"/>
          <w:szCs w:val="24"/>
          <w:color w:val="auto"/>
        </w:rPr>
      </w:pPr>
    </w:p>
    <w:p>
      <w:pPr>
        <w:ind w:left="266" w:right="5220" w:firstLine="27"/>
        <w:spacing w:after="0" w:line="19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x The number of shares outstanding of the registrant’s common stock as of November 2, 2020: 25,341,540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17550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266"/>
          </w:cols>
          <w:pgMar w:left="294" w:top="4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640" w:type="dxa"/>
            <w:vAlign w:val="bottom"/>
            <w:gridSpan w:val="4"/>
          </w:tcPr>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40" w:type="dxa"/>
            <w:vAlign w:val="bottom"/>
          </w:tcPr>
          <w:p>
            <w:pPr>
              <w:ind w:left="108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No.</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740" w:type="dxa"/>
            <w:vAlign w:val="bottom"/>
            <w:tcBorders>
              <w:bottom w:val="single" w:sz="8" w:color="CCEEFF"/>
            </w:tcBorders>
            <w:shd w:val="clear" w:color="auto" w:fill="CCEEFF"/>
          </w:tcPr>
          <w:p>
            <w:pPr>
              <w:jc w:val="center"/>
              <w:ind w:right="2219"/>
              <w:spacing w:after="0"/>
              <w:rPr>
                <w:rFonts w:ascii="Times New Roman" w:cs="Times New Roman" w:eastAsia="Times New Roman" w:hAnsi="Times New Roman"/>
                <w:sz w:val="12"/>
                <w:szCs w:val="12"/>
                <w:b w:val="1"/>
                <w:bCs w:val="1"/>
                <w:u w:val="single" w:color="auto"/>
                <w:color w:val="0563C1"/>
              </w:rPr>
            </w:pPr>
            <w:hyperlink w:anchor="page3">
              <w:r>
                <w:rPr>
                  <w:rFonts w:ascii="Times New Roman" w:cs="Times New Roman" w:eastAsia="Times New Roman" w:hAnsi="Times New Roman"/>
                  <w:sz w:val="12"/>
                  <w:szCs w:val="12"/>
                  <w:b w:val="1"/>
                  <w:bCs w:val="1"/>
                  <w:u w:val="single" w:color="auto"/>
                  <w:color w:val="0563C1"/>
                </w:rPr>
                <w:t>PART I. FINANCIAL INFORMATION</w:t>
              </w:r>
            </w:hyperlink>
          </w:p>
        </w:tc>
        <w:tc>
          <w:tcPr>
            <w:tcW w:w="2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Times New Roman" w:cs="Times New Roman" w:eastAsia="Times New Roman" w:hAnsi="Times New Roman"/>
                <w:sz w:val="12"/>
                <w:szCs w:val="12"/>
                <w:u w:val="single" w:color="auto"/>
                <w:color w:val="0563C1"/>
              </w:rPr>
            </w:pPr>
            <w:hyperlink w:anchor="page3">
              <w:r>
                <w:rPr>
                  <w:rFonts w:ascii="Times New Roman" w:cs="Times New Roman" w:eastAsia="Times New Roman" w:hAnsi="Times New Roman"/>
                  <w:sz w:val="12"/>
                  <w:szCs w:val="12"/>
                  <w:u w:val="single" w:color="auto"/>
                  <w:color w:val="0563C1"/>
                </w:rPr>
                <w:t>Item 1. Financial Statements (unaudited):</w:t>
              </w:r>
            </w:hyperlink>
          </w:p>
        </w:tc>
        <w:tc>
          <w:tcPr>
            <w:tcW w:w="2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8520" w:type="dxa"/>
            <w:vAlign w:val="bottom"/>
            <w:gridSpan w:val="3"/>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3">
              <w:r>
                <w:rPr>
                  <w:rFonts w:ascii="Times New Roman" w:cs="Times New Roman" w:eastAsia="Times New Roman" w:hAnsi="Times New Roman"/>
                  <w:sz w:val="12"/>
                  <w:szCs w:val="12"/>
                  <w:u w:val="single" w:color="auto"/>
                  <w:color w:val="0563C1"/>
                </w:rPr>
                <w:t>Condensed Consolidated Balance Sheets as of September 30, 2020 and December 31, 2019</w:t>
              </w:r>
            </w:hyperlink>
          </w:p>
        </w:tc>
        <w:tc>
          <w:tcPr>
            <w:tcW w:w="2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8520" w:type="dxa"/>
            <w:vAlign w:val="bottom"/>
            <w:gridSpan w:val="3"/>
          </w:tcPr>
          <w:p>
            <w:pPr>
              <w:spacing w:after="0" w:line="111" w:lineRule="exact"/>
              <w:rPr>
                <w:rFonts w:ascii="Times New Roman" w:cs="Times New Roman" w:eastAsia="Times New Roman" w:hAnsi="Times New Roman"/>
                <w:sz w:val="12"/>
                <w:szCs w:val="12"/>
                <w:color w:val="0563C1"/>
              </w:rPr>
            </w:pPr>
            <w:hyperlink w:anchor="page4">
              <w:r>
                <w:rPr>
                  <w:rFonts w:ascii="Times New Roman" w:cs="Times New Roman" w:eastAsia="Times New Roman" w:hAnsi="Times New Roman"/>
                  <w:sz w:val="12"/>
                  <w:szCs w:val="12"/>
                  <w:color w:val="0563C1"/>
                </w:rPr>
                <w:t>Condensed Consolidated Statements of Operations and Comprehensive Loss</w:t>
              </w:r>
            </w:hyperlink>
          </w:p>
        </w:tc>
        <w:tc>
          <w:tcPr>
            <w:tcW w:w="26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3780" w:type="dxa"/>
            <w:vAlign w:val="bottom"/>
            <w:tcBorders>
              <w:top w:val="single" w:sz="8" w:color="0563C1"/>
            </w:tcBorders>
            <w:gridSpan w:val="2"/>
          </w:tcPr>
          <w:p>
            <w:pPr>
              <w:spacing w:after="0" w:line="128" w:lineRule="exact"/>
              <w:rPr>
                <w:rFonts w:ascii="Times New Roman" w:cs="Times New Roman" w:eastAsia="Times New Roman" w:hAnsi="Times New Roman"/>
                <w:sz w:val="12"/>
                <w:szCs w:val="12"/>
                <w:u w:val="single" w:color="auto"/>
                <w:color w:val="0563C1"/>
              </w:rPr>
            </w:pPr>
            <w:hyperlink w:anchor="page4">
              <w:r>
                <w:rPr>
                  <w:rFonts w:ascii="Times New Roman" w:cs="Times New Roman" w:eastAsia="Times New Roman" w:hAnsi="Times New Roman"/>
                  <w:sz w:val="12"/>
                  <w:szCs w:val="12"/>
                  <w:u w:val="single" w:color="auto"/>
                  <w:color w:val="0563C1"/>
                </w:rPr>
                <w:t>for the Three- and Nine-Month Periods Ended September 30, 2020 and 2019</w:t>
              </w:r>
            </w:hyperlink>
          </w:p>
        </w:tc>
        <w:tc>
          <w:tcPr>
            <w:tcW w:w="4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shd w:val="clear" w:color="auto" w:fill="CCEEFF"/>
          </w:tcPr>
          <w:p>
            <w:pPr>
              <w:spacing w:after="0"/>
              <w:rPr>
                <w:sz w:val="9"/>
                <w:szCs w:val="9"/>
                <w:color w:val="auto"/>
              </w:rPr>
            </w:pPr>
          </w:p>
        </w:tc>
        <w:tc>
          <w:tcPr>
            <w:tcW w:w="8520" w:type="dxa"/>
            <w:vAlign w:val="bottom"/>
            <w:gridSpan w:val="3"/>
            <w:shd w:val="clear" w:color="auto" w:fill="CCEEFF"/>
          </w:tcPr>
          <w:p>
            <w:pPr>
              <w:spacing w:after="0" w:line="111" w:lineRule="exact"/>
              <w:rPr>
                <w:rFonts w:ascii="Times New Roman" w:cs="Times New Roman" w:eastAsia="Times New Roman" w:hAnsi="Times New Roman"/>
                <w:sz w:val="12"/>
                <w:szCs w:val="12"/>
                <w:color w:val="0563C1"/>
              </w:rPr>
            </w:pPr>
            <w:hyperlink w:anchor="page5">
              <w:r>
                <w:rPr>
                  <w:rFonts w:ascii="Times New Roman" w:cs="Times New Roman" w:eastAsia="Times New Roman" w:hAnsi="Times New Roman"/>
                  <w:sz w:val="12"/>
                  <w:szCs w:val="12"/>
                  <w:color w:val="0563C1"/>
                </w:rPr>
                <w:t>Condensed Consolidated Statements of Cash Flows</w:t>
              </w:r>
            </w:hyperlink>
          </w:p>
        </w:tc>
        <w:tc>
          <w:tcPr>
            <w:tcW w:w="2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28"/>
        </w:trPr>
        <w:tc>
          <w:tcPr>
            <w:tcW w:w="12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0563C1"/>
            </w:tcBorders>
            <w:shd w:val="clear" w:color="auto" w:fill="CCEEFF"/>
          </w:tcPr>
          <w:p>
            <w:pPr>
              <w:spacing w:after="0" w:line="128" w:lineRule="exact"/>
              <w:rPr>
                <w:rFonts w:ascii="Times New Roman" w:cs="Times New Roman" w:eastAsia="Times New Roman" w:hAnsi="Times New Roman"/>
                <w:sz w:val="12"/>
                <w:szCs w:val="12"/>
                <w:u w:val="single" w:color="auto"/>
                <w:color w:val="0563C1"/>
              </w:rPr>
            </w:pPr>
            <w:hyperlink w:anchor="page5">
              <w:r>
                <w:rPr>
                  <w:rFonts w:ascii="Times New Roman" w:cs="Times New Roman" w:eastAsia="Times New Roman" w:hAnsi="Times New Roman"/>
                  <w:sz w:val="12"/>
                  <w:szCs w:val="12"/>
                  <w:u w:val="single" w:color="auto"/>
                  <w:color w:val="0563C1"/>
                </w:rPr>
                <w:t>for the Nine-Month Periods Ended September 30,</w:t>
              </w:r>
            </w:hyperlink>
          </w:p>
        </w:tc>
        <w:tc>
          <w:tcPr>
            <w:tcW w:w="5980" w:type="dxa"/>
            <w:vAlign w:val="bottom"/>
            <w:tcBorders>
              <w:top w:val="single" w:sz="8" w:color="CCEEFF"/>
            </w:tcBorders>
            <w:gridSpan w:val="2"/>
            <w:shd w:val="clear" w:color="auto" w:fill="CCEEFF"/>
          </w:tcPr>
          <w:p>
            <w:pPr>
              <w:spacing w:after="0" w:line="128" w:lineRule="exact"/>
              <w:rPr>
                <w:rFonts w:ascii="Times New Roman" w:cs="Times New Roman" w:eastAsia="Times New Roman" w:hAnsi="Times New Roman"/>
                <w:sz w:val="12"/>
                <w:szCs w:val="12"/>
                <w:u w:val="single" w:color="auto"/>
                <w:color w:val="0563C1"/>
              </w:rPr>
            </w:pPr>
            <w:hyperlink w:anchor="page5">
              <w:r>
                <w:rPr>
                  <w:rFonts w:ascii="Times New Roman" w:cs="Times New Roman" w:eastAsia="Times New Roman" w:hAnsi="Times New Roman"/>
                  <w:sz w:val="12"/>
                  <w:szCs w:val="12"/>
                  <w:u w:val="single" w:color="auto"/>
                  <w:color w:val="0563C1"/>
                </w:rPr>
                <w:t>2020 and 2019</w:t>
              </w:r>
            </w:hyperlink>
          </w:p>
        </w:tc>
        <w:tc>
          <w:tcPr>
            <w:tcW w:w="26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8520" w:type="dxa"/>
            <w:vAlign w:val="bottom"/>
            <w:gridSpan w:val="3"/>
          </w:tcPr>
          <w:p>
            <w:pPr>
              <w:spacing w:after="0" w:line="107" w:lineRule="exact"/>
              <w:rPr>
                <w:rFonts w:ascii="Times New Roman" w:cs="Times New Roman" w:eastAsia="Times New Roman" w:hAnsi="Times New Roman"/>
                <w:sz w:val="12"/>
                <w:szCs w:val="12"/>
                <w:u w:val="single" w:color="auto"/>
                <w:color w:val="0563C1"/>
              </w:rPr>
            </w:pPr>
            <w:hyperlink w:anchor="page6">
              <w:r>
                <w:rPr>
                  <w:rFonts w:ascii="Times New Roman" w:cs="Times New Roman" w:eastAsia="Times New Roman" w:hAnsi="Times New Roman"/>
                  <w:sz w:val="12"/>
                  <w:szCs w:val="12"/>
                  <w:u w:val="single" w:color="auto"/>
                  <w:color w:val="0563C1"/>
                </w:rPr>
                <w:t>Condensed Consolidated Statements of Stockholders’ Equity</w:t>
              </w:r>
            </w:hyperlink>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8520" w:type="dxa"/>
            <w:vAlign w:val="bottom"/>
            <w:gridSpan w:val="3"/>
            <w:vMerge w:val="restart"/>
          </w:tcPr>
          <w:p>
            <w:pPr>
              <w:spacing w:after="0"/>
              <w:rPr>
                <w:rFonts w:ascii="Times New Roman" w:cs="Times New Roman" w:eastAsia="Times New Roman" w:hAnsi="Times New Roman"/>
                <w:sz w:val="12"/>
                <w:szCs w:val="12"/>
                <w:u w:val="single" w:color="auto"/>
                <w:color w:val="0563C1"/>
              </w:rPr>
            </w:pPr>
            <w:hyperlink w:anchor="page6">
              <w:r>
                <w:rPr>
                  <w:rFonts w:ascii="Times New Roman" w:cs="Times New Roman" w:eastAsia="Times New Roman" w:hAnsi="Times New Roman"/>
                  <w:sz w:val="12"/>
                  <w:szCs w:val="12"/>
                  <w:u w:val="single" w:color="auto"/>
                  <w:color w:val="0563C1"/>
                </w:rPr>
                <w:t>for the Three- and Nine-Month Periods Ended September 30, 2020 and 2019</w:t>
              </w:r>
            </w:hyperlink>
          </w:p>
        </w:tc>
        <w:tc>
          <w:tcPr>
            <w:tcW w:w="2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8520" w:type="dxa"/>
            <w:vAlign w:val="bottom"/>
            <w:gridSpan w:val="3"/>
            <w:vMerge w:val="continue"/>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8520" w:type="dxa"/>
            <w:vAlign w:val="bottom"/>
            <w:gridSpan w:val="3"/>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8">
              <w:r>
                <w:rPr>
                  <w:rFonts w:ascii="Times New Roman" w:cs="Times New Roman" w:eastAsia="Times New Roman" w:hAnsi="Times New Roman"/>
                  <w:sz w:val="12"/>
                  <w:szCs w:val="12"/>
                  <w:u w:val="single" w:color="auto"/>
                  <w:color w:val="0563C1"/>
                </w:rPr>
                <w:t>Notes to Condensed Consolidated Financial Statements</w:t>
              </w:r>
            </w:hyperlink>
          </w:p>
        </w:tc>
        <w:tc>
          <w:tcPr>
            <w:tcW w:w="2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Times New Roman" w:cs="Times New Roman" w:eastAsia="Times New Roman" w:hAnsi="Times New Roman"/>
                <w:sz w:val="12"/>
                <w:szCs w:val="12"/>
                <w:u w:val="single" w:color="auto"/>
                <w:color w:val="0563C1"/>
              </w:rPr>
            </w:pPr>
            <w:hyperlink w:anchor="page18">
              <w:r>
                <w:rPr>
                  <w:rFonts w:ascii="Times New Roman" w:cs="Times New Roman" w:eastAsia="Times New Roman" w:hAnsi="Times New Roman"/>
                  <w:sz w:val="12"/>
                  <w:szCs w:val="12"/>
                  <w:u w:val="single" w:color="auto"/>
                  <w:color w:val="0563C1"/>
                </w:rPr>
                <w:t>Item 2. Management’s Discussion and Analysis of Financial Condition and Results of Operations</w:t>
              </w:r>
            </w:hyperlink>
          </w:p>
        </w:tc>
        <w:tc>
          <w:tcPr>
            <w:tcW w:w="2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25">
              <w:r>
                <w:rPr>
                  <w:rFonts w:ascii="Times New Roman" w:cs="Times New Roman" w:eastAsia="Times New Roman" w:hAnsi="Times New Roman"/>
                  <w:sz w:val="12"/>
                  <w:szCs w:val="12"/>
                  <w:u w:val="single" w:color="auto"/>
                  <w:color w:val="0563C1"/>
                </w:rPr>
                <w:t>Item 3. Quantitative and Qualitative Disclosures About Market Risk</w:t>
              </w:r>
            </w:hyperlink>
          </w:p>
        </w:tc>
        <w:tc>
          <w:tcPr>
            <w:tcW w:w="2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Times New Roman" w:cs="Times New Roman" w:eastAsia="Times New Roman" w:hAnsi="Times New Roman"/>
                <w:sz w:val="12"/>
                <w:szCs w:val="12"/>
                <w:u w:val="single" w:color="auto"/>
                <w:color w:val="0563C1"/>
              </w:rPr>
            </w:pPr>
            <w:hyperlink w:anchor="page26">
              <w:r>
                <w:rPr>
                  <w:rFonts w:ascii="Times New Roman" w:cs="Times New Roman" w:eastAsia="Times New Roman" w:hAnsi="Times New Roman"/>
                  <w:sz w:val="12"/>
                  <w:szCs w:val="12"/>
                  <w:u w:val="single" w:color="auto"/>
                  <w:color w:val="0563C1"/>
                </w:rPr>
                <w:t>Item 4. Controls and Procedures</w:t>
              </w:r>
            </w:hyperlink>
          </w:p>
        </w:tc>
        <w:tc>
          <w:tcPr>
            <w:tcW w:w="2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74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740" w:type="dxa"/>
            <w:vAlign w:val="bottom"/>
          </w:tcPr>
          <w:p>
            <w:pPr>
              <w:jc w:val="center"/>
              <w:ind w:right="2219"/>
              <w:spacing w:after="0" w:line="129" w:lineRule="exact"/>
              <w:rPr>
                <w:rFonts w:ascii="Times New Roman" w:cs="Times New Roman" w:eastAsia="Times New Roman" w:hAnsi="Times New Roman"/>
                <w:sz w:val="12"/>
                <w:szCs w:val="12"/>
                <w:b w:val="1"/>
                <w:bCs w:val="1"/>
                <w:u w:val="single" w:color="auto"/>
                <w:color w:val="0563C1"/>
              </w:rPr>
            </w:pPr>
            <w:hyperlink w:anchor="page27">
              <w:r>
                <w:rPr>
                  <w:rFonts w:ascii="Times New Roman" w:cs="Times New Roman" w:eastAsia="Times New Roman" w:hAnsi="Times New Roman"/>
                  <w:sz w:val="12"/>
                  <w:szCs w:val="12"/>
                  <w:b w:val="1"/>
                  <w:bCs w:val="1"/>
                  <w:u w:val="single" w:color="auto"/>
                  <w:color w:val="0563C1"/>
                </w:rPr>
                <w:t>PART II. OTHER INFORMATION</w:t>
              </w:r>
            </w:hyperlink>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27">
              <w:r>
                <w:rPr>
                  <w:rFonts w:ascii="Times New Roman" w:cs="Times New Roman" w:eastAsia="Times New Roman" w:hAnsi="Times New Roman"/>
                  <w:sz w:val="12"/>
                  <w:szCs w:val="12"/>
                  <w:u w:val="single" w:color="auto"/>
                  <w:color w:val="0563C1"/>
                </w:rPr>
                <w:t>Item 1. Legal Proceedings</w:t>
              </w:r>
            </w:hyperlink>
          </w:p>
        </w:tc>
        <w:tc>
          <w:tcPr>
            <w:tcW w:w="2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Times New Roman" w:cs="Times New Roman" w:eastAsia="Times New Roman" w:hAnsi="Times New Roman"/>
                <w:sz w:val="12"/>
                <w:szCs w:val="12"/>
                <w:u w:val="single" w:color="auto"/>
                <w:color w:val="0563C1"/>
              </w:rPr>
            </w:pPr>
            <w:hyperlink w:anchor="page27">
              <w:r>
                <w:rPr>
                  <w:rFonts w:ascii="Times New Roman" w:cs="Times New Roman" w:eastAsia="Times New Roman" w:hAnsi="Times New Roman"/>
                  <w:sz w:val="12"/>
                  <w:szCs w:val="12"/>
                  <w:u w:val="single" w:color="auto"/>
                  <w:color w:val="0563C1"/>
                </w:rPr>
                <w:t>Item 1A. Risk Factors</w:t>
              </w:r>
            </w:hyperlink>
          </w:p>
        </w:tc>
        <w:tc>
          <w:tcPr>
            <w:tcW w:w="2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60">
              <w:r>
                <w:rPr>
                  <w:rFonts w:ascii="Times New Roman" w:cs="Times New Roman" w:eastAsia="Times New Roman" w:hAnsi="Times New Roman"/>
                  <w:sz w:val="12"/>
                  <w:szCs w:val="12"/>
                  <w:u w:val="single" w:color="auto"/>
                  <w:color w:val="0563C1"/>
                </w:rPr>
                <w:t>Item 2. Unregistered Sales of Equity Securities and Use of Proceeds</w:t>
              </w:r>
            </w:hyperlink>
          </w:p>
        </w:tc>
        <w:tc>
          <w:tcPr>
            <w:tcW w:w="2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Times New Roman" w:cs="Times New Roman" w:eastAsia="Times New Roman" w:hAnsi="Times New Roman"/>
                <w:sz w:val="12"/>
                <w:szCs w:val="12"/>
                <w:u w:val="single" w:color="auto"/>
                <w:color w:val="0563C1"/>
              </w:rPr>
            </w:pPr>
            <w:hyperlink w:anchor="page60">
              <w:r>
                <w:rPr>
                  <w:rFonts w:ascii="Times New Roman" w:cs="Times New Roman" w:eastAsia="Times New Roman" w:hAnsi="Times New Roman"/>
                  <w:sz w:val="12"/>
                  <w:szCs w:val="12"/>
                  <w:u w:val="single" w:color="auto"/>
                  <w:color w:val="0563C1"/>
                </w:rPr>
                <w:t>Item 3. Default Upon Senior Securities</w:t>
              </w:r>
            </w:hyperlink>
          </w:p>
        </w:tc>
        <w:tc>
          <w:tcPr>
            <w:tcW w:w="2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60">
              <w:r>
                <w:rPr>
                  <w:rFonts w:ascii="Times New Roman" w:cs="Times New Roman" w:eastAsia="Times New Roman" w:hAnsi="Times New Roman"/>
                  <w:sz w:val="12"/>
                  <w:szCs w:val="12"/>
                  <w:u w:val="single" w:color="auto"/>
                  <w:color w:val="0563C1"/>
                </w:rPr>
                <w:t>Item 4. Mine Safety Disclosures</w:t>
              </w:r>
            </w:hyperlink>
          </w:p>
        </w:tc>
        <w:tc>
          <w:tcPr>
            <w:tcW w:w="2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Times New Roman" w:cs="Times New Roman" w:eastAsia="Times New Roman" w:hAnsi="Times New Roman"/>
                <w:sz w:val="12"/>
                <w:szCs w:val="12"/>
                <w:u w:val="single" w:color="auto"/>
                <w:color w:val="0563C1"/>
              </w:rPr>
            </w:pPr>
            <w:hyperlink w:anchor="page60">
              <w:r>
                <w:rPr>
                  <w:rFonts w:ascii="Times New Roman" w:cs="Times New Roman" w:eastAsia="Times New Roman" w:hAnsi="Times New Roman"/>
                  <w:sz w:val="12"/>
                  <w:szCs w:val="12"/>
                  <w:u w:val="single" w:color="auto"/>
                  <w:color w:val="0563C1"/>
                </w:rPr>
                <w:t>Item 5. Other Information</w:t>
              </w:r>
            </w:hyperlink>
          </w:p>
        </w:tc>
        <w:tc>
          <w:tcPr>
            <w:tcW w:w="2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61">
              <w:r>
                <w:rPr>
                  <w:rFonts w:ascii="Times New Roman" w:cs="Times New Roman" w:eastAsia="Times New Roman" w:hAnsi="Times New Roman"/>
                  <w:sz w:val="12"/>
                  <w:szCs w:val="12"/>
                  <w:u w:val="single" w:color="auto"/>
                  <w:color w:val="0563C1"/>
                </w:rPr>
                <w:t>Item 6. Exhibits</w:t>
              </w:r>
            </w:hyperlink>
          </w:p>
        </w:tc>
        <w:tc>
          <w:tcPr>
            <w:tcW w:w="2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60"/>
        </w:trPr>
        <w:tc>
          <w:tcPr>
            <w:tcW w:w="8640" w:type="dxa"/>
            <w:vAlign w:val="bottom"/>
            <w:gridSpan w:val="4"/>
          </w:tcPr>
          <w:p>
            <w:pPr>
              <w:spacing w:after="0"/>
              <w:rPr>
                <w:rFonts w:ascii="Times New Roman" w:cs="Times New Roman" w:eastAsia="Times New Roman" w:hAnsi="Times New Roman"/>
                <w:sz w:val="12"/>
                <w:szCs w:val="12"/>
                <w:u w:val="single" w:color="auto"/>
                <w:color w:val="0563C1"/>
              </w:rPr>
            </w:pPr>
            <w:hyperlink w:anchor="page62">
              <w:r>
                <w:rPr>
                  <w:rFonts w:ascii="Times New Roman" w:cs="Times New Roman" w:eastAsia="Times New Roman" w:hAnsi="Times New Roman"/>
                  <w:sz w:val="12"/>
                  <w:szCs w:val="12"/>
                  <w:u w:val="single" w:color="auto"/>
                  <w:color w:val="0563C1"/>
                </w:rPr>
                <w:t>Signatures</w:t>
              </w:r>
            </w:hyperlink>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494"/>
        </w:trPr>
        <w:tc>
          <w:tcPr>
            <w:tcW w:w="8640" w:type="dxa"/>
            <w:vAlign w:val="bottom"/>
            <w:gridSpan w:val="4"/>
          </w:tcPr>
          <w:p>
            <w:pPr>
              <w:ind w:left="5620"/>
              <w:spacing w:after="0"/>
              <w:rPr>
                <w:sz w:val="20"/>
                <w:szCs w:val="20"/>
                <w:color w:val="auto"/>
              </w:rPr>
            </w:pPr>
            <w:r>
              <w:rPr>
                <w:rFonts w:ascii="Times New Roman" w:cs="Times New Roman" w:eastAsia="Times New Roman" w:hAnsi="Times New Roman"/>
                <w:sz w:val="12"/>
                <w:szCs w:val="12"/>
                <w:color w:val="auto"/>
              </w:rPr>
              <w:t>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-5080</wp:posOffset>
            </wp:positionV>
            <wp:extent cx="57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5715"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 w:name="page3"/>
    <w:bookmarkEnd w:id="2"/>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ind w:left="4580"/>
        <w:spacing w:after="0" w:line="237" w:lineRule="auto"/>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ind w:left="456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8"/>
        </w:trPr>
        <w:tc>
          <w:tcPr>
            <w:tcW w:w="8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7,070</w:t>
            </w: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6,899</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Investments</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22,516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18,499</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1,005</w:t>
            </w:r>
          </w:p>
        </w:tc>
      </w:tr>
      <w:tr>
        <w:trPr>
          <w:trHeight w:val="118"/>
        </w:trPr>
        <w:tc>
          <w:tcPr>
            <w:tcW w:w="8160" w:type="dxa"/>
            <w:vAlign w:val="bottom"/>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tcPr>
          <w:p>
            <w:pPr>
              <w:spacing w:after="0"/>
              <w:rPr>
                <w:sz w:val="10"/>
                <w:szCs w:val="10"/>
                <w:color w:val="auto"/>
              </w:rPr>
            </w:pPr>
          </w:p>
        </w:tc>
        <w:tc>
          <w:tcPr>
            <w:tcW w:w="12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30,334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26,403</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2,562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2,566</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4,048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4,547</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Goodwill</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9,595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5,114</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494</w:t>
            </w:r>
          </w:p>
        </w:tc>
      </w:tr>
      <w:tr>
        <w:trPr>
          <w:trHeight w:val="126"/>
        </w:trPr>
        <w:tc>
          <w:tcPr>
            <w:tcW w:w="8160" w:type="dxa"/>
            <w:vAlign w:val="bottom"/>
            <w:tcBorders>
              <w:bottom w:val="single" w:sz="8" w:color="CCEEFF"/>
            </w:tcBorders>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49,695</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41,915</w:t>
            </w:r>
          </w:p>
        </w:tc>
      </w:tr>
      <w:tr>
        <w:trPr>
          <w:trHeight w:val="129"/>
        </w:trPr>
        <w:tc>
          <w:tcPr>
            <w:tcW w:w="8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1,432</w:t>
            </w:r>
          </w:p>
        </w:tc>
        <w:tc>
          <w:tcPr>
            <w:tcW w:w="80" w:type="dxa"/>
            <w:vAlign w:val="bottom"/>
          </w:tcPr>
          <w:p>
            <w:pPr>
              <w:spacing w:after="0"/>
              <w:rPr>
                <w:sz w:val="11"/>
                <w:szCs w:val="11"/>
                <w:color w:val="auto"/>
              </w:rPr>
            </w:pPr>
          </w:p>
        </w:tc>
        <w:tc>
          <w:tcPr>
            <w:tcW w:w="340" w:type="dxa"/>
            <w:vAlign w:val="bottom"/>
            <w:gridSpan w:val="2"/>
          </w:tcPr>
          <w:p>
            <w:pPr>
              <w:jc w:val="right"/>
              <w:ind w:right="1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1,963</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2,496</w:t>
            </w:r>
          </w:p>
        </w:tc>
      </w:tr>
      <w:tr>
        <w:trPr>
          <w:trHeight w:val="129"/>
        </w:trPr>
        <w:tc>
          <w:tcPr>
            <w:tcW w:w="816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Lease liability, current</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457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4,459</w:t>
            </w:r>
          </w:p>
        </w:tc>
      </w:tr>
      <w:tr>
        <w:trPr>
          <w:trHeight w:val="129"/>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Lease liability, less current</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10,991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6,719</w:t>
            </w:r>
          </w:p>
        </w:tc>
      </w:tr>
      <w:tr>
        <w:trPr>
          <w:trHeight w:val="118"/>
        </w:trPr>
        <w:tc>
          <w:tcPr>
            <w:tcW w:w="8160" w:type="dxa"/>
            <w:vAlign w:val="bottom"/>
            <w:tcBorders>
              <w:bottom w:val="single" w:sz="8" w:color="CCEEFF"/>
            </w:tcBorders>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16,991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11,178</w:t>
            </w:r>
          </w:p>
        </w:tc>
      </w:tr>
      <w:tr>
        <w:trPr>
          <w:trHeight w:val="118"/>
        </w:trPr>
        <w:tc>
          <w:tcPr>
            <w:tcW w:w="8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Commitments and contingencies (Note 8)</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Stockholders’ equity:</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07"/>
        </w:trPr>
        <w:tc>
          <w:tcPr>
            <w:tcW w:w="8160" w:type="dxa"/>
            <w:vAlign w:val="bottom"/>
            <w:shd w:val="clear" w:color="auto" w:fill="CCEEFF"/>
          </w:tcPr>
          <w:p>
            <w:pPr>
              <w:ind w:left="140"/>
              <w:spacing w:after="0" w:line="107" w:lineRule="exact"/>
              <w:rPr>
                <w:sz w:val="20"/>
                <w:szCs w:val="20"/>
                <w:color w:val="auto"/>
              </w:rPr>
            </w:pPr>
            <w:r>
              <w:rPr>
                <w:rFonts w:ascii="Times New Roman" w:cs="Times New Roman" w:eastAsia="Times New Roman" w:hAnsi="Times New Roman"/>
                <w:sz w:val="12"/>
                <w:szCs w:val="12"/>
                <w:color w:val="auto"/>
              </w:rPr>
              <w:t>Preferred stock, $0.001 par value;</w:t>
            </w: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51"/>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authorized – 50,000 shares; no shares issued and outstanding</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7"/>
        </w:trPr>
        <w:tc>
          <w:tcPr>
            <w:tcW w:w="8160" w:type="dxa"/>
            <w:vAlign w:val="bottom"/>
          </w:tcPr>
          <w:p>
            <w:pPr>
              <w:ind w:left="140"/>
              <w:spacing w:after="0" w:line="107" w:lineRule="exact"/>
              <w:rPr>
                <w:sz w:val="20"/>
                <w:szCs w:val="20"/>
                <w:color w:val="auto"/>
              </w:rPr>
            </w:pPr>
            <w:r>
              <w:rPr>
                <w:rFonts w:ascii="Times New Roman" w:cs="Times New Roman" w:eastAsia="Times New Roman" w:hAnsi="Times New Roman"/>
                <w:sz w:val="12"/>
                <w:szCs w:val="12"/>
                <w:color w:val="auto"/>
              </w:rPr>
              <w:t>Common stock, $0.001 par value:</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51"/>
        </w:trPr>
        <w:tc>
          <w:tcPr>
            <w:tcW w:w="8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authorized – 500,000 shares; issued and outstanding – 25,290 shares and 20,825 shares at September 30, 2020 and December 31, 2019, respectively</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191,468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153,401</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other comprehensive income</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(158,790)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(122,689)</w:t>
            </w:r>
          </w:p>
        </w:tc>
      </w:tr>
      <w:tr>
        <w:trPr>
          <w:trHeight w:val="118"/>
        </w:trPr>
        <w:tc>
          <w:tcPr>
            <w:tcW w:w="8160" w:type="dxa"/>
            <w:vAlign w:val="bottom"/>
            <w:tcBorders>
              <w:bottom w:val="single" w:sz="8" w:color="CCEEFF"/>
            </w:tcBorders>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32,704</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30,737</w:t>
            </w:r>
          </w:p>
        </w:tc>
      </w:tr>
      <w:tr>
        <w:trPr>
          <w:trHeight w:val="126"/>
        </w:trPr>
        <w:tc>
          <w:tcPr>
            <w:tcW w:w="8160" w:type="dxa"/>
            <w:vAlign w:val="bottom"/>
            <w:tcBorders>
              <w:bottom w:val="single" w:sz="8" w:color="CCEEFF"/>
            </w:tcBorders>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260" w:type="dxa"/>
            <w:vAlign w:val="bottom"/>
            <w:tcBorders>
              <w:bottom w:val="single" w:sz="8" w:color="auto"/>
            </w:tcBorders>
            <w:shd w:val="clear" w:color="auto" w:fill="CCEEFF"/>
          </w:tcPr>
          <w:p>
            <w:pPr>
              <w:jc w:val="right"/>
              <w:ind w:right="1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49,695</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41,915</w:t>
            </w: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 w:name="page4"/>
    <w:bookmarkEnd w:id="3"/>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jc w:val="center"/>
        <w:ind w:left="440"/>
        <w:spacing w:after="0" w:line="237" w:lineRule="auto"/>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jc w:val="center"/>
        <w:ind w:left="44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40" w:type="dxa"/>
            <w:vAlign w:val="bottom"/>
            <w:gridSpan w:val="4"/>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40" w:type="dxa"/>
            <w:vAlign w:val="bottom"/>
            <w:gridSpan w:val="4"/>
          </w:tcPr>
          <w:p>
            <w:pPr>
              <w:jc w:val="right"/>
              <w:ind w:right="519"/>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r>
      <w:tr>
        <w:trPr>
          <w:trHeight w:val="118"/>
        </w:trPr>
        <w:tc>
          <w:tcPr>
            <w:tcW w:w="5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tcBorders>
              <w:bottom w:val="single" w:sz="8" w:color="auto"/>
            </w:tcBorders>
          </w:tcPr>
          <w:p>
            <w:pPr>
              <w:spacing w:after="0"/>
              <w:rPr>
                <w:sz w:val="10"/>
                <w:szCs w:val="10"/>
                <w:color w:val="auto"/>
              </w:rPr>
            </w:pPr>
          </w:p>
        </w:tc>
      </w:tr>
      <w:tr>
        <w:trPr>
          <w:trHeight w:val="91"/>
        </w:trPr>
        <w:tc>
          <w:tcPr>
            <w:tcW w:w="5560" w:type="dxa"/>
            <w:vAlign w:val="bottom"/>
            <w:tcBorders>
              <w:bottom w:val="single" w:sz="8" w:color="CCEEFF"/>
            </w:tcBorders>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2020</w:t>
            </w: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jc w:val="right"/>
              <w:ind w:right="8"/>
              <w:spacing w:after="0" w:line="91" w:lineRule="exact"/>
              <w:rPr>
                <w:sz w:val="20"/>
                <w:szCs w:val="20"/>
                <w:color w:val="auto"/>
              </w:rPr>
            </w:pPr>
            <w:r>
              <w:rPr>
                <w:rFonts w:ascii="Times New Roman" w:cs="Times New Roman" w:eastAsia="Times New Roman" w:hAnsi="Times New Roman"/>
                <w:sz w:val="10"/>
                <w:szCs w:val="10"/>
                <w:b w:val="1"/>
                <w:bCs w:val="1"/>
                <w:color w:val="auto"/>
              </w:rPr>
              <w:t>2019</w:t>
            </w: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421"/>
              <w:spacing w:after="0" w:line="91"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419"/>
              <w:spacing w:after="0" w:line="91" w:lineRule="exact"/>
              <w:rPr>
                <w:sz w:val="20"/>
                <w:szCs w:val="20"/>
                <w:color w:val="auto"/>
              </w:rPr>
            </w:pPr>
            <w:r>
              <w:rPr>
                <w:rFonts w:ascii="Times New Roman" w:cs="Times New Roman" w:eastAsia="Times New Roman" w:hAnsi="Times New Roman"/>
                <w:sz w:val="10"/>
                <w:szCs w:val="10"/>
                <w:b w:val="1"/>
                <w:bCs w:val="1"/>
                <w:color w:val="auto"/>
              </w:rPr>
              <w:t>2019</w:t>
            </w:r>
          </w:p>
        </w:tc>
      </w:tr>
      <w:tr>
        <w:trPr>
          <w:trHeight w:val="118"/>
        </w:trPr>
        <w:tc>
          <w:tcPr>
            <w:tcW w:w="55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Revenue</w:t>
            </w:r>
          </w:p>
        </w:tc>
        <w:tc>
          <w:tcPr>
            <w:tcW w:w="1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5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55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Operating expenses:</w:t>
            </w: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9"/>
        </w:trPr>
        <w:tc>
          <w:tcPr>
            <w:tcW w:w="55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1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5,771</w:t>
            </w: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5,606</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16,691</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15,153</w:t>
            </w:r>
          </w:p>
        </w:tc>
      </w:tr>
      <w:tr>
        <w:trPr>
          <w:trHeight w:val="129"/>
        </w:trPr>
        <w:tc>
          <w:tcPr>
            <w:tcW w:w="55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6,968</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6,192</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19,019</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18,371</w:t>
            </w:r>
          </w:p>
        </w:tc>
      </w:tr>
      <w:tr>
        <w:trPr>
          <w:trHeight w:val="129"/>
        </w:trPr>
        <w:tc>
          <w:tcPr>
            <w:tcW w:w="55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1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166</w:t>
            </w:r>
          </w:p>
        </w:tc>
        <w:tc>
          <w:tcPr>
            <w:tcW w:w="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166</w:t>
            </w:r>
          </w:p>
        </w:tc>
        <w:tc>
          <w:tcPr>
            <w:tcW w:w="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499</w:t>
            </w:r>
          </w:p>
        </w:tc>
        <w:tc>
          <w:tcPr>
            <w:tcW w:w="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500</w:t>
            </w:r>
          </w:p>
        </w:tc>
      </w:tr>
      <w:tr>
        <w:trPr>
          <w:trHeight w:val="118"/>
        </w:trPr>
        <w:tc>
          <w:tcPr>
            <w:tcW w:w="556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Total operating expenses</w:t>
            </w:r>
          </w:p>
        </w:tc>
        <w:tc>
          <w:tcPr>
            <w:tcW w:w="1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12,905</w:t>
            </w:r>
          </w:p>
        </w:tc>
        <w:tc>
          <w:tcPr>
            <w:tcW w:w="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11,964</w:t>
            </w:r>
          </w:p>
        </w:tc>
        <w:tc>
          <w:tcPr>
            <w:tcW w:w="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36,209</w:t>
            </w:r>
          </w:p>
        </w:tc>
        <w:tc>
          <w:tcPr>
            <w:tcW w:w="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34,024</w:t>
            </w:r>
          </w:p>
        </w:tc>
      </w:tr>
      <w:tr>
        <w:trPr>
          <w:trHeight w:val="118"/>
        </w:trPr>
        <w:tc>
          <w:tcPr>
            <w:tcW w:w="55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Other income:</w:t>
            </w:r>
          </w:p>
        </w:tc>
        <w:tc>
          <w:tcPr>
            <w:tcW w:w="1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29"/>
        </w:trPr>
        <w:tc>
          <w:tcPr>
            <w:tcW w:w="556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w:t>
            </w:r>
          </w:p>
        </w:tc>
        <w:tc>
          <w:tcPr>
            <w:tcW w:w="1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w:t>
            </w:r>
          </w:p>
        </w:tc>
        <w:tc>
          <w:tcPr>
            <w:tcW w:w="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218</w:t>
            </w:r>
          </w:p>
        </w:tc>
        <w:tc>
          <w:tcPr>
            <w:tcW w:w="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108</w:t>
            </w:r>
          </w:p>
        </w:tc>
        <w:tc>
          <w:tcPr>
            <w:tcW w:w="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841</w:t>
            </w:r>
          </w:p>
        </w:tc>
      </w:tr>
      <w:tr>
        <w:trPr>
          <w:trHeight w:val="118"/>
        </w:trPr>
        <w:tc>
          <w:tcPr>
            <w:tcW w:w="55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w:t>
            </w:r>
          </w:p>
        </w:tc>
        <w:tc>
          <w:tcPr>
            <w:tcW w:w="1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9</w:t>
            </w:r>
          </w:p>
        </w:tc>
        <w:tc>
          <w:tcPr>
            <w:tcW w:w="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218</w:t>
            </w:r>
          </w:p>
        </w:tc>
        <w:tc>
          <w:tcPr>
            <w:tcW w:w="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108</w:t>
            </w:r>
          </w:p>
        </w:tc>
        <w:tc>
          <w:tcPr>
            <w:tcW w:w="2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841</w:t>
            </w:r>
          </w:p>
        </w:tc>
      </w:tr>
      <w:tr>
        <w:trPr>
          <w:trHeight w:val="126"/>
        </w:trPr>
        <w:tc>
          <w:tcPr>
            <w:tcW w:w="556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1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(12,896)</w:t>
            </w:r>
          </w:p>
        </w:tc>
        <w:tc>
          <w:tcPr>
            <w:tcW w:w="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(11,746)</w:t>
            </w:r>
          </w:p>
        </w:tc>
        <w:tc>
          <w:tcPr>
            <w:tcW w:w="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(36,101)</w:t>
            </w:r>
          </w:p>
        </w:tc>
        <w:tc>
          <w:tcPr>
            <w:tcW w:w="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(33,183)</w:t>
            </w:r>
          </w:p>
        </w:tc>
      </w:tr>
      <w:tr>
        <w:trPr>
          <w:trHeight w:val="129"/>
        </w:trPr>
        <w:tc>
          <w:tcPr>
            <w:tcW w:w="5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comprehensive loss:</w:t>
            </w:r>
          </w:p>
        </w:tc>
        <w:tc>
          <w:tcPr>
            <w:tcW w:w="1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29"/>
        </w:trPr>
        <w:tc>
          <w:tcPr>
            <w:tcW w:w="556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auto"/>
              </w:rPr>
              <w:t>Unrealized gain (loss) on available-for-sale securities</w:t>
            </w: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1</w:t>
            </w:r>
          </w:p>
        </w:tc>
        <w:tc>
          <w:tcPr>
            <w:tcW w:w="6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w:t>
            </w:r>
          </w:p>
        </w:tc>
      </w:tr>
      <w:tr>
        <w:trPr>
          <w:trHeight w:val="138"/>
        </w:trPr>
        <w:tc>
          <w:tcPr>
            <w:tcW w:w="5560" w:type="dxa"/>
            <w:vAlign w:val="bottom"/>
            <w:tcBorders>
              <w:top w:val="single" w:sz="8" w:color="CCEEFF"/>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Comprehensive loss</w:t>
            </w: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(12,895)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(11,760)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(36,104)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(33,174)</w:t>
            </w:r>
          </w:p>
        </w:tc>
      </w:tr>
      <w:tr>
        <w:trPr>
          <w:trHeight w:val="117"/>
        </w:trPr>
        <w:tc>
          <w:tcPr>
            <w:tcW w:w="556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Net loss per share:</w:t>
            </w: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9"/>
        </w:trPr>
        <w:tc>
          <w:tcPr>
            <w:tcW w:w="5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Basic and diluted net loss per share</w:t>
            </w:r>
          </w:p>
        </w:tc>
        <w:tc>
          <w:tcPr>
            <w:tcW w:w="1840" w:type="dxa"/>
            <w:vAlign w:val="bottom"/>
            <w:gridSpan w:val="2"/>
            <w:shd w:val="clear" w:color="auto" w:fill="CCEEFF"/>
          </w:tcPr>
          <w:p>
            <w:pPr>
              <w:jc w:val="right"/>
              <w:ind w:right="587"/>
              <w:spacing w:after="0" w:line="129"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(0.51)</w:t>
            </w:r>
          </w:p>
        </w:tc>
        <w:tc>
          <w:tcPr>
            <w:tcW w:w="6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(0.57)</w:t>
            </w:r>
          </w:p>
        </w:tc>
        <w:tc>
          <w:tcPr>
            <w:tcW w:w="2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(1.60)</w:t>
            </w:r>
          </w:p>
        </w:tc>
        <w:tc>
          <w:tcPr>
            <w:tcW w:w="40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(1.60)</w:t>
            </w:r>
          </w:p>
        </w:tc>
      </w:tr>
      <w:tr>
        <w:trPr>
          <w:trHeight w:val="124"/>
        </w:trPr>
        <w:tc>
          <w:tcPr>
            <w:tcW w:w="556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2"/>
                <w:szCs w:val="12"/>
                <w:color w:val="auto"/>
              </w:rPr>
              <w:t>Weighted average shares used to compute net loss per common share — basic and diluted</w:t>
            </w:r>
          </w:p>
        </w:tc>
        <w:tc>
          <w:tcPr>
            <w:tcW w:w="1140" w:type="dxa"/>
            <w:vAlign w:val="bottom"/>
            <w:tcBorders>
              <w:top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25,223</w:t>
            </w:r>
          </w:p>
        </w:tc>
        <w:tc>
          <w:tcPr>
            <w:tcW w:w="20" w:type="dxa"/>
            <w:vAlign w:val="bottom"/>
            <w:tcBorders>
              <w:top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20,774</w:t>
            </w:r>
          </w:p>
        </w:tc>
        <w:tc>
          <w:tcPr>
            <w:tcW w:w="20" w:type="dxa"/>
            <w:vAlign w:val="bottom"/>
            <w:tcBorders>
              <w:top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
              <w:spacing w:after="0" w:line="117" w:lineRule="exact"/>
              <w:rPr>
                <w:sz w:val="20"/>
                <w:szCs w:val="20"/>
                <w:color w:val="auto"/>
              </w:rPr>
            </w:pPr>
            <w:r>
              <w:rPr>
                <w:rFonts w:ascii="Times New Roman" w:cs="Times New Roman" w:eastAsia="Times New Roman" w:hAnsi="Times New Roman"/>
                <w:sz w:val="12"/>
                <w:szCs w:val="12"/>
                <w:color w:val="auto"/>
              </w:rPr>
              <w:t>22,540</w:t>
            </w:r>
          </w:p>
        </w:tc>
        <w:tc>
          <w:tcPr>
            <w:tcW w:w="20" w:type="dxa"/>
            <w:vAlign w:val="bottom"/>
            <w:tcBorders>
              <w:top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20,728</w:t>
            </w:r>
          </w:p>
        </w:tc>
      </w:tr>
    </w:tbl>
    <w:p>
      <w:pPr>
        <w:spacing w:after="0" w:line="1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 w:name="page5"/>
    <w:bookmarkEnd w:id="4"/>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jc w:val="center"/>
        <w:spacing w:after="0" w:line="237" w:lineRule="auto"/>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jc w:val="center"/>
        <w:spacing w:after="0" w:line="224" w:lineRule="auto"/>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4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0"/>
          <w:szCs w:val="10"/>
          <w:b w:val="1"/>
          <w:bCs w:val="1"/>
          <w:color w:val="auto"/>
        </w:rPr>
        <w:t>Nine-Month Periods Ended</w:t>
      </w:r>
    </w:p>
    <w:p>
      <w:pPr>
        <w:jc w:val="center"/>
        <w:ind w:left="8160"/>
        <w:spacing w:after="0" w:line="221"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0" w:type="dxa"/>
        <w:tblCellMar>
          <w:top w:w="0" w:type="dxa"/>
          <w:left w:w="0" w:type="dxa"/>
          <w:bottom w:w="0" w:type="dxa"/>
          <w:right w:w="0" w:type="dxa"/>
        </w:tblCellMar>
      </w:tblPr>
      <w:tr>
        <w:trPr>
          <w:trHeight w:val="91"/>
        </w:trPr>
        <w:tc>
          <w:tcPr>
            <w:tcW w:w="8160" w:type="dxa"/>
            <w:vAlign w:val="bottom"/>
            <w:tcBorders>
              <w:bottom w:val="single" w:sz="8" w:color="CCEEFF"/>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45"/>
              <w:spacing w:after="0" w:line="91" w:lineRule="exact"/>
              <w:rPr>
                <w:sz w:val="20"/>
                <w:szCs w:val="20"/>
                <w:color w:val="auto"/>
              </w:rPr>
            </w:pPr>
            <w:r>
              <w:rPr>
                <w:rFonts w:ascii="Times New Roman" w:cs="Times New Roman" w:eastAsia="Times New Roman" w:hAnsi="Times New Roman"/>
                <w:sz w:val="10"/>
                <w:szCs w:val="10"/>
                <w:b w:val="1"/>
                <w:bCs w:val="1"/>
                <w:color w:val="auto"/>
              </w:rPr>
              <w:t>2020</w:t>
            </w:r>
          </w:p>
        </w:tc>
        <w:tc>
          <w:tcPr>
            <w:tcW w:w="54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jc w:val="right"/>
              <w:ind w:right="579"/>
              <w:spacing w:after="0" w:line="91" w:lineRule="exact"/>
              <w:rPr>
                <w:sz w:val="20"/>
                <w:szCs w:val="20"/>
                <w:color w:val="auto"/>
              </w:rPr>
            </w:pPr>
            <w:r>
              <w:rPr>
                <w:rFonts w:ascii="Times New Roman" w:cs="Times New Roman" w:eastAsia="Times New Roman" w:hAnsi="Times New Roman"/>
                <w:sz w:val="10"/>
                <w:szCs w:val="10"/>
                <w:b w:val="1"/>
                <w:bCs w:val="1"/>
                <w:color w:val="auto"/>
              </w:rPr>
              <w:t>2019</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(36,101)</w:t>
            </w:r>
          </w:p>
        </w:tc>
        <w:tc>
          <w:tcPr>
            <w:tcW w:w="440" w:type="dxa"/>
            <w:vAlign w:val="bottom"/>
            <w:gridSpan w:val="2"/>
          </w:tcPr>
          <w:p>
            <w:pPr>
              <w:jc w:val="right"/>
              <w:ind w:right="2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(33,183)</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Depreciation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390</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499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500</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Stock-based compensation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7,686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7,739</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Net premium amortization and discount on available-for-sale securities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(458)</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Loss on disposal of fixed assets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Gain on U.S. Treasury securities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(658)</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long-term assets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(595)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544</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633</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Lease liabilities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(2,734)</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current and long-term liabilities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2,238</w:t>
            </w:r>
          </w:p>
        </w:tc>
      </w:tr>
      <w:tr>
        <w:trPr>
          <w:trHeight w:val="118"/>
        </w:trPr>
        <w:tc>
          <w:tcPr>
            <w:tcW w:w="8160" w:type="dxa"/>
            <w:vAlign w:val="bottom"/>
            <w:tcBorders>
              <w:top w:val="single" w:sz="8" w:color="CCEEFF"/>
            </w:tcBorders>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(26,110)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(24,989)</w:t>
            </w:r>
          </w:p>
        </w:tc>
      </w:tr>
      <w:tr>
        <w:trPr>
          <w:trHeight w:val="118"/>
        </w:trPr>
        <w:tc>
          <w:tcPr>
            <w:tcW w:w="816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(645)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Purchases of investments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(25,516)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(72,981)</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Maturities of investments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57,000</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Sales of investments</w:t>
            </w: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17,000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160" w:type="dxa"/>
            <w:vAlign w:val="bottom"/>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(4,168)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(16,626)</w:t>
            </w:r>
          </w:p>
        </w:tc>
      </w:tr>
      <w:tr>
        <w:trPr>
          <w:trHeight w:val="118"/>
        </w:trPr>
        <w:tc>
          <w:tcPr>
            <w:tcW w:w="816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 under employee stock purchase plan</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423</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warrants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stock options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 net of issuance cost of $565</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29,498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Tax payments related to shares withheld for vested restricted stock units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(613)</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9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30,449</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82</w:t>
            </w:r>
          </w:p>
        </w:tc>
      </w:tr>
      <w:tr>
        <w:trPr>
          <w:trHeight w:val="118"/>
        </w:trPr>
        <w:tc>
          <w:tcPr>
            <w:tcW w:w="8160" w:type="dxa"/>
            <w:vAlign w:val="bottom"/>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increase (decrease) in cash</w:t>
            </w: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(41,533)</w:t>
            </w:r>
          </w:p>
        </w:tc>
      </w:tr>
      <w:tr>
        <w:trPr>
          <w:trHeight w:val="118"/>
        </w:trPr>
        <w:tc>
          <w:tcPr>
            <w:tcW w:w="816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6,899</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51,103</w:t>
            </w:r>
          </w:p>
        </w:tc>
      </w:tr>
      <w:tr>
        <w:trPr>
          <w:trHeight w:val="126"/>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940" w:type="dxa"/>
            <w:vAlign w:val="bottom"/>
            <w:tcBorders>
              <w:bottom w:val="single" w:sz="8" w:color="auto"/>
            </w:tcBorders>
            <w:shd w:val="clear" w:color="auto" w:fill="CCEEFF"/>
          </w:tcPr>
          <w:p>
            <w:pPr>
              <w:jc w:val="right"/>
              <w:ind w:right="825"/>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7,070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9,570</w:t>
            </w:r>
          </w:p>
        </w:tc>
      </w:tr>
      <w:tr>
        <w:trPr>
          <w:trHeight w:val="129"/>
        </w:trPr>
        <w:tc>
          <w:tcPr>
            <w:tcW w:w="8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Change in unrealized gains on available-for-sale securities</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w:t>
            </w:r>
          </w:p>
        </w:tc>
        <w:tc>
          <w:tcPr>
            <w:tcW w:w="440" w:type="dxa"/>
            <w:vAlign w:val="bottom"/>
            <w:gridSpan w:val="2"/>
          </w:tcPr>
          <w:p>
            <w:pPr>
              <w:jc w:val="right"/>
              <w:ind w:right="2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Unpaid property and equipment included in accounts payable and accrued expenses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219</w:t>
            </w:r>
          </w:p>
        </w:tc>
      </w:tr>
      <w:tr>
        <w:trPr>
          <w:trHeight w:val="160"/>
        </w:trPr>
        <w:tc>
          <w:tcPr>
            <w:tcW w:w="81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costs for rights offering in accounts payable</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 w:name="page6"/>
    <w:bookmarkEnd w:id="5"/>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jc w:val="center"/>
        <w:spacing w:after="0" w:line="237" w:lineRule="auto"/>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jc w:val="center"/>
        <w:spacing w:after="0" w:line="224" w:lineRule="auto"/>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ectPr>
          <w:pgSz w:w="11900" w:h="16838" w:orient="portrait"/>
          <w:cols w:equalWidth="0" w:num="1">
            <w:col w:w="11300"/>
          </w:cols>
          <w:pgMar w:left="300" w:top="116" w:right="29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June 30, 2020</w:t>
            </w:r>
          </w:p>
        </w:tc>
        <w:tc>
          <w:tcPr>
            <w:tcW w:w="1080" w:type="dxa"/>
            <w:vAlign w:val="bottom"/>
            <w:tcBorders>
              <w:top w:val="single" w:sz="8" w:color="auto"/>
            </w:tcBorders>
            <w:gridSpan w:val="2"/>
          </w:tcPr>
          <w:p>
            <w:pPr>
              <w:ind w:left="300"/>
              <w:spacing w:after="0" w:line="100"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25,149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Issuance of shares upon exercise of stock options</w:t>
            </w:r>
          </w:p>
        </w:tc>
        <w:tc>
          <w:tcPr>
            <w:tcW w:w="9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85</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ind w:left="600"/>
              <w:spacing w:after="0" w:line="92"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Issuance of shares upon exercise of warrants</w:t>
            </w: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16</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Rights offering, additional issuance costs</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Balance, September 30, 2020</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25,290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-514985</wp:posOffset>
            </wp:positionV>
            <wp:extent cx="7175500"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175500"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-678815</wp:posOffset>
            </wp:positionV>
            <wp:extent cx="7175500" cy="81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December 31, 2019</w:t>
            </w:r>
          </w:p>
        </w:tc>
        <w:tc>
          <w:tcPr>
            <w:tcW w:w="1080" w:type="dxa"/>
            <w:vAlign w:val="bottom"/>
            <w:tcBorders>
              <w:top w:val="single" w:sz="8" w:color="auto"/>
            </w:tcBorders>
            <w:gridSpan w:val="2"/>
          </w:tcPr>
          <w:p>
            <w:pPr>
              <w:ind w:left="300"/>
              <w:spacing w:after="0" w:line="100"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5"/>
              <w:spacing w:after="0" w:line="100"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20,825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Issuance of shares upon exercise of stock options</w:t>
            </w:r>
          </w:p>
        </w:tc>
        <w:tc>
          <w:tcPr>
            <w:tcW w:w="9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86</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left="545"/>
              <w:spacing w:after="0" w:line="92" w:lineRule="exact"/>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Issuance of common stock and warrants in connection with rights offering, net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4,280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ind w:left="545"/>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of issuance cost of $565</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Issuance of shares upon exercise of warrants</w:t>
            </w: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16</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left="465"/>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Balance, September 30, 2020</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25,290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-584835</wp:posOffset>
            </wp:positionV>
            <wp:extent cx="7175500" cy="70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175500" cy="70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-749300</wp:posOffset>
            </wp:positionV>
            <wp:extent cx="7175500" cy="81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June 30, 2019</w:t>
            </w:r>
          </w:p>
        </w:tc>
        <w:tc>
          <w:tcPr>
            <w:tcW w:w="1080" w:type="dxa"/>
            <w:vAlign w:val="bottom"/>
            <w:tcBorders>
              <w:top w:val="single" w:sz="8" w:color="auto"/>
            </w:tcBorders>
            <w:gridSpan w:val="2"/>
          </w:tcPr>
          <w:p>
            <w:pPr>
              <w:ind w:left="300"/>
              <w:spacing w:after="0" w:line="100"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20,768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Issuance of shares under employee stock purchase plan</w:t>
            </w:r>
          </w:p>
        </w:tc>
        <w:tc>
          <w:tcPr>
            <w:tcW w:w="9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20</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ind w:left="600"/>
              <w:spacing w:after="0" w:line="92"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Balance, September 30, 2019</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20,788</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175500" cy="70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175500" cy="70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-467995</wp:posOffset>
            </wp:positionV>
            <wp:extent cx="7175500" cy="81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40" w:type="dxa"/>
            <w:vAlign w:val="bottom"/>
          </w:tcPr>
          <w:p>
            <w:pPr>
              <w:jc w:val="center"/>
              <w:ind w:left="145"/>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980" w:type="dxa"/>
            <w:vAlign w:val="bottom"/>
          </w:tcPr>
          <w:p>
            <w:pPr>
              <w:jc w:val="right"/>
              <w:ind w:right="505"/>
              <w:spacing w:after="0" w:line="11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tcPr>
          <w:p>
            <w:pPr>
              <w:jc w:val="center"/>
              <w:ind w:left="145"/>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31"/>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Times New Roman" w:cs="Times New Roman" w:eastAsia="Times New Roman" w:hAnsi="Times New Roman"/>
                <w:sz w:val="11"/>
                <w:szCs w:val="11"/>
                <w:color w:val="auto"/>
              </w:rPr>
              <w:t>188,197</w:t>
            </w:r>
          </w:p>
        </w:tc>
        <w:tc>
          <w:tcPr>
            <w:tcW w:w="1340" w:type="dxa"/>
            <w:vAlign w:val="bottom"/>
            <w:tcBorders>
              <w:top w:val="single" w:sz="8" w:color="auto"/>
              <w:bottom w:val="single" w:sz="8" w:color="auto"/>
            </w:tcBorders>
          </w:tcPr>
          <w:p>
            <w:pPr>
              <w:jc w:val="right"/>
              <w:ind w:right="122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center"/>
              <w:ind w:left="45"/>
              <w:spacing w:after="0" w:line="100"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(145,894)</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42,328</w:t>
            </w:r>
          </w:p>
        </w:tc>
        <w:tc>
          <w:tcPr>
            <w:tcW w:w="0" w:type="dxa"/>
            <w:vAlign w:val="bottom"/>
          </w:tcPr>
          <w:p>
            <w:pPr>
              <w:spacing w:after="0"/>
              <w:rPr>
                <w:sz w:val="1"/>
                <w:szCs w:val="1"/>
                <w:color w:val="auto"/>
              </w:rPr>
            </w:pPr>
          </w:p>
        </w:tc>
      </w:tr>
      <w:tr>
        <w:trPr>
          <w:trHeight w:val="92"/>
        </w:trPr>
        <w:tc>
          <w:tcPr>
            <w:tcW w:w="980" w:type="dxa"/>
            <w:vAlign w:val="bottom"/>
          </w:tcPr>
          <w:p>
            <w:pPr>
              <w:jc w:val="right"/>
              <w:ind w:right="125"/>
              <w:spacing w:after="0" w:line="92" w:lineRule="exact"/>
              <w:rPr>
                <w:sz w:val="20"/>
                <w:szCs w:val="20"/>
                <w:color w:val="auto"/>
              </w:rPr>
            </w:pPr>
            <w:r>
              <w:rPr>
                <w:rFonts w:ascii="Times New Roman" w:cs="Times New Roman" w:eastAsia="Times New Roman" w:hAnsi="Times New Roman"/>
                <w:sz w:val="10"/>
                <w:szCs w:val="10"/>
                <w:color w:val="auto"/>
              </w:rPr>
              <w:t>340</w:t>
            </w:r>
          </w:p>
        </w:tc>
        <w:tc>
          <w:tcPr>
            <w:tcW w:w="1340" w:type="dxa"/>
            <w:vAlign w:val="bottom"/>
          </w:tcPr>
          <w:p>
            <w:pPr>
              <w:spacing w:after="0"/>
              <w:rPr>
                <w:sz w:val="8"/>
                <w:szCs w:val="8"/>
                <w:color w:val="auto"/>
              </w:rPr>
            </w:pPr>
          </w:p>
        </w:tc>
        <w:tc>
          <w:tcPr>
            <w:tcW w:w="200" w:type="dxa"/>
            <w:vAlign w:val="bottom"/>
          </w:tcPr>
          <w:p>
            <w:pPr>
              <w:jc w:val="center"/>
              <w:ind w:left="45"/>
              <w:spacing w:after="0" w:line="92" w:lineRule="exact"/>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340</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Times New Roman" w:cs="Times New Roman" w:eastAsia="Times New Roman" w:hAnsi="Times New Roman"/>
                <w:sz w:val="11"/>
                <w:szCs w:val="11"/>
                <w:color w:val="auto"/>
              </w:rPr>
              <w:t>235</w:t>
            </w:r>
          </w:p>
        </w:tc>
        <w:tc>
          <w:tcPr>
            <w:tcW w:w="1340" w:type="dxa"/>
            <w:vAlign w:val="bottom"/>
          </w:tcPr>
          <w:p>
            <w:pPr>
              <w:spacing w:after="0"/>
              <w:rPr>
                <w:sz w:val="9"/>
                <w:szCs w:val="9"/>
                <w:color w:val="auto"/>
              </w:rPr>
            </w:pPr>
          </w:p>
        </w:tc>
        <w:tc>
          <w:tcPr>
            <w:tcW w:w="200" w:type="dxa"/>
            <w:vAlign w:val="bottom"/>
          </w:tcPr>
          <w:p>
            <w:pPr>
              <w:jc w:val="center"/>
              <w:ind w:left="4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235</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Times New Roman" w:cs="Times New Roman" w:eastAsia="Times New Roman" w:hAnsi="Times New Roman"/>
                <w:sz w:val="11"/>
                <w:szCs w:val="11"/>
                <w:color w:val="auto"/>
              </w:rPr>
              <w:t>112</w:t>
            </w:r>
          </w:p>
        </w:tc>
        <w:tc>
          <w:tcPr>
            <w:tcW w:w="1340" w:type="dxa"/>
            <w:vAlign w:val="bottom"/>
          </w:tcPr>
          <w:p>
            <w:pPr>
              <w:spacing w:after="0"/>
              <w:rPr>
                <w:sz w:val="9"/>
                <w:szCs w:val="9"/>
                <w:color w:val="auto"/>
              </w:rPr>
            </w:pPr>
          </w:p>
        </w:tc>
        <w:tc>
          <w:tcPr>
            <w:tcW w:w="200" w:type="dxa"/>
            <w:vAlign w:val="bottom"/>
          </w:tcPr>
          <w:p>
            <w:pPr>
              <w:jc w:val="center"/>
              <w:ind w:left="4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112</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Times New Roman" w:cs="Times New Roman" w:eastAsia="Times New Roman" w:hAnsi="Times New Roman"/>
                <w:sz w:val="11"/>
                <w:szCs w:val="11"/>
                <w:color w:val="auto"/>
              </w:rPr>
              <w:t>2,648</w:t>
            </w:r>
          </w:p>
        </w:tc>
        <w:tc>
          <w:tcPr>
            <w:tcW w:w="1340" w:type="dxa"/>
            <w:vAlign w:val="bottom"/>
          </w:tcPr>
          <w:p>
            <w:pPr>
              <w:spacing w:after="0"/>
              <w:rPr>
                <w:sz w:val="9"/>
                <w:szCs w:val="9"/>
                <w:color w:val="auto"/>
              </w:rPr>
            </w:pPr>
          </w:p>
        </w:tc>
        <w:tc>
          <w:tcPr>
            <w:tcW w:w="200" w:type="dxa"/>
            <w:vAlign w:val="bottom"/>
          </w:tcPr>
          <w:p>
            <w:pPr>
              <w:jc w:val="center"/>
              <w:ind w:left="4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2,648</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(64)</w:t>
            </w:r>
          </w:p>
        </w:tc>
        <w:tc>
          <w:tcPr>
            <w:tcW w:w="1340" w:type="dxa"/>
            <w:vAlign w:val="bottom"/>
          </w:tcPr>
          <w:p>
            <w:pPr>
              <w:spacing w:after="0"/>
              <w:rPr>
                <w:sz w:val="9"/>
                <w:szCs w:val="9"/>
                <w:color w:val="auto"/>
              </w:rPr>
            </w:pPr>
          </w:p>
        </w:tc>
        <w:tc>
          <w:tcPr>
            <w:tcW w:w="200" w:type="dxa"/>
            <w:vAlign w:val="bottom"/>
          </w:tcPr>
          <w:p>
            <w:pPr>
              <w:jc w:val="center"/>
              <w:ind w:left="45"/>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9"/>
                <w:szCs w:val="9"/>
                <w:color w:val="auto"/>
              </w:rPr>
            </w:pPr>
          </w:p>
        </w:tc>
        <w:tc>
          <w:tcPr>
            <w:tcW w:w="200" w:type="dxa"/>
            <w:vAlign w:val="bottom"/>
          </w:tcPr>
          <w:p>
            <w:pPr>
              <w:jc w:val="center"/>
              <w:ind w:left="45"/>
              <w:spacing w:after="0" w:line="111"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9"/>
        </w:trPr>
        <w:tc>
          <w:tcPr>
            <w:tcW w:w="9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1"/>
                <w:szCs w:val="11"/>
                <w:color w:val="auto"/>
              </w:rPr>
            </w:pPr>
          </w:p>
        </w:tc>
        <w:tc>
          <w:tcPr>
            <w:tcW w:w="20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(12,896)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(12,896)</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Times New Roman" w:cs="Times New Roman" w:eastAsia="Times New Roman" w:hAnsi="Times New Roman"/>
                <w:sz w:val="11"/>
                <w:szCs w:val="11"/>
                <w:color w:val="auto"/>
              </w:rPr>
              <w:t>191,468</w:t>
            </w:r>
          </w:p>
        </w:tc>
        <w:tc>
          <w:tcPr>
            <w:tcW w:w="1340" w:type="dxa"/>
            <w:vAlign w:val="bottom"/>
            <w:tcBorders>
              <w:top w:val="single" w:sz="8" w:color="auto"/>
              <w:bottom w:val="single" w:sz="8" w:color="auto"/>
            </w:tcBorders>
          </w:tcPr>
          <w:p>
            <w:pPr>
              <w:jc w:val="right"/>
              <w:ind w:right="122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center"/>
              <w:ind w:left="45"/>
              <w:spacing w:after="0" w:line="100"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(158,790)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32,704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-591185</wp:posOffset>
            </wp:positionV>
            <wp:extent cx="74422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40" w:type="dxa"/>
            <w:vAlign w:val="bottom"/>
          </w:tcPr>
          <w:p>
            <w:pPr>
              <w:jc w:val="center"/>
              <w:ind w:left="145"/>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980" w:type="dxa"/>
            <w:vAlign w:val="bottom"/>
          </w:tcPr>
          <w:p>
            <w:pPr>
              <w:jc w:val="right"/>
              <w:ind w:right="505"/>
              <w:spacing w:after="0" w:line="11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tcPr>
          <w:p>
            <w:pPr>
              <w:jc w:val="center"/>
              <w:ind w:left="145"/>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31"/>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Times New Roman" w:cs="Times New Roman" w:eastAsia="Times New Roman" w:hAnsi="Times New Roman"/>
                <w:sz w:val="11"/>
                <w:szCs w:val="11"/>
                <w:color w:val="auto"/>
              </w:rPr>
              <w:t>153,401</w:t>
            </w:r>
          </w:p>
        </w:tc>
        <w:tc>
          <w:tcPr>
            <w:tcW w:w="1340" w:type="dxa"/>
            <w:vAlign w:val="bottom"/>
            <w:tcBorders>
              <w:top w:val="single" w:sz="8" w:color="auto"/>
              <w:bottom w:val="single" w:sz="8" w:color="auto"/>
            </w:tcBorders>
          </w:tcPr>
          <w:p>
            <w:pPr>
              <w:jc w:val="right"/>
              <w:ind w:right="122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center"/>
              <w:ind w:left="45"/>
              <w:spacing w:after="0" w:line="100"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(122,689)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30,737</w:t>
            </w:r>
          </w:p>
        </w:tc>
        <w:tc>
          <w:tcPr>
            <w:tcW w:w="0" w:type="dxa"/>
            <w:vAlign w:val="bottom"/>
          </w:tcPr>
          <w:p>
            <w:pPr>
              <w:spacing w:after="0"/>
              <w:rPr>
                <w:sz w:val="1"/>
                <w:szCs w:val="1"/>
                <w:color w:val="auto"/>
              </w:rPr>
            </w:pPr>
          </w:p>
        </w:tc>
      </w:tr>
      <w:tr>
        <w:trPr>
          <w:trHeight w:val="92"/>
        </w:trPr>
        <w:tc>
          <w:tcPr>
            <w:tcW w:w="980" w:type="dxa"/>
            <w:vAlign w:val="bottom"/>
          </w:tcPr>
          <w:p>
            <w:pPr>
              <w:jc w:val="right"/>
              <w:ind w:right="125"/>
              <w:spacing w:after="0" w:line="92" w:lineRule="exact"/>
              <w:rPr>
                <w:sz w:val="20"/>
                <w:szCs w:val="20"/>
                <w:color w:val="auto"/>
              </w:rPr>
            </w:pPr>
            <w:r>
              <w:rPr>
                <w:rFonts w:ascii="Times New Roman" w:cs="Times New Roman" w:eastAsia="Times New Roman" w:hAnsi="Times New Roman"/>
                <w:sz w:val="10"/>
                <w:szCs w:val="10"/>
                <w:color w:val="auto"/>
              </w:rPr>
              <w:t>349</w:t>
            </w:r>
          </w:p>
        </w:tc>
        <w:tc>
          <w:tcPr>
            <w:tcW w:w="1340" w:type="dxa"/>
            <w:vAlign w:val="bottom"/>
          </w:tcPr>
          <w:p>
            <w:pPr>
              <w:spacing w:after="0"/>
              <w:rPr>
                <w:sz w:val="8"/>
                <w:szCs w:val="8"/>
                <w:color w:val="auto"/>
              </w:rPr>
            </w:pPr>
          </w:p>
        </w:tc>
        <w:tc>
          <w:tcPr>
            <w:tcW w:w="200" w:type="dxa"/>
            <w:vAlign w:val="bottom"/>
          </w:tcPr>
          <w:p>
            <w:pPr>
              <w:jc w:val="center"/>
              <w:ind w:left="45"/>
              <w:spacing w:after="0" w:line="92" w:lineRule="exact"/>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349</w:t>
            </w:r>
          </w:p>
        </w:tc>
        <w:tc>
          <w:tcPr>
            <w:tcW w:w="0" w:type="dxa"/>
            <w:vAlign w:val="bottom"/>
          </w:tcPr>
          <w:p>
            <w:pPr>
              <w:spacing w:after="0"/>
              <w:rPr>
                <w:sz w:val="1"/>
                <w:szCs w:val="1"/>
                <w:color w:val="auto"/>
              </w:rPr>
            </w:pPr>
          </w:p>
        </w:tc>
      </w:tr>
      <w:tr>
        <w:trPr>
          <w:trHeight w:val="143"/>
        </w:trPr>
        <w:tc>
          <w:tcPr>
            <w:tcW w:w="9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490</w:t>
            </w:r>
          </w:p>
        </w:tc>
        <w:tc>
          <w:tcPr>
            <w:tcW w:w="1340" w:type="dxa"/>
            <w:vAlign w:val="bottom"/>
          </w:tcPr>
          <w:p>
            <w:pPr>
              <w:spacing w:after="0"/>
              <w:rPr>
                <w:sz w:val="12"/>
                <w:szCs w:val="12"/>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0" w:type="dxa"/>
            <w:vAlign w:val="bottom"/>
          </w:tcPr>
          <w:p>
            <w:pPr>
              <w:spacing w:after="0"/>
              <w:rPr>
                <w:sz w:val="1"/>
                <w:szCs w:val="1"/>
                <w:color w:val="auto"/>
              </w:rPr>
            </w:pPr>
          </w:p>
        </w:tc>
      </w:tr>
      <w:tr>
        <w:trPr>
          <w:trHeight w:val="189"/>
        </w:trPr>
        <w:tc>
          <w:tcPr>
            <w:tcW w:w="9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29,430</w:t>
            </w:r>
          </w:p>
        </w:tc>
        <w:tc>
          <w:tcPr>
            <w:tcW w:w="1340" w:type="dxa"/>
            <w:vAlign w:val="bottom"/>
          </w:tcPr>
          <w:p>
            <w:pPr>
              <w:spacing w:after="0"/>
              <w:rPr>
                <w:sz w:val="16"/>
                <w:szCs w:val="16"/>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29,434</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112</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112</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7,686</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7,686</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9"/>
                <w:szCs w:val="9"/>
                <w:color w:val="auto"/>
              </w:rPr>
            </w:pPr>
          </w:p>
        </w:tc>
        <w:tc>
          <w:tcPr>
            <w:tcW w:w="280" w:type="dxa"/>
            <w:vAlign w:val="bottom"/>
            <w:gridSpan w:val="2"/>
          </w:tcPr>
          <w:p>
            <w:pPr>
              <w:jc w:val="right"/>
              <w:ind w:right="80"/>
              <w:spacing w:after="0" w:line="111"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29"/>
        </w:trPr>
        <w:tc>
          <w:tcPr>
            <w:tcW w:w="9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1"/>
                <w:szCs w:val="11"/>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(36,101)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(36,101)</w:t>
            </w:r>
          </w:p>
        </w:tc>
        <w:tc>
          <w:tcPr>
            <w:tcW w:w="0" w:type="dxa"/>
            <w:vAlign w:val="bottom"/>
          </w:tcPr>
          <w:p>
            <w:pPr>
              <w:spacing w:after="0"/>
              <w:rPr>
                <w:sz w:val="1"/>
                <w:szCs w:val="1"/>
                <w:color w:val="auto"/>
              </w:rPr>
            </w:pPr>
          </w:p>
        </w:tc>
      </w:tr>
      <w:tr>
        <w:trPr>
          <w:trHeight w:val="108"/>
        </w:trPr>
        <w:tc>
          <w:tcPr>
            <w:tcW w:w="980" w:type="dxa"/>
            <w:vAlign w:val="bottom"/>
          </w:tcPr>
          <w:p>
            <w:pPr>
              <w:jc w:val="right"/>
              <w:ind w:right="105"/>
              <w:spacing w:after="0" w:line="100" w:lineRule="exact"/>
              <w:rPr>
                <w:sz w:val="20"/>
                <w:szCs w:val="20"/>
                <w:color w:val="auto"/>
              </w:rPr>
            </w:pPr>
            <w:r>
              <w:rPr>
                <w:rFonts w:ascii="Times New Roman" w:cs="Times New Roman" w:eastAsia="Times New Roman" w:hAnsi="Times New Roman"/>
                <w:sz w:val="11"/>
                <w:szCs w:val="11"/>
                <w:color w:val="auto"/>
              </w:rPr>
              <w:t>191,468</w:t>
            </w:r>
          </w:p>
        </w:tc>
        <w:tc>
          <w:tcPr>
            <w:tcW w:w="1340" w:type="dxa"/>
            <w:vAlign w:val="bottom"/>
            <w:tcBorders>
              <w:top w:val="single" w:sz="8" w:color="auto"/>
              <w:bottom w:val="single" w:sz="8" w:color="auto"/>
            </w:tcBorders>
          </w:tcPr>
          <w:p>
            <w:pPr>
              <w:jc w:val="right"/>
              <w:ind w:right="122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center"/>
              <w:ind w:left="45"/>
              <w:spacing w:after="0" w:line="10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(158,790)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32,704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-661035</wp:posOffset>
            </wp:positionV>
            <wp:extent cx="7442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00" w:type="dxa"/>
            <w:vAlign w:val="bottom"/>
          </w:tcPr>
          <w:p>
            <w:pPr>
              <w:jc w:val="center"/>
              <w:ind w:left="185"/>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980" w:type="dxa"/>
            <w:vAlign w:val="bottom"/>
          </w:tcPr>
          <w:p>
            <w:pPr>
              <w:jc w:val="right"/>
              <w:ind w:right="505"/>
              <w:spacing w:after="0" w:line="11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00" w:type="dxa"/>
            <w:vAlign w:val="bottom"/>
          </w:tcPr>
          <w:p>
            <w:pPr>
              <w:jc w:val="center"/>
              <w:ind w:left="185"/>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31"/>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00" w:type="dxa"/>
            <w:vAlign w:val="bottom"/>
          </w:tcPr>
          <w:p>
            <w:pPr>
              <w:jc w:val="center"/>
              <w:ind w:left="20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Times New Roman" w:cs="Times New Roman" w:eastAsia="Times New Roman" w:hAnsi="Times New Roman"/>
                <w:sz w:val="11"/>
                <w:szCs w:val="11"/>
                <w:color w:val="auto"/>
              </w:rPr>
              <w:t>146,973</w:t>
            </w:r>
          </w:p>
        </w:tc>
        <w:tc>
          <w:tcPr>
            <w:tcW w:w="1300" w:type="dxa"/>
            <w:vAlign w:val="bottom"/>
            <w:tcBorders>
              <w:top w:val="single" w:sz="8" w:color="auto"/>
              <w:bottom w:val="single" w:sz="8" w:color="auto"/>
            </w:tcBorders>
          </w:tcPr>
          <w:p>
            <w:pPr>
              <w:jc w:val="right"/>
              <w:ind w:right="118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(97,155)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49,861</w:t>
            </w:r>
          </w:p>
        </w:tc>
        <w:tc>
          <w:tcPr>
            <w:tcW w:w="0" w:type="dxa"/>
            <w:vAlign w:val="bottom"/>
          </w:tcPr>
          <w:p>
            <w:pPr>
              <w:spacing w:after="0"/>
              <w:rPr>
                <w:sz w:val="1"/>
                <w:szCs w:val="1"/>
                <w:color w:val="auto"/>
              </w:rPr>
            </w:pPr>
          </w:p>
        </w:tc>
      </w:tr>
      <w:tr>
        <w:trPr>
          <w:trHeight w:val="92"/>
        </w:trPr>
        <w:tc>
          <w:tcPr>
            <w:tcW w:w="980" w:type="dxa"/>
            <w:vAlign w:val="bottom"/>
          </w:tcPr>
          <w:p>
            <w:pPr>
              <w:jc w:val="right"/>
              <w:ind w:right="125"/>
              <w:spacing w:after="0" w:line="92" w:lineRule="exact"/>
              <w:rPr>
                <w:sz w:val="20"/>
                <w:szCs w:val="20"/>
                <w:color w:val="auto"/>
              </w:rPr>
            </w:pPr>
            <w:r>
              <w:rPr>
                <w:rFonts w:ascii="Times New Roman" w:cs="Times New Roman" w:eastAsia="Times New Roman" w:hAnsi="Times New Roman"/>
                <w:sz w:val="10"/>
                <w:szCs w:val="10"/>
                <w:color w:val="auto"/>
              </w:rPr>
              <w:t>201</w:t>
            </w:r>
          </w:p>
        </w:tc>
        <w:tc>
          <w:tcPr>
            <w:tcW w:w="1300" w:type="dxa"/>
            <w:vAlign w:val="bottom"/>
          </w:tcPr>
          <w:p>
            <w:pPr>
              <w:spacing w:after="0"/>
              <w:rPr>
                <w:sz w:val="8"/>
                <w:szCs w:val="8"/>
                <w:color w:val="auto"/>
              </w:rPr>
            </w:pPr>
          </w:p>
        </w:tc>
        <w:tc>
          <w:tcPr>
            <w:tcW w:w="24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201</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Times New Roman" w:cs="Times New Roman" w:eastAsia="Times New Roman" w:hAnsi="Times New Roman"/>
                <w:sz w:val="11"/>
                <w:szCs w:val="11"/>
                <w:color w:val="auto"/>
              </w:rPr>
              <w:t>2,679</w:t>
            </w:r>
          </w:p>
        </w:tc>
        <w:tc>
          <w:tcPr>
            <w:tcW w:w="1300" w:type="dxa"/>
            <w:vAlign w:val="bottom"/>
          </w:tcPr>
          <w:p>
            <w:pPr>
              <w:spacing w:after="0"/>
              <w:rPr>
                <w:sz w:val="9"/>
                <w:szCs w:val="9"/>
                <w:color w:val="auto"/>
              </w:rPr>
            </w:pPr>
          </w:p>
        </w:tc>
        <w:tc>
          <w:tcPr>
            <w:tcW w:w="320" w:type="dxa"/>
            <w:vAlign w:val="bottom"/>
            <w:gridSpan w:val="2"/>
          </w:tcPr>
          <w:p>
            <w:pPr>
              <w:jc w:val="right"/>
              <w:ind w:right="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2,679</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spacing w:after="0"/>
              <w:rPr>
                <w:sz w:val="9"/>
                <w:szCs w:val="9"/>
                <w:color w:val="auto"/>
              </w:rPr>
            </w:pPr>
          </w:p>
        </w:tc>
        <w:tc>
          <w:tcPr>
            <w:tcW w:w="320" w:type="dxa"/>
            <w:vAlign w:val="bottom"/>
            <w:gridSpan w:val="2"/>
          </w:tcPr>
          <w:p>
            <w:pPr>
              <w:jc w:val="right"/>
              <w:ind w:right="80"/>
              <w:spacing w:after="0" w:line="111" w:lineRule="exact"/>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29"/>
        </w:trPr>
        <w:tc>
          <w:tcPr>
            <w:tcW w:w="9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(11,746)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(11,746)</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Times New Roman" w:cs="Times New Roman" w:eastAsia="Times New Roman" w:hAnsi="Times New Roman"/>
                <w:sz w:val="11"/>
                <w:szCs w:val="11"/>
                <w:color w:val="auto"/>
              </w:rPr>
              <w:t>149,853</w:t>
            </w:r>
          </w:p>
        </w:tc>
        <w:tc>
          <w:tcPr>
            <w:tcW w:w="1300" w:type="dxa"/>
            <w:vAlign w:val="bottom"/>
            <w:tcBorders>
              <w:top w:val="single" w:sz="8" w:color="auto"/>
              <w:bottom w:val="single" w:sz="8" w:color="auto"/>
            </w:tcBorders>
          </w:tcPr>
          <w:p>
            <w:pPr>
              <w:jc w:val="right"/>
              <w:ind w:right="118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(108,901)</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40,981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442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-93345</wp:posOffset>
            </wp:positionV>
            <wp:extent cx="74422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-380365</wp:posOffset>
            </wp:positionV>
            <wp:extent cx="74422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6" w:right="29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type w:val="continuous"/>
        </w:sectPr>
      </w:pPr>
    </w:p>
    <w:bookmarkStart w:id="6" w:name="page7"/>
    <w:bookmarkEnd w:id="6"/>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December 31, 2018</w:t>
            </w:r>
          </w:p>
        </w:tc>
        <w:tc>
          <w:tcPr>
            <w:tcW w:w="1080" w:type="dxa"/>
            <w:vAlign w:val="bottom"/>
            <w:tcBorders>
              <w:top w:val="single" w:sz="8" w:color="auto"/>
            </w:tcBorders>
            <w:gridSpan w:val="2"/>
          </w:tcPr>
          <w:p>
            <w:pPr>
              <w:ind w:left="300"/>
              <w:spacing w:after="0" w:line="100"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20,593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Issuance of shares upon exercise of stock options</w:t>
            </w:r>
          </w:p>
        </w:tc>
        <w:tc>
          <w:tcPr>
            <w:tcW w:w="9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99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ind w:left="600"/>
              <w:spacing w:after="0" w:line="92"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Issuance of shares upon vesting of restricted stock units</w:t>
            </w: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Tax payments related to shares withheld for vested restricted stock units</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Balance, September 30, 2019</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20,788</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-514985</wp:posOffset>
            </wp:positionV>
            <wp:extent cx="7175500" cy="70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175500" cy="70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-678815</wp:posOffset>
            </wp:positionV>
            <wp:extent cx="7175500" cy="81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40" w:type="dxa"/>
            <w:vAlign w:val="bottom"/>
          </w:tcPr>
          <w:p>
            <w:pPr>
              <w:jc w:val="center"/>
              <w:ind w:left="145"/>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980" w:type="dxa"/>
            <w:vAlign w:val="bottom"/>
          </w:tcPr>
          <w:p>
            <w:pPr>
              <w:jc w:val="right"/>
              <w:ind w:right="505"/>
              <w:spacing w:after="0" w:line="11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tcPr>
          <w:p>
            <w:pPr>
              <w:jc w:val="center"/>
              <w:ind w:left="145"/>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31"/>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Times New Roman" w:cs="Times New Roman" w:eastAsia="Times New Roman" w:hAnsi="Times New Roman"/>
                <w:sz w:val="11"/>
                <w:szCs w:val="11"/>
                <w:color w:val="auto"/>
              </w:rPr>
              <w:t>142,032</w:t>
            </w:r>
          </w:p>
        </w:tc>
        <w:tc>
          <w:tcPr>
            <w:tcW w:w="1340" w:type="dxa"/>
            <w:vAlign w:val="bottom"/>
            <w:tcBorders>
              <w:top w:val="single" w:sz="8" w:color="auto"/>
              <w:bottom w:val="single" w:sz="8" w:color="auto"/>
            </w:tcBorders>
          </w:tcPr>
          <w:p>
            <w:pPr>
              <w:jc w:val="right"/>
              <w:ind w:right="122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(75,718)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66,334</w:t>
            </w:r>
          </w:p>
        </w:tc>
        <w:tc>
          <w:tcPr>
            <w:tcW w:w="0" w:type="dxa"/>
            <w:vAlign w:val="bottom"/>
          </w:tcPr>
          <w:p>
            <w:pPr>
              <w:spacing w:after="0"/>
              <w:rPr>
                <w:sz w:val="1"/>
                <w:szCs w:val="1"/>
                <w:color w:val="auto"/>
              </w:rPr>
            </w:pPr>
          </w:p>
        </w:tc>
      </w:tr>
      <w:tr>
        <w:trPr>
          <w:trHeight w:val="92"/>
        </w:trPr>
        <w:tc>
          <w:tcPr>
            <w:tcW w:w="980" w:type="dxa"/>
            <w:vAlign w:val="bottom"/>
          </w:tcPr>
          <w:p>
            <w:pPr>
              <w:jc w:val="right"/>
              <w:ind w:right="125"/>
              <w:spacing w:after="0" w:line="92" w:lineRule="exact"/>
              <w:rPr>
                <w:sz w:val="20"/>
                <w:szCs w:val="20"/>
                <w:color w:val="auto"/>
              </w:rPr>
            </w:pPr>
            <w:r>
              <w:rPr>
                <w:rFonts w:ascii="Times New Roman" w:cs="Times New Roman" w:eastAsia="Times New Roman" w:hAnsi="Times New Roman"/>
                <w:sz w:val="10"/>
                <w:szCs w:val="10"/>
                <w:color w:val="auto"/>
              </w:rPr>
              <w:t>272</w:t>
            </w:r>
          </w:p>
        </w:tc>
        <w:tc>
          <w:tcPr>
            <w:tcW w:w="1340" w:type="dxa"/>
            <w:vAlign w:val="bottom"/>
          </w:tcPr>
          <w:p>
            <w:pPr>
              <w:spacing w:after="0"/>
              <w:rPr>
                <w:sz w:val="8"/>
                <w:szCs w:val="8"/>
                <w:color w:val="auto"/>
              </w:rPr>
            </w:pPr>
          </w:p>
        </w:tc>
        <w:tc>
          <w:tcPr>
            <w:tcW w:w="200" w:type="dxa"/>
            <w:vAlign w:val="bottom"/>
          </w:tcPr>
          <w:p>
            <w:pPr>
              <w:jc w:val="center"/>
              <w:ind w:left="45"/>
              <w:spacing w:after="0" w:line="92" w:lineRule="exact"/>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272</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Times New Roman" w:cs="Times New Roman" w:eastAsia="Times New Roman" w:hAnsi="Times New Roman"/>
                <w:sz w:val="11"/>
                <w:szCs w:val="11"/>
                <w:color w:val="auto"/>
              </w:rPr>
              <w:t>423</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423</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Times New Roman" w:cs="Times New Roman" w:eastAsia="Times New Roman" w:hAnsi="Times New Roman"/>
                <w:sz w:val="11"/>
                <w:szCs w:val="11"/>
                <w:color w:val="auto"/>
              </w:rPr>
              <w:t>7,739</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7,739</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(613)</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(613)</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9"/>
                <w:szCs w:val="9"/>
                <w:color w:val="auto"/>
              </w:rPr>
            </w:pPr>
          </w:p>
        </w:tc>
        <w:tc>
          <w:tcPr>
            <w:tcW w:w="200" w:type="dxa"/>
            <w:vAlign w:val="bottom"/>
          </w:tcPr>
          <w:p>
            <w:pPr>
              <w:jc w:val="center"/>
              <w:ind w:left="45"/>
              <w:spacing w:after="0" w:line="111" w:lineRule="exact"/>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9"/>
        </w:trPr>
        <w:tc>
          <w:tcPr>
            <w:tcW w:w="9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1"/>
                <w:szCs w:val="11"/>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(33,183)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(33,183)</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Times New Roman" w:cs="Times New Roman" w:eastAsia="Times New Roman" w:hAnsi="Times New Roman"/>
                <w:sz w:val="11"/>
                <w:szCs w:val="11"/>
                <w:color w:val="auto"/>
              </w:rPr>
              <w:t>149,853</w:t>
            </w:r>
          </w:p>
        </w:tc>
        <w:tc>
          <w:tcPr>
            <w:tcW w:w="1340" w:type="dxa"/>
            <w:vAlign w:val="bottom"/>
            <w:tcBorders>
              <w:top w:val="single" w:sz="8" w:color="auto"/>
              <w:bottom w:val="single" w:sz="8" w:color="auto"/>
            </w:tcBorders>
          </w:tcPr>
          <w:p>
            <w:pPr>
              <w:jc w:val="right"/>
              <w:ind w:right="122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center"/>
              <w:ind w:left="45"/>
              <w:spacing w:after="0" w:line="100" w:lineRule="exact"/>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(108,901)</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40,981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-591185</wp:posOffset>
            </wp:positionV>
            <wp:extent cx="7442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840" w:space="280"/>
            <w:col w:w="5180"/>
          </w:cols>
          <w:pgMar w:left="300" w:top="115" w:right="299" w:bottom="1440" w:gutter="0" w:footer="0" w:header="0"/>
        </w:sect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type w:val="continuous"/>
        </w:sectPr>
      </w:pPr>
    </w:p>
    <w:bookmarkStart w:id="7" w:name="page8"/>
    <w:bookmarkEnd w:id="7"/>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jc w:val="center"/>
        <w:spacing w:after="0" w:line="237" w:lineRule="auto"/>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the Business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Pulse Biosciences, Inc. (together with its subsidiaries, the Company) is a novel bioelectric medicine company committed to health innovation that improves and potentially extends the lives of patients. The Company is</w:t>
      </w:r>
    </w:p>
    <w:p>
      <w:pPr>
        <w:spacing w:after="0" w:line="2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2"/>
          <w:szCs w:val="12"/>
          <w:color w:val="auto"/>
        </w:rPr>
        <w:t>pursuing regulatory clearance to market its first product, its proprietary CellFX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System. The Company’s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00"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The Company was incorporated in Nevada on May 19, 2014. On June 18, 2018, the Company reincorporated from the State of Nevada to the State of Delaware. The Company’s headquarters and manufacturing and research facility is located in Hayward, California.</w:t>
      </w:r>
    </w:p>
    <w:p>
      <w:pPr>
        <w:spacing w:after="0" w:line="86"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Pulse Biosciences, CellFX, Nano-Pulse Stimulation, and NPS and the stylized logos are trademarks or registered trademarks of the Company in the United States and other countries.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Going Concern</w:t>
      </w:r>
    </w:p>
    <w:p>
      <w:pPr>
        <w:spacing w:after="0" w:line="122"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As of September 30, 2020, the Company had an accumulated deficit of $158.8 million, cash outflows from operations of $26.1 million for the nine months then ended, and cash, cash equivalents and investments of $29.6 million. The Company has not generated any revenue from product sales since its inception and anticipates that losses may continue for the next several years until such time as the Company can generate substantial product revenue and achieve profitability. To fund ongoing operating and capital needs, the Company will need to raise additional capital. The Company plans to raise additional capital to fund its operations, for at least the next twelve months from the date of issuance of the accompanying consolidated financial statements, through the issuance and sale of equity securities. There is no assurance that additional financing will be available when needed or that management of the Company will be able to obtain financing on terms acceptable to the Company. Accordingly, the Company’s management cannot conclude that such plans will be effectively implemented within twelve months from the date of issuance of the accompanying consolidated financial statements.</w:t>
      </w:r>
    </w:p>
    <w:p>
      <w:pPr>
        <w:spacing w:after="0" w:line="100"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These factors, combined with the Company’s forecast of cash required to fund operations for a period of at least twelve months from the date of issuance of the accompanying consolidated financial statements, raise substantial doubt about the Company’s ability to continue as a going concern.</w:t>
      </w:r>
    </w:p>
    <w:p>
      <w:pPr>
        <w:spacing w:after="0" w:line="86" w:lineRule="exact"/>
        <w:rPr>
          <w:sz w:val="20"/>
          <w:szCs w:val="20"/>
          <w:color w:val="auto"/>
        </w:rPr>
      </w:pPr>
    </w:p>
    <w:p>
      <w:pPr>
        <w:jc w:val="both"/>
        <w:ind w:firstLine="301"/>
        <w:spacing w:after="0" w:line="244"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 w:name="page9"/>
    <w:bookmarkEnd w:id="8"/>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COVID-19 Pandemic</w:t>
      </w:r>
    </w:p>
    <w:p>
      <w:pPr>
        <w:spacing w:after="0" w:line="122" w:lineRule="exact"/>
        <w:rPr>
          <w:sz w:val="20"/>
          <w:szCs w:val="20"/>
          <w:color w:val="auto"/>
        </w:rPr>
      </w:pPr>
    </w:p>
    <w:p>
      <w:pPr>
        <w:jc w:val="both"/>
        <w:ind w:firstLine="301"/>
        <w:spacing w:after="0" w:line="244" w:lineRule="auto"/>
        <w:rPr>
          <w:sz w:val="20"/>
          <w:szCs w:val="20"/>
          <w:color w:val="auto"/>
        </w:rPr>
      </w:pPr>
      <w:r>
        <w:rPr>
          <w:rFonts w:ascii="Times New Roman" w:cs="Times New Roman" w:eastAsia="Times New Roman" w:hAnsi="Times New Roman"/>
          <w:sz w:val="12"/>
          <w:szCs w:val="12"/>
          <w:color w:val="auto"/>
        </w:rPr>
        <w:t>The Company is subject to risks and uncertainties as a result of the novel coronavirus pandemic (COVID-19). The extent of the impact of the COVID-19 pandemic on the Company’s business is highly uncertain and difficult to predict, as the response to the pandemic continues to evolve. The Company considered the impact of COVID-19 on the assumptions and estimates used to determine the results reported and asset valuations as of September 30, 2020.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22"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have been prepared on a basis consistent with the Company’s December 31, 2019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2019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2019. The results of operations for the three-month and nine-month periods ended September 30, 2020 are not necessarily indicative of the results to be expected for the entire year or any future periods.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122"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Accounting Policies</w:t>
      </w:r>
    </w:p>
    <w:p>
      <w:pPr>
        <w:spacing w:after="0" w:line="122"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There have been no material changes to the Company’s significant accounting policies during the nine-month period ended September 30, 2020, as compared to the significant accounting policies described in the Company’s Annual Report on Form 10-K for the year ended December 31, 2019.</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 w:name="page10"/>
    <w:bookmarkEnd w:id="9"/>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44"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1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0"/>
          <w:szCs w:val="10"/>
          <w:b w:val="1"/>
          <w:bCs w:val="1"/>
          <w:color w:val="auto"/>
        </w:rPr>
        <w:t>Nine-Month Periods Ended</w:t>
      </w:r>
    </w:p>
    <w:p>
      <w:pPr>
        <w:jc w:val="center"/>
        <w:ind w:left="8180"/>
        <w:spacing w:after="0" w:line="221"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0" w:type="dxa"/>
        <w:tblCellMar>
          <w:top w:w="0" w:type="dxa"/>
          <w:left w:w="0" w:type="dxa"/>
          <w:bottom w:w="0" w:type="dxa"/>
          <w:right w:w="0" w:type="dxa"/>
        </w:tblCellMar>
      </w:tblPr>
      <w:tr>
        <w:trPr>
          <w:trHeight w:val="91"/>
        </w:trPr>
        <w:tc>
          <w:tcPr>
            <w:tcW w:w="8180" w:type="dxa"/>
            <w:vAlign w:val="bottom"/>
            <w:tcBorders>
              <w:bottom w:val="single" w:sz="8" w:color="CCEEFF"/>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1"/>
              <w:spacing w:after="0" w:line="91" w:lineRule="exact"/>
              <w:rPr>
                <w:sz w:val="20"/>
                <w:szCs w:val="20"/>
                <w:color w:val="auto"/>
              </w:rPr>
            </w:pPr>
            <w:r>
              <w:rPr>
                <w:rFonts w:ascii="Times New Roman" w:cs="Times New Roman" w:eastAsia="Times New Roman" w:hAnsi="Times New Roman"/>
                <w:sz w:val="10"/>
                <w:szCs w:val="10"/>
                <w:b w:val="1"/>
                <w:bCs w:val="1"/>
                <w:color w:val="auto"/>
              </w:rPr>
              <w:t>2020</w:t>
            </w:r>
          </w:p>
        </w:tc>
        <w:tc>
          <w:tcPr>
            <w:tcW w:w="5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CCEEFF"/>
            </w:tcBorders>
          </w:tcPr>
          <w:p>
            <w:pPr>
              <w:spacing w:after="0"/>
              <w:rPr>
                <w:sz w:val="7"/>
                <w:szCs w:val="7"/>
                <w:color w:val="auto"/>
              </w:rPr>
            </w:pPr>
          </w:p>
        </w:tc>
        <w:tc>
          <w:tcPr>
            <w:tcW w:w="1480" w:type="dxa"/>
            <w:vAlign w:val="bottom"/>
            <w:tcBorders>
              <w:top w:val="single" w:sz="8" w:color="auto"/>
              <w:bottom w:val="single" w:sz="8" w:color="auto"/>
            </w:tcBorders>
          </w:tcPr>
          <w:p>
            <w:pPr>
              <w:jc w:val="right"/>
              <w:ind w:right="581"/>
              <w:spacing w:after="0" w:line="91" w:lineRule="exact"/>
              <w:rPr>
                <w:sz w:val="20"/>
                <w:szCs w:val="20"/>
                <w:color w:val="auto"/>
              </w:rPr>
            </w:pPr>
            <w:r>
              <w:rPr>
                <w:rFonts w:ascii="Times New Roman" w:cs="Times New Roman" w:eastAsia="Times New Roman" w:hAnsi="Times New Roman"/>
                <w:sz w:val="10"/>
                <w:szCs w:val="10"/>
                <w:b w:val="1"/>
                <w:bCs w:val="1"/>
                <w:color w:val="auto"/>
              </w:rPr>
              <w:t>2019</w:t>
            </w:r>
          </w:p>
        </w:tc>
      </w:tr>
      <w:tr>
        <w:trPr>
          <w:trHeight w:val="118"/>
        </w:trPr>
        <w:tc>
          <w:tcPr>
            <w:tcW w:w="8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Common stock warrants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793,464</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213,485</w:t>
            </w:r>
          </w:p>
        </w:tc>
      </w:tr>
      <w:tr>
        <w:trPr>
          <w:trHeight w:val="129"/>
        </w:trPr>
        <w:tc>
          <w:tcPr>
            <w:tcW w:w="90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Common stock options</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5,207,326</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3,545,491</w:t>
            </w:r>
          </w:p>
        </w:tc>
      </w:tr>
      <w:tr>
        <w:trPr>
          <w:trHeight w:val="129"/>
        </w:trPr>
        <w:tc>
          <w:tcPr>
            <w:tcW w:w="90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Restricted stock units</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34,402</w:t>
            </w: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111,305</w:t>
            </w:r>
          </w:p>
        </w:tc>
      </w:tr>
      <w:tr>
        <w:trPr>
          <w:trHeight w:val="126"/>
        </w:trPr>
        <w:tc>
          <w:tcPr>
            <w:tcW w:w="818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Total</w:t>
            </w:r>
          </w:p>
        </w:tc>
        <w:tc>
          <w:tcPr>
            <w:tcW w:w="8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6,035,192</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3,870,281</w:t>
            </w: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w:t>
      </w:r>
    </w:p>
    <w:p>
      <w:pPr>
        <w:spacing w:after="0" w:line="120"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 xml:space="preserve">In December 2019, the Financial Accounting Standards Board (FASB) issued Accounting Standards Update (ASU) 2019-12, </w:t>
      </w:r>
      <w:r>
        <w:rPr>
          <w:rFonts w:ascii="Times New Roman" w:cs="Times New Roman" w:eastAsia="Times New Roman" w:hAnsi="Times New Roman"/>
          <w:sz w:val="12"/>
          <w:szCs w:val="12"/>
          <w:i w:val="1"/>
          <w:iCs w:val="1"/>
          <w:color w:val="auto"/>
        </w:rPr>
        <w:t>Income Taxes (Topic 740): Simplifying the Accounting for Income Taxes</w:t>
      </w:r>
      <w:r>
        <w:rPr>
          <w:rFonts w:ascii="Times New Roman" w:cs="Times New Roman" w:eastAsia="Times New Roman" w:hAnsi="Times New Roman"/>
          <w:sz w:val="12"/>
          <w:szCs w:val="12"/>
          <w:color w:val="auto"/>
        </w:rPr>
        <w:t>, which eliminates certain exceptions related to the general principles in Accounting Standards Codification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is currently evaluating the impact that the standard will have on its financial statements and related disclosures; and does not expect the adoption to have a material impact on the Company’s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Fair Value of Financial Instruments</w:t>
      </w:r>
    </w:p>
    <w:p>
      <w:pPr>
        <w:spacing w:after="0" w:line="122" w:lineRule="exact"/>
        <w:rPr>
          <w:sz w:val="20"/>
          <w:szCs w:val="20"/>
          <w:color w:val="auto"/>
        </w:rPr>
      </w:pPr>
    </w:p>
    <w:p>
      <w:pPr>
        <w:jc w:val="both"/>
        <w:ind w:right="20" w:firstLine="274"/>
        <w:spacing w:after="0" w:line="262" w:lineRule="auto"/>
        <w:rPr>
          <w:sz w:val="20"/>
          <w:szCs w:val="20"/>
          <w:color w:val="auto"/>
        </w:rPr>
      </w:pPr>
      <w:r>
        <w:rPr>
          <w:rFonts w:ascii="Times New Roman" w:cs="Times New Roman" w:eastAsia="Times New Roman" w:hAnsi="Times New Roman"/>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77"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77"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86"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following table sets forth the fair value of the Company’s financial assets measured on a recurring basis as of September 30, 2020 and December 31, 2019, respectively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Classification</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407"/>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jc w:val="right"/>
              <w:ind w:right="300"/>
              <w:spacing w:after="0" w:line="91"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20" w:type="dxa"/>
            <w:vAlign w:val="bottom"/>
          </w:tcPr>
          <w:p>
            <w:pPr>
              <w:spacing w:after="0"/>
              <w:rPr>
                <w:sz w:val="7"/>
                <w:szCs w:val="7"/>
                <w:color w:val="auto"/>
              </w:rPr>
            </w:pPr>
          </w:p>
        </w:tc>
        <w:tc>
          <w:tcPr>
            <w:tcW w:w="760" w:type="dxa"/>
            <w:vAlign w:val="bottom"/>
            <w:gridSpan w:val="2"/>
          </w:tcPr>
          <w:p>
            <w:pPr>
              <w:jc w:val="right"/>
              <w:ind w:right="300"/>
              <w:spacing w:after="0" w:line="91"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00" w:type="dxa"/>
            <w:vAlign w:val="bottom"/>
          </w:tcPr>
          <w:p>
            <w:pPr>
              <w:spacing w:after="0"/>
              <w:rPr>
                <w:sz w:val="7"/>
                <w:szCs w:val="7"/>
                <w:color w:val="auto"/>
              </w:rPr>
            </w:pPr>
          </w:p>
        </w:tc>
        <w:tc>
          <w:tcPr>
            <w:tcW w:w="740" w:type="dxa"/>
            <w:vAlign w:val="bottom"/>
            <w:gridSpan w:val="2"/>
          </w:tcPr>
          <w:p>
            <w:pPr>
              <w:ind w:left="140"/>
              <w:spacing w:after="0" w:line="91"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40" w:type="dxa"/>
            <w:vAlign w:val="bottom"/>
          </w:tcPr>
          <w:p>
            <w:pPr>
              <w:spacing w:after="0"/>
              <w:rPr>
                <w:sz w:val="7"/>
                <w:szCs w:val="7"/>
                <w:color w:val="auto"/>
              </w:rPr>
            </w:pPr>
          </w:p>
        </w:tc>
        <w:tc>
          <w:tcPr>
            <w:tcW w:w="700" w:type="dxa"/>
            <w:vAlign w:val="bottom"/>
          </w:tcPr>
          <w:p>
            <w:pPr>
              <w:jc w:val="right"/>
              <w:ind w:right="231"/>
              <w:spacing w:after="0" w:line="91" w:lineRule="exact"/>
              <w:rPr>
                <w:sz w:val="20"/>
                <w:szCs w:val="20"/>
                <w:color w:val="auto"/>
              </w:rPr>
            </w:pPr>
            <w:r>
              <w:rPr>
                <w:rFonts w:ascii="Times New Roman" w:cs="Times New Roman" w:eastAsia="Times New Roman" w:hAnsi="Times New Roman"/>
                <w:sz w:val="10"/>
                <w:szCs w:val="10"/>
                <w:b w:val="1"/>
                <w:bCs w:val="1"/>
                <w:color w:val="auto"/>
              </w:rPr>
              <w:t>Total</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gridSpan w:val="2"/>
          </w:tcPr>
          <w:p>
            <w:pPr>
              <w:ind w:left="200"/>
              <w:spacing w:after="0" w:line="91" w:lineRule="exact"/>
              <w:rPr>
                <w:sz w:val="20"/>
                <w:szCs w:val="20"/>
                <w:color w:val="auto"/>
              </w:rPr>
            </w:pPr>
            <w:r>
              <w:rPr>
                <w:rFonts w:ascii="Times New Roman" w:cs="Times New Roman" w:eastAsia="Times New Roman" w:hAnsi="Times New Roman"/>
                <w:sz w:val="10"/>
                <w:szCs w:val="10"/>
                <w:b w:val="1"/>
                <w:bCs w:val="1"/>
                <w:color w:val="auto"/>
              </w:rPr>
              <w:t>Level 1</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b w:val="1"/>
                <w:bCs w:val="1"/>
                <w:color w:val="auto"/>
              </w:rPr>
              <w:t>Level 2</w:t>
            </w:r>
          </w:p>
        </w:tc>
        <w:tc>
          <w:tcPr>
            <w:tcW w:w="760" w:type="dxa"/>
            <w:vAlign w:val="bottom"/>
          </w:tcPr>
          <w:p>
            <w:pPr>
              <w:jc w:val="right"/>
              <w:ind w:right="7"/>
              <w:spacing w:after="0" w:line="91" w:lineRule="exact"/>
              <w:rPr>
                <w:sz w:val="20"/>
                <w:szCs w:val="20"/>
                <w:color w:val="auto"/>
              </w:rPr>
            </w:pPr>
            <w:r>
              <w:rPr>
                <w:rFonts w:ascii="Times New Roman" w:cs="Times New Roman" w:eastAsia="Times New Roman" w:hAnsi="Times New Roman"/>
                <w:sz w:val="10"/>
                <w:szCs w:val="10"/>
                <w:b w:val="1"/>
                <w:bCs w:val="1"/>
                <w:color w:val="auto"/>
              </w:rPr>
              <w:t>Level 3</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jc w:val="right"/>
              <w:ind w:right="251"/>
              <w:spacing w:after="0" w:line="91"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1"/>
        </w:trPr>
        <w:tc>
          <w:tcPr>
            <w:tcW w:w="200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Money market funds</w:t>
            </w:r>
          </w:p>
        </w:tc>
        <w:tc>
          <w:tcPr>
            <w:tcW w:w="8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auto"/>
            </w:tcBorders>
            <w:shd w:val="clear" w:color="auto" w:fill="CCEEFF"/>
          </w:tcPr>
          <w:p>
            <w:pPr>
              <w:jc w:val="center"/>
              <w:spacing w:after="0" w:line="91" w:lineRule="exact"/>
              <w:rPr>
                <w:sz w:val="20"/>
                <w:szCs w:val="20"/>
                <w:color w:val="auto"/>
              </w:rPr>
            </w:pPr>
            <w:r>
              <w:rPr>
                <w:rFonts w:ascii="Times New Roman" w:cs="Times New Roman" w:eastAsia="Times New Roman" w:hAnsi="Times New Roman"/>
                <w:sz w:val="10"/>
                <w:szCs w:val="10"/>
                <w:color w:val="auto"/>
                <w:w w:val="98"/>
              </w:rPr>
              <w:t>Cash and cash equivalents</w:t>
            </w:r>
          </w:p>
        </w:tc>
        <w:tc>
          <w:tcPr>
            <w:tcW w:w="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5,598</w:t>
            </w:r>
          </w:p>
        </w:tc>
        <w:tc>
          <w:tcPr>
            <w:tcW w:w="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11"/>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ind w:right="91"/>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ind w:left="560"/>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5,598</w:t>
            </w: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ind w:right="151"/>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6,429</w:t>
            </w: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tcBorders>
            <w:shd w:val="clear" w:color="auto" w:fill="CCEEFF"/>
          </w:tcPr>
          <w:p>
            <w:pPr>
              <w:ind w:left="60"/>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6,429</w:t>
            </w:r>
          </w:p>
        </w:tc>
        <w:tc>
          <w:tcPr>
            <w:tcW w:w="0" w:type="dxa"/>
            <w:vAlign w:val="bottom"/>
          </w:tcPr>
          <w:p>
            <w:pPr>
              <w:spacing w:after="0"/>
              <w:rPr>
                <w:sz w:val="1"/>
                <w:szCs w:val="1"/>
                <w:color w:val="auto"/>
              </w:rPr>
            </w:pPr>
          </w:p>
        </w:tc>
      </w:tr>
      <w:tr>
        <w:trPr>
          <w:trHeight w:val="101"/>
        </w:trPr>
        <w:tc>
          <w:tcPr>
            <w:tcW w:w="2080" w:type="dxa"/>
            <w:vAlign w:val="bottom"/>
            <w:gridSpan w:val="2"/>
          </w:tcPr>
          <w:p>
            <w:pPr>
              <w:spacing w:after="0" w:line="102" w:lineRule="exact"/>
              <w:rPr>
                <w:sz w:val="20"/>
                <w:szCs w:val="20"/>
                <w:color w:val="auto"/>
              </w:rPr>
            </w:pPr>
            <w:r>
              <w:rPr>
                <w:rFonts w:ascii="Times New Roman" w:cs="Times New Roman" w:eastAsia="Times New Roman" w:hAnsi="Times New Roman"/>
                <w:sz w:val="10"/>
                <w:szCs w:val="10"/>
                <w:color w:val="auto"/>
              </w:rPr>
              <w:t>U.S. Treasury Securities</w:t>
            </w:r>
          </w:p>
        </w:tc>
        <w:tc>
          <w:tcPr>
            <w:tcW w:w="1460" w:type="dxa"/>
            <w:vAlign w:val="bottom"/>
            <w:gridSpan w:val="3"/>
          </w:tcPr>
          <w:p>
            <w:pPr>
              <w:jc w:val="center"/>
              <w:ind w:right="275"/>
              <w:spacing w:after="0" w:line="102" w:lineRule="exact"/>
              <w:rPr>
                <w:sz w:val="20"/>
                <w:szCs w:val="20"/>
                <w:color w:val="auto"/>
              </w:rPr>
            </w:pPr>
            <w:r>
              <w:rPr>
                <w:rFonts w:ascii="Times New Roman" w:cs="Times New Roman" w:eastAsia="Times New Roman" w:hAnsi="Times New Roman"/>
                <w:sz w:val="10"/>
                <w:szCs w:val="10"/>
                <w:color w:val="auto"/>
                <w:w w:val="99"/>
              </w:rPr>
              <w:t>Investments</w:t>
            </w:r>
          </w:p>
        </w:tc>
        <w:tc>
          <w:tcPr>
            <w:tcW w:w="78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0"/>
                <w:szCs w:val="10"/>
                <w:color w:val="auto"/>
              </w:rPr>
              <w:t>22,516</w:t>
            </w:r>
          </w:p>
        </w:tc>
        <w:tc>
          <w:tcPr>
            <w:tcW w:w="200" w:type="dxa"/>
            <w:vAlign w:val="bottom"/>
          </w:tcPr>
          <w:p>
            <w:pPr>
              <w:spacing w:after="0"/>
              <w:rPr>
                <w:sz w:val="8"/>
                <w:szCs w:val="8"/>
                <w:color w:val="auto"/>
              </w:rPr>
            </w:pPr>
          </w:p>
        </w:tc>
        <w:tc>
          <w:tcPr>
            <w:tcW w:w="740" w:type="dxa"/>
            <w:vAlign w:val="bottom"/>
            <w:gridSpan w:val="2"/>
          </w:tcPr>
          <w:p>
            <w:pPr>
              <w:ind w:left="560"/>
              <w:spacing w:after="0" w:line="10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76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0"/>
                <w:szCs w:val="10"/>
                <w:color w:val="auto"/>
              </w:rPr>
              <w:t>22,516</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gridSpan w:val="2"/>
          </w:tcPr>
          <w:p>
            <w:pPr>
              <w:ind w:left="6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18,499</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ind w:left="60"/>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18,499</w:t>
            </w:r>
          </w:p>
        </w:tc>
        <w:tc>
          <w:tcPr>
            <w:tcW w:w="0" w:type="dxa"/>
            <w:vAlign w:val="bottom"/>
          </w:tcPr>
          <w:p>
            <w:pPr>
              <w:spacing w:after="0"/>
              <w:rPr>
                <w:sz w:val="1"/>
                <w:szCs w:val="1"/>
                <w:color w:val="auto"/>
              </w:rPr>
            </w:pPr>
          </w:p>
        </w:tc>
      </w:tr>
      <w:tr>
        <w:trPr>
          <w:trHeight w:val="98"/>
        </w:trPr>
        <w:tc>
          <w:tcPr>
            <w:tcW w:w="2080" w:type="dxa"/>
            <w:vAlign w:val="bottom"/>
            <w:tcBorders>
              <w:top w:val="single" w:sz="8" w:color="CCEEFF"/>
              <w:bottom w:val="single" w:sz="8" w:color="CCEEFF"/>
            </w:tcBorders>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Total assets measured at fair value</w:t>
            </w:r>
          </w:p>
        </w:tc>
        <w:tc>
          <w:tcPr>
            <w:tcW w:w="11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5,598</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11"/>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22,516</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jc w:val="right"/>
              <w:ind w:right="91"/>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ind w:left="560"/>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28,114</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jc w:val="right"/>
              <w:ind w:right="151"/>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6,429</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18,499</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bottom w:val="single" w:sz="8" w:color="auto"/>
            </w:tcBorders>
            <w:shd w:val="clear" w:color="auto" w:fill="CCEEFF"/>
          </w:tcPr>
          <w:p>
            <w:pPr>
              <w:ind w:left="60"/>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24,928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did not have any financial liabilities measured on a recurring basis as of September 30, 2020 or December 31, 2019.</w:t>
      </w:r>
    </w:p>
    <w:p>
      <w:pPr>
        <w:spacing w:after="0" w:line="120" w:lineRule="exact"/>
        <w:rPr>
          <w:sz w:val="20"/>
          <w:szCs w:val="20"/>
          <w:color w:val="auto"/>
        </w:rPr>
      </w:pPr>
    </w:p>
    <w:p>
      <w:pPr>
        <w:ind w:right="140" w:firstLine="301"/>
        <w:spacing w:after="0" w:line="262" w:lineRule="auto"/>
        <w:rPr>
          <w:sz w:val="20"/>
          <w:szCs w:val="20"/>
          <w:color w:val="auto"/>
        </w:rPr>
      </w:pPr>
      <w:r>
        <w:rPr>
          <w:rFonts w:ascii="Times New Roman" w:cs="Times New Roman" w:eastAsia="Times New Roman" w:hAnsi="Times New Roman"/>
          <w:sz w:val="12"/>
          <w:szCs w:val="12"/>
          <w:color w:val="auto"/>
        </w:rPr>
        <w:t>During the nine-month period ended September 30, 2020, there were no transfers between Level 1, Level 2 or Level 3 assets or liabilities reported at fair value on a recurring basis and the valuation techniques used did not change compared to the Company’s established practice.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0" w:name="page11"/>
    <w:bookmarkEnd w:id="10"/>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Balance Sheet Components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Property and equipment, net consisted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Leasehold improvements</w:t>
            </w:r>
          </w:p>
        </w:tc>
        <w:tc>
          <w:tcPr>
            <w:tcW w:w="260" w:type="dxa"/>
            <w:vAlign w:val="bottom"/>
            <w:shd w:val="clear" w:color="auto" w:fill="CCEEFF"/>
          </w:tcPr>
          <w:p>
            <w:pPr>
              <w:jc w:val="right"/>
              <w:ind w:right="1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2,834</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2,248</w:t>
            </w:r>
          </w:p>
        </w:tc>
      </w:tr>
      <w:tr>
        <w:trPr>
          <w:trHeight w:val="15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Laboratory equipment</w:t>
            </w:r>
          </w:p>
        </w:tc>
        <w:tc>
          <w:tcPr>
            <w:tcW w:w="26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792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w:t>
            </w:r>
          </w:p>
        </w:tc>
      </w:tr>
      <w:tr>
        <w:trPr>
          <w:trHeight w:val="15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fixtures, and equipment</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481</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w:t>
            </w:r>
          </w:p>
        </w:tc>
      </w:tr>
      <w:tr>
        <w:trPr>
          <w:trHeight w:val="15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26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r>
      <w:tr>
        <w:trPr>
          <w:trHeight w:val="15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134</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w:t>
            </w:r>
          </w:p>
        </w:tc>
      </w:tr>
      <w:tr>
        <w:trPr>
          <w:trHeight w:val="137"/>
        </w:trPr>
        <w:tc>
          <w:tcPr>
            <w:tcW w:w="8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
              <w:spacing w:after="0" w:line="137" w:lineRule="exact"/>
              <w:rPr>
                <w:sz w:val="20"/>
                <w:szCs w:val="20"/>
                <w:color w:val="auto"/>
              </w:rPr>
            </w:pPr>
            <w:r>
              <w:rPr>
                <w:rFonts w:ascii="Times New Roman" w:cs="Times New Roman" w:eastAsia="Times New Roman" w:hAnsi="Times New Roman"/>
                <w:sz w:val="12"/>
                <w:szCs w:val="12"/>
                <w:color w:val="auto"/>
              </w:rPr>
              <w:t>4,358</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4,052</w:t>
            </w:r>
          </w:p>
        </w:tc>
      </w:tr>
      <w:tr>
        <w:trPr>
          <w:trHeight w:val="137"/>
        </w:trPr>
        <w:tc>
          <w:tcPr>
            <w:tcW w:w="81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(1,796)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(1,486)</w:t>
            </w:r>
          </w:p>
        </w:tc>
      </w:tr>
      <w:tr>
        <w:trPr>
          <w:trHeight w:val="135"/>
        </w:trPr>
        <w:tc>
          <w:tcPr>
            <w:tcW w:w="8160" w:type="dxa"/>
            <w:vAlign w:val="bottom"/>
          </w:tcPr>
          <w:p>
            <w:pPr>
              <w:spacing w:after="0"/>
              <w:rPr>
                <w:sz w:val="11"/>
                <w:szCs w:val="11"/>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1"/>
              <w:spacing w:after="0" w:line="128" w:lineRule="exact"/>
              <w:rPr>
                <w:sz w:val="20"/>
                <w:szCs w:val="20"/>
                <w:color w:val="auto"/>
              </w:rPr>
            </w:pPr>
            <w:r>
              <w:rPr>
                <w:rFonts w:ascii="Times New Roman" w:cs="Times New Roman" w:eastAsia="Times New Roman" w:hAnsi="Times New Roman"/>
                <w:sz w:val="12"/>
                <w:szCs w:val="12"/>
                <w:color w:val="auto"/>
              </w:rPr>
              <w:t>2,562</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2,566</w:t>
            </w:r>
          </w:p>
        </w:tc>
      </w:tr>
    </w:tbl>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Depreciation expense was $0.1 million for each of the three-month periods ended September 30, 2020 and 2019. Depreciation expense was $0.3 million for each of the nine-month periods ended September 30, 2020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2019.</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Intangible Assets, Net</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Intangible assets, net consisted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8"/>
        </w:trPr>
        <w:tc>
          <w:tcPr>
            <w:tcW w:w="8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2020</w:t>
            </w: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Acquired patents and licenses</w:t>
            </w:r>
          </w:p>
        </w:tc>
        <w:tc>
          <w:tcPr>
            <w:tcW w:w="260" w:type="dxa"/>
            <w:vAlign w:val="bottom"/>
            <w:shd w:val="clear" w:color="auto" w:fill="CCEEFF"/>
          </w:tcPr>
          <w:p>
            <w:pPr>
              <w:jc w:val="right"/>
              <w:ind w:right="1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7,985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7,985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Less: Accumulated amortization</w:t>
            </w:r>
          </w:p>
        </w:tc>
        <w:tc>
          <w:tcPr>
            <w:tcW w:w="260" w:type="dxa"/>
            <w:vAlign w:val="bottom"/>
          </w:tcPr>
          <w:p>
            <w:pPr>
              <w:spacing w:after="0"/>
              <w:rPr>
                <w:sz w:val="11"/>
                <w:szCs w:val="11"/>
                <w:color w:val="auto"/>
              </w:rPr>
            </w:pPr>
          </w:p>
        </w:tc>
        <w:tc>
          <w:tcPr>
            <w:tcW w:w="130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(3,937)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(3,438)</w:t>
            </w:r>
          </w:p>
        </w:tc>
      </w:tr>
      <w:tr>
        <w:trPr>
          <w:trHeight w:val="138"/>
        </w:trPr>
        <w:tc>
          <w:tcPr>
            <w:tcW w:w="81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gridSpan w:val="2"/>
            <w:shd w:val="clear" w:color="auto" w:fill="CCEEFF"/>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4,048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4,547</w:t>
            </w:r>
          </w:p>
        </w:tc>
      </w:tr>
      <w:tr>
        <w:trPr>
          <w:trHeight w:val="254"/>
        </w:trPr>
        <w:tc>
          <w:tcPr>
            <w:tcW w:w="81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 schedule of the amortization of intangible assets for the remainder of 2020 and the succeeding five fiscal years and thereafter is as follows (in thousands):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96"/>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 (remaining 3 months)</w:t>
            </w: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r>
      <w:tr>
        <w:trPr>
          <w:trHeight w:val="15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w:t>
            </w:r>
          </w:p>
        </w:tc>
      </w:tr>
      <w:tr>
        <w:trPr>
          <w:trHeight w:val="15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r>
      <w:tr>
        <w:trPr>
          <w:trHeight w:val="15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w:t>
            </w:r>
          </w:p>
        </w:tc>
      </w:tr>
      <w:tr>
        <w:trPr>
          <w:trHeight w:val="15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r>
      <w:tr>
        <w:trPr>
          <w:trHeight w:val="15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w:t>
            </w:r>
          </w:p>
        </w:tc>
      </w:tr>
      <w:tr>
        <w:trPr>
          <w:trHeight w:val="15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Thereafter</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w:t>
            </w:r>
          </w:p>
        </w:tc>
      </w:tr>
      <w:tr>
        <w:trPr>
          <w:trHeight w:val="135"/>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4,048</w:t>
            </w:r>
          </w:p>
        </w:tc>
      </w:tr>
      <w:tr>
        <w:trPr>
          <w:trHeight w:val="396"/>
        </w:trPr>
        <w:tc>
          <w:tcPr>
            <w:tcW w:w="816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3"/>
        </w:trPr>
        <w:tc>
          <w:tcPr>
            <w:tcW w:w="81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-5080</wp:posOffset>
            </wp:positionV>
            <wp:extent cx="57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571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1" w:name="page12"/>
    <w:bookmarkEnd w:id="11"/>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Accrued Expenses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Accrued expenses consisted of the following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8"/>
        </w:trPr>
        <w:tc>
          <w:tcPr>
            <w:tcW w:w="816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2020</w:t>
            </w: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Compensation</w:t>
            </w:r>
          </w:p>
        </w:tc>
        <w:tc>
          <w:tcPr>
            <w:tcW w:w="1100" w:type="dxa"/>
            <w:vAlign w:val="bottom"/>
            <w:shd w:val="clear" w:color="auto" w:fill="CCEEFF"/>
          </w:tcPr>
          <w:p>
            <w:pPr>
              <w:jc w:val="right"/>
              <w:ind w:right="9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2,276</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1,699</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Accrued clinical</w:t>
            </w:r>
          </w:p>
        </w:tc>
        <w:tc>
          <w:tcPr>
            <w:tcW w:w="1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262</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Professional fees</w:t>
            </w:r>
          </w:p>
        </w:tc>
        <w:tc>
          <w:tcPr>
            <w:tcW w:w="1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Property and equipment</w:t>
            </w:r>
          </w:p>
        </w:tc>
        <w:tc>
          <w:tcPr>
            <w:tcW w:w="1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262</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234</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Director and officer liability insurance</w:t>
            </w:r>
          </w:p>
        </w:tc>
        <w:tc>
          <w:tcPr>
            <w:tcW w:w="1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938</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Other</w:t>
            </w:r>
          </w:p>
        </w:tc>
        <w:tc>
          <w:tcPr>
            <w:tcW w:w="1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359</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250</w:t>
            </w:r>
          </w:p>
        </w:tc>
      </w:tr>
      <w:tr>
        <w:trPr>
          <w:trHeight w:val="126"/>
        </w:trPr>
        <w:tc>
          <w:tcPr>
            <w:tcW w:w="816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ind w:right="9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4,111</w:t>
            </w:r>
          </w:p>
        </w:tc>
        <w:tc>
          <w:tcPr>
            <w:tcW w:w="1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2,496</w:t>
            </w: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Goodwill</w:t>
      </w:r>
    </w:p>
    <w:p>
      <w:pPr>
        <w:spacing w:after="0" w:line="130" w:lineRule="exact"/>
        <w:rPr>
          <w:sz w:val="20"/>
          <w:szCs w:val="20"/>
          <w:color w:val="auto"/>
        </w:rPr>
      </w:pPr>
    </w:p>
    <w:p>
      <w:pPr>
        <w:jc w:val="both"/>
        <w:ind w:right="20" w:firstLine="248"/>
        <w:spacing w:after="0" w:line="265" w:lineRule="auto"/>
        <w:rPr>
          <w:sz w:val="20"/>
          <w:szCs w:val="20"/>
          <w:color w:val="auto"/>
        </w:rPr>
      </w:pPr>
      <w:r>
        <w:rPr>
          <w:rFonts w:ascii="Times New Roman" w:cs="Times New Roman" w:eastAsia="Times New Roman" w:hAnsi="Times New Roman"/>
          <w:sz w:val="12"/>
          <w:szCs w:val="12"/>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Company recorded goodwill of $2.8 million in connection with the acquisitions as the consideration paid exceeded the fair value of the net tangible assets and the intangible assets acquired.</w:t>
      </w:r>
    </w:p>
    <w:p>
      <w:pPr>
        <w:spacing w:after="0" w:line="94" w:lineRule="exact"/>
        <w:rPr>
          <w:sz w:val="20"/>
          <w:szCs w:val="20"/>
          <w:color w:val="auto"/>
        </w:rPr>
      </w:pPr>
    </w:p>
    <w:p>
      <w:pPr>
        <w:jc w:val="both"/>
        <w:ind w:firstLine="248"/>
        <w:spacing w:after="0" w:line="244" w:lineRule="auto"/>
        <w:rPr>
          <w:sz w:val="20"/>
          <w:szCs w:val="20"/>
          <w:color w:val="auto"/>
        </w:rPr>
      </w:pPr>
      <w:r>
        <w:rPr>
          <w:rFonts w:ascii="Times New Roman" w:cs="Times New Roman" w:eastAsia="Times New Roman" w:hAnsi="Times New Roman"/>
          <w:sz w:val="12"/>
          <w:szCs w:val="12"/>
          <w:color w:val="auto"/>
        </w:rPr>
        <w:t>The Company reviews goodwill for impairment at least annually or whenever changes in circumstances indicate that the carrying amount of goodwill may not be recoverable. Based on the Company’s annual impairment test as of December 31, 2019 the Company determined that no impairment of goodwill existed and was not aware of any indicators of impairment at such date. In addition, there were no indicators of impairment at September 30, 2020.</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Stockholders’ Equity and Stock-Based Compensation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Rights Offering</w:t>
      </w:r>
    </w:p>
    <w:p>
      <w:pPr>
        <w:spacing w:after="0" w:line="113" w:lineRule="exact"/>
        <w:rPr>
          <w:sz w:val="20"/>
          <w:szCs w:val="20"/>
          <w:color w:val="auto"/>
        </w:rPr>
      </w:pPr>
    </w:p>
    <w:p>
      <w:pPr>
        <w:jc w:val="both"/>
        <w:ind w:right="20" w:firstLine="336"/>
        <w:spacing w:after="0" w:line="262" w:lineRule="auto"/>
        <w:rPr>
          <w:sz w:val="20"/>
          <w:szCs w:val="20"/>
          <w:color w:val="auto"/>
        </w:rPr>
      </w:pPr>
      <w:r>
        <w:rPr>
          <w:rFonts w:ascii="Times New Roman" w:cs="Times New Roman" w:eastAsia="Times New Roman" w:hAnsi="Times New Roman"/>
          <w:sz w:val="12"/>
          <w:szCs w:val="12"/>
          <w:color w:val="auto"/>
        </w:rPr>
        <w:t>During June 2020, the Company completed a rights offering to purchase up to $30 million of units, each unit consisting of one share of the Company’s common stock, par value $0.001 per share, and 0.15 warrants to purchase shares of common stock (the Units) at a price of $7.01 per Unit (the Rights Offering). The common stock and warrants comprising the Units separated upon the closing of the Rights Offering and were issued separately.</w:t>
      </w:r>
    </w:p>
    <w:p>
      <w:pPr>
        <w:spacing w:after="0" w:line="86" w:lineRule="exact"/>
        <w:rPr>
          <w:sz w:val="20"/>
          <w:szCs w:val="20"/>
          <w:color w:val="auto"/>
        </w:rPr>
      </w:pPr>
    </w:p>
    <w:p>
      <w:pPr>
        <w:jc w:val="both"/>
        <w:ind w:firstLine="336"/>
        <w:spacing w:after="0"/>
        <w:rPr>
          <w:sz w:val="20"/>
          <w:szCs w:val="20"/>
          <w:color w:val="auto"/>
        </w:rPr>
      </w:pPr>
      <w:r>
        <w:rPr>
          <w:rFonts w:ascii="Times New Roman" w:cs="Times New Roman" w:eastAsia="Times New Roman" w:hAnsi="Times New Roman"/>
          <w:sz w:val="12"/>
          <w:szCs w:val="12"/>
          <w:color w:val="auto"/>
        </w:rPr>
        <w:t>A total of 4,279,600 shares of common stock and 641,571 warrants (the Rights Offering Warrants) were issued and sold in the Rights Offering for net proceeds of approximately $29.4 million. Each warrant is exercisable for one share of the Company’s common stock at an exercise price equal to $7.01, the subscription price for the Units. The Rights Offering Warrants are exercisable immediately and expire on the fifth anniversary of the completion of the Rights Offering, or June 16, 2025. The Rights Offering Warrants are subject to redemption by the Company for $0.01 per warrant, with not less than 30 days written notice, if the volume weighted average price of our common stock equals or exceeds 200% of the exercise price for the Rights Offering Warrants for 10 consecutive trading days, provided that the Company may not redeem the warrants prior to December 16, 2020, six months after the issuance date.</w:t>
      </w:r>
    </w:p>
    <w:p>
      <w:pPr>
        <w:spacing w:after="0" w:line="214" w:lineRule="exact"/>
        <w:rPr>
          <w:sz w:val="20"/>
          <w:szCs w:val="20"/>
          <w:color w:val="auto"/>
        </w:rPr>
      </w:pPr>
    </w:p>
    <w:p>
      <w:pPr>
        <w:jc w:val="both"/>
        <w:ind w:right="20" w:firstLine="336"/>
        <w:spacing w:after="0" w:line="262" w:lineRule="auto"/>
        <w:rPr>
          <w:sz w:val="20"/>
          <w:szCs w:val="20"/>
          <w:color w:val="auto"/>
        </w:rPr>
      </w:pPr>
      <w:r>
        <w:rPr>
          <w:rFonts w:ascii="Times New Roman" w:cs="Times New Roman" w:eastAsia="Times New Roman" w:hAnsi="Times New Roman"/>
          <w:sz w:val="12"/>
          <w:szCs w:val="12"/>
          <w:color w:val="auto"/>
        </w:rPr>
        <w:t>Robert W. Duggan, the Company’s Chairman of the Board of Directors and the beneficial owner of approximately 43% of the Company’s outstanding common stock prior to the Rights Offering, participated in the Rights Offering and purchased an aggregate of 2,561,873 Units. After giving effect to the rights offering, Mr. Duggan is the beneficial owner of approximately 47% of the Company’s outstanding common stock as of September 30,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 Warrants</w:t>
      </w:r>
    </w:p>
    <w:p>
      <w:pPr>
        <w:spacing w:after="0" w:line="132" w:lineRule="exact"/>
        <w:rPr>
          <w:sz w:val="20"/>
          <w:szCs w:val="20"/>
          <w:color w:val="auto"/>
        </w:rPr>
      </w:pPr>
    </w:p>
    <w:p>
      <w:pPr>
        <w:jc w:val="both"/>
        <w:ind w:right="20" w:firstLine="336"/>
        <w:spacing w:after="0" w:line="243" w:lineRule="auto"/>
        <w:rPr>
          <w:sz w:val="20"/>
          <w:szCs w:val="20"/>
          <w:color w:val="auto"/>
        </w:rPr>
      </w:pPr>
      <w:r>
        <w:rPr>
          <w:rFonts w:ascii="Times New Roman" w:cs="Times New Roman" w:eastAsia="Times New Roman" w:hAnsi="Times New Roman"/>
          <w:sz w:val="12"/>
          <w:szCs w:val="12"/>
          <w:color w:val="auto"/>
        </w:rPr>
        <w:t>In connection with a private placement in 2014 of the Company’s common stock, par value $0.001 per share, the Company issued warrants as compensation to the placement agent to purchase a total of 299,625 shares of its common stock at an exercise price of $2.67 per share (the Private Placement Warrants). The Private Placement Warrants are exercisable for period of seven years from issuance. As of September 30, 2020, there were a total of 46,238 of Private Placement Warrants outstanding.</w:t>
      </w:r>
    </w:p>
    <w:p>
      <w:pPr>
        <w:spacing w:after="0" w:line="107" w:lineRule="exact"/>
        <w:rPr>
          <w:sz w:val="20"/>
          <w:szCs w:val="20"/>
          <w:color w:val="auto"/>
        </w:rPr>
      </w:pPr>
    </w:p>
    <w:p>
      <w:pPr>
        <w:jc w:val="both"/>
        <w:ind w:firstLine="443"/>
        <w:spacing w:after="0" w:line="262" w:lineRule="auto"/>
        <w:rPr>
          <w:sz w:val="20"/>
          <w:szCs w:val="20"/>
          <w:color w:val="auto"/>
        </w:rPr>
      </w:pPr>
      <w:r>
        <w:rPr>
          <w:rFonts w:ascii="Times New Roman" w:cs="Times New Roman" w:eastAsia="Times New Roman" w:hAnsi="Times New Roman"/>
          <w:sz w:val="12"/>
          <w:szCs w:val="12"/>
          <w:color w:val="auto"/>
        </w:rPr>
        <w:t>In connection with the closing of the Company’s initial public offering in 2016, the Company issued warrants as compensation to its underwriters, to purchase a total of 574,985 shares of its common stock at an exercise price of $5.00 per share (the IPO Warrants). The IPO Warrants are exercisable for a period of five years from issuance. As of September 30, 2020, there were a total of 121,609 of the IPO Warrants outstanding.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2" w:name="page13"/>
    <w:bookmarkEnd w:id="12"/>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62" w:lineRule="exact"/>
        <w:rPr>
          <w:sz w:val="20"/>
          <w:szCs w:val="20"/>
          <w:color w:val="auto"/>
        </w:rPr>
      </w:pPr>
    </w:p>
    <w:p>
      <w:pPr>
        <w:jc w:val="both"/>
        <w:ind w:right="20" w:firstLine="443"/>
        <w:spacing w:after="0" w:line="262" w:lineRule="auto"/>
        <w:rPr>
          <w:sz w:val="20"/>
          <w:szCs w:val="20"/>
          <w:color w:val="auto"/>
        </w:rPr>
      </w:pPr>
      <w:r>
        <w:rPr>
          <w:rFonts w:ascii="Times New Roman" w:cs="Times New Roman" w:eastAsia="Times New Roman" w:hAnsi="Times New Roman"/>
          <w:sz w:val="12"/>
          <w:szCs w:val="12"/>
          <w:color w:val="auto"/>
        </w:rPr>
        <w:t>In connection with the Rights Offering, the Company issued warrants to purchase a total of 641,571 shares of its common stock at an exercise price of $7.01. As of September 30, 2020, there were a total of 625,617 of the Rights Offering Warrants outstanding.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Plans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2017 Equity Incentive Plan and 2017 Inducement Equity Incentive Plan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Board of Directors of the Company (the Board) previously adopted, and the Company’s stockholders approved, the Company’s 2017 Equity Incentive Plan (the 2017 Plan).</w:t>
      </w:r>
    </w:p>
    <w:p>
      <w:pPr>
        <w:spacing w:after="0" w:line="120" w:lineRule="exact"/>
        <w:rPr>
          <w:sz w:val="20"/>
          <w:szCs w:val="20"/>
          <w:color w:val="auto"/>
        </w:rPr>
      </w:pPr>
    </w:p>
    <w:p>
      <w:pPr>
        <w:jc w:val="both"/>
        <w:ind w:firstLine="248"/>
        <w:spacing w:after="0" w:line="233" w:lineRule="auto"/>
        <w:rPr>
          <w:sz w:val="20"/>
          <w:szCs w:val="20"/>
          <w:color w:val="auto"/>
        </w:rPr>
      </w:pPr>
      <w:r>
        <w:rPr>
          <w:rFonts w:ascii="Times New Roman" w:cs="Times New Roman" w:eastAsia="Times New Roman" w:hAnsi="Times New Roman"/>
          <w:sz w:val="12"/>
          <w:szCs w:val="12"/>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2020, the Company’s Board authorized an increase in the number of shares of common stock available under the 2017 Plan by 833,018 shares pursuant to the evergreen provision of the 2017 Plan. Pursuant to the 2017 Plan, the 2020 share increase is determined based on the least of (i) 1,200,000 shares, (ii) 4% of the Company’s common stock outstanding at December 31 of the immediately preceding year, or (iii) such number of shares as determined by the Board. As of September 30, 2020, 371,958 shares of common stock remained available for issuance under the 2017 Plan.</w:t>
      </w:r>
    </w:p>
    <w:p>
      <w:pPr>
        <w:spacing w:after="0" w:line="109" w:lineRule="exact"/>
        <w:rPr>
          <w:sz w:val="20"/>
          <w:szCs w:val="20"/>
          <w:color w:val="auto"/>
        </w:rPr>
      </w:pPr>
    </w:p>
    <w:p>
      <w:pPr>
        <w:jc w:val="both"/>
        <w:ind w:firstLine="248"/>
        <w:spacing w:after="0" w:line="233" w:lineRule="auto"/>
        <w:rPr>
          <w:sz w:val="20"/>
          <w:szCs w:val="20"/>
          <w:color w:val="auto"/>
        </w:rPr>
      </w:pPr>
      <w:r>
        <w:rPr>
          <w:rFonts w:ascii="Times New Roman" w:cs="Times New Roman" w:eastAsia="Times New Roman" w:hAnsi="Times New Roman"/>
          <w:sz w:val="12"/>
          <w:szCs w:val="12"/>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 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annual starting upon the first anniversary of the grant. Equity-based awards issued under the Inducement Plan are only issuable to individuals not previously engaged as employees or non-employee directors of the Company prior to the Inducement Plan’s adoption date. As of September 30, 2020, 26,283 shares of common stock remained available for issuance under the Inducement Plan.</w:t>
      </w:r>
    </w:p>
    <w:p>
      <w:pPr>
        <w:spacing w:after="0" w:line="100"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Certain stock options awarded to the Company’s executives and other key employees contain performance conditions related to certain financial measures and achievements of strategic/operational milestones (performance options). As of September 30, 2020, not all of the performance conditions are probable to be achieved. Compensation expense has only been recognized for those conditions that are assumed to be probable.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2017 Employee Stock Purchase Plan</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Board previously adopted and the stockholders approved the Company’s 2017 Employee Stock Purchase Plan (the 2017 ESPP).</w:t>
      </w:r>
    </w:p>
    <w:p>
      <w:pPr>
        <w:spacing w:after="0" w:line="130" w:lineRule="exact"/>
        <w:rPr>
          <w:sz w:val="20"/>
          <w:szCs w:val="20"/>
          <w:color w:val="auto"/>
        </w:rPr>
      </w:pPr>
    </w:p>
    <w:p>
      <w:pPr>
        <w:jc w:val="both"/>
        <w:ind w:firstLine="248"/>
        <w:spacing w:after="0" w:line="233" w:lineRule="auto"/>
        <w:rPr>
          <w:sz w:val="20"/>
          <w:szCs w:val="20"/>
          <w:color w:val="auto"/>
        </w:rPr>
      </w:pPr>
      <w:r>
        <w:rPr>
          <w:rFonts w:ascii="Times New Roman" w:cs="Times New Roman" w:eastAsia="Times New Roman" w:hAnsi="Times New Roman"/>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January 2020, the Board determined not to increase the number of shares of common stock available under the 2017 ESPP pursuant to the evergreen provision of the 2017 ESPP. During the nine-month period ended September 30, 2020, the Company issued 82,971 shares of common stock under the 2017 ESPP. As of September 30, 2020, 357,224 shares of common stock remained available for issuance under the 2017 ESPP.</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3" w:name="page14"/>
    <w:bookmarkEnd w:id="13"/>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 summary of stock option activity under the 2015 Plan, 2017 Plan and Inducement Plan for the nine-months 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September 30, 2020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jc w:val="center"/>
              <w:spacing w:after="0" w:line="74" w:lineRule="exact"/>
              <w:rPr>
                <w:sz w:val="20"/>
                <w:szCs w:val="20"/>
                <w:color w:val="auto"/>
              </w:rPr>
            </w:pPr>
            <w:r>
              <w:rPr>
                <w:rFonts w:ascii="Times New Roman" w:cs="Times New Roman" w:eastAsia="Times New Roman" w:hAnsi="Times New Roman"/>
                <w:sz w:val="7"/>
                <w:szCs w:val="7"/>
                <w:b w:val="1"/>
                <w:bCs w:val="1"/>
                <w:color w:val="auto"/>
              </w:rPr>
              <w:t>Weighted</w:t>
            </w: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4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average</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80" w:type="dxa"/>
            <w:vAlign w:val="bottom"/>
            <w:tcBorders>
              <w:bottom w:val="single" w:sz="8" w:color="CCEEFF"/>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2019</w:t>
            </w:r>
          </w:p>
        </w:tc>
        <w:tc>
          <w:tcPr>
            <w:tcW w:w="4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20" w:type="dxa"/>
            <w:vAlign w:val="bottom"/>
            <w:gridSpan w:val="4"/>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3,749,186</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242"/>
              <w:spacing w:after="0" w:line="11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16.18</w:t>
            </w:r>
          </w:p>
        </w:tc>
        <w:tc>
          <w:tcPr>
            <w:tcW w:w="0" w:type="dxa"/>
            <w:vAlign w:val="bottom"/>
          </w:tcPr>
          <w:p>
            <w:pPr>
              <w:spacing w:after="0"/>
              <w:rPr>
                <w:sz w:val="1"/>
                <w:szCs w:val="1"/>
                <w:color w:val="auto"/>
              </w:rPr>
            </w:pPr>
          </w:p>
        </w:tc>
      </w:tr>
      <w:tr>
        <w:trPr>
          <w:trHeight w:val="129"/>
        </w:trPr>
        <w:tc>
          <w:tcPr>
            <w:tcW w:w="48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2"/>
                <w:szCs w:val="12"/>
                <w:color w:val="auto"/>
              </w:rPr>
              <w:t>1,933,560</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gridSpan w:val="4"/>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(85,750)</w:t>
            </w: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8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gridSpan w:val="4"/>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7"/>
              </w:rPr>
              <w:t>(324,584)</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gridSpan w:val="4"/>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(65,086)</w:t>
            </w: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88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September 30, 2020</w:t>
            </w:r>
          </w:p>
        </w:tc>
        <w:tc>
          <w:tcPr>
            <w:tcW w:w="46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gridSpan w:val="4"/>
          </w:tcPr>
          <w:p>
            <w:pPr>
              <w:jc w:val="right"/>
              <w:spacing w:after="0" w:line="118" w:lineRule="exact"/>
              <w:rPr>
                <w:sz w:val="20"/>
                <w:szCs w:val="20"/>
                <w:color w:val="auto"/>
              </w:rPr>
            </w:pPr>
            <w:r>
              <w:rPr>
                <w:rFonts w:ascii="Times New Roman" w:cs="Times New Roman" w:eastAsia="Times New Roman" w:hAnsi="Times New Roman"/>
                <w:sz w:val="12"/>
                <w:szCs w:val="12"/>
                <w:color w:val="auto"/>
              </w:rPr>
              <w:t>5,207,326</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jc w:val="right"/>
              <w:ind w:right="242"/>
              <w:spacing w:after="0" w:line="11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14.30</w:t>
            </w:r>
          </w:p>
        </w:tc>
        <w:tc>
          <w:tcPr>
            <w:tcW w:w="0" w:type="dxa"/>
            <w:vAlign w:val="bottom"/>
          </w:tcPr>
          <w:p>
            <w:pPr>
              <w:spacing w:after="0"/>
              <w:rPr>
                <w:sz w:val="1"/>
                <w:szCs w:val="1"/>
                <w:color w:val="auto"/>
              </w:rPr>
            </w:pPr>
          </w:p>
        </w:tc>
      </w:tr>
      <w:tr>
        <w:trPr>
          <w:trHeight w:val="149"/>
        </w:trPr>
        <w:tc>
          <w:tcPr>
            <w:tcW w:w="48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September 30, 2020</w:t>
            </w:r>
          </w:p>
        </w:tc>
        <w:tc>
          <w:tcPr>
            <w:tcW w:w="4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2,519,812</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24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17.08</w:t>
            </w:r>
          </w:p>
        </w:tc>
        <w:tc>
          <w:tcPr>
            <w:tcW w:w="0" w:type="dxa"/>
            <w:vAlign w:val="bottom"/>
          </w:tcPr>
          <w:p>
            <w:pPr>
              <w:spacing w:after="0"/>
              <w:rPr>
                <w:sz w:val="1"/>
                <w:szCs w:val="1"/>
                <w:color w:val="auto"/>
              </w:rPr>
            </w:pPr>
          </w:p>
        </w:tc>
      </w:tr>
      <w:tr>
        <w:trPr>
          <w:trHeight w:val="254"/>
        </w:trPr>
        <w:tc>
          <w:tcPr>
            <w:tcW w:w="48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stock-based compensation expense consisted of the following (in thousands):</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4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3"/>
          </w:tcPr>
          <w:p>
            <w:pPr>
              <w:jc w:val="right"/>
              <w:ind w:right="428"/>
              <w:spacing w:after="0" w:line="104" w:lineRule="exact"/>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right"/>
              <w:ind w:right="88"/>
              <w:spacing w:after="0" w:line="104" w:lineRule="exact"/>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8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88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gridSpan w:val="2"/>
          </w:tcPr>
          <w:p>
            <w:pPr>
              <w:jc w:val="right"/>
              <w:ind w:right="60"/>
              <w:spacing w:after="0" w:line="91" w:lineRule="exact"/>
              <w:rPr>
                <w:sz w:val="20"/>
                <w:szCs w:val="20"/>
                <w:color w:val="auto"/>
              </w:rPr>
            </w:pPr>
            <w:r>
              <w:rPr>
                <w:rFonts w:ascii="Times New Roman" w:cs="Times New Roman" w:eastAsia="Times New Roman" w:hAnsi="Times New Roman"/>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1000" w:type="dxa"/>
            <w:vAlign w:val="bottom"/>
            <w:tcBorders>
              <w:bottom w:val="single" w:sz="8" w:color="auto"/>
            </w:tcBorders>
          </w:tcPr>
          <w:p>
            <w:pPr>
              <w:jc w:val="right"/>
              <w:ind w:right="108"/>
              <w:spacing w:after="0" w:line="91" w:lineRule="exact"/>
              <w:rPr>
                <w:sz w:val="20"/>
                <w:szCs w:val="20"/>
                <w:color w:val="auto"/>
              </w:rPr>
            </w:pPr>
            <w:r>
              <w:rPr>
                <w:rFonts w:ascii="Times New Roman" w:cs="Times New Roman" w:eastAsia="Times New Roman" w:hAnsi="Times New Roman"/>
                <w:sz w:val="10"/>
                <w:szCs w:val="10"/>
                <w:b w:val="1"/>
                <w:bCs w:val="1"/>
                <w:color w:val="auto"/>
              </w:rPr>
              <w:t>2019</w:t>
            </w:r>
          </w:p>
        </w:tc>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jc w:val="right"/>
              <w:ind w:right="80"/>
              <w:spacing w:after="0" w:line="91" w:lineRule="exact"/>
              <w:rPr>
                <w:sz w:val="20"/>
                <w:szCs w:val="20"/>
                <w:color w:val="auto"/>
              </w:rPr>
            </w:pPr>
            <w:r>
              <w:rPr>
                <w:rFonts w:ascii="Times New Roman" w:cs="Times New Roman" w:eastAsia="Times New Roman" w:hAnsi="Times New Roman"/>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580"/>
              <w:spacing w:after="0" w:line="91"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0" w:type="dxa"/>
            <w:vAlign w:val="bottom"/>
          </w:tcPr>
          <w:p>
            <w:pPr>
              <w:spacing w:after="0"/>
              <w:rPr>
                <w:sz w:val="1"/>
                <w:szCs w:val="1"/>
                <w:color w:val="auto"/>
              </w:rPr>
            </w:pPr>
          </w:p>
        </w:tc>
      </w:tr>
      <w:tr>
        <w:trPr>
          <w:trHeight w:val="118"/>
        </w:trPr>
        <w:tc>
          <w:tcPr>
            <w:tcW w:w="4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General and administrative</w:t>
            </w:r>
          </w:p>
        </w:tc>
        <w:tc>
          <w:tcPr>
            <w:tcW w:w="460" w:type="dxa"/>
            <w:vAlign w:val="bottom"/>
            <w:shd w:val="clear" w:color="auto" w:fill="CCEEFF"/>
          </w:tcPr>
          <w:p>
            <w:pPr>
              <w:jc w:val="right"/>
              <w:ind w:right="34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1,465</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ind w:right="888"/>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1,735</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4,729</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08"/>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4,881</w:t>
            </w:r>
          </w:p>
        </w:tc>
        <w:tc>
          <w:tcPr>
            <w:tcW w:w="0" w:type="dxa"/>
            <w:vAlign w:val="bottom"/>
          </w:tcPr>
          <w:p>
            <w:pPr>
              <w:spacing w:after="0"/>
              <w:rPr>
                <w:sz w:val="1"/>
                <w:szCs w:val="1"/>
                <w:color w:val="auto"/>
              </w:rPr>
            </w:pPr>
          </w:p>
        </w:tc>
      </w:tr>
      <w:tr>
        <w:trPr>
          <w:trHeight w:val="129"/>
        </w:trPr>
        <w:tc>
          <w:tcPr>
            <w:tcW w:w="48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4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1,183</w:t>
            </w:r>
          </w:p>
        </w:tc>
        <w:tc>
          <w:tcPr>
            <w:tcW w:w="1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944</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2,957</w:t>
            </w:r>
          </w:p>
        </w:tc>
        <w:tc>
          <w:tcPr>
            <w:tcW w:w="1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2,858</w:t>
            </w:r>
          </w:p>
        </w:tc>
        <w:tc>
          <w:tcPr>
            <w:tcW w:w="0" w:type="dxa"/>
            <w:vAlign w:val="bottom"/>
          </w:tcPr>
          <w:p>
            <w:pPr>
              <w:spacing w:after="0"/>
              <w:rPr>
                <w:sz w:val="1"/>
                <w:szCs w:val="1"/>
                <w:color w:val="auto"/>
              </w:rPr>
            </w:pPr>
          </w:p>
        </w:tc>
      </w:tr>
      <w:tr>
        <w:trPr>
          <w:trHeight w:val="126"/>
        </w:trPr>
        <w:tc>
          <w:tcPr>
            <w:tcW w:w="4880" w:type="dxa"/>
            <w:vAlign w:val="bottom"/>
            <w:tcBorders>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460" w:type="dxa"/>
            <w:vAlign w:val="bottom"/>
            <w:tcBorders>
              <w:bottom w:val="single" w:sz="8" w:color="auto"/>
            </w:tcBorders>
            <w:shd w:val="clear" w:color="auto" w:fill="CCEEFF"/>
          </w:tcPr>
          <w:p>
            <w:pPr>
              <w:jc w:val="right"/>
              <w:ind w:right="34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2,648</w:t>
            </w:r>
          </w:p>
        </w:tc>
        <w:tc>
          <w:tcPr>
            <w:tcW w:w="1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ind w:right="888"/>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2,679</w:t>
            </w:r>
          </w:p>
        </w:tc>
        <w:tc>
          <w:tcPr>
            <w:tcW w:w="4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7,686</w:t>
            </w:r>
          </w:p>
        </w:tc>
        <w:tc>
          <w:tcPr>
            <w:tcW w:w="1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508"/>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7,739</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80" w:type="dxa"/>
            <w:vAlign w:val="bottom"/>
          </w:tcPr>
          <w:p>
            <w:pPr>
              <w:spacing w:after="0"/>
              <w:rPr>
                <w:sz w:val="10"/>
                <w:szCs w:val="10"/>
                <w:color w:val="auto"/>
              </w:rPr>
            </w:pPr>
          </w:p>
        </w:tc>
        <w:tc>
          <w:tcPr>
            <w:tcW w:w="31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0"/>
                <w:szCs w:val="10"/>
                <w:b w:val="1"/>
                <w:bCs w:val="1"/>
                <w:color w:val="auto"/>
              </w:rPr>
              <w:t>Three-Month Periods Ended September 30,</w:t>
            </w:r>
          </w:p>
        </w:tc>
        <w:tc>
          <w:tcPr>
            <w:tcW w:w="11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Nine-Month Periods Ended September 30,</w:t>
            </w:r>
          </w:p>
        </w:tc>
      </w:tr>
      <w:tr>
        <w:trPr>
          <w:trHeight w:val="91"/>
        </w:trPr>
        <w:tc>
          <w:tcPr>
            <w:tcW w:w="3780" w:type="dxa"/>
            <w:vAlign w:val="bottom"/>
            <w:tcBorders>
              <w:bottom w:val="single" w:sz="8" w:color="CCEEFF"/>
            </w:tcBorders>
          </w:tcPr>
          <w:p>
            <w:pPr>
              <w:spacing w:after="0"/>
              <w:rPr>
                <w:sz w:val="7"/>
                <w:szCs w:val="7"/>
                <w:color w:val="auto"/>
              </w:rPr>
            </w:pPr>
          </w:p>
        </w:tc>
        <w:tc>
          <w:tcPr>
            <w:tcW w:w="218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4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jc w:val="center"/>
              <w:ind w:right="461"/>
              <w:spacing w:after="0" w:line="91" w:lineRule="exact"/>
              <w:rPr>
                <w:sz w:val="20"/>
                <w:szCs w:val="20"/>
                <w:color w:val="auto"/>
              </w:rPr>
            </w:pPr>
            <w:r>
              <w:rPr>
                <w:rFonts w:ascii="Times New Roman" w:cs="Times New Roman" w:eastAsia="Times New Roman" w:hAnsi="Times New Roman"/>
                <w:sz w:val="10"/>
                <w:szCs w:val="10"/>
                <w:b w:val="1"/>
                <w:bCs w:val="1"/>
                <w:color w:val="auto"/>
                <w:w w:val="89"/>
              </w:rPr>
              <w:t>2019</w:t>
            </w:r>
          </w:p>
        </w:tc>
        <w:tc>
          <w:tcPr>
            <w:tcW w:w="2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4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9"/>
              </w:rPr>
              <w:t>2019</w:t>
            </w:r>
          </w:p>
        </w:tc>
      </w:tr>
      <w:tr>
        <w:trPr>
          <w:trHeight w:val="118"/>
        </w:trPr>
        <w:tc>
          <w:tcPr>
            <w:tcW w:w="37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21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5.8 - 6.1</w:t>
            </w: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40" w:type="dxa"/>
            <w:vAlign w:val="bottom"/>
            <w:shd w:val="clear" w:color="auto" w:fill="CCEEFF"/>
          </w:tcPr>
          <w:p>
            <w:pPr>
              <w:jc w:val="center"/>
              <w:ind w:right="461"/>
              <w:spacing w:after="0" w:line="118" w:lineRule="exact"/>
              <w:rPr>
                <w:sz w:val="20"/>
                <w:szCs w:val="20"/>
                <w:color w:val="auto"/>
              </w:rPr>
            </w:pPr>
            <w:r>
              <w:rPr>
                <w:rFonts w:ascii="Times New Roman" w:cs="Times New Roman" w:eastAsia="Times New Roman" w:hAnsi="Times New Roman"/>
                <w:sz w:val="12"/>
                <w:szCs w:val="12"/>
                <w:color w:val="auto"/>
              </w:rPr>
              <w:t>5.8 - 6.1</w:t>
            </w: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5.3 - 6.1</w:t>
            </w: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0.4 - 6.1</w:t>
            </w:r>
          </w:p>
        </w:tc>
      </w:tr>
      <w:tr>
        <w:trPr>
          <w:trHeight w:val="129"/>
        </w:trPr>
        <w:tc>
          <w:tcPr>
            <w:tcW w:w="37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21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70%</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jc w:val="center"/>
              <w:ind w:right="461"/>
              <w:spacing w:after="0" w:line="129" w:lineRule="exact"/>
              <w:rPr>
                <w:sz w:val="20"/>
                <w:szCs w:val="20"/>
                <w:color w:val="auto"/>
              </w:rPr>
            </w:pPr>
            <w:r>
              <w:rPr>
                <w:rFonts w:ascii="Times New Roman" w:cs="Times New Roman" w:eastAsia="Times New Roman" w:hAnsi="Times New Roman"/>
                <w:sz w:val="12"/>
                <w:szCs w:val="12"/>
                <w:color w:val="auto"/>
                <w:w w:val="99"/>
              </w:rPr>
              <w:t>70%</w:t>
            </w:r>
          </w:p>
        </w:tc>
        <w:tc>
          <w:tcPr>
            <w:tcW w:w="2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70%</w:t>
            </w:r>
          </w:p>
        </w:tc>
        <w:tc>
          <w:tcPr>
            <w:tcW w:w="4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70%</w:t>
            </w:r>
          </w:p>
        </w:tc>
      </w:tr>
      <w:tr>
        <w:trPr>
          <w:trHeight w:val="129"/>
        </w:trPr>
        <w:tc>
          <w:tcPr>
            <w:tcW w:w="37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21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0.3 - 0.4%</w:t>
            </w: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40" w:type="dxa"/>
            <w:vAlign w:val="bottom"/>
            <w:shd w:val="clear" w:color="auto" w:fill="CCEEFF"/>
          </w:tcPr>
          <w:p>
            <w:pPr>
              <w:jc w:val="center"/>
              <w:ind w:right="461"/>
              <w:spacing w:after="0" w:line="129" w:lineRule="exact"/>
              <w:rPr>
                <w:sz w:val="20"/>
                <w:szCs w:val="20"/>
                <w:color w:val="auto"/>
              </w:rPr>
            </w:pPr>
            <w:r>
              <w:rPr>
                <w:rFonts w:ascii="Times New Roman" w:cs="Times New Roman" w:eastAsia="Times New Roman" w:hAnsi="Times New Roman"/>
                <w:sz w:val="12"/>
                <w:szCs w:val="12"/>
                <w:color w:val="auto"/>
                <w:w w:val="99"/>
              </w:rPr>
              <w:t>1.4 - 1.7%</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0.4 - 0.5%</w:t>
            </w: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1.4 - 2.6%</w:t>
            </w:r>
          </w:p>
        </w:tc>
      </w:tr>
      <w:tr>
        <w:trPr>
          <w:trHeight w:val="160"/>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3100" w:type="dxa"/>
            <w:vAlign w:val="bottom"/>
            <w:gridSpan w:val="3"/>
          </w:tcPr>
          <w:p>
            <w:pPr>
              <w:jc w:val="center"/>
              <w:ind w:right="9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center"/>
              <w:ind w:right="7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bl>
    <w:p>
      <w:pPr>
        <w:spacing w:after="0" w:line="215"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80" w:type="dxa"/>
            <w:vAlign w:val="bottom"/>
          </w:tcPr>
          <w:p>
            <w:pPr>
              <w:spacing w:after="0"/>
              <w:rPr>
                <w:sz w:val="10"/>
                <w:szCs w:val="10"/>
                <w:color w:val="auto"/>
              </w:rPr>
            </w:pPr>
          </w:p>
        </w:tc>
        <w:tc>
          <w:tcPr>
            <w:tcW w:w="31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0"/>
                <w:szCs w:val="10"/>
                <w:b w:val="1"/>
                <w:bCs w:val="1"/>
                <w:color w:val="auto"/>
              </w:rPr>
              <w:t>Three-Month Periods Ended September 30,</w:t>
            </w:r>
          </w:p>
        </w:tc>
        <w:tc>
          <w:tcPr>
            <w:tcW w:w="11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0"/>
                <w:szCs w:val="10"/>
                <w:b w:val="1"/>
                <w:bCs w:val="1"/>
                <w:color w:val="auto"/>
              </w:rPr>
              <w:t>Nine-Month Periods Ended September 30,</w:t>
            </w:r>
          </w:p>
        </w:tc>
      </w:tr>
      <w:tr>
        <w:trPr>
          <w:trHeight w:val="91"/>
        </w:trPr>
        <w:tc>
          <w:tcPr>
            <w:tcW w:w="3780" w:type="dxa"/>
            <w:vAlign w:val="bottom"/>
            <w:tcBorders>
              <w:bottom w:val="single" w:sz="8" w:color="CCEEFF"/>
            </w:tcBorders>
          </w:tcPr>
          <w:p>
            <w:pPr>
              <w:spacing w:after="0"/>
              <w:rPr>
                <w:sz w:val="7"/>
                <w:szCs w:val="7"/>
                <w:color w:val="auto"/>
              </w:rPr>
            </w:pPr>
          </w:p>
        </w:tc>
        <w:tc>
          <w:tcPr>
            <w:tcW w:w="218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4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jc w:val="center"/>
              <w:ind w:right="461"/>
              <w:spacing w:after="0" w:line="91" w:lineRule="exact"/>
              <w:rPr>
                <w:sz w:val="20"/>
                <w:szCs w:val="20"/>
                <w:color w:val="auto"/>
              </w:rPr>
            </w:pPr>
            <w:r>
              <w:rPr>
                <w:rFonts w:ascii="Times New Roman" w:cs="Times New Roman" w:eastAsia="Times New Roman" w:hAnsi="Times New Roman"/>
                <w:sz w:val="10"/>
                <w:szCs w:val="10"/>
                <w:b w:val="1"/>
                <w:bCs w:val="1"/>
                <w:color w:val="auto"/>
                <w:w w:val="89"/>
              </w:rPr>
              <w:t>2019</w:t>
            </w:r>
          </w:p>
        </w:tc>
        <w:tc>
          <w:tcPr>
            <w:tcW w:w="2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4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9"/>
              </w:rPr>
              <w:t>2019</w:t>
            </w:r>
          </w:p>
        </w:tc>
      </w:tr>
      <w:tr>
        <w:trPr>
          <w:trHeight w:val="118"/>
        </w:trPr>
        <w:tc>
          <w:tcPr>
            <w:tcW w:w="37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21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0.5 - 1.0</w:t>
            </w: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40" w:type="dxa"/>
            <w:vAlign w:val="bottom"/>
            <w:shd w:val="clear" w:color="auto" w:fill="CCEEFF"/>
          </w:tcPr>
          <w:p>
            <w:pPr>
              <w:jc w:val="center"/>
              <w:ind w:right="461"/>
              <w:spacing w:after="0" w:line="118" w:lineRule="exact"/>
              <w:rPr>
                <w:sz w:val="20"/>
                <w:szCs w:val="20"/>
                <w:color w:val="auto"/>
              </w:rPr>
            </w:pPr>
            <w:r>
              <w:rPr>
                <w:rFonts w:ascii="Times New Roman" w:cs="Times New Roman" w:eastAsia="Times New Roman" w:hAnsi="Times New Roman"/>
                <w:sz w:val="12"/>
                <w:szCs w:val="12"/>
                <w:color w:val="auto"/>
              </w:rPr>
              <w:t>0.5 - 1.0</w:t>
            </w: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0.5 - 1.0</w:t>
            </w: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0.5 - 1.0</w:t>
            </w:r>
          </w:p>
        </w:tc>
      </w:tr>
      <w:tr>
        <w:trPr>
          <w:trHeight w:val="129"/>
        </w:trPr>
        <w:tc>
          <w:tcPr>
            <w:tcW w:w="37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21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70%</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jc w:val="center"/>
              <w:ind w:right="461"/>
              <w:spacing w:after="0" w:line="129" w:lineRule="exact"/>
              <w:rPr>
                <w:sz w:val="20"/>
                <w:szCs w:val="20"/>
                <w:color w:val="auto"/>
              </w:rPr>
            </w:pPr>
            <w:r>
              <w:rPr>
                <w:rFonts w:ascii="Times New Roman" w:cs="Times New Roman" w:eastAsia="Times New Roman" w:hAnsi="Times New Roman"/>
                <w:sz w:val="12"/>
                <w:szCs w:val="12"/>
                <w:color w:val="auto"/>
                <w:w w:val="99"/>
              </w:rPr>
              <w:t>70%</w:t>
            </w:r>
          </w:p>
        </w:tc>
        <w:tc>
          <w:tcPr>
            <w:tcW w:w="2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70%</w:t>
            </w:r>
          </w:p>
        </w:tc>
        <w:tc>
          <w:tcPr>
            <w:tcW w:w="4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70%</w:t>
            </w:r>
          </w:p>
        </w:tc>
      </w:tr>
      <w:tr>
        <w:trPr>
          <w:trHeight w:val="129"/>
        </w:trPr>
        <w:tc>
          <w:tcPr>
            <w:tcW w:w="37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21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0.1 - 0.1%</w:t>
            </w: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40" w:type="dxa"/>
            <w:vAlign w:val="bottom"/>
            <w:shd w:val="clear" w:color="auto" w:fill="CCEEFF"/>
          </w:tcPr>
          <w:p>
            <w:pPr>
              <w:jc w:val="center"/>
              <w:ind w:right="461"/>
              <w:spacing w:after="0" w:line="129" w:lineRule="exact"/>
              <w:rPr>
                <w:sz w:val="20"/>
                <w:szCs w:val="20"/>
                <w:color w:val="auto"/>
              </w:rPr>
            </w:pPr>
            <w:r>
              <w:rPr>
                <w:rFonts w:ascii="Times New Roman" w:cs="Times New Roman" w:eastAsia="Times New Roman" w:hAnsi="Times New Roman"/>
                <w:sz w:val="12"/>
                <w:szCs w:val="12"/>
                <w:color w:val="auto"/>
                <w:w w:val="99"/>
              </w:rPr>
              <w:t>1.7 - 1.9%</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0.1 - 1.0%</w:t>
            </w: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1.7 - 2.6%</w:t>
            </w:r>
          </w:p>
        </w:tc>
      </w:tr>
      <w:tr>
        <w:trPr>
          <w:trHeight w:val="160"/>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3100" w:type="dxa"/>
            <w:vAlign w:val="bottom"/>
            <w:gridSpan w:val="3"/>
          </w:tcPr>
          <w:p>
            <w:pPr>
              <w:jc w:val="center"/>
              <w:ind w:right="9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center"/>
              <w:ind w:right="7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spacing w:after="0"/>
              <w:rPr>
                <w:sz w:val="13"/>
                <w:szCs w:val="13"/>
                <w:color w:val="auto"/>
              </w:rPr>
            </w:pPr>
          </w:p>
        </w:tc>
      </w:tr>
      <w:tr>
        <w:trPr>
          <w:trHeight w:val="264"/>
        </w:trPr>
        <w:tc>
          <w:tcPr>
            <w:tcW w:w="3780" w:type="dxa"/>
            <w:vAlign w:val="bottom"/>
          </w:tcPr>
          <w:p>
            <w:pPr>
              <w:spacing w:after="0"/>
              <w:rPr>
                <w:sz w:val="22"/>
                <w:szCs w:val="22"/>
                <w:color w:val="auto"/>
              </w:rPr>
            </w:pPr>
          </w:p>
        </w:tc>
        <w:tc>
          <w:tcPr>
            <w:tcW w:w="218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14</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3"/>
        </w:trPr>
        <w:tc>
          <w:tcPr>
            <w:tcW w:w="378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-5080</wp:posOffset>
            </wp:positionV>
            <wp:extent cx="57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571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4" w:name="page15"/>
    <w:bookmarkEnd w:id="14"/>
    <w:p>
      <w:pPr>
        <w:ind w:left="6"/>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7. Research Grants and Agreements</w:t>
      </w:r>
    </w:p>
    <w:p>
      <w:pPr>
        <w:spacing w:after="0" w:line="1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Sponsored Research Agreement</w:t>
      </w:r>
    </w:p>
    <w:p>
      <w:pPr>
        <w:spacing w:after="0" w:line="122" w:lineRule="exact"/>
        <w:rPr>
          <w:sz w:val="20"/>
          <w:szCs w:val="20"/>
          <w:color w:val="auto"/>
        </w:rPr>
      </w:pPr>
    </w:p>
    <w:p>
      <w:pPr>
        <w:jc w:val="both"/>
        <w:ind w:left="6" w:firstLine="301"/>
        <w:spacing w:after="0" w:line="235" w:lineRule="auto"/>
        <w:rPr>
          <w:sz w:val="20"/>
          <w:szCs w:val="20"/>
          <w:color w:val="auto"/>
        </w:rPr>
      </w:pPr>
      <w:r>
        <w:rPr>
          <w:rFonts w:ascii="Times New Roman" w:cs="Times New Roman" w:eastAsia="Times New Roman" w:hAnsi="Times New Roman"/>
          <w:sz w:val="12"/>
          <w:szCs w:val="12"/>
          <w:color w:val="auto"/>
        </w:rPr>
        <w:t>Annually, the Company may sponsor research activities (SRAs) performed by Old Dominion University’s Frank Reidy Center (ODURF). ODURF is compensated by the Company for its conduct of each study in accordance with the budget and payment terms set forth in the applicable task order. During the year ended December 31, 2019, the Company agreed to sponsor $0.8 million in research during the subsequent 12-month period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September 30, 2020, the Company has incurred costs of the entire $0.8 million under this agreement.</w:t>
      </w:r>
    </w:p>
    <w:p>
      <w:pPr>
        <w:spacing w:after="0" w:line="90" w:lineRule="exact"/>
        <w:rPr>
          <w:sz w:val="20"/>
          <w:szCs w:val="20"/>
          <w:color w:val="auto"/>
        </w:rPr>
      </w:pPr>
    </w:p>
    <w:p>
      <w:pPr>
        <w:jc w:val="both"/>
        <w:ind w:left="6" w:firstLine="301"/>
        <w:spacing w:after="0" w:line="262" w:lineRule="auto"/>
        <w:rPr>
          <w:sz w:val="20"/>
          <w:szCs w:val="20"/>
          <w:color w:val="auto"/>
        </w:rPr>
      </w:pPr>
      <w:r>
        <w:rPr>
          <w:rFonts w:ascii="Times New Roman" w:cs="Times New Roman" w:eastAsia="Times New Roman" w:hAnsi="Times New Roman"/>
          <w:sz w:val="12"/>
          <w:szCs w:val="12"/>
          <w:color w:val="auto"/>
        </w:rPr>
        <w:t>During the three-month periods ended September 30, 2020 and 2019, the Company incurred costs relating to the SRAs equal to $0.2 million and $0.1 million, respectively; and during both the nine-month periods ended September 30, 2020 and 2019 the Company incurred costs of $0.6 million.</w:t>
      </w:r>
    </w:p>
    <w:p>
      <w:pPr>
        <w:spacing w:after="0" w:line="84" w:lineRule="exact"/>
        <w:rPr>
          <w:sz w:val="20"/>
          <w:szCs w:val="20"/>
          <w:color w:val="auto"/>
        </w:rPr>
      </w:pPr>
    </w:p>
    <w:p>
      <w:pPr>
        <w:ind w:left="306" w:right="9420" w:hanging="306"/>
        <w:spacing w:after="0" w:line="442" w:lineRule="auto"/>
        <w:tabs>
          <w:tab w:leader="none" w:pos="159"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Commitments and Contingencies </w:t>
      </w:r>
      <w:r>
        <w:rPr>
          <w:rFonts w:ascii="Times New Roman" w:cs="Times New Roman" w:eastAsia="Times New Roman" w:hAnsi="Times New Roman"/>
          <w:sz w:val="12"/>
          <w:szCs w:val="12"/>
          <w:b w:val="1"/>
          <w:bCs w:val="1"/>
          <w:i w:val="1"/>
          <w:iCs w:val="1"/>
          <w:color w:val="auto"/>
        </w:rPr>
        <w:t>Operating Leases</w:t>
      </w:r>
    </w:p>
    <w:p>
      <w:pPr>
        <w:spacing w:after="0" w:line="1" w:lineRule="exact"/>
        <w:rPr>
          <w:sz w:val="20"/>
          <w:szCs w:val="20"/>
          <w:color w:val="auto"/>
        </w:rPr>
      </w:pPr>
    </w:p>
    <w:p>
      <w:pPr>
        <w:jc w:val="both"/>
        <w:ind w:left="6" w:right="20" w:firstLine="301"/>
        <w:spacing w:after="0" w:line="262" w:lineRule="auto"/>
        <w:rPr>
          <w:sz w:val="20"/>
          <w:szCs w:val="20"/>
          <w:color w:val="auto"/>
        </w:rPr>
      </w:pPr>
      <w:r>
        <w:rPr>
          <w:rFonts w:ascii="Times New Roman" w:cs="Times New Roman" w:eastAsia="Times New Roman" w:hAnsi="Times New Roman"/>
          <w:sz w:val="12"/>
          <w:szCs w:val="12"/>
          <w:color w:val="auto"/>
        </w:rPr>
        <w:t>During January 2017, the Company entered into a five-year lease (the Existing Lease) for approximately 15,700 square feet for its corporate headquarters located in Hayward, California (the Existing Premises). The lease commenced during July 2017.</w:t>
      </w:r>
    </w:p>
    <w:p>
      <w:pPr>
        <w:spacing w:after="0" w:line="86" w:lineRule="exact"/>
        <w:rPr>
          <w:sz w:val="20"/>
          <w:szCs w:val="20"/>
          <w:color w:val="auto"/>
        </w:rPr>
      </w:pPr>
    </w:p>
    <w:p>
      <w:pPr>
        <w:jc w:val="both"/>
        <w:ind w:left="6" w:firstLine="301"/>
        <w:spacing w:after="0" w:line="262" w:lineRule="auto"/>
        <w:rPr>
          <w:sz w:val="20"/>
          <w:szCs w:val="20"/>
          <w:color w:val="auto"/>
        </w:rPr>
      </w:pPr>
      <w:r>
        <w:rPr>
          <w:rFonts w:ascii="Times New Roman" w:cs="Times New Roman" w:eastAsia="Times New Roman" w:hAnsi="Times New Roman"/>
          <w:sz w:val="12"/>
          <w:szCs w:val="12"/>
          <w:color w:val="auto"/>
        </w:rPr>
        <w:t>During May 2019, the Company entered into Lease Amendment 1 (the Amendment) in relation to the Existing Lease and added the lease of new premises of approximately 34,600 square feet (the Expansion Premises); additionally, the term of the Existing Lease was extended to October 2029.</w:t>
      </w:r>
    </w:p>
    <w:p>
      <w:pPr>
        <w:spacing w:after="0" w:line="86" w:lineRule="exact"/>
        <w:rPr>
          <w:sz w:val="20"/>
          <w:szCs w:val="20"/>
          <w:color w:val="auto"/>
        </w:rPr>
      </w:pPr>
    </w:p>
    <w:p>
      <w:pPr>
        <w:jc w:val="both"/>
        <w:ind w:left="6" w:firstLine="301"/>
        <w:spacing w:after="0" w:line="243" w:lineRule="auto"/>
        <w:rPr>
          <w:sz w:val="20"/>
          <w:szCs w:val="20"/>
          <w:color w:val="auto"/>
        </w:rPr>
      </w:pPr>
      <w:r>
        <w:rPr>
          <w:rFonts w:ascii="Times New Roman" w:cs="Times New Roman" w:eastAsia="Times New Roman" w:hAnsi="Times New Roman"/>
          <w:sz w:val="12"/>
          <w:szCs w:val="12"/>
          <w:color w:val="auto"/>
        </w:rPr>
        <w:t>The Company evaluated the Amendment under the provisions of ASC 842 that it adopted on January 1, 2019, and accounted for the Amendment as a single contract with the Existing Lease because the additional lease payments due to the Amendment was not commensurate with the right-of-use (ROU) asset granted to the Company. Though the Amendment was accounted for as a single contract, the Existing Premises and Expansion Premises are accounted for as separate lease components. Accordingly, the Company measured and allocated consideration to each lease component as of the modification date.</w:t>
      </w:r>
    </w:p>
    <w:p>
      <w:pPr>
        <w:spacing w:after="0" w:line="88" w:lineRule="exact"/>
        <w:rPr>
          <w:sz w:val="20"/>
          <w:szCs w:val="20"/>
          <w:color w:val="auto"/>
        </w:rPr>
      </w:pPr>
    </w:p>
    <w:p>
      <w:pPr>
        <w:jc w:val="both"/>
        <w:ind w:left="6" w:firstLine="301"/>
        <w:spacing w:after="0" w:line="243" w:lineRule="auto"/>
        <w:rPr>
          <w:sz w:val="20"/>
          <w:szCs w:val="20"/>
          <w:color w:val="auto"/>
        </w:rPr>
      </w:pPr>
      <w:r>
        <w:rPr>
          <w:rFonts w:ascii="Times New Roman" w:cs="Times New Roman" w:eastAsia="Times New Roman" w:hAnsi="Times New Roman"/>
          <w:sz w:val="12"/>
          <w:szCs w:val="12"/>
          <w:color w:val="auto"/>
        </w:rPr>
        <w:t>During May 2020, the Company took possession and commenced the final lease component of the Expansion Premises, which was originally anticipated to be occupied in April 2020. Taking possession of the Expansion Premises resulted in a change in payments for the entire lease. Accordingly, the lease components were remeasured as of the commencement date of the final lease component, and a corresponding ROU asset and lease liability was recorded. As of May 2020, all components under the Amendment are in use and will be co-terminous until October 2029.</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17550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6"/>
          </w:cols>
          <w:pgMar w:left="294" w:top="116"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80"/>
        </w:trPr>
        <w:tc>
          <w:tcPr>
            <w:tcW w:w="93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Information related to the Company’s ROU assets and related lease liabilities are as follows (in thousands except for remaining lease term and discount rate):</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5"/>
        </w:trPr>
        <w:tc>
          <w:tcPr>
            <w:tcW w:w="936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7"/>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 (remaining 3 months)</w:t>
            </w:r>
          </w:p>
        </w:tc>
        <w:tc>
          <w:tcPr>
            <w:tcW w:w="80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r>
      <w:tr>
        <w:trPr>
          <w:trHeight w:val="157"/>
        </w:trPr>
        <w:tc>
          <w:tcPr>
            <w:tcW w:w="936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1,643</w:t>
            </w:r>
          </w:p>
        </w:tc>
      </w:tr>
      <w:tr>
        <w:trPr>
          <w:trHeight w:val="157"/>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w:t>
            </w:r>
          </w:p>
        </w:tc>
      </w:tr>
      <w:tr>
        <w:trPr>
          <w:trHeight w:val="157"/>
        </w:trPr>
        <w:tc>
          <w:tcPr>
            <w:tcW w:w="93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1,845</w:t>
            </w:r>
          </w:p>
        </w:tc>
      </w:tr>
      <w:tr>
        <w:trPr>
          <w:trHeight w:val="157"/>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1,910</w:t>
            </w:r>
          </w:p>
        </w:tc>
      </w:tr>
      <w:tr>
        <w:trPr>
          <w:trHeight w:val="157"/>
        </w:trPr>
        <w:tc>
          <w:tcPr>
            <w:tcW w:w="93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1,977</w:t>
            </w:r>
          </w:p>
        </w:tc>
      </w:tr>
      <w:tr>
        <w:trPr>
          <w:trHeight w:val="157"/>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Thereafter</w:t>
            </w: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8,237</w:t>
            </w:r>
          </w:p>
        </w:tc>
      </w:tr>
      <w:tr>
        <w:trPr>
          <w:trHeight w:val="137"/>
        </w:trPr>
        <w:tc>
          <w:tcPr>
            <w:tcW w:w="93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Total lease payments</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17,792</w:t>
            </w:r>
          </w:p>
        </w:tc>
      </w:tr>
      <w:tr>
        <w:trPr>
          <w:trHeight w:val="157"/>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(6,344)</w:t>
            </w:r>
          </w:p>
        </w:tc>
      </w:tr>
      <w:tr>
        <w:trPr>
          <w:trHeight w:val="135"/>
        </w:trPr>
        <w:tc>
          <w:tcPr>
            <w:tcW w:w="93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Total lease liabilities</w:t>
            </w: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11,448</w:t>
            </w:r>
          </w:p>
        </w:tc>
      </w:tr>
    </w:tbl>
    <w:p>
      <w:pPr>
        <w:spacing w:after="0" w:line="200" w:lineRule="exact"/>
        <w:rPr>
          <w:sz w:val="20"/>
          <w:szCs w:val="20"/>
          <w:color w:val="auto"/>
        </w:rPr>
      </w:pPr>
    </w:p>
    <w:p>
      <w:pPr>
        <w:sectPr>
          <w:pgSz w:w="11900" w:h="16838" w:orient="portrait"/>
          <w:cols w:equalWidth="0" w:num="1">
            <w:col w:w="11300"/>
          </w:cols>
          <w:pgMar w:left="300" w:top="115" w:right="29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supplemental information:</w:t>
      </w:r>
    </w:p>
    <w:p>
      <w:pPr>
        <w:spacing w:after="0" w:line="237" w:lineRule="auto"/>
        <w:rPr>
          <w:sz w:val="20"/>
          <w:szCs w:val="20"/>
          <w:color w:val="auto"/>
        </w:rPr>
      </w:pPr>
      <w:r>
        <w:rPr>
          <w:rFonts w:ascii="Times New Roman" w:cs="Times New Roman" w:eastAsia="Times New Roman" w:hAnsi="Times New Roman"/>
          <w:sz w:val="12"/>
          <w:szCs w:val="12"/>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5500" cy="81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Operating lease liabilities arising from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75500" cy="81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operating lease liabilities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75500" cy="81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2"/>
          <w:szCs w:val="12"/>
          <w:color w:val="auto"/>
        </w:rPr>
        <w:t>Total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7550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9398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Weighted average remaining lease term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75500" cy="81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r>
      <w:tr>
        <w:trPr>
          <w:trHeight w:val="160"/>
        </w:trPr>
        <w:tc>
          <w:tcPr>
            <w:tcW w:w="7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4,833</w:t>
            </w:r>
          </w:p>
        </w:tc>
      </w:tr>
      <w:tr>
        <w:trPr>
          <w:trHeight w:val="228"/>
        </w:trPr>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r>
      <w:tr>
        <w:trPr>
          <w:trHeight w:val="151"/>
        </w:trPr>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10,991</w:t>
            </w:r>
          </w:p>
        </w:tc>
      </w:tr>
      <w:tr>
        <w:trPr>
          <w:trHeight w:val="126"/>
        </w:trPr>
        <w:tc>
          <w:tcPr>
            <w:tcW w:w="780" w:type="dxa"/>
            <w:vAlign w:val="bottom"/>
            <w:tcBorders>
              <w:bottom w:val="single" w:sz="8" w:color="auto"/>
            </w:tcBorders>
          </w:tcPr>
          <w:p>
            <w:pPr>
              <w:jc w:val="right"/>
              <w:ind w:right="6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11,448</w:t>
            </w:r>
          </w:p>
        </w:tc>
      </w:tr>
      <w:tr>
        <w:trPr>
          <w:trHeight w:val="236"/>
        </w:trPr>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w:t>
            </w:r>
          </w:p>
        </w:tc>
      </w:tr>
      <w:tr>
        <w:trPr>
          <w:trHeight w:val="160"/>
        </w:trPr>
        <w:tc>
          <w:tcPr>
            <w:tcW w:w="7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bl>
    <w:p>
      <w:pPr>
        <w:spacing w:after="0" w:line="90" w:lineRule="exact"/>
        <w:rPr>
          <w:sz w:val="20"/>
          <w:szCs w:val="20"/>
          <w:color w:val="auto"/>
        </w:rPr>
      </w:pPr>
    </w:p>
    <w:p>
      <w:pPr>
        <w:sectPr>
          <w:pgSz w:w="11900" w:h="16838" w:orient="portrait"/>
          <w:cols w:equalWidth="0" w:num="2">
            <w:col w:w="8680" w:space="720"/>
            <w:col w:w="1900"/>
          </w:cols>
          <w:pgMar w:left="300" w:top="115" w:right="299" w:bottom="1440" w:gutter="0" w:footer="0" w:header="0"/>
          <w:type w:val="continuous"/>
        </w:sect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Rent expense, including common area maintenance charges, was $0.5 million and $0.1 million during the three-month periods ended September 30, 2020 and 2019, respectively; and was approximately $1.2 million and $0.2 million during the nine-month periods ended September 30, 2020 and 2019, respectively.</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122"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86"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The Company currently believes that these ordinary course matters are not material to the condensed consolidated financial statements of the business; however, the results of litigation and claims are inherently unpredictable.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type w:val="continuous"/>
        </w:sectPr>
      </w:pPr>
    </w:p>
    <w:bookmarkStart w:id="16" w:name="page17"/>
    <w:bookmarkEnd w:id="16"/>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Related Party Transactions</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Kenneth A. Clark, a director of the Company since November 2017, is a member of the law firm of Wilson Sonsini Goodrich and Rosati (WSGR), which also serves as the outside corporate counsel to the Company. During the three and nine-month periods ended September 30, 2020, the Company incurred expenses reported in general and administrative in the consolidated statement of operations for legal services rendered by WSGR totaling approximately $0.2 million and $0.7 million, respectively. Additionally, in June 2020, the Company incurred approximately $0.4 million of legal expenses in connection with the rights offering which was offset against the gross proceeds (Note 6). During the three and nine-month periods ended September 30, 2019, the Company incurred expenses for legal services rendered by WSGR totaling approximately $0.1 million and $0.3 million, respectively.</w:t>
      </w:r>
    </w:p>
    <w:p>
      <w:pPr>
        <w:spacing w:after="0" w:line="91" w:lineRule="exact"/>
        <w:rPr>
          <w:sz w:val="20"/>
          <w:szCs w:val="20"/>
          <w:color w:val="auto"/>
        </w:rPr>
      </w:pPr>
    </w:p>
    <w:p>
      <w:pPr>
        <w:jc w:val="both"/>
        <w:ind w:right="20" w:firstLine="301"/>
        <w:spacing w:after="0" w:line="235" w:lineRule="auto"/>
        <w:rPr>
          <w:sz w:val="20"/>
          <w:szCs w:val="20"/>
          <w:color w:val="auto"/>
        </w:rPr>
      </w:pPr>
      <w:r>
        <w:rPr>
          <w:rFonts w:ascii="Times New Roman" w:cs="Times New Roman" w:eastAsia="Times New Roman" w:hAnsi="Times New Roman"/>
          <w:sz w:val="12"/>
          <w:szCs w:val="12"/>
          <w:color w:val="auto"/>
        </w:rPr>
        <w:t>During June 2020, the Company completed a rights offering to purchase up to $30 million of units, each unit consisting of one share of the Company’s common stock, par value $0.001 per share, and 0.15 warrants to purchase shares of common stock (the Units) at a price of $7.01 per Unit (the Rights Offering). A total of 4,279,600 shares of its common stock, par value $0.001 per share, and 641,571 warrants were issued and sold in the Rights Offering for net proceeds of $29.4 million. Robert W. Duggan, the Company’s Chairman of the Board of Directors and the beneficial owner of approximately 43% of the Company’s outstanding common stock prior to the Rights Offering, participated in the Rights Offering and purchased an aggregate of 2,561,873 Units. After giving effect to the Rights Offering, Mr. Duggan was the beneficial owner of approximately 47% of the Company’s outstanding stock as of September 30, 2020.</w:t>
      </w:r>
    </w:p>
    <w:p>
      <w:pPr>
        <w:spacing w:after="0" w:line="90" w:lineRule="exact"/>
        <w:rPr>
          <w:sz w:val="20"/>
          <w:szCs w:val="20"/>
          <w:color w:val="auto"/>
        </w:rPr>
      </w:pPr>
    </w:p>
    <w:p>
      <w:pPr>
        <w:jc w:val="both"/>
        <w:ind w:right="20" w:firstLine="301"/>
        <w:spacing w:after="0" w:line="235" w:lineRule="auto"/>
        <w:rPr>
          <w:sz w:val="20"/>
          <w:szCs w:val="20"/>
          <w:color w:val="auto"/>
        </w:rPr>
      </w:pPr>
      <w:r>
        <w:rPr>
          <w:rFonts w:ascii="Times New Roman" w:cs="Times New Roman" w:eastAsia="Times New Roman" w:hAnsi="Times New Roman"/>
          <w:sz w:val="12"/>
          <w:szCs w:val="12"/>
          <w:color w:val="auto"/>
        </w:rPr>
        <w:t>The Company determined not to renew its director and officer liability insurance policies due to disproportionately high premiums quoted by insurance companies. Instead, Robert W. Duggan and the Company entered into a letter agreement, dated May 12, 2020 (the Letter Agreement), pursuant to which Mr. Duggan agreed with the Company to personally provide indemnity coverage on substantially the same terms as the Company’s prior coverage program for a one-year period, and has deposited $30 million of cash as security for such obligations. The Company will pay a fee of $2.5 million to Mr. Duggan that shall be due on May 13, 2021, the last day of the one-year period, in consideration of the obligations set forth in the Letter Agreement. The other members of the Board are third-party beneficiaries under the Agreement. As of September 30, 2020, the amount owed to Mr. Duggan under the Letter Agreement was $0.9 million, recorded in the balance sheet under Accrued Liabilities.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7" w:name="page18"/>
    <w:bookmarkEnd w:id="17"/>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(the “Quarterly Report”) and those in our Annual Report on Form 10-K.</w:t>
      </w:r>
    </w:p>
    <w:p>
      <w:pPr>
        <w:spacing w:after="0" w:line="9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the anticipated mix of our revenues between procedure and system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Pulse Biosciences, CellFX, Nano-Pulse Stimulation, and NPS and the stylized logos are trademarks or registered trademarks of the Company in the United States and other countries.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22" w:lineRule="exact"/>
        <w:rPr>
          <w:sz w:val="20"/>
          <w:szCs w:val="20"/>
          <w:color w:val="auto"/>
        </w:rPr>
      </w:pPr>
    </w:p>
    <w:p>
      <w:pPr>
        <w:ind w:right="20" w:firstLine="301"/>
        <w:spacing w:after="0" w:line="237" w:lineRule="auto"/>
        <w:rPr>
          <w:sz w:val="20"/>
          <w:szCs w:val="20"/>
          <w:color w:val="auto"/>
        </w:rPr>
      </w:pPr>
      <w:r>
        <w:rPr>
          <w:rFonts w:ascii="Times New Roman" w:cs="Times New Roman" w:eastAsia="Times New Roman" w:hAnsi="Times New Roman"/>
          <w:sz w:val="12"/>
          <w:szCs w:val="12"/>
          <w:color w:val="auto"/>
        </w:rPr>
        <w:t>We are a novel bioelectric medicine company committed to health innovation that has the potential to improve and extend the lives of patients. We are initially pursuing regulatory clearances in the United States, the European Union, and Canada to market our first product, our proprietary CellFX System. The CellFX System utilizes its patented Nano-Pulse Stimulation (NPS) technology to treat a variety of applications for which an optimal solution remains unfulfilled. NPS technology delivers nano-second pulses of electrical energy to non-thermally clear cells while sparing adjacent non-cellular tissue. The cell-specific effects of NPS technology have been validated in a series of completed and ongoing clinical studies.</w:t>
      </w:r>
    </w:p>
    <w:p>
      <w:pPr>
        <w:spacing w:after="0" w:line="101" w:lineRule="exact"/>
        <w:rPr>
          <w:sz w:val="20"/>
          <w:szCs w:val="20"/>
          <w:color w:val="auto"/>
        </w:rPr>
      </w:pPr>
    </w:p>
    <w:p>
      <w:pPr>
        <w:ind w:right="80" w:firstLine="301"/>
        <w:spacing w:after="0" w:line="243" w:lineRule="auto"/>
        <w:rPr>
          <w:sz w:val="20"/>
          <w:szCs w:val="20"/>
          <w:color w:val="auto"/>
        </w:rPr>
      </w:pPr>
      <w:r>
        <w:rPr>
          <w:rFonts w:ascii="Times New Roman" w:cs="Times New Roman" w:eastAsia="Times New Roman" w:hAnsi="Times New Roman"/>
          <w:sz w:val="12"/>
          <w:szCs w:val="12"/>
          <w:color w:val="auto"/>
        </w:rPr>
        <w:t>We have submitted a 510(k) Premarket Notification application to the US Food and Drug Administration (FDA) for our CellFX System to obtain an initial clearance for a general dermatologic indication following the completion of our preclinical studies conducted under Good Laboratory Practices (GLP) as discussed with the FDA during a Pre-Submission meeting in May 2020. With this submission, potential FDA clearance remains on track to be received in the first quarter of 2021.</w:t>
      </w:r>
    </w:p>
    <w:p>
      <w:pPr>
        <w:spacing w:after="0" w:line="97" w:lineRule="exact"/>
        <w:rPr>
          <w:sz w:val="20"/>
          <w:szCs w:val="20"/>
          <w:color w:val="auto"/>
        </w:rPr>
      </w:pPr>
    </w:p>
    <w:p>
      <w:pPr>
        <w:ind w:right="60" w:firstLine="301"/>
        <w:spacing w:after="0" w:line="235" w:lineRule="auto"/>
        <w:rPr>
          <w:sz w:val="20"/>
          <w:szCs w:val="20"/>
          <w:color w:val="auto"/>
        </w:rPr>
      </w:pPr>
      <w:r>
        <w:rPr>
          <w:rFonts w:ascii="Times New Roman" w:cs="Times New Roman" w:eastAsia="Times New Roman" w:hAnsi="Times New Roman"/>
          <w:sz w:val="12"/>
          <w:szCs w:val="12"/>
          <w:color w:val="auto"/>
        </w:rPr>
        <w:t>Following the general dermatologic indication submission, we plan to pursue specific indications for the CellFX System, starting with an indication for the treatment of sebaceous hyperplasia (SH) lesions. This will require an additional 510(k) submission for each indication based on comparative clinical data. A formal Pre-Submission meeting with the FDA was held in early August 2020 to discuss the proposed study design for the treatment of SH lesions using the CellFX System versus those performed by electrodessication, and in September 2020, we received FDA Investigational Device Exemption (IDE) approval for this pivotal comparison study. We have completed the enrollment of 60 patients across five study sites. All subjects will have up to two procedures and will be evaluated through the primary safety and efficacy endpoints 60 days following their last procedure. We intend to submit a 510(k) Premarket Notification application for the treatment of SH in the first quarter of 2021.</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8" w:name="page19"/>
    <w:bookmarkEnd w:id="18"/>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ind w:right="120" w:firstLine="301"/>
        <w:spacing w:after="0" w:line="237" w:lineRule="auto"/>
        <w:rPr>
          <w:sz w:val="20"/>
          <w:szCs w:val="20"/>
          <w:color w:val="auto"/>
        </w:rPr>
      </w:pPr>
      <w:r>
        <w:rPr>
          <w:rFonts w:ascii="Times New Roman" w:cs="Times New Roman" w:eastAsia="Times New Roman" w:hAnsi="Times New Roman"/>
          <w:sz w:val="12"/>
          <w:szCs w:val="12"/>
          <w:color w:val="auto"/>
        </w:rPr>
        <w:t>We have submitted the technical file for the CellFX System to our European notified body and will continue to work with the notified body in pursuit of the CE mark, a requirement to commercialize the CellFX System in the European Union. Our notified body has progressed in the technical file review process tracking for the potential controlled launch of CellFX in the European Union in the first quarter of 2021. We have also submitted a Medical Device License application to Health Canada for the distribution of our CellFX System after receiving the Medical Device Single Audit Program certification. With this submission, we are on track for a potential Health Canada license in the first quarter of 2021.</w:t>
      </w:r>
    </w:p>
    <w:p>
      <w:pPr>
        <w:spacing w:after="0" w:line="101" w:lineRule="exact"/>
        <w:rPr>
          <w:sz w:val="20"/>
          <w:szCs w:val="20"/>
          <w:color w:val="auto"/>
        </w:rPr>
      </w:pPr>
    </w:p>
    <w:p>
      <w:pPr>
        <w:ind w:right="20" w:firstLine="301"/>
        <w:spacing w:after="0" w:line="235" w:lineRule="auto"/>
        <w:rPr>
          <w:sz w:val="20"/>
          <w:szCs w:val="20"/>
          <w:color w:val="auto"/>
        </w:rPr>
      </w:pPr>
      <w:r>
        <w:rPr>
          <w:rFonts w:ascii="Times New Roman" w:cs="Times New Roman" w:eastAsia="Times New Roman" w:hAnsi="Times New Roman"/>
          <w:sz w:val="12"/>
          <w:szCs w:val="12"/>
          <w:color w:val="auto"/>
        </w:rPr>
        <w:t>We have incurred substantial operating losses and have used cash in our operating activities since inception. Based on our current operating plan, we believe we do not have sufficient cash and cash equivalents on hand to support current operations for at least twelve months from the date that our unaudited consolidated financial statements included elsewhere in this Quarterly Report were issued. To finance our operations beyond that point, we will need to raise additional capital, which cannot be assured. We have concluded that this circumstance raises substantial doubt about our ability to continue as a going concern for at least twelve months from the date that our unaudited consolidated financial statements included elsewhere in this Quarterly Report were issued. As such, we plan to seek to raise capital from time to time through future issuance and sale of equity securities to fund our future operations and remain as a going concern.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of Operation</w:t>
      </w:r>
    </w:p>
    <w:p>
      <w:pPr>
        <w:spacing w:after="0" w:line="122"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We plan to establish ourselves as a medical therapy company with a local, non-thermal, and drug-free treatment platform that initiates cell death in targeted tissue by a process of cell signaling and also induces an adaptive immune response to the targeted tissue. In order to accomplish this, we plan to:</w:t>
      </w:r>
    </w:p>
    <w:p>
      <w:pPr>
        <w:spacing w:after="0" w:line="86" w:lineRule="exact"/>
        <w:rPr>
          <w:sz w:val="20"/>
          <w:szCs w:val="20"/>
          <w:color w:val="auto"/>
        </w:rPr>
      </w:pPr>
    </w:p>
    <w:p>
      <w:pPr>
        <w:ind w:left="440"/>
        <w:spacing w:after="0" w:line="236" w:lineRule="auto"/>
        <w:rPr>
          <w:sz w:val="20"/>
          <w:szCs w:val="20"/>
          <w:color w:val="auto"/>
        </w:rPr>
      </w:pPr>
      <w:r>
        <w:rPr>
          <w:rFonts w:ascii="Times New Roman" w:cs="Times New Roman" w:eastAsia="Times New Roman" w:hAnsi="Times New Roman"/>
          <w:sz w:val="12"/>
          <w:szCs w:val="12"/>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spacing w:after="0" w:line="1" w:lineRule="exact"/>
        <w:rPr>
          <w:sz w:val="20"/>
          <w:szCs w:val="20"/>
          <w:color w:val="auto"/>
        </w:rPr>
      </w:pPr>
    </w:p>
    <w:p>
      <w:pPr>
        <w:ind w:left="440" w:right="20"/>
        <w:spacing w:after="0" w:line="224" w:lineRule="auto"/>
        <w:rPr>
          <w:sz w:val="20"/>
          <w:szCs w:val="20"/>
          <w:color w:val="auto"/>
        </w:rPr>
      </w:pPr>
      <w:r>
        <w:rPr>
          <w:rFonts w:ascii="Times New Roman" w:cs="Times New Roman" w:eastAsia="Times New Roman" w:hAnsi="Times New Roman"/>
          <w:sz w:val="12"/>
          <w:szCs w:val="12"/>
          <w:color w:val="auto"/>
        </w:rPr>
        <w:t>Further explore and understand the benefits of NPS technology platform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1" w:lineRule="exact"/>
        <w:rPr>
          <w:sz w:val="20"/>
          <w:szCs w:val="20"/>
          <w:color w:val="auto"/>
        </w:rPr>
      </w:pPr>
    </w:p>
    <w:p>
      <w:pPr>
        <w:ind w:left="440" w:right="20"/>
        <w:spacing w:after="0" w:line="224" w:lineRule="auto"/>
        <w:rPr>
          <w:sz w:val="20"/>
          <w:szCs w:val="20"/>
          <w:color w:val="auto"/>
        </w:rPr>
      </w:pPr>
      <w:r>
        <w:rPr>
          <w:rFonts w:ascii="Times New Roman" w:cs="Times New Roman" w:eastAsia="Times New Roman" w:hAnsi="Times New Roman"/>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1" w:lineRule="exact"/>
        <w:rPr>
          <w:sz w:val="20"/>
          <w:szCs w:val="20"/>
          <w:color w:val="auto"/>
        </w:rPr>
      </w:pPr>
    </w:p>
    <w:p>
      <w:pPr>
        <w:ind w:left="440"/>
        <w:spacing w:after="0" w:line="238" w:lineRule="auto"/>
        <w:rPr>
          <w:sz w:val="20"/>
          <w:szCs w:val="20"/>
          <w:color w:val="auto"/>
        </w:rPr>
      </w:pPr>
      <w:r>
        <w:rPr>
          <w:rFonts w:ascii="Times New Roman" w:cs="Times New Roman" w:eastAsia="Times New Roman" w:hAnsi="Times New Roman"/>
          <w:sz w:val="12"/>
          <w:szCs w:val="12"/>
          <w:color w:val="auto"/>
        </w:rPr>
        <w:t>Partner with medical or biomedical device companies for certain applications which we anticipate may accelerate product development and acceptance into target market areas and allow us to gain the sales and marketing advantages of the distribution infrastructure.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COVID-19 Pandemic</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01"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In addition,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has and will continue to adversely affect global economies and financial markets,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9" w:name="page20"/>
    <w:bookmarkEnd w:id="19"/>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Securities and Exchange Commission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There have been no material changes to the critical accounting policies and estimates discussed in our Annual Report on Form 10-K as of and for the year ended December 31, 2019 filed with the SEC on March 16, 2020.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Refer to “Recent Accounting Pronouncements” in Note 2 of Notes to Condensed Consolidated Financial Statements of this Quarterly Report.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and Geographical Information</w:t>
      </w:r>
    </w:p>
    <w:p>
      <w:pPr>
        <w:spacing w:after="0" w:line="113"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three-month periods ended September 30, 2020 and 2019</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operations as discussed herein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3"/>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560" w:type="dxa"/>
            <w:vAlign w:val="bottom"/>
            <w:vMerge w:val="restart"/>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56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2020</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jc w:val="right"/>
              <w:ind w:right="581"/>
              <w:spacing w:after="0" w:line="82" w:lineRule="exact"/>
              <w:rPr>
                <w:sz w:val="20"/>
                <w:szCs w:val="20"/>
                <w:color w:val="auto"/>
              </w:rPr>
            </w:pPr>
            <w:r>
              <w:rPr>
                <w:rFonts w:ascii="Times New Roman" w:cs="Times New Roman" w:eastAsia="Times New Roman" w:hAnsi="Times New Roman"/>
                <w:sz w:val="9"/>
                <w:szCs w:val="9"/>
                <w:b w:val="1"/>
                <w:bCs w:val="1"/>
                <w:color w:val="auto"/>
              </w:rPr>
              <w:t>2019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60" w:type="dxa"/>
            <w:vAlign w:val="bottom"/>
            <w:tcBorders>
              <w:top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Revenue</w:t>
            </w:r>
          </w:p>
        </w:tc>
        <w:tc>
          <w:tcPr>
            <w:tcW w:w="23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jc w:val="right"/>
              <w:ind w:right="244"/>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ind w:right="2"/>
              <w:spacing w:after="0" w:line="10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ind w:right="464"/>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1"/>
              <w:spacing w:after="0" w:line="10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41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Operating expenses:</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2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5,771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5,606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165</w:t>
            </w:r>
          </w:p>
        </w:tc>
        <w:tc>
          <w:tcPr>
            <w:tcW w:w="0" w:type="dxa"/>
            <w:vAlign w:val="bottom"/>
          </w:tcPr>
          <w:p>
            <w:pPr>
              <w:spacing w:after="0"/>
              <w:rPr>
                <w:sz w:val="1"/>
                <w:szCs w:val="1"/>
                <w:color w:val="auto"/>
              </w:rPr>
            </w:pPr>
          </w:p>
        </w:tc>
      </w:tr>
      <w:tr>
        <w:trPr>
          <w:trHeight w:val="129"/>
        </w:trPr>
        <w:tc>
          <w:tcPr>
            <w:tcW w:w="4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6,968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6,192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776</w:t>
            </w: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23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166</w:t>
            </w:r>
          </w:p>
        </w:tc>
        <w:tc>
          <w:tcPr>
            <w:tcW w:w="1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166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4160" w:type="dxa"/>
            <w:vAlign w:val="bottom"/>
            <w:tcBorders>
              <w:bottom w:val="single" w:sz="8" w:color="CCEEFF"/>
            </w:tcBorders>
            <w:gridSpan w:val="2"/>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operating expenses</w:t>
            </w:r>
          </w:p>
        </w:tc>
        <w:tc>
          <w:tcPr>
            <w:tcW w:w="23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12,905</w:t>
            </w:r>
          </w:p>
        </w:tc>
        <w:tc>
          <w:tcPr>
            <w:tcW w:w="1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11,964</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941</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Other income:</w:t>
            </w:r>
          </w:p>
        </w:tc>
        <w:tc>
          <w:tcPr>
            <w:tcW w:w="2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60" w:type="dxa"/>
            <w:vAlign w:val="bottom"/>
            <w:tcBorders>
              <w:bottom w:val="single" w:sz="8" w:color="CCEEFF"/>
            </w:tcBorders>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w:t>
            </w:r>
          </w:p>
        </w:tc>
        <w:tc>
          <w:tcPr>
            <w:tcW w:w="23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9</w:t>
            </w:r>
          </w:p>
        </w:tc>
        <w:tc>
          <w:tcPr>
            <w:tcW w:w="1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218</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(209)</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w:t>
            </w:r>
          </w:p>
        </w:tc>
        <w:tc>
          <w:tcPr>
            <w:tcW w:w="23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218</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(209)</w:t>
            </w:r>
          </w:p>
        </w:tc>
        <w:tc>
          <w:tcPr>
            <w:tcW w:w="0" w:type="dxa"/>
            <w:vAlign w:val="bottom"/>
          </w:tcPr>
          <w:p>
            <w:pPr>
              <w:spacing w:after="0"/>
              <w:rPr>
                <w:sz w:val="1"/>
                <w:szCs w:val="1"/>
                <w:color w:val="auto"/>
              </w:rPr>
            </w:pPr>
          </w:p>
        </w:tc>
      </w:tr>
      <w:tr>
        <w:trPr>
          <w:trHeight w:val="126"/>
        </w:trPr>
        <w:tc>
          <w:tcPr>
            <w:tcW w:w="416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2380" w:type="dxa"/>
            <w:vAlign w:val="bottom"/>
          </w:tcPr>
          <w:p>
            <w:pPr>
              <w:spacing w:after="0"/>
              <w:rPr>
                <w:sz w:val="10"/>
                <w:szCs w:val="10"/>
                <w:color w:val="auto"/>
              </w:rPr>
            </w:pPr>
          </w:p>
        </w:tc>
        <w:tc>
          <w:tcPr>
            <w:tcW w:w="360" w:type="dxa"/>
            <w:vAlign w:val="bottom"/>
            <w:tcBorders>
              <w:bottom w:val="single" w:sz="8" w:color="auto"/>
            </w:tcBorders>
          </w:tcPr>
          <w:p>
            <w:pPr>
              <w:jc w:val="right"/>
              <w:ind w:right="2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(12,896)</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(11,746)</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(1,150)</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$0.2 million to $5.8 million for the three-month period ended September 30, 2020, from $5.6 million during the same period in 2019 primarily due to $0.4 million of increased compensation costs related to headcount growth, $0.1 million of increased facility related expenses and $0.2 million of increased business insurance costs. These increases were partially offset by $0.3 million of reduced stock-based compensation and $0.3 million of reduced employee-related costs including recruitment and travel related expenses. Facility related expenses increased due to the facility expansions in November 2019 and May 2020, while travel related expenses decreased due primarily to the COVID-19 pandemic.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0" w:name="page21"/>
    <w:bookmarkEnd w:id="20"/>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13"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increased by $0.8 million to $7.0 million for the three-month period ended September 30, 2020, from $6.2 million during the same period in 2019 primarily due to $0.7 million of increased compensation and other employee related expenses, $0.4 million of increased consulting and outside services and $0.2 million of increased stock-based compensation. These increases were partially offset by decreases of $0.5 million in clinical trial and other outside research costs due to the timing and stage of active studies, and $0.2 million in prototype material and devices related to the initial CellFX builds in the prior year. Compensation costs increased primarily due to headcount growth, while consulting and outside services increased primarily due to our GLP preclinical studies in support of our initial CellFX System 510(k) submission for a general dermatologic indication.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Income</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Interest income decreased by $0.2 million to $9,000 for the three-month period ended September 30, 2020, from $0.2 million during the same period in 2019 due to lower cash, cash equivalents and investment balances.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nine-month periods ended September 30, 2020 and 2019</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operations as discussed herein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560" w:type="dxa"/>
            <w:vAlign w:val="bottom"/>
            <w:vMerge w:val="restart"/>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56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2020</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jc w:val="right"/>
              <w:ind w:right="581"/>
              <w:spacing w:after="0" w:line="82" w:lineRule="exact"/>
              <w:rPr>
                <w:sz w:val="20"/>
                <w:szCs w:val="20"/>
                <w:color w:val="auto"/>
              </w:rPr>
            </w:pPr>
            <w:r>
              <w:rPr>
                <w:rFonts w:ascii="Times New Roman" w:cs="Times New Roman" w:eastAsia="Times New Roman" w:hAnsi="Times New Roman"/>
                <w:sz w:val="9"/>
                <w:szCs w:val="9"/>
                <w:b w:val="1"/>
                <w:bCs w:val="1"/>
                <w:color w:val="auto"/>
              </w:rPr>
              <w:t>2019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60" w:type="dxa"/>
            <w:vAlign w:val="bottom"/>
            <w:tcBorders>
              <w:top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Revenue</w:t>
            </w:r>
          </w:p>
        </w:tc>
        <w:tc>
          <w:tcPr>
            <w:tcW w:w="23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jc w:val="right"/>
              <w:ind w:right="244"/>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ind w:right="2"/>
              <w:spacing w:after="0" w:line="10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ind w:right="444"/>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1"/>
              <w:spacing w:after="0" w:line="10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41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Operating expenses:</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2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16,691</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15,153</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1,538</w:t>
            </w:r>
          </w:p>
        </w:tc>
        <w:tc>
          <w:tcPr>
            <w:tcW w:w="0" w:type="dxa"/>
            <w:vAlign w:val="bottom"/>
          </w:tcPr>
          <w:p>
            <w:pPr>
              <w:spacing w:after="0"/>
              <w:rPr>
                <w:sz w:val="1"/>
                <w:szCs w:val="1"/>
                <w:color w:val="auto"/>
              </w:rPr>
            </w:pPr>
          </w:p>
        </w:tc>
      </w:tr>
      <w:tr>
        <w:trPr>
          <w:trHeight w:val="129"/>
        </w:trPr>
        <w:tc>
          <w:tcPr>
            <w:tcW w:w="4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19,019</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18,371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648</w:t>
            </w: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23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499</w:t>
            </w:r>
          </w:p>
        </w:tc>
        <w:tc>
          <w:tcPr>
            <w:tcW w:w="16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500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8"/>
        </w:trPr>
        <w:tc>
          <w:tcPr>
            <w:tcW w:w="4160" w:type="dxa"/>
            <w:vAlign w:val="bottom"/>
            <w:tcBorders>
              <w:bottom w:val="single" w:sz="8" w:color="CCEEFF"/>
            </w:tcBorders>
            <w:gridSpan w:val="2"/>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operating expenses</w:t>
            </w:r>
          </w:p>
        </w:tc>
        <w:tc>
          <w:tcPr>
            <w:tcW w:w="23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36,209</w:t>
            </w:r>
          </w:p>
        </w:tc>
        <w:tc>
          <w:tcPr>
            <w:tcW w:w="1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34,024</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2,185</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Other income:</w:t>
            </w:r>
          </w:p>
        </w:tc>
        <w:tc>
          <w:tcPr>
            <w:tcW w:w="2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60" w:type="dxa"/>
            <w:vAlign w:val="bottom"/>
            <w:tcBorders>
              <w:bottom w:val="single" w:sz="8" w:color="CCEEFF"/>
            </w:tcBorders>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w:t>
            </w:r>
          </w:p>
        </w:tc>
        <w:tc>
          <w:tcPr>
            <w:tcW w:w="23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108</w:t>
            </w:r>
          </w:p>
        </w:tc>
        <w:tc>
          <w:tcPr>
            <w:tcW w:w="16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841</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w:t>
            </w:r>
          </w:p>
        </w:tc>
        <w:tc>
          <w:tcPr>
            <w:tcW w:w="23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108</w:t>
            </w:r>
          </w:p>
        </w:tc>
        <w:tc>
          <w:tcPr>
            <w:tcW w:w="16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841</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26"/>
        </w:trPr>
        <w:tc>
          <w:tcPr>
            <w:tcW w:w="416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2380" w:type="dxa"/>
            <w:vAlign w:val="bottom"/>
          </w:tcPr>
          <w:p>
            <w:pPr>
              <w:spacing w:after="0"/>
              <w:rPr>
                <w:sz w:val="10"/>
                <w:szCs w:val="10"/>
                <w:color w:val="auto"/>
              </w:rPr>
            </w:pPr>
          </w:p>
        </w:tc>
        <w:tc>
          <w:tcPr>
            <w:tcW w:w="360" w:type="dxa"/>
            <w:vAlign w:val="bottom"/>
            <w:tcBorders>
              <w:bottom w:val="single" w:sz="8" w:color="auto"/>
            </w:tcBorders>
          </w:tcPr>
          <w:p>
            <w:pPr>
              <w:jc w:val="right"/>
              <w:ind w:right="2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(36,101)</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(33,183)</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2,918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22"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General and administrative expenses consist of compensation and other related employee expenses for executives, finance, legal, human resources, information technology and administrative personnel, professional services, patent fees and costs, insurance costs and other general corporate expenses. General and administrative expenses increased by $1.5 million to $16.7 million for the nine-month period ended September 30, 2020, from $15.2 million during the same period in 2019. This increase was primarily due to $1.9 million of increased compensation costs related to headcount growth, $0.2 million of increased facility related expenses and $0.6 million of increased business insurance costs. These increases were partially offset by a $0.4 million decrease in consulting and outside services, a $0.5 million decrease in travel and other employee related costs, and a $0.2 million decrease in stock-based compensation. Facility related expenses increased primarily due to the facility expansions in November 2019 and May 2020, while travel and other employee related costs decreased primarily due to the COVID-19 pandemic. Consulting and outside services decreased primarily due to reduced marketing-related expenses compared to the same period in 2019.</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21" w:name="page22"/>
    <w:bookmarkEnd w:id="21"/>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prototypes material and devices. Research and development expenses increased by $0.6 million to $19.0 million for the nine-month period ended September 30, 2020, compared to $18.4 million during the same period in 2019. This increase was primarily due to $1.1 million of increased compensation costs related to headcount growth, $0.9 million of increased consulting and outside services in support of our 510(k) submission to the FDA for a general dermatologic indication and $0.8 million of increased facility related expenses primarily as a result of our facility expansion. These increases were partially offset by a decrease of $1.4 million in clinical trial costs due to the timing and stage of active studies, as well as a decrease of $0.5 million in prototype material and devices related to the initial CellFX builds in the prior year.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Income</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Interest income decreased by $0.7 million to $0.1 million for the nine-month period ended September 30, 2020, from $0.8 million during the same period in 2019 due to lower cash, cash equivalents and investment balances.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22"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To date, we have not generated any revenues from product sales. Since inception, we have funded our business primarily through the issuance of equity securities. Over the next few years, we intend to invest in research and development to develop commercially viable products and to assess the feasibility of potential future products.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During June 2020, we completed a rights offering pursuant to which we sold an aggregate of 4,279,600 shares of our common stock, par value $0.001 per share, and 641,571 warrants, for net proceeds of $29.4 million.</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cash flows as discussed herein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gridSpan w:val="3"/>
          </w:tcPr>
          <w:p>
            <w:pPr>
              <w:jc w:val="center"/>
              <w:ind w:left="525"/>
              <w:spacing w:after="0"/>
              <w:rPr>
                <w:sz w:val="20"/>
                <w:szCs w:val="20"/>
                <w:color w:val="auto"/>
              </w:rPr>
            </w:pPr>
            <w:r>
              <w:rPr>
                <w:rFonts w:ascii="Times New Roman" w:cs="Times New Roman" w:eastAsia="Times New Roman" w:hAnsi="Times New Roman"/>
                <w:sz w:val="10"/>
                <w:szCs w:val="10"/>
                <w:b w:val="1"/>
                <w:bCs w:val="1"/>
                <w:color w:val="auto"/>
                <w:w w:val="98"/>
              </w:rPr>
              <w:t>Nine-Month Periods Ended</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4500" w:type="dxa"/>
            <w:vAlign w:val="bottom"/>
            <w:vMerge w:val="restart"/>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center"/>
              <w:ind w:left="525"/>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Times New Roman" w:cs="Times New Roman" w:eastAsia="Times New Roman" w:hAnsi="Times New Roman"/>
                <w:sz w:val="9"/>
                <w:szCs w:val="9"/>
                <w:b w:val="1"/>
                <w:bCs w:val="1"/>
                <w:color w:val="auto"/>
              </w:rPr>
              <w:t>2020</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2019</w:t>
            </w:r>
          </w:p>
        </w:tc>
        <w:tc>
          <w:tcPr>
            <w:tcW w:w="0" w:type="dxa"/>
            <w:vAlign w:val="bottom"/>
          </w:tcPr>
          <w:p>
            <w:pPr>
              <w:spacing w:after="0"/>
              <w:rPr>
                <w:sz w:val="1"/>
                <w:szCs w:val="1"/>
                <w:color w:val="auto"/>
              </w:rPr>
            </w:pPr>
          </w:p>
        </w:tc>
      </w:tr>
      <w:tr>
        <w:trPr>
          <w:trHeight w:val="108"/>
        </w:trPr>
        <w:tc>
          <w:tcPr>
            <w:tcW w:w="5100" w:type="dxa"/>
            <w:vAlign w:val="bottom"/>
            <w:tcBorders>
              <w:top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30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ind w:right="224"/>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(26,110)</w:t>
            </w: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ind w:right="444"/>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(24,989)</w:t>
            </w:r>
          </w:p>
        </w:tc>
        <w:tc>
          <w:tcPr>
            <w:tcW w:w="0" w:type="dxa"/>
            <w:vAlign w:val="bottom"/>
          </w:tcPr>
          <w:p>
            <w:pPr>
              <w:spacing w:after="0"/>
              <w:rPr>
                <w:sz w:val="1"/>
                <w:szCs w:val="1"/>
                <w:color w:val="auto"/>
              </w:rPr>
            </w:pPr>
          </w:p>
        </w:tc>
      </w:tr>
      <w:tr>
        <w:trPr>
          <w:trHeight w:val="129"/>
        </w:trPr>
        <w:tc>
          <w:tcPr>
            <w:tcW w:w="51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(4,168)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(16,626)</w:t>
            </w:r>
          </w:p>
        </w:tc>
        <w:tc>
          <w:tcPr>
            <w:tcW w:w="0" w:type="dxa"/>
            <w:vAlign w:val="bottom"/>
          </w:tcPr>
          <w:p>
            <w:pPr>
              <w:spacing w:after="0"/>
              <w:rPr>
                <w:sz w:val="1"/>
                <w:szCs w:val="1"/>
                <w:color w:val="auto"/>
              </w:rPr>
            </w:pPr>
          </w:p>
        </w:tc>
      </w:tr>
      <w:tr>
        <w:trPr>
          <w:trHeight w:val="129"/>
        </w:trPr>
        <w:tc>
          <w:tcPr>
            <w:tcW w:w="51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30,449</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r>
        <w:trPr>
          <w:trHeight w:val="160"/>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increase (decrease) in cash</w:t>
            </w: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(41,533)</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At September 30, 2020, we had cash, cash equivalents and investments of $29.6 million. We have determined that there is substantial doubt concerning our ability to continue as an ongoing business for the next twelve months from the date that our unaudited condensed consolidated financial statements included elsewhere in this Quarterly Report were issued unless we obtain additional capital. To date, we have not generated any revenue. As a result, we have incurred significant operating losses in each year since our inception and we may continue to incur additional losses for the next several years.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We plan to raise additional capital to fund our operations. There is no assurance that additional financing will be available when needed or that our management will be able to obtain financing on terms acceptable to us.</w:t>
      </w:r>
    </w:p>
    <w:p>
      <w:pPr>
        <w:spacing w:after="0" w:line="120"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The ongoing COVID-19 pandemic and resulting negative impact on the global macroeconomic environment and capital markets may make it more difficult for us to raise additional funds.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2" w:name="page23"/>
    <w:bookmarkEnd w:id="22"/>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primary uses of cash in operating activities are for ongoing product development.</w:t>
      </w:r>
    </w:p>
    <w:p>
      <w:pPr>
        <w:spacing w:after="0" w:line="111" w:lineRule="exact"/>
        <w:rPr>
          <w:sz w:val="20"/>
          <w:szCs w:val="20"/>
          <w:color w:val="auto"/>
        </w:rPr>
      </w:pPr>
    </w:p>
    <w:p>
      <w:pPr>
        <w:ind w:right="400" w:firstLine="301"/>
        <w:spacing w:after="0" w:line="262" w:lineRule="auto"/>
        <w:rPr>
          <w:sz w:val="20"/>
          <w:szCs w:val="20"/>
          <w:color w:val="auto"/>
        </w:rPr>
      </w:pPr>
      <w:r>
        <w:rPr>
          <w:rFonts w:ascii="Times New Roman" w:cs="Times New Roman" w:eastAsia="Times New Roman" w:hAnsi="Times New Roman"/>
          <w:sz w:val="12"/>
          <w:szCs w:val="12"/>
          <w:color w:val="auto"/>
        </w:rPr>
        <w:t>During the nine-month period ended September 30, 2020, we used cash of $26.1 million in operating activities. The difference between cash used in operating activities and net loss consisted primarily of stock-based compensation, depreciation and amortization, and decreases in prepaid expenses and accrued liabilities.</w:t>
      </w:r>
    </w:p>
    <w:p>
      <w:pPr>
        <w:spacing w:after="0" w:line="77"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During the nine-month period ended September 30, 2019, we used cash of $25.0 million in operating activities. The difference between cash used in operating activities and net loss consisted primarily of stock-based compensation, depreciation and amortization, and increases in accounts payable, accrued and other liabilities, partially offset by increased prepaid expenses and other current assets.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investing activities consist primarily of investment purchases, sales and maturities and capital expenditures.</w:t>
      </w:r>
    </w:p>
    <w:p>
      <w:pPr>
        <w:spacing w:after="0" w:line="111"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During the nine-month period ended September 30, 2020, $4.2 million of cash used in investing activities was primarily from the purchase of investments of $25.5 million offset by the cash proceeds from the maturities and sale of investments of $21.5 million.</w:t>
      </w:r>
    </w:p>
    <w:p>
      <w:pPr>
        <w:spacing w:after="0" w:line="77"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During the nine-month period ended September 30, 2019, $16.6 million of cash used in investing activities was from the purchase of investments of $73.0 million and purchase of property and equipment of $0.6 million offset by $57.0 million of cash proceeds from the maturities of investments.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13"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During the nine-month period ended September 30, 2020, cash provided from financing activities was $30.4 million, primarily due to $29.5 million net cash received from our rights offering, $0.4 million from stock option and warrant exercises, and $0.5 million from the sale of stock under our employee stock purchase plan.</w:t>
      </w:r>
    </w:p>
    <w:p>
      <w:pPr>
        <w:spacing w:after="0" w:line="77"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During the nine-month period ended September 30, 2019, cash provided from financing activities was $0.1 million primarily due to $0.7 million of cash received from stock option exercises and the sale of stock under our employee stock purchase plan, offset by $0.6 million tax payments related to shares withheld for vested restricted stock units.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There have been no material changes outside the ordinary course of our business to the contractual obligations disclosed in our Annual Report on Form 10-K for the year ended December 31,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At September 30, 2020, we did not have any transactions, obligations or relationships that constitute off-balance sheet arrangements.</w:t>
      </w:r>
    </w:p>
    <w:p>
      <w:pPr>
        <w:spacing w:after="0" w:line="11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01" w:lineRule="exact"/>
        <w:rPr>
          <w:sz w:val="20"/>
          <w:szCs w:val="20"/>
          <w:color w:val="auto"/>
        </w:rPr>
      </w:pPr>
    </w:p>
    <w:p>
      <w:pPr>
        <w:jc w:val="both"/>
        <w:ind w:right="20" w:firstLine="301"/>
        <w:spacing w:after="0" w:line="237" w:lineRule="auto"/>
        <w:rPr>
          <w:sz w:val="20"/>
          <w:szCs w:val="20"/>
          <w:color w:val="auto"/>
        </w:rPr>
      </w:pPr>
      <w:r>
        <w:rPr>
          <w:rFonts w:ascii="Times New Roman" w:cs="Times New Roman" w:eastAsia="Times New Roman" w:hAnsi="Times New Roman"/>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September 30, 2020.</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3" w:name="page24"/>
    <w:bookmarkEnd w:id="23"/>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JOBS Act Accounting Election</w:t>
      </w:r>
    </w:p>
    <w:p>
      <w:pPr>
        <w:spacing w:after="0" w:line="113"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Trends, Events and Uncertainties</w:t>
      </w:r>
    </w:p>
    <w:p>
      <w:pPr>
        <w:spacing w:after="0" w:line="122"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CellFX System, including, but not limited to, additional financing through follow-on stock offerings, debt financings, or co-development agreements and /or other alternatives.</w:t>
      </w:r>
    </w:p>
    <w:p>
      <w:pPr>
        <w:spacing w:after="0" w:line="23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01"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86"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4" w:name="page25"/>
    <w:bookmarkEnd w:id="24"/>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Except for the broad effects of COVID-19 as a result of its negative impact on the global economy and financial markets, there have been no material changes in market risk from the information provided in our Annual Report on Form 10-K for the year ended December 31, 2019.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5" w:name="page26"/>
    <w:bookmarkEnd w:id="25"/>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13"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September 30, 2020,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13"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identified in connection with the evaluation required by Rule 13a-15(d) and 15d-15(d) of the Exchange Act, as amended, that occurred during the quarter ended September 30, 2020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Inherent Limitations on Effectiveness of Controls</w:t>
      </w:r>
    </w:p>
    <w:p>
      <w:pPr>
        <w:spacing w:after="0" w:line="122"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6" w:name="page27"/>
    <w:bookmarkEnd w:id="26"/>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22" w:lineRule="exact"/>
        <w:rPr>
          <w:sz w:val="20"/>
          <w:szCs w:val="20"/>
          <w:color w:val="auto"/>
        </w:rPr>
      </w:pPr>
    </w:p>
    <w:p>
      <w:pPr>
        <w:jc w:val="both"/>
        <w:ind w:firstLine="301"/>
        <w:spacing w:after="0" w:line="244" w:lineRule="auto"/>
        <w:rPr>
          <w:sz w:val="20"/>
          <w:szCs w:val="20"/>
          <w:color w:val="auto"/>
        </w:rPr>
      </w:pPr>
      <w:r>
        <w:rPr>
          <w:rFonts w:ascii="Times New Roman" w:cs="Times New Roman" w:eastAsia="Times New Roman" w:hAnsi="Times New Roman"/>
          <w:sz w:val="12"/>
          <w:szCs w:val="12"/>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236"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The results of legal proceedings and claims are inherently unpredictable. We do not believe any currently pending matters will have a material adverse effect on our business based on our current understanding of such matters. Regardless of the outcome, litigation can have an adverse impact on us because of defense and settlement costs, diversion of management resources and other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20" w:lineRule="exact"/>
        <w:rPr>
          <w:sz w:val="20"/>
          <w:szCs w:val="20"/>
          <w:color w:val="auto"/>
        </w:rPr>
      </w:pPr>
    </w:p>
    <w:p>
      <w:pPr>
        <w:jc w:val="both"/>
        <w:ind w:right="20" w:firstLine="301"/>
        <w:spacing w:after="0"/>
        <w:rPr>
          <w:sz w:val="20"/>
          <w:szCs w:val="20"/>
          <w:color w:val="auto"/>
        </w:rPr>
      </w:pPr>
      <w:r>
        <w:rPr>
          <w:rFonts w:ascii="Times New Roman" w:cs="Times New Roman" w:eastAsia="Times New Roman" w:hAnsi="Times New Roman"/>
          <w:sz w:val="12"/>
          <w:szCs w:val="12"/>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w:t>
      </w:r>
    </w:p>
    <w:p>
      <w:pPr>
        <w:spacing w:after="0" w:line="122"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Limited operating history and lack of revenue producing operations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Lack of commercial products or product revenue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Substantial doubt about our ability to continue as a going concern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Our ability to obtain sufficient funding</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Fluctuation of our operating results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Competition within our industry</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Health epidemics, including the coronavirus pandemic</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Reliance on third parties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Loss of key management personnel</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Security breaches, loss of data and other disruptions to us or our third-party service providers that could compromise sensitive information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Potential product liability lawsuits and other litigation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7" w:name="page28"/>
    <w:bookmarkEnd w:id="27"/>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Timing, unpredictability and expense of clinical development process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Trial results and changes in trial data</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Failure to obtain and maintain necessary regulatory clearances or approvals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Determination and validation of the mechanism of action of our NPS technology platform</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Safety and effectiveness of our product candidates, and potential adverse side effects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Failure to obtain broad adoption of our CellFX System and NPS technology</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Enrollment of patients in our clinical trials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Ability to obtain an adequate level of reimbursement by Medicare and other third-party payers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Protection of intellectual property, potential litigation related to intellectual property and obligations under intellectual property agreements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Stringent domestic and foreign regulation in respect of any potential devices and products, including healthcare laws and regulations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Healthcare policy changes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Volatility of the price of our common stock</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Concentration of ownership by our principal stockholder and Chairman of our board of directors, Robert W. Duggan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Unfavorable global economic or political conditions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Material weaknesses and maintenance of an effective system of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 Industry and Financial Condition</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Since we have a limited operating history and have not commenced any revenue producing operations, it is difficult to evaluate the future of our business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are a bioelectric medicine technology company and have not yet commenced revenue-producing operations. To date, our operations on a consolidated basis have consisted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28" w:name="page29"/>
    <w:bookmarkEnd w:id="28"/>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currently have no commercial products or product revenue and may never become profitable.</w:t>
      </w:r>
    </w:p>
    <w:p>
      <w:pPr>
        <w:spacing w:after="0" w:line="122" w:lineRule="exact"/>
        <w:rPr>
          <w:sz w:val="20"/>
          <w:szCs w:val="20"/>
          <w:color w:val="auto"/>
        </w:rPr>
      </w:pPr>
    </w:p>
    <w:p>
      <w:pPr>
        <w:jc w:val="both"/>
        <w:ind w:firstLine="301"/>
        <w:spacing w:after="0" w:line="231" w:lineRule="auto"/>
        <w:rPr>
          <w:sz w:val="20"/>
          <w:szCs w:val="20"/>
          <w:color w:val="auto"/>
        </w:rPr>
      </w:pPr>
      <w:r>
        <w:rPr>
          <w:rFonts w:ascii="Times New Roman" w:cs="Times New Roman" w:eastAsia="Times New Roman" w:hAnsi="Times New Roman"/>
          <w:sz w:val="12"/>
          <w:szCs w:val="12"/>
          <w:color w:val="auto"/>
        </w:rPr>
        <w:t>To date, we have not generated revenue and have relied on financing from the sale of equity securities to fund our operations. We expect that our future financial results will depend primarily on our success in obtaining clearance or approval for, launching, selling and supporting our therapies and treatments utilizing our CellFX System or other products based on NPS technology; however, our technology is still in development and has not been cleared or approved to treat any disease or condition.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as we continue to seek regulatory clearance or approval for our products. We are incurring significant operating losses, we expect to continue to incur additional losses for at least the next several years, and we cannot assure you that we will generate revenue or be profitable in the future. Our future products may never be cleared or approved or become commercially viable or accepted for use. Even if we find commercially viable applications for our technology, which may include licensing, we may never recover our research and development expenses.</w:t>
      </w:r>
    </w:p>
    <w:p>
      <w:pPr>
        <w:spacing w:after="0" w:line="100" w:lineRule="exact"/>
        <w:rPr>
          <w:sz w:val="20"/>
          <w:szCs w:val="20"/>
          <w:color w:val="auto"/>
        </w:rPr>
      </w:pPr>
    </w:p>
    <w:p>
      <w:pPr>
        <w:jc w:val="both"/>
        <w:ind w:right="20" w:firstLine="301"/>
        <w:spacing w:after="0" w:line="237" w:lineRule="auto"/>
        <w:rPr>
          <w:sz w:val="20"/>
          <w:szCs w:val="20"/>
          <w:color w:val="auto"/>
        </w:rPr>
      </w:pPr>
      <w:r>
        <w:rPr>
          <w:rFonts w:ascii="Times New Roman" w:cs="Times New Roman" w:eastAsia="Times New Roman" w:hAnsi="Times New Roman"/>
          <w:sz w:val="12"/>
          <w:szCs w:val="12"/>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There is substantial doubt about our ability to continue as a going concern.</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To date, we have not generated any revenue from product sales and have incurred significant operating losses in each year since our inception and we anticipate that losses may continue for the next several years until such time as we can generate substantial product revenue and achieve profitability. In connection with the preparation of this Quarterly Report for the nine months ended September 30, 2020, our management concluded that there is substantial doubt we can continue as an ongoing business for the next twelve months from the date that our unaudited condensed consolidated financial statements included elsewhere in this Quarterly Report were issued unless we obtain additional capital.</w:t>
      </w:r>
    </w:p>
    <w:p>
      <w:pPr>
        <w:spacing w:after="0" w:line="10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plan to raise additional capital to fund our operations. There is no assurance that additional financing will be available when needed or that our management will be able to obtain financing on terms acceptable to us. Accordingly, our management cannot conclude that such plans will be effectively implemented within the twelve months from the date that our unaudited condensed consolidated financial statements included elsewhere in this Quarterly Report were issued. These factors, combined with our forecast of cash required to fund operations for a period of at least twelve months from the date that our unaudited condensed consolidated financial statements included elsewhere in this Quarterly Report were issued, raise substantial doubt about our ability to continue as a going concern.</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have experienced operating losses, and we may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97"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We will need to raise additional capital in order to continue to execute our business plan. There is no assurance that additional financing will be available when needed or that management will be able to obtain financing on terms acceptable to us. If we are unable to raise sufficient additional funds, we will have to scale back our operations. The ongoing COVID-19 pandemic and resulting negative impact on the global macroeconomic environment and capital markets may make it more difficult for us to raise additional funds.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9" w:name="page30"/>
    <w:bookmarkEnd w:id="29"/>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cannot give any assurance that we will be able to obtain all the necessary funding that we may need. In addition, we believe that we will require additional capital in the future to fully develop our technologies and planned products to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some or all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99"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0"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2"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86" w:lineRule="exact"/>
        <w:rPr>
          <w:sz w:val="20"/>
          <w:szCs w:val="20"/>
          <w:color w:val="auto"/>
        </w:rPr>
      </w:pPr>
    </w:p>
    <w:p>
      <w:pPr>
        <w:ind w:left="440" w:right="2060"/>
        <w:spacing w:after="0" w:line="449" w:lineRule="auto"/>
        <w:rPr>
          <w:sz w:val="20"/>
          <w:szCs w:val="20"/>
          <w:color w:val="auto"/>
        </w:rPr>
      </w:pPr>
      <w:r>
        <w:rPr>
          <w:rFonts w:ascii="Times New Roman" w:cs="Times New Roman" w:eastAsia="Times New Roman" w:hAnsi="Times New Roman"/>
          <w:sz w:val="12"/>
          <w:szCs w:val="12"/>
          <w:color w:val="auto"/>
        </w:rPr>
        <w:t>the timing and cost of, and level of investment in, research, development and commercialization activities relating to our product candidates, which may change from time to time; the timing of receipt of approvals or clearances for our product candidates from regulatory authorities in the United States (U.S.) or internationally; the timing and status of enrollment for our clinical trials;</w:t>
      </w:r>
    </w:p>
    <w:p>
      <w:pPr>
        <w:ind w:left="440" w:right="20"/>
        <w:spacing w:after="0" w:line="262" w:lineRule="auto"/>
        <w:rPr>
          <w:sz w:val="20"/>
          <w:szCs w:val="20"/>
          <w:color w:val="auto"/>
        </w:rPr>
      </w:pPr>
      <w:r>
        <w:rPr>
          <w:rFonts w:ascii="Times New Roman" w:cs="Times New Roman" w:eastAsia="Times New Roman" w:hAnsi="Times New Roman"/>
          <w:sz w:val="12"/>
          <w:szCs w:val="12"/>
          <w:color w:val="auto"/>
        </w:rPr>
        <w:t>coverage and reimbursement policies with respect to our product candidates, if approved or cleared, including the degree to which treatments using our products are covered and receive adequate reimbursement from third-party payors, and potential future drugs or devices that compete with our product candidates;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cost of manufacturing our product candidates, as well as building out our supply chain, which may vary depending on the quantity of production and the terms of our agreements with manufacturers;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expenditures that we may incur to acquire, develop or commercialize additional product candidates and technologies;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level of demand for our products, if approved or cleared, which may vary significantly over time;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litigation, including patent, employment, securities class action, stockholder derivative, general commercial and other lawsuits;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future accounting pronouncements or changes in our accounting policies;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0" w:name="page31"/>
    <w:bookmarkEnd w:id="30"/>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3" w:lineRule="exact"/>
        <w:rPr>
          <w:sz w:val="20"/>
          <w:szCs w:val="20"/>
          <w:color w:val="auto"/>
        </w:rPr>
      </w:pPr>
    </w:p>
    <w:p>
      <w:pPr>
        <w:ind w:left="440"/>
        <w:spacing w:after="0" w:line="262" w:lineRule="auto"/>
        <w:rPr>
          <w:sz w:val="20"/>
          <w:szCs w:val="20"/>
          <w:color w:val="auto"/>
        </w:rPr>
      </w:pPr>
      <w:r>
        <w:rPr>
          <w:rFonts w:ascii="Times New Roman" w:cs="Times New Roman" w:eastAsia="Times New Roman" w:hAnsi="Times New Roman"/>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86"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86"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95"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85"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significantly greater name recognition;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established relations with healthcare professionals, customers and third-party payers;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greater efficacy or better safety profiles;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established distribution networks;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additional lines of products, and the ability to offer rebates, higher discounts or incentives to gain a competitive advantage;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greater experience in obtaining patents and regulatory approvals for product candidates and other resources;</w:t>
      </w:r>
    </w:p>
    <w:p>
      <w:pPr>
        <w:spacing w:after="0" w:line="249" w:lineRule="exact"/>
        <w:rPr>
          <w:sz w:val="20"/>
          <w:szCs w:val="20"/>
          <w:color w:val="auto"/>
        </w:rPr>
      </w:pPr>
    </w:p>
    <w:p>
      <w:pPr>
        <w:ind w:left="440" w:right="2360"/>
        <w:spacing w:after="0" w:line="449" w:lineRule="auto"/>
        <w:rPr>
          <w:sz w:val="20"/>
          <w:szCs w:val="20"/>
          <w:color w:val="auto"/>
        </w:rPr>
      </w:pPr>
      <w:r>
        <w:rPr>
          <w:rFonts w:ascii="Times New Roman" w:cs="Times New Roman" w:eastAsia="Times New Roman" w:hAnsi="Times New Roman"/>
          <w:sz w:val="12"/>
          <w:szCs w:val="12"/>
          <w:color w:val="auto"/>
        </w:rPr>
        <w:t>greater experience in conducting research and development, manufacturing, clinical trials, obtaining regulatory approval for products, and marketing approved products; and greater financial and human resources for product development, sales and marketing, and patent litigation.</w:t>
      </w: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if cleared or approved, may compete with other dermatological products, including over-the-counter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1" w:name="page32"/>
    <w:bookmarkEnd w:id="31"/>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rely on third parties for our sales, marketing, manufacturing and/or distribution, and these third parties may not perform satisfactorily.</w:t>
      </w:r>
    </w:p>
    <w:p>
      <w:pPr>
        <w:spacing w:after="0" w:line="122"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These third parties may be adversely impacted by COVID-19 which could affect their ability to perform satisfactorily.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214"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99"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85" w:lineRule="exact"/>
        <w:rPr>
          <w:sz w:val="20"/>
          <w:szCs w:val="20"/>
          <w:color w:val="auto"/>
        </w:rPr>
      </w:pPr>
    </w:p>
    <w:p>
      <w:pPr>
        <w:jc w:val="both"/>
        <w:ind w:firstLine="301"/>
        <w:spacing w:after="0" w:line="231" w:lineRule="auto"/>
        <w:rPr>
          <w:sz w:val="20"/>
          <w:szCs w:val="20"/>
          <w:color w:val="auto"/>
        </w:rPr>
      </w:pPr>
      <w:r>
        <w:rPr>
          <w:rFonts w:ascii="Times New Roman" w:cs="Times New Roman" w:eastAsia="Times New Roman" w:hAnsi="Times New Roman"/>
          <w:sz w:val="12"/>
          <w:szCs w:val="12"/>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98" w:lineRule="exact"/>
        <w:rPr>
          <w:sz w:val="20"/>
          <w:szCs w:val="20"/>
          <w:color w:val="auto"/>
        </w:rPr>
      </w:pPr>
    </w:p>
    <w:p>
      <w:pPr>
        <w:jc w:val="both"/>
        <w:ind w:right="20" w:firstLine="301"/>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245"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32" w:name="page33"/>
    <w:bookmarkEnd w:id="32"/>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Rapidly changing technology in life sciences could make the products we are developing obsolete.</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manage the anticipated growth of our business, our future revenue and operating results may be harmed.</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We have experienced rapid growth in our business. Recent and future growth imposes significant added responsibilities on management, including the need to identify, recruit, train and integrate additional employees. Rapid</w:t>
      </w:r>
    </w:p>
    <w:p>
      <w:pPr>
        <w:spacing w:after="0" w:line="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expansion in personnel could mean that less experienced people carry out our research and development activities, manufacture, market and sell CellFX System and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98"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laws and regulations relating to personally identifiable information, and maintain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85"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data, unauthorized disclosure and unauthorized access, as well as risks associated with our ability to identify and audit such events.</w:t>
      </w:r>
    </w:p>
    <w:p>
      <w:pPr>
        <w:spacing w:after="0" w:line="101" w:lineRule="exact"/>
        <w:rPr>
          <w:sz w:val="20"/>
          <w:szCs w:val="20"/>
          <w:color w:val="auto"/>
        </w:rPr>
      </w:pPr>
    </w:p>
    <w:p>
      <w:pPr>
        <w:jc w:val="both"/>
        <w:ind w:firstLine="301"/>
        <w:spacing w:after="0" w:line="229" w:lineRule="auto"/>
        <w:rPr>
          <w:sz w:val="20"/>
          <w:szCs w:val="20"/>
          <w:color w:val="auto"/>
        </w:rPr>
      </w:pPr>
      <w:r>
        <w:rPr>
          <w:rFonts w:ascii="Times New Roman" w:cs="Times New Roman" w:eastAsia="Times New Roman" w:hAnsi="Times New Roman"/>
          <w:sz w:val="12"/>
          <w:szCs w:val="12"/>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have not experienced any such attack or breach,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(the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a new privacy law, the California Privacy Rights Act (“CPRA”) was recently approved by California voters, which significantly modifies the CCPA, resulting in further uncertainty and requiring us to incur additional costs and expenses in an effort to comply.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3" w:name="page34"/>
    <w:bookmarkEnd w:id="33"/>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14"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In addition, the interpretation and application of federal and state consumer, health-related and data protection laws in the U.S.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Product liability lawsuits against us could cause us to incur substantial liabilities and to limit commercialization of any products that we may develop.</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decreased demand for any planned products that we may develop;</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injury to our reputation and significant negative media attention;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withdrawal of patients from clinical studies or cancellation of studies;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significant costs to defend the related litigation and distraction to our management team;</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substantial monetary awards to patients;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loss of revenue; and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inability to commercialize any products that we may develop.</w:t>
      </w:r>
    </w:p>
    <w:p>
      <w:pPr>
        <w:spacing w:after="0" w:line="120"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00"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4" w:name="page35"/>
    <w:bookmarkEnd w:id="34"/>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utilize our net operating loss carryforwards and certain other tax attributes may be limited.</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97"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97"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Further, in December 2017, the Tax Cuts and Jobs Act (TCJA) was enacted into law and later modified by the Coronavirus Aid, Relief, and Economic Security Act (CARES Act). The primary impacts to us include a decrease of the corporate income tax rate and changes to certain limitations on the use of our federal NOLs. We are assessing the TCJA, as modified by the CARES Act, with professional advisers, and believe that the impact of the TCJA, as modified by the CARES Act, on our business may not be fully known for some time, and until such analysis is complete, the full impact of the new tax law on us in future periods is uncertain, and no assurances can be made by us on any potential impacts. Additionally, California recently enacted legislation limiting our ability to use our state NOLs for taxable years 2020, 2021, and 2022.</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5" w:name="page36"/>
    <w:bookmarkEnd w:id="35"/>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Product Development</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currently do not have any products approved or cleared by the FDA or other similar foreign regulatory authorities for commercial sale or any commercialized products.</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obtaining regulatory approval or clearance, implementing regulatory compliance standards, and market development. Pending regulatory clearance or approval of our CellFX System, we plan to commercially introduce our CellFX System in the U.S. However,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not be able to complete the development of any planned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not be able to obtain regulatory approvals or clearances for our planned products and indications that we have studied, or the approved or cleared indications may be narrower than we seek;</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experience delays in our development program, clinical trials and the regulatory approval or clearance process including as a result of COVID-19;</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our NPS technology may not prove to be safe or effective in one or more clinical trials;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actual and perceived effectiveness and reliability of our products, especially relative to alternative products may be perceived negatively;</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results of clinical trials relating to the use of our products may not be what we expect or desire;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availability, relative cost and perceived advantages and disadvantages of alternative technologies or uses thereof may impact any future sales of our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physicians may not adopt our products, or may not adopt our products to a degree sufficient to reach profitability;</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not be able to obtain, maintain, protect and enforce our intellectual property rights with respect to our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not be able to sustain a meaningful clinical benefit better than our competitors and alternative treatments or therapies;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not be able to achieve and maintain compliance with all regulatory requirements applicable to our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not be successful in educating medical professionals, including about the benefits of our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strength of our marketing and distribution infrastructure may not be sufficient;</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our distributors’ marketing and sales efforts in the U.S. and abroad, including our efforts to build out our sales team, may be inadequate;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level of education and awareness among medical professionals concerning our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not develop positive reputation among physicians, clinics or patients;</w:t>
      </w:r>
    </w:p>
    <w:p>
      <w:pPr>
        <w:spacing w:after="0" w:line="120" w:lineRule="exact"/>
        <w:rPr>
          <w:sz w:val="20"/>
          <w:szCs w:val="20"/>
          <w:color w:val="auto"/>
        </w:rPr>
      </w:pPr>
    </w:p>
    <w:p>
      <w:pPr>
        <w:ind w:left="440" w:right="20"/>
        <w:spacing w:after="0" w:line="251" w:lineRule="auto"/>
        <w:rPr>
          <w:sz w:val="20"/>
          <w:szCs w:val="20"/>
          <w:color w:val="auto"/>
        </w:rPr>
      </w:pPr>
      <w:r>
        <w:rPr>
          <w:rFonts w:ascii="Times New Roman" w:cs="Times New Roman" w:eastAsia="Times New Roman" w:hAnsi="Times New Roman"/>
          <w:sz w:val="12"/>
          <w:szCs w:val="12"/>
          <w:color w:val="auto"/>
        </w:rPr>
        <w:t>we may not be able to continue to develop, validate and maintain a commercially viable manufacturing process that is compliant with current Good Manufacturing Practices (cGMP) and Quality Systems Regulations (QSR);</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be required by the FDA or comparable non-U.S. regulatory authorities to conduct additional clinical trials for future or current indications;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36" w:name="page37"/>
    <w:bookmarkEnd w:id="36"/>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ind w:left="440" w:right="2140"/>
        <w:spacing w:after="0" w:line="449" w:lineRule="auto"/>
        <w:rPr>
          <w:sz w:val="20"/>
          <w:szCs w:val="20"/>
          <w:color w:val="auto"/>
        </w:rPr>
      </w:pPr>
      <w:r>
        <w:rPr>
          <w:rFonts w:ascii="Times New Roman" w:cs="Times New Roman" w:eastAsia="Times New Roman" w:hAnsi="Times New Roman"/>
          <w:sz w:val="12"/>
          <w:szCs w:val="12"/>
          <w:color w:val="auto"/>
        </w:rPr>
        <w:t>physicians may not receive any reimbursement from third-party payers, or the level of reimbursement may be insufficient to support widespread adoption of any of our products; any products that are approved or cleared by regulatory authorities may not be accepted in the marketplace by physicians or patients; we may not be able to manufacture our products in commercial quantities or at an acceptable cost; and</w:t>
      </w:r>
    </w:p>
    <w:p>
      <w:pPr>
        <w:ind w:left="440"/>
        <w:spacing w:after="0"/>
        <w:rPr>
          <w:sz w:val="20"/>
          <w:szCs w:val="20"/>
          <w:color w:val="auto"/>
        </w:rPr>
      </w:pPr>
      <w:r>
        <w:rPr>
          <w:rFonts w:ascii="Times New Roman" w:cs="Times New Roman" w:eastAsia="Times New Roman" w:hAnsi="Times New Roman"/>
          <w:sz w:val="12"/>
          <w:szCs w:val="12"/>
          <w:color w:val="auto"/>
        </w:rPr>
        <w:t>rapid technological change or the appearance of a new competitive technology may make our technology and products obsolete.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2" w:lineRule="exact"/>
        <w:rPr>
          <w:sz w:val="20"/>
          <w:szCs w:val="20"/>
          <w:color w:val="auto"/>
        </w:rPr>
      </w:pPr>
    </w:p>
    <w:p>
      <w:pPr>
        <w:jc w:val="both"/>
        <w:ind w:right="20" w:firstLine="301"/>
        <w:spacing w:after="0" w:line="237"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99"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85"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99"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fail to obtain and maintain necessary regulatory clearances or approvals for our planned products, or if clearances or approvals for future devices and indications are delayed or not issued, our commercial operations would be harmed. Additionally, changes in methods of product candidate manufacturing may result in additional costs or delay.</w:t>
      </w:r>
    </w:p>
    <w:p>
      <w:pPr>
        <w:spacing w:after="0" w:line="85"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Our product candidates under development are medical devices that are subject to extensive regulation by FDA in the U.S. and by regulatory agencies in other countries where we plan to do business. Government regulations specific to medical devices are wide-ranging and govern, among other things: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device design, development and manufacture;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laboratory, pre-clinical and clinical testing, labeling, packaging, storage and distribution;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premarketing clearance or approval;</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record keeping;</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device marketing, promotion and advertising, sales and distribution; and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post-marketing surveillance, including reporting of deaths and serious injuries and recalls and correction and removals.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37" w:name="page38"/>
    <w:bookmarkEnd w:id="37"/>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Before a new medical device or a new intended use for, an existing device can be marketed in the U.S., a company must first submit and receive either 510(k) clearance or premarketing approval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00"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For example, in February 2019, we submitted a 510(k) to the FDA seeking clearance to commercialize our CellFX System. In February 2020, we received a “not substantially equivalent” (NSE) letter from the FDA, indicating that based on the data provided, we had not demonstrated that the CellFX System is substantially equivalent to the predicate device. This concluded the 510(k) review process without clearance. The failure to obtain 510(k) clearance has added significant time and expense to our regulatory clearance process (including additional expense that we will incur in preparing a new 510(k) submission), has delayed our ability to generate revenue, and has had a negative impact on our stock price.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If the FDA rejects our new 510(k) submission, we may be required to obtain FDA approval through the de novo pathway, which will require additional time and resources, including the need to conduct more clinical studies to demonstrate safety and effectiveness of our candidate device.</w:t>
      </w:r>
    </w:p>
    <w:p>
      <w:pPr>
        <w:spacing w:after="0" w:line="100"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FDA may not approve or clear, or may delay approval or clearance of,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actions which may prevent or delay approval or clearance of our products under development. Any of these actions could have a material adverse effect on our business operations and financial condition.</w:t>
      </w:r>
    </w:p>
    <w:p>
      <w:pPr>
        <w:spacing w:after="0" w:line="97"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The FDA and the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232"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adverse publicity, warning letters, fines, injunctions, consent decrees and civil penalties;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repair, replacement, refunds, recall or seizure of our devices;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operating restrictions, partial suspension or total shutdown of production;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refusing our requests for 510(k) clearance or premarket approval of new devices, new intended uses or modifications to existing devices;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withdrawing 510(k) clearance or premarket approvals that have already been granted; and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criminal prosecution.</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If any of these events were to occur, our business and financial condition would be harmed.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8" w:name="page39"/>
    <w:bookmarkEnd w:id="38"/>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efforts may never demonstrate the feasibility of our technology</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Our research and development efforts remain subject to all of the risks associated with the development of new technology. Our CellFX System and NPS applications are not yet fully developed.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mechanism of action of NPS technology platform has not been fully determined or validated.</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99"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83"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 xml:space="preserve">The risk of failure of clinical development is high. For example, the vast majority of our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data has been a result of animal testing, and we have only completed a limited number of feasibility studies in humans. It is difficult to predict when or if this or any planned products will prove safe enough to receive regulatory approval or clearance. Undesirable side effects caused by our CellFX System, NPS pulses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234"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Additionally, if any of our product candidates receive marketing approval or clearance but, we or others later identify undesirable side effects caused by such product, a number of potentially significant negative consequences could result, including:</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be forced to recall such product and suspend the marketing of such product;</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regulatory authorities may withdraw their approvals of such product;</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regulatory authorities may require additional warnings on the label and/or narrow the indication that could diminish the usage or otherwise limit the commercial success of such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FDA or other regulatory authorities may issue safety alerts, Dear Healthcare Provider letters, press releases or other communications containing warnings about such product;</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FDA may restrict distribution of our products and impose burdensome implementation requirements on us;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be required to change the way the product is administered or conduct additional clinical trials;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could be sued and held liable for harm caused to subjects or patients;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be subject to litigation or product liability claims; and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our reputation may suffer.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39" w:name="page40"/>
    <w:bookmarkEnd w:id="39"/>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Any of these events could prevent us from achieving or maintaining market acceptance of the particular planned product, if approved.</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dependent upon physicians adopting our CellFX System and NPS technology, and if we fail to obtain broad adoption, our business would be adversely affected.</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If we obtain regulatory approval or clearance for our CellFX System, our success will depend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 party commercial payors, and the Centers for Medicare &amp; Medicaid Services (CMS) for the professional services they provide in administering CellFX</w:t>
      </w:r>
    </w:p>
    <w:p>
      <w:pPr>
        <w:spacing w:after="0" w:line="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procedures.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87"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85"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Observations and developments that may be achievable under laboratory circumstances may not be able to be replicated in broader research and development phases, in commercial settings, or in the use of any of the product candidates in the field. Furthermore, if commercialized, CellFX procedures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0" w:name="page41"/>
    <w:bookmarkEnd w:id="40"/>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Issues with our firmware and software may negatively affect the function of our devices.</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data breaches, or similar problems. Any of these might result in harm to a patient or the unauthorized release of confidential medical, business or other information of other persons or of ours.</w:t>
      </w:r>
    </w:p>
    <w:p>
      <w:pPr>
        <w:spacing w:after="0" w:line="99" w:lineRule="exact"/>
        <w:rPr>
          <w:sz w:val="20"/>
          <w:szCs w:val="20"/>
          <w:color w:val="auto"/>
        </w:rPr>
      </w:pPr>
    </w:p>
    <w:p>
      <w:pPr>
        <w:jc w:val="both"/>
        <w:ind w:right="20" w:firstLine="301"/>
        <w:spacing w:after="0" w:line="246" w:lineRule="auto"/>
        <w:rPr>
          <w:sz w:val="20"/>
          <w:szCs w:val="20"/>
          <w:color w:val="auto"/>
        </w:rPr>
      </w:pPr>
      <w:r>
        <w:rPr>
          <w:rFonts w:ascii="Times New Roman" w:cs="Times New Roman" w:eastAsia="Times New Roman" w:hAnsi="Times New Roman"/>
          <w:sz w:val="12"/>
          <w:szCs w:val="12"/>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236"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FDA requirements, other federal and state regulatory requirements, and foreign regulations.</w:t>
      </w:r>
    </w:p>
    <w:p>
      <w:pPr>
        <w:spacing w:after="0" w:line="214"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We do not control the manufacturing process of, and are completely dependent on, our contract manufacturing partners for compliance with the regulatory requirements, and if our contract manufacturers cannot successfully manufacture our product candidates that conform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with respect to complying with applicable regulatory requirements, we may need to find alternative manufacturing facilities, which would significantly impact our ability to develop, obtain regulatory approval or clearance for or market our product candidates.</w:t>
      </w:r>
    </w:p>
    <w:p>
      <w:pPr>
        <w:spacing w:after="0" w:line="100"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devices while finding another acceptable supplier, which could impact our ability to obtain regulatory approval or clearance for our products and our business and results of operations.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 place before coverage and reimbursement are granted, if it is granted at all. In the U.S.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1" w:name="page42"/>
    <w:bookmarkEnd w:id="41"/>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reduce the fee or sales price than initially planned.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treatments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00"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00"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97"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work with outside scientists and their institutions in developing product candidates. These scientists may have other commitments or conflicts of interest, which could limit our access to their expertise, harm our ability to leverage our discovery platforms, or negatively impact our clinical trials.</w:t>
      </w:r>
    </w:p>
    <w:p>
      <w:pPr>
        <w:spacing w:after="0" w:line="85"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2" w:name="page43"/>
    <w:bookmarkEnd w:id="42"/>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22" w:lineRule="exact"/>
        <w:rPr>
          <w:sz w:val="20"/>
          <w:szCs w:val="20"/>
          <w:color w:val="auto"/>
        </w:rPr>
      </w:pPr>
    </w:p>
    <w:p>
      <w:pPr>
        <w:jc w:val="both"/>
        <w:ind w:firstLine="301"/>
        <w:spacing w:after="0" w:line="231" w:lineRule="auto"/>
        <w:rPr>
          <w:sz w:val="20"/>
          <w:szCs w:val="20"/>
          <w:color w:val="auto"/>
        </w:rPr>
      </w:pPr>
      <w:r>
        <w:rPr>
          <w:rFonts w:ascii="Times New Roman" w:cs="Times New Roman" w:eastAsia="Times New Roman" w:hAnsi="Times New Roman"/>
          <w:sz w:val="12"/>
          <w:szCs w:val="12"/>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9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85"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97"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3" w:name="page44"/>
    <w:bookmarkEnd w:id="43"/>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85" w:lineRule="exact"/>
        <w:rPr>
          <w:sz w:val="20"/>
          <w:szCs w:val="20"/>
          <w:color w:val="auto"/>
        </w:rPr>
      </w:pPr>
    </w:p>
    <w:p>
      <w:pPr>
        <w:jc w:val="both"/>
        <w:ind w:firstLine="301"/>
        <w:spacing w:after="0" w:line="229" w:lineRule="auto"/>
        <w:rPr>
          <w:sz w:val="20"/>
          <w:szCs w:val="20"/>
          <w:color w:val="auto"/>
        </w:rPr>
      </w:pPr>
      <w:r>
        <w:rPr>
          <w:rFonts w:ascii="Times New Roman" w:cs="Times New Roman" w:eastAsia="Times New Roman" w:hAnsi="Times New Roman"/>
          <w:sz w:val="12"/>
          <w:szCs w:val="12"/>
          <w:color w:val="auto"/>
        </w:rPr>
        <w:t>We hold licenses from Old Dominion University Research Foundation (ODURF) and Eastern Virginia Medical School (EVMS) and from Alfred E. Mann Institute for Biomedical Engineering at the University of Southern California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rights will not necessarily provide us with competitive advantages.</w:t>
      </w:r>
    </w:p>
    <w:p>
      <w:pPr>
        <w:spacing w:after="0" w:line="122" w:lineRule="exact"/>
        <w:rPr>
          <w:sz w:val="20"/>
          <w:szCs w:val="20"/>
          <w:color w:val="auto"/>
        </w:rPr>
      </w:pPr>
    </w:p>
    <w:p>
      <w:pPr>
        <w:jc w:val="both"/>
        <w:ind w:right="20" w:firstLine="301"/>
        <w:spacing w:after="0" w:line="262" w:lineRule="auto"/>
        <w:rPr>
          <w:sz w:val="20"/>
          <w:szCs w:val="20"/>
          <w:color w:val="auto"/>
        </w:rPr>
      </w:pPr>
      <w:r>
        <w:rPr>
          <w:rFonts w:ascii="Times New Roman" w:cs="Times New Roman" w:eastAsia="Times New Roman" w:hAnsi="Times New Roman"/>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others may be able to make products that are similar to our product candidates but that are not covered by the claims of the patents that we own or have exclusively licensed;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others may independently develop similar or alternative technologies without infringing on our intellectual property rights;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0"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86" w:lineRule="exact"/>
        <w:rPr>
          <w:sz w:val="20"/>
          <w:szCs w:val="20"/>
          <w:color w:val="auto"/>
        </w:rPr>
      </w:pPr>
    </w:p>
    <w:p>
      <w:pPr>
        <w:ind w:left="440"/>
        <w:spacing w:after="0" w:line="262" w:lineRule="auto"/>
        <w:rPr>
          <w:sz w:val="20"/>
          <w:szCs w:val="20"/>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may fail to develop additional proprietary technologies that are patentable;</w:t>
      </w:r>
    </w:p>
    <w:p>
      <w:pPr>
        <w:spacing w:after="0" w:line="120"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2"/>
          <w:szCs w:val="12"/>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patents of others may have an adverse effect on our business, for example by preventing us from marketing one or more of our product candidates for one or more indications.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Any of the aforementioned threats to our competitive advantage could harm our business.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4" w:name="page45"/>
    <w:bookmarkEnd w:id="44"/>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22"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future lawsuits to protect or enforce our patents or the patents of our licensors, which could be expensive, time consuming and unsuccessful.</w:t>
      </w:r>
    </w:p>
    <w:p>
      <w:pPr>
        <w:spacing w:after="0" w:line="122"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00"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 U.S. Patent and Trademark Office (USPTO)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5" w:name="page46"/>
    <w:bookmarkEnd w:id="45"/>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2"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6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85"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 candidates, if any, and our patents or other intellectual property rights may not be effective or sufficient to prevent them from competing.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6" w:name="page47"/>
    <w:bookmarkEnd w:id="46"/>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97"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85"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Changes in patent law could diminish the value of patents in general, thereby impairing our ability to protect our existing and future products.</w:t>
      </w:r>
    </w:p>
    <w:p>
      <w:pPr>
        <w:spacing w:after="0" w:line="122" w:lineRule="exact"/>
        <w:rPr>
          <w:sz w:val="20"/>
          <w:szCs w:val="20"/>
          <w:color w:val="auto"/>
        </w:rPr>
      </w:pPr>
    </w:p>
    <w:p>
      <w:pPr>
        <w:jc w:val="both"/>
        <w:ind w:firstLine="301"/>
        <w:spacing w:after="0" w:line="231" w:lineRule="auto"/>
        <w:rPr>
          <w:sz w:val="20"/>
          <w:szCs w:val="20"/>
          <w:color w:val="auto"/>
        </w:rPr>
      </w:pPr>
      <w:r>
        <w:rPr>
          <w:rFonts w:ascii="Times New Roman" w:cs="Times New Roman" w:eastAsia="Times New Roman" w:hAnsi="Times New Roman"/>
          <w:sz w:val="12"/>
          <w:szCs w:val="12"/>
          <w:color w:val="auto"/>
        </w:rPr>
        <w:t>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0"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7" w:name="page48"/>
    <w:bookmarkEnd w:id="47"/>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never receive regulatory approval or clearance, including that from the FDA, for any of our planned products.</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may never receive regulatory approval or clearance, including from the FDA, for any potential devices or products in the U.S. or in any foreign market. For example, during September 2017, we withdrew our application seeking clearance of our system for soft tissue ablation. In addition, in connection with the 510(k) we submitted to the FDA seeking clearance to commercialize our CellFX System,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We may be required to seek FDA approval through the de novo pathway for our CellFX System, which will require additional clinical data, resources and time.</w:t>
      </w:r>
    </w:p>
    <w:p>
      <w:pPr>
        <w:spacing w:after="0" w:line="97"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will be subject to stringent domestic and foreign regulation in respect of any potential devices and products. Any unfavorable regulatory action may materially and adversely affect our future financial condition and business operations and prospects.</w:t>
      </w:r>
    </w:p>
    <w:p>
      <w:pPr>
        <w:spacing w:after="0" w:line="85" w:lineRule="exact"/>
        <w:rPr>
          <w:sz w:val="20"/>
          <w:szCs w:val="20"/>
          <w:color w:val="auto"/>
        </w:rPr>
      </w:pPr>
    </w:p>
    <w:p>
      <w:pPr>
        <w:jc w:val="both"/>
        <w:ind w:right="20" w:firstLine="301"/>
        <w:spacing w:after="0" w:line="237" w:lineRule="auto"/>
        <w:rPr>
          <w:sz w:val="20"/>
          <w:szCs w:val="20"/>
          <w:color w:val="auto"/>
        </w:rPr>
      </w:pPr>
      <w:r>
        <w:rPr>
          <w:rFonts w:ascii="Times New Roman" w:cs="Times New Roman" w:eastAsia="Times New Roman" w:hAnsi="Times New Roman"/>
          <w:sz w:val="12"/>
          <w:szCs w:val="12"/>
          <w:color w:val="auto"/>
        </w:rPr>
        <w:t>Our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take a significant, indeterminate amount of time;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require the expenditure of substantial resources;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involve rigorous pre-clinical and clinical testing, and possibly post-market surveillance;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involve modifications, repairs or replacements of our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require design changes of our products;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result in limitations on the indicated uses of our products; and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result in our never being granted the regulatory approval or clearance we seek.</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If we experience any of these occurrences, our operations may suffer, we might experience harm to our competitive standing and result in further losses that adversely affect our financial condition. For example, the receipt of the NSE letter from the FDA indicating failure to obtain 510(k) clearance on our February 2019 submission has added significant time and expense to our regulatory clearance process (including additional expense that we will incur in preparing a new 510(k) submission), has delayed our ability to generate revenue, and has had a negative impact on our stock price.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8" w:name="page49"/>
    <w:bookmarkEnd w:id="48"/>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jc w:val="both"/>
        <w:ind w:firstLine="301"/>
        <w:spacing w:after="0" w:line="231" w:lineRule="auto"/>
        <w:rPr>
          <w:sz w:val="20"/>
          <w:szCs w:val="20"/>
          <w:color w:val="auto"/>
        </w:rPr>
      </w:pPr>
      <w:r>
        <w:rPr>
          <w:rFonts w:ascii="Times New Roman" w:cs="Times New Roman" w:eastAsia="Times New Roman" w:hAnsi="Times New Roman"/>
          <w:sz w:val="12"/>
          <w:szCs w:val="12"/>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continuing development of our CellFX System and other products depends upon maintaining strong working relationships with physicians.</w:t>
      </w:r>
    </w:p>
    <w:p>
      <w:pPr>
        <w:spacing w:after="0" w:line="122" w:lineRule="exact"/>
        <w:rPr>
          <w:sz w:val="20"/>
          <w:szCs w:val="20"/>
          <w:color w:val="auto"/>
        </w:rPr>
      </w:pPr>
    </w:p>
    <w:p>
      <w:pPr>
        <w:jc w:val="both"/>
        <w:ind w:firstLine="274"/>
        <w:spacing w:after="0"/>
        <w:rPr>
          <w:sz w:val="20"/>
          <w:szCs w:val="20"/>
          <w:color w:val="auto"/>
        </w:rPr>
      </w:pPr>
      <w:r>
        <w:rPr>
          <w:rFonts w:ascii="Times New Roman" w:cs="Times New Roman" w:eastAsia="Times New Roman" w:hAnsi="Times New Roman"/>
          <w:sz w:val="12"/>
          <w:szCs w:val="12"/>
          <w:color w:val="auto"/>
        </w:rPr>
        <w:t>The development, marketing, and sale of our products in development, including the CellFX System,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203"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85" w:lineRule="exact"/>
        <w:rPr>
          <w:sz w:val="20"/>
          <w:szCs w:val="20"/>
          <w:color w:val="auto"/>
        </w:rPr>
      </w:pPr>
    </w:p>
    <w:p>
      <w:pPr>
        <w:jc w:val="both"/>
        <w:ind w:right="20" w:firstLine="301"/>
        <w:spacing w:after="0" w:line="237" w:lineRule="auto"/>
        <w:rPr>
          <w:sz w:val="20"/>
          <w:szCs w:val="20"/>
          <w:color w:val="auto"/>
        </w:rPr>
      </w:pPr>
      <w:r>
        <w:rPr>
          <w:rFonts w:ascii="Times New Roman" w:cs="Times New Roman" w:eastAsia="Times New Roman" w:hAnsi="Times New Roman"/>
          <w:sz w:val="12"/>
          <w:szCs w:val="12"/>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01" w:lineRule="exact"/>
        <w:rPr>
          <w:sz w:val="20"/>
          <w:szCs w:val="20"/>
          <w:color w:val="auto"/>
        </w:rPr>
      </w:pPr>
    </w:p>
    <w:p>
      <w:pPr>
        <w:jc w:val="both"/>
        <w:ind w:left="440" w:right="20"/>
        <w:spacing w:after="0" w:line="235" w:lineRule="auto"/>
        <w:rPr>
          <w:sz w:val="20"/>
          <w:szCs w:val="20"/>
          <w:color w:val="auto"/>
        </w:rPr>
      </w:pPr>
      <w:r>
        <w:rPr>
          <w:rFonts w:ascii="Times New Roman" w:cs="Times New Roman" w:eastAsia="Times New Roman" w:hAnsi="Times New Roman"/>
          <w:sz w:val="12"/>
          <w:szCs w:val="12"/>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In addition, the government may assert that a claim including items or services resulting from a violation of the U.S. federal Anti-Kickback Statute constitutes a false or fraudulent claim for purposes of the civil False Claims Act;</w:t>
      </w:r>
    </w:p>
    <w:p>
      <w:pPr>
        <w:spacing w:after="0" w:line="99" w:lineRule="exact"/>
        <w:rPr>
          <w:sz w:val="20"/>
          <w:szCs w:val="20"/>
          <w:color w:val="auto"/>
        </w:rPr>
      </w:pPr>
    </w:p>
    <w:p>
      <w:pPr>
        <w:jc w:val="both"/>
        <w:ind w:left="440" w:right="20"/>
        <w:spacing w:after="0"/>
        <w:rPr>
          <w:sz w:val="20"/>
          <w:szCs w:val="20"/>
          <w:color w:val="auto"/>
        </w:rPr>
      </w:pPr>
      <w:r>
        <w:rPr>
          <w:rFonts w:ascii="Times New Roman" w:cs="Times New Roman" w:eastAsia="Times New Roman" w:hAnsi="Times New Roman"/>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9" w:name="page50"/>
    <w:bookmarkEnd w:id="49"/>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3" w:lineRule="exact"/>
        <w:rPr>
          <w:sz w:val="20"/>
          <w:szCs w:val="20"/>
          <w:color w:val="auto"/>
        </w:rPr>
      </w:pPr>
    </w:p>
    <w:p>
      <w:pPr>
        <w:jc w:val="both"/>
        <w:ind w:left="440"/>
        <w:spacing w:after="0" w:line="243" w:lineRule="auto"/>
        <w:rPr>
          <w:sz w:val="20"/>
          <w:szCs w:val="20"/>
          <w:color w:val="auto"/>
        </w:rPr>
      </w:pPr>
      <w:r>
        <w:rPr>
          <w:rFonts w:ascii="Times New Roman" w:cs="Times New Roman" w:eastAsia="Times New Roman" w:hAnsi="Times New Roman"/>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7" w:lineRule="exact"/>
        <w:rPr>
          <w:sz w:val="20"/>
          <w:szCs w:val="20"/>
          <w:color w:val="auto"/>
        </w:rPr>
      </w:pPr>
    </w:p>
    <w:p>
      <w:pPr>
        <w:jc w:val="both"/>
        <w:ind w:left="440"/>
        <w:spacing w:after="0" w:line="243" w:lineRule="auto"/>
        <w:rPr>
          <w:sz w:val="20"/>
          <w:szCs w:val="20"/>
          <w:color w:val="auto"/>
        </w:rPr>
      </w:pPr>
      <w:r>
        <w:rPr>
          <w:rFonts w:ascii="Times New Roman" w:cs="Times New Roman" w:eastAsia="Times New Roman" w:hAnsi="Times New Roman"/>
          <w:sz w:val="12"/>
          <w:szCs w:val="12"/>
          <w:color w:val="auto"/>
        </w:rPr>
        <w:t>HIPAA, as amended by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97" w:lineRule="exact"/>
        <w:rPr>
          <w:sz w:val="20"/>
          <w:szCs w:val="20"/>
          <w:color w:val="auto"/>
        </w:rPr>
      </w:pPr>
    </w:p>
    <w:p>
      <w:pPr>
        <w:jc w:val="both"/>
        <w:ind w:left="440" w:right="20"/>
        <w:spacing w:after="0" w:line="237" w:lineRule="auto"/>
        <w:rPr>
          <w:sz w:val="20"/>
          <w:szCs w:val="20"/>
          <w:color w:val="auto"/>
        </w:rPr>
      </w:pPr>
      <w:r>
        <w:rPr>
          <w:rFonts w:ascii="Times New Roman" w:cs="Times New Roman" w:eastAsia="Times New Roman" w:hAnsi="Times New Roman"/>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01" w:lineRule="exact"/>
        <w:rPr>
          <w:sz w:val="20"/>
          <w:szCs w:val="20"/>
          <w:color w:val="auto"/>
        </w:rPr>
      </w:pPr>
    </w:p>
    <w:p>
      <w:pPr>
        <w:jc w:val="both"/>
        <w:ind w:left="440"/>
        <w:spacing w:after="0" w:line="243" w:lineRule="auto"/>
        <w:rPr>
          <w:sz w:val="20"/>
          <w:szCs w:val="20"/>
          <w:color w:val="auto"/>
        </w:rPr>
      </w:pPr>
      <w:r>
        <w:rPr>
          <w:rFonts w:ascii="Times New Roman" w:cs="Times New Roman" w:eastAsia="Times New Roman" w:hAnsi="Times New Roman"/>
          <w:sz w:val="12"/>
          <w:szCs w:val="12"/>
          <w:color w:val="auto"/>
        </w:rPr>
        <w:t>the CCPA, which went into effect in January 2020,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to incur substantial costs and expenses in an effort to comply;</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federal consumer protection and unfair competition laws, which broadly regulate marketplace activities and activities that potentially harm consumers; and</w:t>
      </w:r>
    </w:p>
    <w:p>
      <w:pPr>
        <w:spacing w:after="0" w:line="120" w:lineRule="exact"/>
        <w:rPr>
          <w:sz w:val="20"/>
          <w:szCs w:val="20"/>
          <w:color w:val="auto"/>
        </w:rPr>
      </w:pPr>
    </w:p>
    <w:p>
      <w:pPr>
        <w:jc w:val="both"/>
        <w:ind w:left="440"/>
        <w:spacing w:after="0" w:line="233" w:lineRule="auto"/>
        <w:rPr>
          <w:sz w:val="20"/>
          <w:szCs w:val="20"/>
          <w:color w:val="auto"/>
        </w:rPr>
      </w:pPr>
      <w:r>
        <w:rPr>
          <w:rFonts w:ascii="Times New Roman" w:cs="Times New Roman" w:eastAsia="Times New Roman" w:hAnsi="Times New Roman"/>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0"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We have implemented a compliance program to help identify and deter healthcare violations by employees and other third parties that perform services for us. Notwithstanding our efforts, it is possible that governmental authorities may conclude that our business practices do not comply with current or future statutes, regulations, agency guidance or case law involving applicable healthcare laws. In addition, we are subject to the risk that a person or government could allege violations of such laws, regulations and other obligations, or that fraud or other misconduct has taken place, even if none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0" w:name="page51"/>
    <w:bookmarkEnd w:id="50"/>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To obtain the necessary device approvals or clearances from regulatory authorities for our product candidates, we will have to conduct various pre-clinical and clinical tests, which may be costly and time consuming, and may not provide results that will allow us to seek regulatory approval or clearance.</w:t>
      </w:r>
    </w:p>
    <w:p>
      <w:pPr>
        <w:spacing w:after="0" w:line="85"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U.S., Canada, Europe and other countries where medical devices and products are regulated, can delay, limit or deny approval of a product for many reasons. For example, regulatory agencies: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may not deem a technology or device to be reasonably safe or effective for any intended use or indication;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may interpret data from pre-clinical and clinical testing differently than we do;</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may determine our manufacturing facility or processes do not comply with Quality System regulations;</w:t>
      </w:r>
    </w:p>
    <w:p>
      <w:pPr>
        <w:spacing w:after="0" w:line="379" w:lineRule="exact"/>
        <w:rPr>
          <w:sz w:val="20"/>
          <w:szCs w:val="20"/>
          <w:color w:val="auto"/>
        </w:rPr>
      </w:pPr>
    </w:p>
    <w:p>
      <w:pPr>
        <w:ind w:left="440" w:right="2520"/>
        <w:spacing w:after="0" w:line="449" w:lineRule="auto"/>
        <w:rPr>
          <w:sz w:val="20"/>
          <w:szCs w:val="20"/>
          <w:color w:val="auto"/>
        </w:rPr>
      </w:pPr>
      <w:r>
        <w:rPr>
          <w:rFonts w:ascii="Times New Roman" w:cs="Times New Roman" w:eastAsia="Times New Roman" w:hAnsi="Times New Roman"/>
          <w:sz w:val="12"/>
          <w:szCs w:val="12"/>
          <w:color w:val="auto"/>
        </w:rPr>
        <w:t>may conclude that our device does not meet quality standards for durability, long-term reliability, biocompatibility, electromagnetic compatibility, or electrical safety; and may change their approval or clearance policies or adopt new regulations.</w:t>
      </w: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FDA may make requests or disagree with us regarding the design or conduct of our clinical trials, resulting in an increased risk of difficulties or delays in obtaining regulatory approval or clearance in the U.S. and increased costs. For example,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providing additional clinical data as required.</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22" w:lineRule="exact"/>
        <w:rPr>
          <w:sz w:val="20"/>
          <w:szCs w:val="20"/>
          <w:color w:val="auto"/>
        </w:rPr>
      </w:pPr>
    </w:p>
    <w:p>
      <w:pPr>
        <w:jc w:val="both"/>
        <w:ind w:right="20" w:firstLine="301"/>
        <w:spacing w:after="0" w:line="235" w:lineRule="auto"/>
        <w:rPr>
          <w:sz w:val="20"/>
          <w:szCs w:val="20"/>
          <w:color w:val="auto"/>
        </w:rPr>
      </w:pPr>
      <w:r>
        <w:rPr>
          <w:rFonts w:ascii="Times New Roman" w:cs="Times New Roman" w:eastAsia="Times New Roman" w:hAnsi="Times New Roman"/>
          <w:sz w:val="12"/>
          <w:szCs w:val="12"/>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22"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We, as well as any potential third-party manufacturer, will be required to adhere to FDA Quality System, which include testing, control, and documentation requirements. We will be subject to similar regulations in foreign countries. Even if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will limit our ability to operate and could increase our costs.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1" w:name="page52"/>
    <w:bookmarkEnd w:id="51"/>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Any failure or delay in completing clinical trials or studies for our devices and products and the expense of those trials may adversely affect our business.</w:t>
      </w:r>
    </w:p>
    <w:p>
      <w:pPr>
        <w:spacing w:after="0" w:line="122" w:lineRule="exact"/>
        <w:rPr>
          <w:sz w:val="20"/>
          <w:szCs w:val="20"/>
          <w:color w:val="auto"/>
        </w:rPr>
      </w:pPr>
    </w:p>
    <w:p>
      <w:pPr>
        <w:jc w:val="both"/>
        <w:ind w:firstLine="301"/>
        <w:spacing w:after="0" w:line="229" w:lineRule="auto"/>
        <w:rPr>
          <w:sz w:val="20"/>
          <w:szCs w:val="20"/>
          <w:color w:val="auto"/>
        </w:rPr>
      </w:pPr>
      <w:r>
        <w:rPr>
          <w:rFonts w:ascii="Times New Roman" w:cs="Times New Roman" w:eastAsia="Times New Roman" w:hAnsi="Times New Roman"/>
          <w:sz w:val="12"/>
          <w:szCs w:val="12"/>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w:t>
      </w:r>
    </w:p>
    <w:p>
      <w:pPr>
        <w:spacing w:after="0" w:line="102" w:lineRule="exact"/>
        <w:rPr>
          <w:sz w:val="20"/>
          <w:szCs w:val="20"/>
          <w:color w:val="auto"/>
        </w:rPr>
      </w:pPr>
    </w:p>
    <w:p>
      <w:pPr>
        <w:jc w:val="both"/>
        <w:ind w:right="20" w:firstLine="301"/>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245"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22"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00"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2" w:name="page53"/>
    <w:bookmarkEnd w:id="52"/>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Healthcare policy changes, including recent federal legislation to reform the U.S. healthcare system, may have a material adverse effect on us.</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the government,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9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U.S. that began on January 1, 2013. The excise tax was suspended for a two year period beginning January 1, 2016 and was further suspended through December 31, 2019. In December 2019, this excise tax was permanently repealed, effective after December 31, 2019.</w:t>
      </w:r>
    </w:p>
    <w:p>
      <w:pPr>
        <w:spacing w:after="0" w:line="97"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On January 2, 2013, the American Taxpayer Relief Act of 2012,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97"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U.S. may have on our business.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53" w:name="page54"/>
    <w:bookmarkEnd w:id="53"/>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Owning Our Common Stock</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2" w:lineRule="exact"/>
        <w:rPr>
          <w:sz w:val="20"/>
          <w:szCs w:val="20"/>
          <w:color w:val="auto"/>
        </w:rPr>
      </w:pPr>
    </w:p>
    <w:p>
      <w:pPr>
        <w:ind w:firstLine="301"/>
        <w:spacing w:after="0" w:line="262" w:lineRule="auto"/>
        <w:rPr>
          <w:sz w:val="20"/>
          <w:szCs w:val="20"/>
          <w:color w:val="auto"/>
        </w:rPr>
      </w:pPr>
      <w:r>
        <w:rPr>
          <w:rFonts w:ascii="Times New Roman" w:cs="Times New Roman" w:eastAsia="Times New Roman" w:hAnsi="Times New Roman"/>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results of clinical trials of our planned products or those of our competitors;</w:t>
      </w:r>
    </w:p>
    <w:p>
      <w:pPr>
        <w:spacing w:after="0" w:line="120" w:lineRule="exact"/>
        <w:rPr>
          <w:sz w:val="20"/>
          <w:szCs w:val="20"/>
          <w:color w:val="auto"/>
        </w:rPr>
      </w:pPr>
    </w:p>
    <w:p>
      <w:pPr>
        <w:ind w:left="440" w:right="1660"/>
        <w:spacing w:after="0" w:line="449" w:lineRule="auto"/>
        <w:rPr>
          <w:sz w:val="20"/>
          <w:szCs w:val="20"/>
          <w:color w:val="auto"/>
        </w:rPr>
      </w:pPr>
      <w:r>
        <w:rPr>
          <w:rFonts w:ascii="Times New Roman" w:cs="Times New Roman" w:eastAsia="Times New Roman" w:hAnsi="Times New Roman"/>
          <w:sz w:val="12"/>
          <w:szCs w:val="12"/>
          <w:color w:val="auto"/>
        </w:rPr>
        <w:t>actions by regulatory bodies, such as the FDA, that affect our business or have the effect of delaying or rejecting approval or clearance of our planned products such as the CellFX System; actual or anticipated fluctuations in our financial condition and operating results;</w:t>
      </w:r>
    </w:p>
    <w:p>
      <w:pPr>
        <w:ind w:left="440" w:right="4660"/>
        <w:spacing w:after="0" w:line="449" w:lineRule="auto"/>
        <w:rPr>
          <w:sz w:val="20"/>
          <w:szCs w:val="20"/>
          <w:color w:val="auto"/>
        </w:rPr>
      </w:pPr>
      <w:r>
        <w:rPr>
          <w:rFonts w:ascii="Times New Roman" w:cs="Times New Roman" w:eastAsia="Times New Roman" w:hAnsi="Times New Roman"/>
          <w:sz w:val="12"/>
          <w:szCs w:val="12"/>
          <w:color w:val="auto"/>
        </w:rPr>
        <w:t>announcements by our customers, partners or suppliers relating directly or indirectly to our products, services or technologies; announcements of technological innovations by us or our competitors; changes in laws or regulations applicable to our planned products;</w:t>
      </w:r>
    </w:p>
    <w:p>
      <w:pPr>
        <w:ind w:left="440" w:right="2580"/>
        <w:spacing w:after="0" w:line="449" w:lineRule="auto"/>
        <w:rPr>
          <w:sz w:val="20"/>
          <w:szCs w:val="20"/>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capital commitments or achievement of significant milestones; additions or departures of key personnel;</w:t>
      </w:r>
    </w:p>
    <w:p>
      <w:pPr>
        <w:ind w:left="440"/>
        <w:spacing w:after="0"/>
        <w:rPr>
          <w:sz w:val="20"/>
          <w:szCs w:val="20"/>
          <w:color w:val="auto"/>
        </w:rPr>
      </w:pPr>
      <w:r>
        <w:rPr>
          <w:rFonts w:ascii="Times New Roman" w:cs="Times New Roman" w:eastAsia="Times New Roman" w:hAnsi="Times New Roman"/>
          <w:sz w:val="12"/>
          <w:szCs w:val="12"/>
          <w:color w:val="auto"/>
        </w:rPr>
        <w:t>competition from existing products or new products that may emerge;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120" w:lineRule="exact"/>
        <w:rPr>
          <w:sz w:val="20"/>
          <w:szCs w:val="20"/>
          <w:color w:val="auto"/>
        </w:rPr>
      </w:pPr>
    </w:p>
    <w:p>
      <w:pPr>
        <w:ind w:left="440" w:right="2400"/>
        <w:spacing w:after="0" w:line="449" w:lineRule="auto"/>
        <w:rPr>
          <w:sz w:val="20"/>
          <w:szCs w:val="20"/>
          <w:color w:val="auto"/>
        </w:rPr>
      </w:pPr>
      <w:r>
        <w:rPr>
          <w:rFonts w:ascii="Times New Roman" w:cs="Times New Roman" w:eastAsia="Times New Roman" w:hAnsi="Times New Roman"/>
          <w:sz w:val="12"/>
          <w:szCs w:val="12"/>
          <w:color w:val="auto"/>
        </w:rPr>
        <w:t>disputes or other developments related to proprietary rights, including patents, litigation matters or our ability to obtain intellectual property protection for our technologies; actual or alleged security breaches;</w:t>
      </w:r>
    </w:p>
    <w:p>
      <w:pPr>
        <w:ind w:left="440"/>
        <w:spacing w:after="0"/>
        <w:rPr>
          <w:sz w:val="20"/>
          <w:szCs w:val="20"/>
          <w:color w:val="auto"/>
        </w:rPr>
      </w:pPr>
      <w:r>
        <w:rPr>
          <w:rFonts w:ascii="Times New Roman" w:cs="Times New Roman" w:eastAsia="Times New Roman" w:hAnsi="Times New Roman"/>
          <w:sz w:val="12"/>
          <w:szCs w:val="12"/>
          <w:color w:val="auto"/>
        </w:rPr>
        <w:t>announcements or expectations of additional financing efforts;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sales of our common stock by us or our stockholders;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stock price and volume fluctuations attributable to inconsistent trading volume levels of our shares;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reports, guidance and ratings issued by securities or industry analysts;</w:t>
      </w:r>
    </w:p>
    <w:p>
      <w:pPr>
        <w:spacing w:after="0" w:line="120" w:lineRule="exact"/>
        <w:rPr>
          <w:sz w:val="20"/>
          <w:szCs w:val="20"/>
          <w:color w:val="auto"/>
        </w:rPr>
      </w:pPr>
    </w:p>
    <w:p>
      <w:pPr>
        <w:ind w:left="440" w:right="4420"/>
        <w:spacing w:after="0" w:line="449" w:lineRule="auto"/>
        <w:rPr>
          <w:sz w:val="20"/>
          <w:szCs w:val="20"/>
          <w:color w:val="auto"/>
        </w:rPr>
      </w:pPr>
      <w:r>
        <w:rPr>
          <w:rFonts w:ascii="Times New Roman" w:cs="Times New Roman" w:eastAsia="Times New Roman" w:hAnsi="Times New Roman"/>
          <w:sz w:val="12"/>
          <w:szCs w:val="12"/>
          <w:color w:val="auto"/>
        </w:rPr>
        <w:t>overall conditions in our industry and market including the negative impact of COVID-19 on the global economy and markets; and general economic and market conditions.</w:t>
      </w: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4" w:name="page55"/>
    <w:bookmarkEnd w:id="54"/>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4"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Sales or purchases of shares of our common stock may adversely affect the market for our common stock.</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0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may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ownership by our principal stockholder may limit your ability to influence the outcome of director elections and other transactions requiring stockholder approval</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significant percentage of our outstanding stock is held by Robert W. Duggan, Chairman of our board of directors, who beneficially owns approximately 47% of our common stock outstanding as of the date of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Quarterly Report. As a result, Mr. Duggan has significant influence over corporate actions requiring stockholder approval, including the following actions:</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to elect or defeat the election of our directors;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to amend or prevent amendment of our certificate of incorporation or bylaws;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to effect or prevent a merger, sale of assets or other corporate transaction; and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to control the outcome of any other matter submitted to our stockholders for vote.</w:t>
      </w:r>
    </w:p>
    <w:p>
      <w:pPr>
        <w:spacing w:after="0" w:line="120"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Mr. Duggan’s stock ownership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If this were to occur, we would be considered a “controlled” company under the Nasdaq rules and would be exempt from the obligation to comply with certain Nasdaq corporate governance requirements.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5" w:name="page56"/>
    <w:bookmarkEnd w:id="55"/>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3" w:lineRule="exact"/>
        <w:rPr>
          <w:sz w:val="20"/>
          <w:szCs w:val="20"/>
          <w:color w:val="auto"/>
        </w:rPr>
      </w:pPr>
    </w:p>
    <w:p>
      <w:pPr>
        <w:ind w:left="20" w:firstLine="270"/>
        <w:spacing w:after="0" w:line="262" w:lineRule="auto"/>
        <w:rPr>
          <w:sz w:val="20"/>
          <w:szCs w:val="20"/>
          <w:color w:val="auto"/>
        </w:rPr>
      </w:pPr>
      <w:r>
        <w:rPr>
          <w:rFonts w:ascii="Times New Roman" w:cs="Times New Roman" w:eastAsia="Times New Roman" w:hAnsi="Times New Roman"/>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84" w:lineRule="exact"/>
        <w:rPr>
          <w:sz w:val="20"/>
          <w:szCs w:val="20"/>
          <w:color w:val="auto"/>
        </w:rPr>
      </w:pPr>
    </w:p>
    <w:p>
      <w:pPr>
        <w:jc w:val="both"/>
        <w:ind w:right="20" w:firstLine="301"/>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Robert W. Duggan’s significant ownership position may impact our stock price and may deter or prevent efforts by other companies to acquire us, which could prevent our stockholders from realizing a control premium.</w:t>
      </w:r>
    </w:p>
    <w:p>
      <w:pPr>
        <w:spacing w:after="0" w:line="245"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Robert W. Duggan is the Chairman of our board of directors, and beneficially owns approximately 47%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significant ownership and position as Chairman of the board of directors,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As a public company, listed in the U.S.,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97"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99"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Chairman of our board of directors, have entered into a letter agreement pursuant to which Mr. Duggan has agreed with us to personally provide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22"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6" w:name="page57"/>
    <w:bookmarkEnd w:id="56"/>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not paid dividends in the past and have no plans to pay dividends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95"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85"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97" w:lineRule="exact"/>
        <w:rPr>
          <w:sz w:val="20"/>
          <w:szCs w:val="20"/>
          <w:color w:val="auto"/>
        </w:rPr>
      </w:pPr>
    </w:p>
    <w:p>
      <w:pPr>
        <w:ind w:left="440" w:right="20"/>
        <w:spacing w:after="0" w:line="251" w:lineRule="auto"/>
        <w:rPr>
          <w:sz w:val="20"/>
          <w:szCs w:val="20"/>
          <w:color w:val="auto"/>
        </w:rPr>
      </w:pPr>
      <w:r>
        <w:rPr>
          <w:rFonts w:ascii="Times New Roman" w:cs="Times New Roman" w:eastAsia="Times New Roman" w:hAnsi="Times New Roman"/>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require that any action to be taken by our stockholders be effected at a duly called annual or special meeting and not by written consent;</w:t>
      </w:r>
    </w:p>
    <w:p>
      <w:pPr>
        <w:spacing w:after="0" w:line="120"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establish an advance notice procedure for stockholder approvals to be brought before an annual meeting of our stockholders, including proposed nominations of persons for election to our board of directors;</w:t>
      </w:r>
    </w:p>
    <w:p>
      <w:pPr>
        <w:spacing w:after="0" w:line="120"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2"/>
          <w:szCs w:val="12"/>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ability of our board of directors by majority vote, to amend the bylaws; and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provide that vacancies on our board of directors may be filled only by a majority of directors then in office, even though less than a quorum.</w:t>
      </w:r>
    </w:p>
    <w:p>
      <w:pPr>
        <w:spacing w:after="0" w:line="120"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7" w:name="page58"/>
    <w:bookmarkEnd w:id="57"/>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General Risk Factors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Unfavorable global economic or political conditions could adversely affect our business, financial condition or results of operations.</w:t>
      </w:r>
    </w:p>
    <w:p>
      <w:pPr>
        <w:spacing w:after="0" w:line="122"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9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85"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Generally Accepted Accounting Principles.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99"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In connection with the preparation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01" w:lineRule="exact"/>
        <w:rPr>
          <w:sz w:val="20"/>
          <w:szCs w:val="20"/>
          <w:color w:val="auto"/>
        </w:rPr>
      </w:pPr>
    </w:p>
    <w:p>
      <w:pPr>
        <w:jc w:val="both"/>
        <w:ind w:firstLine="301"/>
        <w:spacing w:after="0" w:line="232" w:lineRule="auto"/>
        <w:rPr>
          <w:sz w:val="20"/>
          <w:szCs w:val="20"/>
          <w:color w:val="auto"/>
        </w:rPr>
      </w:pPr>
      <w:r>
        <w:rPr>
          <w:rFonts w:ascii="Times New Roman" w:cs="Times New Roman" w:eastAsia="Times New Roman" w:hAnsi="Times New Roman"/>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8" w:name="page59"/>
    <w:bookmarkEnd w:id="58"/>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litigation that may materially adversely affect us.</w:t>
      </w:r>
    </w:p>
    <w:p>
      <w:pPr>
        <w:spacing w:after="0" w:line="122" w:lineRule="exact"/>
        <w:rPr>
          <w:sz w:val="20"/>
          <w:szCs w:val="20"/>
          <w:color w:val="auto"/>
        </w:rPr>
      </w:pPr>
    </w:p>
    <w:p>
      <w:pPr>
        <w:jc w:val="both"/>
        <w:ind w:firstLine="301"/>
        <w:spacing w:after="0" w:line="233" w:lineRule="auto"/>
        <w:rPr>
          <w:sz w:val="20"/>
          <w:szCs w:val="20"/>
          <w:color w:val="auto"/>
        </w:rPr>
      </w:pPr>
      <w:r>
        <w:rPr>
          <w:rFonts w:ascii="Times New Roman" w:cs="Times New Roman" w:eastAsia="Times New Roman" w:hAnsi="Times New Roman"/>
          <w:sz w:val="12"/>
          <w:szCs w:val="12"/>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adversely affected by health epidemics including the coronavirus pandemic.</w:t>
      </w:r>
    </w:p>
    <w:p>
      <w:pPr>
        <w:spacing w:after="0" w:line="122" w:lineRule="exact"/>
        <w:rPr>
          <w:sz w:val="20"/>
          <w:szCs w:val="20"/>
          <w:color w:val="auto"/>
        </w:rPr>
      </w:pPr>
    </w:p>
    <w:p>
      <w:pPr>
        <w:jc w:val="both"/>
        <w:ind w:firstLine="301"/>
        <w:spacing w:after="0" w:line="262" w:lineRule="auto"/>
        <w:rPr>
          <w:sz w:val="20"/>
          <w:szCs w:val="20"/>
          <w:color w:val="auto"/>
        </w:rPr>
      </w:pPr>
      <w:r>
        <w:rPr>
          <w:rFonts w:ascii="Times New Roman" w:cs="Times New Roman" w:eastAsia="Times New Roman" w:hAnsi="Times New Roman"/>
          <w:sz w:val="12"/>
          <w:szCs w:val="12"/>
          <w:color w:val="auto"/>
        </w:rPr>
        <w:t>The COVID-19 pandemic has resulted in government authorities implementing numerous measures to try to contain the virus, such as travel bans and restrictions, quarantines, shelter-in-place or stay-at-home orders, and business shutdowns.</w:t>
      </w:r>
    </w:p>
    <w:p>
      <w:pPr>
        <w:spacing w:after="0" w:line="86"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or working with other remote employees,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01"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In addition,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has and will continue to adversely affect global economies and financial markets of many countries,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could harm our business and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w:t>
      </w:r>
    </w:p>
    <w:p>
      <w:pPr>
        <w:spacing w:after="0" w:line="203"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85"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9" w:name="page60"/>
    <w:bookmarkEnd w:id="59"/>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85"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223"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for up to five years from our IPO in 2016, although we will lose that status sooner if our revenues exceed $1.07 billion, if we issue more than $1.0 billion in non-convertible debt in a three-year period, or if the market value of our common stock that is held by non-affiliates exceeds $700 million as of June 30.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 Upon Senior Securities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7550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0" w:name="page61"/>
    <w:bookmarkEnd w:id="60"/>
    <w:p>
      <w:pPr>
        <w:ind w:left="6"/>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3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52" w:lineRule="exact"/>
        <w:rPr>
          <w:sz w:val="20"/>
          <w:szCs w:val="20"/>
          <w:color w:val="auto"/>
        </w:rPr>
      </w:pPr>
    </w:p>
    <w:tbl>
      <w:tblPr>
        <w:tblLayout w:type="fixed"/>
        <w:tblInd w:w="6" w:type="dxa"/>
        <w:tblCellMar>
          <w:top w:w="0" w:type="dxa"/>
          <w:left w:w="0" w:type="dxa"/>
          <w:bottom w:w="0" w:type="dxa"/>
          <w:right w:w="0" w:type="dxa"/>
        </w:tblCellMar>
      </w:tblPr>
      <w:tr>
        <w:trPr>
          <w:trHeight w:val="103"/>
        </w:trPr>
        <w:tc>
          <w:tcPr>
            <w:tcW w:w="11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012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Exhibit Description</w:t>
            </w:r>
          </w:p>
        </w:tc>
        <w:tc>
          <w:tcPr>
            <w:tcW w:w="0" w:type="dxa"/>
            <w:vAlign w:val="bottom"/>
          </w:tcPr>
          <w:p>
            <w:pPr>
              <w:spacing w:after="0"/>
              <w:rPr>
                <w:sz w:val="1"/>
                <w:szCs w:val="1"/>
                <w:color w:val="auto"/>
              </w:rPr>
            </w:pPr>
          </w:p>
        </w:tc>
      </w:tr>
      <w:tr>
        <w:trPr>
          <w:trHeight w:val="111"/>
        </w:trPr>
        <w:tc>
          <w:tcPr>
            <w:tcW w:w="11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Number</w:t>
            </w:r>
          </w:p>
        </w:tc>
        <w:tc>
          <w:tcPr>
            <w:tcW w:w="10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Borders>
              <w:top w:val="single" w:sz="8" w:color="auto"/>
            </w:tcBorders>
            <w:shd w:val="clear" w:color="auto" w:fill="CCEEFF"/>
          </w:tcPr>
          <w:p>
            <w:pPr>
              <w:spacing w:after="0" w:line="118" w:lineRule="exact"/>
              <w:rPr>
                <w:rFonts w:ascii="Times New Roman" w:cs="Times New Roman" w:eastAsia="Times New Roman" w:hAnsi="Times New Roman"/>
                <w:sz w:val="12"/>
                <w:szCs w:val="12"/>
                <w:u w:val="single" w:color="auto"/>
                <w:color w:val="0563C1"/>
              </w:rPr>
            </w:pPr>
            <w:hyperlink w:anchor="page63">
              <w:r>
                <w:rPr>
                  <w:rFonts w:ascii="Times New Roman" w:cs="Times New Roman" w:eastAsia="Times New Roman" w:hAnsi="Times New Roman"/>
                  <w:sz w:val="12"/>
                  <w:szCs w:val="12"/>
                  <w:u w:val="single" w:color="auto"/>
                  <w:color w:val="0563C1"/>
                </w:rPr>
                <w:t>31.1</w:t>
              </w:r>
            </w:hyperlink>
          </w:p>
        </w:tc>
        <w:tc>
          <w:tcPr>
            <w:tcW w:w="180" w:type="dxa"/>
            <w:vAlign w:val="bottom"/>
            <w:tcBorders>
              <w:top w:val="single" w:sz="8" w:color="CCEEFF"/>
            </w:tcBorders>
            <w:shd w:val="clear" w:color="auto" w:fill="CCEEFF"/>
          </w:tcPr>
          <w:p>
            <w:pPr>
              <w:spacing w:after="0"/>
              <w:rPr>
                <w:sz w:val="10"/>
                <w:szCs w:val="10"/>
                <w:color w:val="auto"/>
              </w:rPr>
            </w:pPr>
          </w:p>
        </w:tc>
        <w:tc>
          <w:tcPr>
            <w:tcW w:w="10120" w:type="dxa"/>
            <w:vAlign w:val="bottom"/>
            <w:tcBorders>
              <w:top w:val="single" w:sz="8" w:color="auto"/>
            </w:tcBorders>
            <w:shd w:val="clear" w:color="auto" w:fill="CCEEFF"/>
          </w:tcPr>
          <w:p>
            <w:pPr>
              <w:spacing w:after="0" w:line="118" w:lineRule="exact"/>
              <w:rPr>
                <w:rFonts w:ascii="Times New Roman" w:cs="Times New Roman" w:eastAsia="Times New Roman" w:hAnsi="Times New Roman"/>
                <w:sz w:val="12"/>
                <w:szCs w:val="12"/>
                <w:u w:val="single" w:color="auto"/>
                <w:color w:val="0563C1"/>
              </w:rPr>
            </w:pPr>
            <w:hyperlink w:anchor="page63">
              <w:r>
                <w:rPr>
                  <w:rFonts w:ascii="Times New Roman" w:cs="Times New Roman" w:eastAsia="Times New Roman" w:hAnsi="Times New Roman"/>
                  <w:sz w:val="12"/>
                  <w:szCs w:val="12"/>
                  <w:u w:val="single" w:color="auto"/>
                  <w:color w:val="0563C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line="129" w:lineRule="exact"/>
              <w:rPr>
                <w:rFonts w:ascii="Times New Roman" w:cs="Times New Roman" w:eastAsia="Times New Roman" w:hAnsi="Times New Roman"/>
                <w:sz w:val="12"/>
                <w:szCs w:val="12"/>
                <w:u w:val="single" w:color="auto"/>
                <w:color w:val="0563C1"/>
              </w:rPr>
            </w:pPr>
            <w:hyperlink w:anchor="page64">
              <w:r>
                <w:rPr>
                  <w:rFonts w:ascii="Times New Roman" w:cs="Times New Roman" w:eastAsia="Times New Roman" w:hAnsi="Times New Roman"/>
                  <w:sz w:val="12"/>
                  <w:szCs w:val="12"/>
                  <w:u w:val="single" w:color="auto"/>
                  <w:color w:val="0563C1"/>
                </w:rPr>
                <w:t>31.2</w:t>
              </w:r>
            </w:hyperlink>
          </w:p>
        </w:tc>
        <w:tc>
          <w:tcPr>
            <w:tcW w:w="180" w:type="dxa"/>
            <w:vAlign w:val="bottom"/>
          </w:tcPr>
          <w:p>
            <w:pPr>
              <w:spacing w:after="0"/>
              <w:rPr>
                <w:sz w:val="11"/>
                <w:szCs w:val="11"/>
                <w:color w:val="auto"/>
              </w:rPr>
            </w:pPr>
          </w:p>
        </w:tc>
        <w:tc>
          <w:tcPr>
            <w:tcW w:w="10120" w:type="dxa"/>
            <w:vAlign w:val="bottom"/>
          </w:tcPr>
          <w:p>
            <w:pPr>
              <w:spacing w:after="0" w:line="129" w:lineRule="exact"/>
              <w:rPr>
                <w:rFonts w:ascii="Times New Roman" w:cs="Times New Roman" w:eastAsia="Times New Roman" w:hAnsi="Times New Roman"/>
                <w:sz w:val="12"/>
                <w:szCs w:val="12"/>
                <w:u w:val="single" w:color="auto"/>
                <w:color w:val="0563C1"/>
              </w:rPr>
            </w:pPr>
            <w:hyperlink w:anchor="page64">
              <w:r>
                <w:rPr>
                  <w:rFonts w:ascii="Times New Roman" w:cs="Times New Roman" w:eastAsia="Times New Roman" w:hAnsi="Times New Roman"/>
                  <w:sz w:val="12"/>
                  <w:szCs w:val="12"/>
                  <w:u w:val="single" w:color="auto"/>
                  <w:color w:val="0563C1"/>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spacing w:after="0" w:line="129" w:lineRule="exact"/>
              <w:rPr>
                <w:rFonts w:ascii="Times New Roman" w:cs="Times New Roman" w:eastAsia="Times New Roman" w:hAnsi="Times New Roman"/>
                <w:sz w:val="12"/>
                <w:szCs w:val="12"/>
                <w:color w:val="0563C1"/>
              </w:rPr>
            </w:pPr>
            <w:hyperlink w:anchor="page65">
              <w:r>
                <w:rPr>
                  <w:rFonts w:ascii="Times New Roman" w:cs="Times New Roman" w:eastAsia="Times New Roman" w:hAnsi="Times New Roman"/>
                  <w:sz w:val="12"/>
                  <w:szCs w:val="12"/>
                  <w:u w:val="single" w:color="auto"/>
                  <w:color w:val="0563C1"/>
                </w:rPr>
                <w:t>32.1</w:t>
              </w:r>
            </w:hyperlink>
            <w:r>
              <w:rPr>
                <w:rFonts w:ascii="Times New Roman" w:cs="Times New Roman" w:eastAsia="Times New Roman" w:hAnsi="Times New Roman"/>
                <w:sz w:val="12"/>
                <w:szCs w:val="12"/>
                <w:color w:val="000000"/>
              </w:rPr>
              <w:t>*</w:t>
            </w:r>
          </w:p>
        </w:tc>
        <w:tc>
          <w:tcPr>
            <w:tcW w:w="180" w:type="dxa"/>
            <w:vAlign w:val="bottom"/>
            <w:shd w:val="clear" w:color="auto" w:fill="CCEEFF"/>
          </w:tcPr>
          <w:p>
            <w:pPr>
              <w:spacing w:after="0"/>
              <w:rPr>
                <w:sz w:val="11"/>
                <w:szCs w:val="11"/>
                <w:color w:val="auto"/>
              </w:rPr>
            </w:pPr>
          </w:p>
        </w:tc>
        <w:tc>
          <w:tcPr>
            <w:tcW w:w="10120" w:type="dxa"/>
            <w:vAlign w:val="bottom"/>
            <w:shd w:val="clear" w:color="auto" w:fill="CCEEFF"/>
          </w:tcPr>
          <w:p>
            <w:pPr>
              <w:spacing w:after="0" w:line="129" w:lineRule="exact"/>
              <w:rPr>
                <w:rFonts w:ascii="Times New Roman" w:cs="Times New Roman" w:eastAsia="Times New Roman" w:hAnsi="Times New Roman"/>
                <w:sz w:val="12"/>
                <w:szCs w:val="12"/>
                <w:u w:val="single" w:color="auto"/>
                <w:color w:val="0563C1"/>
              </w:rPr>
            </w:pPr>
            <w:hyperlink w:anchor="page65">
              <w:r>
                <w:rPr>
                  <w:rFonts w:ascii="Times New Roman" w:cs="Times New Roman" w:eastAsia="Times New Roman" w:hAnsi="Times New Roman"/>
                  <w:sz w:val="12"/>
                  <w:szCs w:val="12"/>
                  <w:u w:val="single" w:color="auto"/>
                  <w:color w:val="0563C1"/>
                </w:rPr>
                <w:t>Certification of the Chief Executive and Chief Financial Officers pursuant to Section 906 of the Sarbanes-Oxley Act of 2002 (18 U.S.C. Section 1350).</w:t>
              </w:r>
            </w:hyperlink>
          </w:p>
        </w:tc>
        <w:tc>
          <w:tcPr>
            <w:tcW w:w="0" w:type="dxa"/>
            <w:vAlign w:val="bottom"/>
          </w:tcPr>
          <w:p>
            <w:pPr>
              <w:spacing w:after="0"/>
              <w:rPr>
                <w:sz w:val="1"/>
                <w:szCs w:val="1"/>
                <w:color w:val="auto"/>
              </w:rPr>
            </w:pPr>
          </w:p>
        </w:tc>
      </w:tr>
      <w:tr>
        <w:trPr>
          <w:trHeight w:val="129"/>
        </w:trPr>
        <w:tc>
          <w:tcPr>
            <w:tcW w:w="11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101.INS</w:t>
            </w:r>
          </w:p>
        </w:tc>
        <w:tc>
          <w:tcPr>
            <w:tcW w:w="101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XBRL Instance Document</w:t>
            </w:r>
          </w:p>
        </w:tc>
        <w:tc>
          <w:tcPr>
            <w:tcW w:w="0" w:type="dxa"/>
            <w:vAlign w:val="bottom"/>
          </w:tcPr>
          <w:p>
            <w:pPr>
              <w:spacing w:after="0"/>
              <w:rPr>
                <w:sz w:val="1"/>
                <w:szCs w:val="1"/>
                <w:color w:val="auto"/>
              </w:rPr>
            </w:pPr>
          </w:p>
        </w:tc>
      </w:tr>
      <w:tr>
        <w:trPr>
          <w:trHeight w:val="129"/>
        </w:trPr>
        <w:tc>
          <w:tcPr>
            <w:tcW w:w="11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101.SCH</w:t>
            </w:r>
          </w:p>
        </w:tc>
        <w:tc>
          <w:tcPr>
            <w:tcW w:w="10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11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101.CAL</w:t>
            </w:r>
          </w:p>
        </w:tc>
        <w:tc>
          <w:tcPr>
            <w:tcW w:w="101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11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101.DEF</w:t>
            </w:r>
          </w:p>
        </w:tc>
        <w:tc>
          <w:tcPr>
            <w:tcW w:w="10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29"/>
        </w:trPr>
        <w:tc>
          <w:tcPr>
            <w:tcW w:w="11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101.LAB</w:t>
            </w:r>
          </w:p>
        </w:tc>
        <w:tc>
          <w:tcPr>
            <w:tcW w:w="101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0" w:type="dxa"/>
            <w:vAlign w:val="bottom"/>
          </w:tcPr>
          <w:p>
            <w:pPr>
              <w:spacing w:after="0"/>
              <w:rPr>
                <w:sz w:val="1"/>
                <w:szCs w:val="1"/>
                <w:color w:val="auto"/>
              </w:rPr>
            </w:pPr>
          </w:p>
        </w:tc>
      </w:tr>
      <w:tr>
        <w:trPr>
          <w:trHeight w:val="129"/>
        </w:trPr>
        <w:tc>
          <w:tcPr>
            <w:tcW w:w="11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101.PRE</w:t>
            </w:r>
          </w:p>
        </w:tc>
        <w:tc>
          <w:tcPr>
            <w:tcW w:w="10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 w:right="100" w:hanging="6"/>
        <w:spacing w:after="0" w:line="243" w:lineRule="auto"/>
        <w:tabs>
          <w:tab w:leader="none" w:pos="9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17550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6"/>
          </w:cols>
          <w:pgMar w:left="294" w:top="115" w:right="299" w:bottom="1440" w:gutter="0" w:footer="0" w:header="0"/>
        </w:sectPr>
      </w:pPr>
    </w:p>
    <w:bookmarkStart w:id="61" w:name="page62"/>
    <w:bookmarkEnd w:id="61"/>
    <w:p>
      <w:pPr>
        <w:spacing w:after="0"/>
        <w:rPr>
          <w:rFonts w:ascii="Times New Roman" w:cs="Times New Roman" w:eastAsia="Times New Roman" w:hAnsi="Times New Roman"/>
          <w:sz w:val="12"/>
          <w:szCs w:val="12"/>
          <w:b w:val="1"/>
          <w:bCs w:val="1"/>
          <w:u w:val="single" w:color="auto"/>
          <w:color w:val="0563C1"/>
        </w:rPr>
      </w:pPr>
      <w:hyperlink w:anchor="page2">
        <w:r>
          <w:rPr>
            <w:rFonts w:ascii="Times New Roman" w:cs="Times New Roman" w:eastAsia="Times New Roman" w:hAnsi="Times New Roman"/>
            <w:sz w:val="12"/>
            <w:szCs w:val="12"/>
            <w:b w:val="1"/>
            <w:bCs w:val="1"/>
            <w:u w:val="single" w:color="auto"/>
            <w:color w:val="0563C1"/>
          </w:rPr>
          <w:t>Table of Contents</w:t>
        </w:r>
      </w:hyperlink>
    </w:p>
    <w:p>
      <w:pPr>
        <w:spacing w:after="0" w:line="2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1934, the registrant has duly caused this report to be signed on its behalf by the undersigned thereunto duly authorized.</w:t>
      </w:r>
    </w:p>
    <w:p>
      <w:pPr>
        <w:spacing w:after="0" w:line="2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122" w:lineRule="exact"/>
        <w:rPr>
          <w:sz w:val="20"/>
          <w:szCs w:val="20"/>
          <w:color w:val="auto"/>
        </w:rPr>
      </w:pPr>
    </w:p>
    <w:p>
      <w:pPr>
        <w:spacing w:after="0"/>
        <w:tabs>
          <w:tab w:leader="none" w:pos="5740" w:val="left"/>
          <w:tab w:leader="none" w:pos="6240" w:val="left"/>
        </w:tabs>
        <w:rPr>
          <w:sz w:val="20"/>
          <w:szCs w:val="20"/>
          <w:color w:val="auto"/>
        </w:rPr>
      </w:pPr>
      <w:r>
        <w:rPr>
          <w:rFonts w:ascii="Times New Roman" w:cs="Times New Roman" w:eastAsia="Times New Roman" w:hAnsi="Times New Roman"/>
          <w:sz w:val="12"/>
          <w:szCs w:val="12"/>
          <w:color w:val="auto"/>
        </w:rPr>
        <w:t>Date: November 9, 2020</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8255</wp:posOffset>
            </wp:positionV>
            <wp:extent cx="28822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82265" cy="571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1"/>
          <w:szCs w:val="11"/>
          <w:b w:val="1"/>
          <w:bCs w:val="1"/>
          <w:color w:val="auto"/>
        </w:rPr>
        <w:t>Sandra A. Gardiner</w:t>
      </w:r>
    </w:p>
    <w:p>
      <w:pPr>
        <w:ind w:left="6260"/>
        <w:spacing w:after="0" w:line="210" w:lineRule="auto"/>
        <w:rPr>
          <w:sz w:val="20"/>
          <w:szCs w:val="20"/>
          <w:color w:val="auto"/>
        </w:rPr>
      </w:pPr>
      <w:r>
        <w:rPr>
          <w:rFonts w:ascii="Times New Roman" w:cs="Times New Roman" w:eastAsia="Times New Roman" w:hAnsi="Times New Roman"/>
          <w:sz w:val="11"/>
          <w:szCs w:val="11"/>
          <w:b w:val="1"/>
          <w:bCs w:val="1"/>
          <w:color w:val="auto"/>
        </w:rPr>
        <w:t>Chief Financial Officer, Executive Vice President of Finance and Administration, Secretary and</w:t>
      </w:r>
    </w:p>
    <w:p>
      <w:pPr>
        <w:ind w:left="6260"/>
        <w:spacing w:after="0" w:line="210" w:lineRule="auto"/>
        <w:rPr>
          <w:sz w:val="20"/>
          <w:szCs w:val="20"/>
          <w:color w:val="auto"/>
        </w:rPr>
      </w:pPr>
      <w:r>
        <w:rPr>
          <w:rFonts w:ascii="Times New Roman" w:cs="Times New Roman" w:eastAsia="Times New Roman" w:hAnsi="Times New Roman"/>
          <w:sz w:val="11"/>
          <w:szCs w:val="11"/>
          <w:b w:val="1"/>
          <w:bCs w:val="1"/>
          <w:color w:val="auto"/>
        </w:rPr>
        <w:t>Treasurer</w:t>
      </w:r>
    </w:p>
    <w:p>
      <w:pPr>
        <w:ind w:left="626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Principal Financial and Accounting Officer</w:t>
      </w:r>
      <w:r>
        <w:rPr>
          <w:rFonts w:ascii="Times New Roman" w:cs="Times New Roman" w:eastAsia="Times New Roman" w:hAnsi="Times New Roman"/>
          <w:sz w:val="11"/>
          <w:szCs w:val="11"/>
          <w:b w:val="1"/>
          <w:bCs w:val="1"/>
          <w:color w:val="auto"/>
        </w:rPr>
        <w:t>)</w:t>
      </w:r>
    </w:p>
    <w:p>
      <w:pPr>
        <w:spacing w:after="0" w:line="2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0780"/>
          </w:cols>
          <w:pgMar w:left="300" w:top="116" w:right="8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92" w:lineRule="exact"/>
        <w:rPr>
          <w:sz w:val="20"/>
          <w:szCs w:val="20"/>
          <w:color w:val="auto"/>
        </w:rPr>
      </w:pPr>
    </w:p>
    <w:p>
      <w:pPr>
        <w:jc w:val="center"/>
        <w:ind w:right="18"/>
        <w:spacing w:after="0" w:line="232" w:lineRule="auto"/>
        <w:rPr>
          <w:sz w:val="20"/>
          <w:szCs w:val="20"/>
          <w:color w:val="auto"/>
        </w:rPr>
      </w:pPr>
      <w:r>
        <w:rPr>
          <w:rFonts w:ascii="Times New Roman" w:cs="Times New Roman" w:eastAsia="Times New Roman" w:hAnsi="Times New Roman"/>
          <w:sz w:val="12"/>
          <w:szCs w:val="12"/>
          <w:b w:val="1"/>
          <w:bCs w:val="1"/>
          <w:color w:val="auto"/>
        </w:rPr>
        <w:t>CERTIFICATION OF CHIEF EXECUTIVE OFFICER PURSUANT TO SECURITIES EXCHANGE ACT RULES 13a-14(a) and 15d-14(a), AS ADOPTED PURSUANT TO SECTION 302 OF THE SARBANES-OXLEY ACT OF 2002</w:t>
      </w:r>
    </w:p>
    <w:p>
      <w:pPr>
        <w:spacing w:after="0" w:line="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2"/>
          <w:szCs w:val="12"/>
          <w:color w:val="auto"/>
        </w:rPr>
        <w:t>I, Darrin R. Uecker, certify that:</w:t>
      </w:r>
    </w:p>
    <w:p>
      <w:pPr>
        <w:spacing w:after="0" w:line="83" w:lineRule="exact"/>
        <w:rPr>
          <w:sz w:val="20"/>
          <w:szCs w:val="20"/>
          <w:color w:val="auto"/>
        </w:rPr>
      </w:pPr>
    </w:p>
    <w:p>
      <w:pPr>
        <w:ind w:left="222" w:hanging="222"/>
        <w:spacing w:after="0"/>
        <w:tabs>
          <w:tab w:leader="none" w:pos="22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September 30, 2020 of Pulse Biosciences, Inc.;</w:t>
      </w:r>
    </w:p>
    <w:p>
      <w:pPr>
        <w:spacing w:after="0" w:line="83"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2"/>
          <w:szCs w:val="12"/>
          <w:color w:val="auto"/>
        </w:rPr>
      </w:pPr>
    </w:p>
    <w:p>
      <w:pPr>
        <w:ind w:left="442" w:right="20" w:hanging="221"/>
        <w:spacing w:after="0" w:line="246" w:lineRule="auto"/>
        <w:tabs>
          <w:tab w:leader="none" w:pos="442"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2"/>
          <w:szCs w:val="12"/>
          <w:color w:val="auto"/>
        </w:rPr>
      </w:pPr>
    </w:p>
    <w:p>
      <w:pPr>
        <w:ind w:left="442" w:right="100" w:hanging="221"/>
        <w:spacing w:after="0" w:line="246" w:lineRule="auto"/>
        <w:tabs>
          <w:tab w:leader="none" w:pos="442"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2"/>
          <w:szCs w:val="12"/>
          <w:color w:val="auto"/>
        </w:rPr>
      </w:pPr>
    </w:p>
    <w:p>
      <w:pPr>
        <w:ind w:left="442" w:hanging="221"/>
        <w:spacing w:after="0" w:line="246" w:lineRule="auto"/>
        <w:tabs>
          <w:tab w:leader="none" w:pos="442"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2"/>
          <w:szCs w:val="12"/>
          <w:color w:val="auto"/>
        </w:rPr>
      </w:pPr>
    </w:p>
    <w:p>
      <w:pPr>
        <w:ind w:left="442" w:right="20" w:hanging="221"/>
        <w:spacing w:after="0" w:line="246" w:lineRule="auto"/>
        <w:tabs>
          <w:tab w:leader="none" w:pos="442"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2"/>
          <w:szCs w:val="12"/>
          <w:color w:val="auto"/>
        </w:rPr>
      </w:pPr>
    </w:p>
    <w:p>
      <w:pPr>
        <w:ind w:left="442" w:right="20" w:hanging="221"/>
        <w:spacing w:after="0" w:line="246" w:lineRule="auto"/>
        <w:tabs>
          <w:tab w:leader="none" w:pos="442"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Times New Roman" w:cs="Times New Roman" w:eastAsia="Times New Roman" w:hAnsi="Times New Roman"/>
          <w:sz w:val="12"/>
          <w:szCs w:val="12"/>
          <w:color w:val="auto"/>
        </w:rPr>
      </w:pPr>
    </w:p>
    <w:p>
      <w:pPr>
        <w:ind w:left="442" w:hanging="221"/>
        <w:spacing w:after="0"/>
        <w:tabs>
          <w:tab w:leader="none" w:pos="442"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4902" w:right="3600" w:hanging="5377"/>
        <w:spacing w:after="0" w:line="228" w:lineRule="auto"/>
        <w:tabs>
          <w:tab w:leader="none" w:pos="4882" w:val="left"/>
        </w:tabs>
        <w:rPr>
          <w:sz w:val="20"/>
          <w:szCs w:val="20"/>
          <w:color w:val="auto"/>
        </w:rPr>
      </w:pPr>
      <w:r>
        <w:rPr>
          <w:rFonts w:ascii="Times New Roman" w:cs="Times New Roman" w:eastAsia="Times New Roman" w:hAnsi="Times New Roman"/>
          <w:sz w:val="12"/>
          <w:szCs w:val="12"/>
          <w:color w:val="auto"/>
        </w:rPr>
        <w:t>Date: November 9, 2020</w:t>
      </w:r>
      <w:r>
        <w:rPr>
          <w:sz w:val="20"/>
          <w:szCs w:val="20"/>
          <w:color w:val="auto"/>
        </w:rPr>
        <w:tab/>
      </w:r>
      <w:r>
        <w:rPr>
          <w:rFonts w:ascii="Times New Roman" w:cs="Times New Roman" w:eastAsia="Times New Roman" w:hAnsi="Times New Roman"/>
          <w:sz w:val="12"/>
          <w:szCs w:val="12"/>
          <w:color w:val="auto"/>
        </w:rPr>
        <w:t>By: /s/ Darrin R. Uecker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-75565</wp:posOffset>
            </wp:positionV>
            <wp:extent cx="286448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Times New Roman" w:cs="Times New Roman" w:eastAsia="Times New Roman" w:hAnsi="Times New Roman"/>
          <w:sz w:val="12"/>
          <w:szCs w:val="12"/>
          <w:color w:val="auto"/>
        </w:rPr>
        <w:t>President and Chief Executive Officer</w:t>
      </w:r>
    </w:p>
    <w:p>
      <w:pPr>
        <w:ind w:left="5382"/>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343650" cy="17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3650" cy="17780"/>
                    </a:xfrm>
                    <a:prstGeom prst="rect">
                      <a:avLst/>
                    </a:prstGeom>
                    <a:noFill/>
                  </pic:spPr>
                </pic:pic>
              </a:graphicData>
            </a:graphic>
          </wp:anchor>
        </w:drawing>
      </w:r>
    </w:p>
    <w:p>
      <w:pPr>
        <w:sectPr>
          <w:pgSz w:w="11900" w:h="16838" w:orient="portrait"/>
          <w:cols w:equalWidth="0" w:num="1">
            <w:col w:w="9982"/>
          </w:cols>
          <w:pgMar w:left="958" w:top="116" w:right="9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93" w:lineRule="exact"/>
        <w:rPr>
          <w:sz w:val="20"/>
          <w:szCs w:val="20"/>
          <w:color w:val="auto"/>
        </w:rPr>
      </w:pPr>
    </w:p>
    <w:p>
      <w:pPr>
        <w:jc w:val="center"/>
        <w:ind w:right="18"/>
        <w:spacing w:after="0" w:line="232" w:lineRule="auto"/>
        <w:rPr>
          <w:sz w:val="20"/>
          <w:szCs w:val="20"/>
          <w:color w:val="auto"/>
        </w:rPr>
      </w:pPr>
      <w:r>
        <w:rPr>
          <w:rFonts w:ascii="Times New Roman" w:cs="Times New Roman" w:eastAsia="Times New Roman" w:hAnsi="Times New Roman"/>
          <w:sz w:val="12"/>
          <w:szCs w:val="12"/>
          <w:b w:val="1"/>
          <w:bCs w:val="1"/>
          <w:color w:val="auto"/>
        </w:rPr>
        <w:t>CERTIFICATION OF CHIEF FINANCIAL OFFICER PURSUANT TO SECURITIES EXCHANGE ACT RULES 13a-14(a) and 15d-14(a), AS ADOPTED PURSUANT TO SECTION 302 OF THE SARBANES-OXLEY ACT OF 2002</w:t>
      </w:r>
    </w:p>
    <w:p>
      <w:pPr>
        <w:spacing w:after="0" w:line="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2"/>
          <w:szCs w:val="12"/>
          <w:color w:val="auto"/>
        </w:rPr>
        <w:t>I, Sandra A. Gardiner, certify that:</w:t>
      </w:r>
    </w:p>
    <w:p>
      <w:pPr>
        <w:spacing w:after="0" w:line="83" w:lineRule="exact"/>
        <w:rPr>
          <w:sz w:val="20"/>
          <w:szCs w:val="20"/>
          <w:color w:val="auto"/>
        </w:rPr>
      </w:pPr>
    </w:p>
    <w:p>
      <w:pPr>
        <w:ind w:left="222" w:hanging="222"/>
        <w:spacing w:after="0"/>
        <w:tabs>
          <w:tab w:leader="none" w:pos="22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September 30, 2020 of Pulse Biosciences, Inc.;</w:t>
      </w:r>
    </w:p>
    <w:p>
      <w:pPr>
        <w:spacing w:after="0" w:line="83"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2"/>
          <w:szCs w:val="12"/>
          <w:color w:val="auto"/>
        </w:rPr>
      </w:pPr>
    </w:p>
    <w:p>
      <w:pPr>
        <w:ind w:left="442" w:right="20" w:hanging="221"/>
        <w:spacing w:after="0" w:line="246" w:lineRule="auto"/>
        <w:tabs>
          <w:tab w:leader="none" w:pos="44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2"/>
          <w:szCs w:val="12"/>
          <w:color w:val="auto"/>
        </w:rPr>
      </w:pPr>
    </w:p>
    <w:p>
      <w:pPr>
        <w:ind w:left="442" w:right="100" w:hanging="221"/>
        <w:spacing w:after="0" w:line="246" w:lineRule="auto"/>
        <w:tabs>
          <w:tab w:leader="none" w:pos="44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2"/>
          <w:szCs w:val="12"/>
          <w:color w:val="auto"/>
        </w:rPr>
      </w:pPr>
    </w:p>
    <w:p>
      <w:pPr>
        <w:ind w:left="442" w:hanging="221"/>
        <w:spacing w:after="0" w:line="246" w:lineRule="auto"/>
        <w:tabs>
          <w:tab w:leader="none" w:pos="44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2"/>
          <w:szCs w:val="12"/>
          <w:color w:val="auto"/>
        </w:rPr>
      </w:pPr>
    </w:p>
    <w:p>
      <w:pPr>
        <w:ind w:left="442" w:right="20" w:hanging="221"/>
        <w:spacing w:after="0" w:line="246" w:lineRule="auto"/>
        <w:tabs>
          <w:tab w:leader="none" w:pos="44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2"/>
          <w:szCs w:val="12"/>
          <w:color w:val="auto"/>
        </w:rPr>
      </w:pPr>
    </w:p>
    <w:p>
      <w:pPr>
        <w:ind w:left="222" w:right="20" w:hanging="222"/>
        <w:spacing w:after="0" w:line="246" w:lineRule="auto"/>
        <w:tabs>
          <w:tab w:leader="none" w:pos="22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2"/>
          <w:szCs w:val="12"/>
          <w:color w:val="auto"/>
        </w:rPr>
      </w:pPr>
    </w:p>
    <w:p>
      <w:pPr>
        <w:ind w:left="442" w:right="20" w:hanging="221"/>
        <w:spacing w:after="0" w:line="246" w:lineRule="auto"/>
        <w:tabs>
          <w:tab w:leader="none" w:pos="44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Times New Roman" w:cs="Times New Roman" w:eastAsia="Times New Roman" w:hAnsi="Times New Roman"/>
          <w:sz w:val="12"/>
          <w:szCs w:val="12"/>
          <w:color w:val="auto"/>
        </w:rPr>
      </w:pPr>
    </w:p>
    <w:p>
      <w:pPr>
        <w:ind w:left="442" w:hanging="221"/>
        <w:spacing w:after="0"/>
        <w:tabs>
          <w:tab w:leader="none" w:pos="44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4902" w:right="3500" w:hanging="5377"/>
        <w:spacing w:after="0" w:line="228" w:lineRule="auto"/>
        <w:tabs>
          <w:tab w:leader="none" w:pos="4882" w:val="left"/>
        </w:tabs>
        <w:rPr>
          <w:sz w:val="20"/>
          <w:szCs w:val="20"/>
          <w:color w:val="auto"/>
        </w:rPr>
      </w:pPr>
      <w:r>
        <w:rPr>
          <w:rFonts w:ascii="Times New Roman" w:cs="Times New Roman" w:eastAsia="Times New Roman" w:hAnsi="Times New Roman"/>
          <w:sz w:val="12"/>
          <w:szCs w:val="12"/>
          <w:color w:val="auto"/>
        </w:rPr>
        <w:t>Date: November 9, 2020</w:t>
      </w:r>
      <w:r>
        <w:rPr>
          <w:sz w:val="20"/>
          <w:szCs w:val="20"/>
          <w:color w:val="auto"/>
        </w:rPr>
        <w:tab/>
      </w:r>
      <w:r>
        <w:rPr>
          <w:rFonts w:ascii="Times New Roman" w:cs="Times New Roman" w:eastAsia="Times New Roman" w:hAnsi="Times New Roman"/>
          <w:sz w:val="12"/>
          <w:szCs w:val="12"/>
          <w:color w:val="auto"/>
        </w:rPr>
        <w:t>By: /s/ Sandra A. Gardiner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-75565</wp:posOffset>
            </wp:positionV>
            <wp:extent cx="286448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Secretary</w:t>
      </w:r>
    </w:p>
    <w:p>
      <w:pPr>
        <w:ind w:left="5382"/>
        <w:spacing w:after="0" w:line="208" w:lineRule="auto"/>
        <w:rPr>
          <w:sz w:val="20"/>
          <w:szCs w:val="20"/>
          <w:color w:val="auto"/>
        </w:rPr>
      </w:pPr>
      <w:r>
        <w:rPr>
          <w:rFonts w:ascii="Times New Roman" w:cs="Times New Roman" w:eastAsia="Times New Roman" w:hAnsi="Times New Roman"/>
          <w:sz w:val="12"/>
          <w:szCs w:val="12"/>
          <w:color w:val="auto"/>
        </w:rPr>
        <w:t>and Treasurer</w:t>
      </w:r>
    </w:p>
    <w:p>
      <w:pPr>
        <w:ind w:left="5382"/>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343650" cy="17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43650" cy="17780"/>
                    </a:xfrm>
                    <a:prstGeom prst="rect">
                      <a:avLst/>
                    </a:prstGeom>
                    <a:noFill/>
                  </pic:spPr>
                </pic:pic>
              </a:graphicData>
            </a:graphic>
          </wp:anchor>
        </w:drawing>
      </w:r>
    </w:p>
    <w:p>
      <w:pPr>
        <w:sectPr>
          <w:pgSz w:w="11900" w:h="16838" w:orient="portrait"/>
          <w:cols w:equalWidth="0" w:num="1">
            <w:col w:w="9982"/>
          </w:cols>
          <w:pgMar w:left="958" w:top="116" w:right="9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ind w:left="3420"/>
        <w:spacing w:after="0" w:line="208" w:lineRule="auto"/>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ind w:left="338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16" w:lineRule="exact"/>
        <w:rPr>
          <w:sz w:val="20"/>
          <w:szCs w:val="20"/>
          <w:color w:val="auto"/>
        </w:rPr>
      </w:pPr>
    </w:p>
    <w:p>
      <w:pPr>
        <w:jc w:val="both"/>
        <w:ind w:right="20" w:firstLine="301"/>
        <w:spacing w:after="0"/>
        <w:rPr>
          <w:sz w:val="20"/>
          <w:szCs w:val="20"/>
          <w:color w:val="auto"/>
        </w:rPr>
      </w:pPr>
      <w:r>
        <w:rPr>
          <w:rFonts w:ascii="Times New Roman" w:cs="Times New Roman" w:eastAsia="Times New Roman" w:hAnsi="Times New Roman"/>
          <w:sz w:val="12"/>
          <w:szCs w:val="12"/>
          <w:color w:val="auto"/>
        </w:rPr>
        <w:t>In connection with the Quarterly Report of Pulse Biosciences, Inc. (the “Company”) on Form 10-Q for the period ended September 30, 2020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148" w:lineRule="exact"/>
        <w:rPr>
          <w:sz w:val="20"/>
          <w:szCs w:val="20"/>
          <w:color w:val="auto"/>
        </w:rPr>
      </w:pPr>
    </w:p>
    <w:p>
      <w:pPr>
        <w:ind w:left="560" w:hanging="261"/>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29" w:lineRule="exact"/>
        <w:rPr>
          <w:rFonts w:ascii="Times New Roman" w:cs="Times New Roman" w:eastAsia="Times New Roman" w:hAnsi="Times New Roman"/>
          <w:sz w:val="12"/>
          <w:szCs w:val="12"/>
          <w:color w:val="auto"/>
        </w:rPr>
      </w:pPr>
    </w:p>
    <w:p>
      <w:pPr>
        <w:ind w:left="560" w:hanging="261"/>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undersigned have set their hands hereto as of the 9</w:t>
      </w:r>
      <w:r>
        <w:rPr>
          <w:rFonts w:ascii="Times New Roman" w:cs="Times New Roman" w:eastAsia="Times New Roman" w:hAnsi="Times New Roman"/>
          <w:sz w:val="6"/>
          <w:szCs w:val="6"/>
          <w:color w:val="auto"/>
        </w:rPr>
        <w:t>th</w:t>
      </w:r>
      <w:r>
        <w:rPr>
          <w:rFonts w:ascii="Times New Roman" w:cs="Times New Roman" w:eastAsia="Times New Roman" w:hAnsi="Times New Roman"/>
          <w:sz w:val="12"/>
          <w:szCs w:val="12"/>
          <w:color w:val="auto"/>
        </w:rPr>
        <w:t xml:space="preserve"> day of November 2020.</w:t>
      </w:r>
    </w:p>
    <w:p>
      <w:pPr>
        <w:spacing w:after="0" w:line="1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2540</wp:posOffset>
            </wp:positionV>
            <wp:extent cx="286448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Darrin R. Uecker</w:t>
      </w:r>
    </w:p>
    <w:p>
      <w:pPr>
        <w:ind w:left="5380"/>
        <w:spacing w:after="0" w:line="209" w:lineRule="auto"/>
        <w:rPr>
          <w:sz w:val="20"/>
          <w:szCs w:val="20"/>
          <w:color w:val="auto"/>
        </w:rPr>
      </w:pPr>
      <w:r>
        <w:rPr>
          <w:rFonts w:ascii="Times New Roman" w:cs="Times New Roman" w:eastAsia="Times New Roman" w:hAnsi="Times New Roman"/>
          <w:sz w:val="12"/>
          <w:szCs w:val="12"/>
          <w:color w:val="auto"/>
        </w:rPr>
        <w:t>President and Chief Executive Officer</w:t>
      </w:r>
    </w:p>
    <w:p>
      <w:pPr>
        <w:ind w:left="53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2540</wp:posOffset>
            </wp:positionV>
            <wp:extent cx="286448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Sandra A. Gardiner</w:t>
      </w:r>
    </w:p>
    <w:p>
      <w:pPr>
        <w:ind w:left="5380"/>
        <w:spacing w:after="0" w:line="209" w:lineRule="auto"/>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Secretary</w:t>
      </w:r>
    </w:p>
    <w:p>
      <w:pPr>
        <w:ind w:left="5380"/>
        <w:spacing w:after="0" w:line="208" w:lineRule="auto"/>
        <w:rPr>
          <w:sz w:val="20"/>
          <w:szCs w:val="20"/>
          <w:color w:val="auto"/>
        </w:rPr>
      </w:pPr>
      <w:r>
        <w:rPr>
          <w:rFonts w:ascii="Times New Roman" w:cs="Times New Roman" w:eastAsia="Times New Roman" w:hAnsi="Times New Roman"/>
          <w:sz w:val="12"/>
          <w:szCs w:val="12"/>
          <w:color w:val="auto"/>
        </w:rPr>
        <w:t>and Treasurer</w:t>
      </w:r>
    </w:p>
    <w:p>
      <w:pPr>
        <w:ind w:left="538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pacing w:after="0" w:line="235" w:lineRule="exact"/>
        <w:rPr>
          <w:sz w:val="20"/>
          <w:szCs w:val="20"/>
          <w:color w:val="auto"/>
        </w:rPr>
      </w:pPr>
    </w:p>
    <w:p>
      <w:pPr>
        <w:jc w:val="both"/>
        <w:ind w:right="20" w:firstLine="301"/>
        <w:spacing w:after="0" w:line="231" w:lineRule="auto"/>
        <w:rPr>
          <w:sz w:val="20"/>
          <w:szCs w:val="20"/>
          <w:color w:val="auto"/>
        </w:rPr>
      </w:pPr>
      <w:r>
        <w:rPr>
          <w:rFonts w:ascii="Times New Roman" w:cs="Times New Roman" w:eastAsia="Times New Roman" w:hAnsi="Times New Roman"/>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235585</wp:posOffset>
            </wp:positionV>
            <wp:extent cx="6343650" cy="17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43650" cy="17780"/>
                    </a:xfrm>
                    <a:prstGeom prst="rect">
                      <a:avLst/>
                    </a:prstGeom>
                    <a:noFill/>
                  </pic:spPr>
                </pic:pic>
              </a:graphicData>
            </a:graphic>
          </wp:anchor>
        </w:drawing>
      </w:r>
    </w:p>
    <w:sectPr>
      <w:pgSz w:w="11900" w:h="16838" w:orient="portrait"/>
      <w:cols w:equalWidth="0" w:num="1">
        <w:col w:w="9980"/>
      </w:cols>
      <w:pgMar w:left="960" w:top="116"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8"/>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2020-11-09T16:13:35Z</dcterms:created>
  <dcterms:modified xsi:type="dcterms:W3CDTF">2020-11-09T16:13:35Z</dcterms:modified>
</cp:coreProperties>
</file>