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
        <w:spacing w:after="0"/>
        <w:rPr>
          <w:sz w:val="20"/>
          <w:szCs w:val="20"/>
          <w:color w:val="auto"/>
        </w:rPr>
      </w:pPr>
      <w:r>
        <w:rPr>
          <w:rFonts w:ascii="Arial" w:cs="Arial" w:eastAsia="Arial" w:hAnsi="Arial"/>
          <w:sz w:val="20"/>
          <w:szCs w:val="20"/>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7550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550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-131445</wp:posOffset>
            </wp:positionV>
            <wp:extent cx="71755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5500" cy="5715"/>
                    </a:xfrm>
                    <a:prstGeom prst="rect">
                      <a:avLst/>
                    </a:prstGeom>
                    <a:noFill/>
                  </pic:spPr>
                </pic:pic>
              </a:graphicData>
            </a:graphic>
          </wp:anchor>
        </w:drawing>
      </w:r>
    </w:p>
    <w:p>
      <w:pPr>
        <w:jc w:val="center"/>
        <w:ind w:right="-45"/>
        <w:spacing w:after="0" w:line="225" w:lineRule="auto"/>
        <w:rPr>
          <w:sz w:val="20"/>
          <w:szCs w:val="20"/>
          <w:color w:val="auto"/>
        </w:rPr>
      </w:pPr>
      <w:r>
        <w:rPr>
          <w:rFonts w:ascii="Arial" w:cs="Arial" w:eastAsia="Arial" w:hAnsi="Arial"/>
          <w:sz w:val="20"/>
          <w:szCs w:val="20"/>
          <w:b w:val="1"/>
          <w:bCs w:val="1"/>
          <w:color w:val="auto"/>
        </w:rPr>
        <w:t>SECURITIES AND EXCHANGE COMMISSION</w:t>
      </w:r>
    </w:p>
    <w:p>
      <w:pPr>
        <w:jc w:val="center"/>
        <w:ind w:right="-45"/>
        <w:spacing w:after="0" w:line="209" w:lineRule="auto"/>
        <w:rPr>
          <w:sz w:val="20"/>
          <w:szCs w:val="20"/>
          <w:color w:val="auto"/>
        </w:rPr>
      </w:pPr>
      <w:r>
        <w:rPr>
          <w:rFonts w:ascii="Arial" w:cs="Arial" w:eastAsia="Arial" w:hAnsi="Arial"/>
          <w:sz w:val="14"/>
          <w:szCs w:val="14"/>
          <w:b w:val="1"/>
          <w:bCs w:val="1"/>
          <w:color w:val="auto"/>
        </w:rPr>
        <w:t>Washington, D.C. 20549</w:t>
      </w:r>
    </w:p>
    <w:p>
      <w:pPr>
        <w:ind w:left="4566"/>
        <w:spacing w:after="0"/>
        <w:rPr>
          <w:sz w:val="20"/>
          <w:szCs w:val="20"/>
          <w:color w:val="auto"/>
        </w:rPr>
      </w:pPr>
      <w:r>
        <w:rPr>
          <w:rFonts w:ascii="Arial" w:cs="Arial" w:eastAsia="Arial" w:hAnsi="Arial"/>
          <w:sz w:val="12"/>
          <w:szCs w:val="12"/>
          <w:b w:val="1"/>
          <w:bCs w:val="1"/>
          <w:color w:val="auto"/>
        </w:rPr>
        <w:t>___________________________________</w:t>
      </w:r>
    </w:p>
    <w:p>
      <w:pPr>
        <w:spacing w:after="0" w:line="23" w:lineRule="exact"/>
        <w:rPr>
          <w:sz w:val="24"/>
          <w:szCs w:val="24"/>
          <w:color w:val="auto"/>
        </w:rPr>
      </w:pPr>
    </w:p>
    <w:p>
      <w:pPr>
        <w:jc w:val="center"/>
        <w:ind w:right="-45"/>
        <w:spacing w:after="0"/>
        <w:rPr>
          <w:sz w:val="20"/>
          <w:szCs w:val="20"/>
          <w:color w:val="auto"/>
        </w:rPr>
      </w:pPr>
      <w:r>
        <w:rPr>
          <w:rFonts w:ascii="Arial" w:cs="Arial" w:eastAsia="Arial" w:hAnsi="Arial"/>
          <w:sz w:val="20"/>
          <w:szCs w:val="20"/>
          <w:b w:val="1"/>
          <w:bCs w:val="1"/>
          <w:color w:val="auto"/>
        </w:rPr>
        <w:t>Form 10-Q</w:t>
      </w:r>
    </w:p>
    <w:p>
      <w:pPr>
        <w:spacing w:after="0" w:line="5" w:lineRule="exact"/>
        <w:rPr>
          <w:sz w:val="24"/>
          <w:szCs w:val="24"/>
          <w:color w:val="auto"/>
        </w:rPr>
      </w:pPr>
    </w:p>
    <w:p>
      <w:pPr>
        <w:ind w:left="4566"/>
        <w:spacing w:after="0"/>
        <w:rPr>
          <w:sz w:val="20"/>
          <w:szCs w:val="20"/>
          <w:color w:val="auto"/>
        </w:rPr>
      </w:pPr>
      <w:r>
        <w:rPr>
          <w:rFonts w:ascii="Arial" w:cs="Arial" w:eastAsia="Arial" w:hAnsi="Arial"/>
          <w:sz w:val="12"/>
          <w:szCs w:val="12"/>
          <w:b w:val="1"/>
          <w:bCs w:val="1"/>
          <w:color w:val="auto"/>
        </w:rPr>
        <w:t>___________________________________</w:t>
      </w:r>
    </w:p>
    <w:p>
      <w:pPr>
        <w:spacing w:after="0" w:line="33" w:lineRule="exact"/>
        <w:rPr>
          <w:sz w:val="24"/>
          <w:szCs w:val="24"/>
          <w:color w:val="auto"/>
        </w:rPr>
      </w:pPr>
    </w:p>
    <w:p>
      <w:pPr>
        <w:ind w:left="6"/>
        <w:spacing w:after="0"/>
        <w:rPr>
          <w:sz w:val="20"/>
          <w:szCs w:val="20"/>
          <w:color w:val="auto"/>
        </w:rPr>
      </w:pPr>
      <w:r>
        <w:rPr>
          <w:rFonts w:ascii="Arial" w:cs="Arial" w:eastAsia="Arial" w:hAnsi="Arial"/>
          <w:sz w:val="12"/>
          <w:szCs w:val="12"/>
          <w:b w:val="1"/>
          <w:bCs w:val="1"/>
          <w:color w:val="auto"/>
        </w:rPr>
        <w:t>(Mark One)</w:t>
      </w:r>
    </w:p>
    <w:p>
      <w:pPr>
        <w:spacing w:after="0" w:line="257" w:lineRule="exact"/>
        <w:rPr>
          <w:sz w:val="24"/>
          <w:szCs w:val="24"/>
          <w:color w:val="auto"/>
        </w:rPr>
      </w:pPr>
    </w:p>
    <w:p>
      <w:pPr>
        <w:ind w:left="526" w:hanging="526"/>
        <w:spacing w:after="0"/>
        <w:tabs>
          <w:tab w:leader="none" w:pos="526"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80" w:lineRule="exact"/>
        <w:rPr>
          <w:rFonts w:ascii="Arial" w:cs="Arial" w:eastAsia="Arial" w:hAnsi="Arial"/>
          <w:sz w:val="14"/>
          <w:szCs w:val="14"/>
          <w:b w:val="1"/>
          <w:bCs w:val="1"/>
          <w:color w:val="auto"/>
        </w:rPr>
      </w:pPr>
    </w:p>
    <w:p>
      <w:pPr>
        <w:ind w:left="4406"/>
        <w:spacing w:after="0"/>
        <w:rPr>
          <w:rFonts w:ascii="Arial" w:cs="Arial" w:eastAsia="Arial" w:hAnsi="Arial"/>
          <w:sz w:val="14"/>
          <w:szCs w:val="14"/>
          <w:b w:val="1"/>
          <w:bCs w:val="1"/>
          <w:color w:val="auto"/>
        </w:rPr>
      </w:pPr>
      <w:r>
        <w:rPr>
          <w:rFonts w:ascii="Arial" w:cs="Arial" w:eastAsia="Arial" w:hAnsi="Arial"/>
          <w:sz w:val="12"/>
          <w:szCs w:val="12"/>
          <w:b w:val="1"/>
          <w:bCs w:val="1"/>
          <w:color w:val="auto"/>
        </w:rPr>
        <w:t>For the quarterly period ended March 31, 2021</w:t>
      </w:r>
    </w:p>
    <w:p>
      <w:pPr>
        <w:spacing w:after="0" w:line="102" w:lineRule="exact"/>
        <w:rPr>
          <w:sz w:val="24"/>
          <w:szCs w:val="24"/>
          <w:color w:val="auto"/>
        </w:rPr>
      </w:pPr>
    </w:p>
    <w:p>
      <w:pPr>
        <w:jc w:val="center"/>
        <w:ind w:right="-45"/>
        <w:spacing w:after="0"/>
        <w:rPr>
          <w:sz w:val="20"/>
          <w:szCs w:val="20"/>
          <w:color w:val="auto"/>
        </w:rPr>
      </w:pPr>
      <w:r>
        <w:rPr>
          <w:rFonts w:ascii="Arial" w:cs="Arial" w:eastAsia="Arial" w:hAnsi="Arial"/>
          <w:sz w:val="12"/>
          <w:szCs w:val="12"/>
          <w:b w:val="1"/>
          <w:bCs w:val="1"/>
          <w:color w:val="auto"/>
        </w:rPr>
        <w:t>Or</w:t>
      </w:r>
    </w:p>
    <w:p>
      <w:pPr>
        <w:spacing w:after="0" w:line="257" w:lineRule="exact"/>
        <w:rPr>
          <w:sz w:val="24"/>
          <w:szCs w:val="24"/>
          <w:color w:val="auto"/>
        </w:rPr>
      </w:pPr>
    </w:p>
    <w:p>
      <w:pPr>
        <w:ind w:left="526" w:hanging="526"/>
        <w:spacing w:after="0"/>
        <w:tabs>
          <w:tab w:leader="none" w:pos="526"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1046" w:type="dxa"/>
        <w:tblCellMar>
          <w:top w:w="0" w:type="dxa"/>
          <w:left w:w="0" w:type="dxa"/>
          <w:bottom w:w="0" w:type="dxa"/>
          <w:right w:w="0" w:type="dxa"/>
        </w:tblCellMar>
      </w:tblPr>
      <w:tr>
        <w:trPr>
          <w:trHeight w:val="160"/>
        </w:trPr>
        <w:tc>
          <w:tcPr>
            <w:tcW w:w="3000" w:type="dxa"/>
            <w:vAlign w:val="bottom"/>
          </w:tcPr>
          <w:p>
            <w:pPr>
              <w:spacing w:after="0"/>
              <w:rPr>
                <w:sz w:val="13"/>
                <w:szCs w:val="13"/>
                <w:color w:val="auto"/>
              </w:rPr>
            </w:pPr>
          </w:p>
        </w:tc>
        <w:tc>
          <w:tcPr>
            <w:tcW w:w="2340" w:type="dxa"/>
            <w:vAlign w:val="bottom"/>
          </w:tcPr>
          <w:p>
            <w:pPr>
              <w:ind w:left="560"/>
              <w:spacing w:after="0"/>
              <w:rPr>
                <w:sz w:val="20"/>
                <w:szCs w:val="20"/>
                <w:color w:val="auto"/>
              </w:rPr>
            </w:pPr>
            <w:r>
              <w:rPr>
                <w:rFonts w:ascii="Arial" w:cs="Arial" w:eastAsia="Arial" w:hAnsi="Arial"/>
                <w:sz w:val="12"/>
                <w:szCs w:val="12"/>
                <w:b w:val="1"/>
                <w:bCs w:val="1"/>
                <w:color w:val="auto"/>
              </w:rPr>
              <w:t>For the transition period from</w:t>
            </w:r>
          </w:p>
        </w:tc>
        <w:tc>
          <w:tcPr>
            <w:tcW w:w="3680" w:type="dxa"/>
            <w:vAlign w:val="bottom"/>
          </w:tcPr>
          <w:p>
            <w:pPr>
              <w:ind w:left="200"/>
              <w:spacing w:after="0"/>
              <w:rPr>
                <w:sz w:val="20"/>
                <w:szCs w:val="20"/>
                <w:color w:val="auto"/>
              </w:rPr>
            </w:pPr>
            <w:r>
              <w:rPr>
                <w:rFonts w:ascii="Arial" w:cs="Arial" w:eastAsia="Arial" w:hAnsi="Arial"/>
                <w:sz w:val="12"/>
                <w:szCs w:val="12"/>
                <w:b w:val="1"/>
                <w:bCs w:val="1"/>
                <w:color w:val="auto"/>
              </w:rPr>
              <w:t>to</w:t>
            </w: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6020" w:type="dxa"/>
            <w:vAlign w:val="bottom"/>
            <w:gridSpan w:val="2"/>
          </w:tcPr>
          <w:p>
            <w:pPr>
              <w:jc w:val="center"/>
              <w:ind w:right="2764"/>
              <w:spacing w:after="0"/>
              <w:rPr>
                <w:sz w:val="20"/>
                <w:szCs w:val="20"/>
                <w:color w:val="auto"/>
              </w:rPr>
            </w:pPr>
            <w:r>
              <w:rPr>
                <w:rFonts w:ascii="Arial" w:cs="Arial" w:eastAsia="Arial" w:hAnsi="Arial"/>
                <w:sz w:val="12"/>
                <w:szCs w:val="12"/>
                <w:b w:val="1"/>
                <w:bCs w:val="1"/>
                <w:color w:val="auto"/>
                <w:w w:val="93"/>
              </w:rPr>
              <w:t>Commission File Number: 001-34899</w:t>
            </w:r>
          </w:p>
        </w:tc>
        <w:tc>
          <w:tcPr>
            <w:tcW w:w="0" w:type="dxa"/>
            <w:vAlign w:val="bottom"/>
          </w:tcPr>
          <w:p>
            <w:pPr>
              <w:spacing w:after="0"/>
              <w:rPr>
                <w:sz w:val="1"/>
                <w:szCs w:val="1"/>
                <w:color w:val="auto"/>
              </w:rPr>
            </w:pPr>
          </w:p>
        </w:tc>
      </w:tr>
      <w:tr>
        <w:trPr>
          <w:trHeight w:val="160"/>
        </w:trPr>
        <w:tc>
          <w:tcPr>
            <w:tcW w:w="3000" w:type="dxa"/>
            <w:vAlign w:val="bottom"/>
          </w:tcPr>
          <w:p>
            <w:pPr>
              <w:spacing w:after="0"/>
              <w:rPr>
                <w:sz w:val="13"/>
                <w:szCs w:val="13"/>
                <w:color w:val="auto"/>
              </w:rPr>
            </w:pPr>
          </w:p>
        </w:tc>
        <w:tc>
          <w:tcPr>
            <w:tcW w:w="6020" w:type="dxa"/>
            <w:vAlign w:val="bottom"/>
            <w:gridSpan w:val="2"/>
          </w:tcPr>
          <w:p>
            <w:pPr>
              <w:jc w:val="center"/>
              <w:ind w:right="2764"/>
              <w:spacing w:after="0"/>
              <w:rPr>
                <w:sz w:val="20"/>
                <w:szCs w:val="20"/>
                <w:color w:val="auto"/>
              </w:rPr>
            </w:pPr>
            <w:r>
              <w:rPr>
                <w:rFonts w:ascii="Arial" w:cs="Arial" w:eastAsia="Arial" w:hAnsi="Arial"/>
                <w:sz w:val="12"/>
                <w:szCs w:val="12"/>
                <w:b w:val="1"/>
                <w:bCs w:val="1"/>
                <w:color w:val="auto"/>
                <w:w w:val="92"/>
              </w:rPr>
              <w:t>___________________________________</w:t>
            </w:r>
          </w:p>
        </w:tc>
        <w:tc>
          <w:tcPr>
            <w:tcW w:w="0" w:type="dxa"/>
            <w:vAlign w:val="bottom"/>
          </w:tcPr>
          <w:p>
            <w:pPr>
              <w:spacing w:after="0"/>
              <w:rPr>
                <w:sz w:val="1"/>
                <w:szCs w:val="1"/>
                <w:color w:val="auto"/>
              </w:rPr>
            </w:pPr>
          </w:p>
        </w:tc>
      </w:tr>
      <w:tr>
        <w:trPr>
          <w:trHeight w:val="318"/>
        </w:trPr>
        <w:tc>
          <w:tcPr>
            <w:tcW w:w="3000" w:type="dxa"/>
            <w:vAlign w:val="bottom"/>
          </w:tcPr>
          <w:p>
            <w:pPr>
              <w:spacing w:after="0"/>
              <w:rPr>
                <w:sz w:val="24"/>
                <w:szCs w:val="24"/>
                <w:color w:val="auto"/>
              </w:rPr>
            </w:pPr>
          </w:p>
        </w:tc>
        <w:tc>
          <w:tcPr>
            <w:tcW w:w="6020" w:type="dxa"/>
            <w:vAlign w:val="bottom"/>
            <w:gridSpan w:val="2"/>
          </w:tcPr>
          <w:p>
            <w:pPr>
              <w:jc w:val="center"/>
              <w:ind w:right="2764"/>
              <w:spacing w:after="0"/>
              <w:rPr>
                <w:sz w:val="20"/>
                <w:szCs w:val="20"/>
                <w:color w:val="auto"/>
              </w:rPr>
            </w:pPr>
            <w:r>
              <w:rPr>
                <w:rFonts w:ascii="Arial" w:cs="Arial" w:eastAsia="Arial" w:hAnsi="Arial"/>
                <w:sz w:val="27"/>
                <w:szCs w:val="27"/>
                <w:b w:val="1"/>
                <w:bCs w:val="1"/>
                <w:color w:val="auto"/>
                <w:w w:val="85"/>
              </w:rPr>
              <w:t>Pulse Biosciences, Inc.</w:t>
            </w:r>
          </w:p>
        </w:tc>
        <w:tc>
          <w:tcPr>
            <w:tcW w:w="0" w:type="dxa"/>
            <w:vAlign w:val="bottom"/>
          </w:tcPr>
          <w:p>
            <w:pPr>
              <w:spacing w:after="0"/>
              <w:rPr>
                <w:sz w:val="1"/>
                <w:szCs w:val="1"/>
                <w:color w:val="auto"/>
              </w:rPr>
            </w:pPr>
          </w:p>
        </w:tc>
      </w:tr>
      <w:tr>
        <w:trPr>
          <w:trHeight w:val="126"/>
        </w:trPr>
        <w:tc>
          <w:tcPr>
            <w:tcW w:w="3000" w:type="dxa"/>
            <w:vAlign w:val="bottom"/>
          </w:tcPr>
          <w:p>
            <w:pPr>
              <w:spacing w:after="0"/>
              <w:rPr>
                <w:sz w:val="10"/>
                <w:szCs w:val="10"/>
                <w:color w:val="auto"/>
              </w:rPr>
            </w:pPr>
          </w:p>
        </w:tc>
        <w:tc>
          <w:tcPr>
            <w:tcW w:w="6020" w:type="dxa"/>
            <w:vAlign w:val="bottom"/>
            <w:gridSpan w:val="2"/>
          </w:tcPr>
          <w:p>
            <w:pPr>
              <w:jc w:val="center"/>
              <w:ind w:right="2764"/>
              <w:spacing w:after="0"/>
              <w:rPr>
                <w:sz w:val="20"/>
                <w:szCs w:val="20"/>
                <w:color w:val="auto"/>
              </w:rPr>
            </w:pPr>
            <w:r>
              <w:rPr>
                <w:rFonts w:ascii="Arial" w:cs="Arial" w:eastAsia="Arial" w:hAnsi="Arial"/>
                <w:sz w:val="10"/>
                <w:szCs w:val="10"/>
                <w:b w:val="1"/>
                <w:bCs w:val="1"/>
                <w:color w:val="auto"/>
                <w:w w:val="87"/>
              </w:rPr>
              <w:t>(Exact name of registrant as specified in its charter)</w:t>
            </w:r>
          </w:p>
        </w:tc>
        <w:tc>
          <w:tcPr>
            <w:tcW w:w="0" w:type="dxa"/>
            <w:vAlign w:val="bottom"/>
          </w:tcPr>
          <w:p>
            <w:pPr>
              <w:spacing w:after="0"/>
              <w:rPr>
                <w:sz w:val="1"/>
                <w:szCs w:val="1"/>
                <w:color w:val="auto"/>
              </w:rPr>
            </w:pPr>
          </w:p>
        </w:tc>
      </w:tr>
      <w:tr>
        <w:trPr>
          <w:trHeight w:val="341"/>
        </w:trPr>
        <w:tc>
          <w:tcPr>
            <w:tcW w:w="3000" w:type="dxa"/>
            <w:vAlign w:val="bottom"/>
          </w:tcPr>
          <w:p>
            <w:pPr>
              <w:jc w:val="center"/>
              <w:ind w:left="505"/>
              <w:spacing w:after="0"/>
              <w:rPr>
                <w:sz w:val="20"/>
                <w:szCs w:val="20"/>
                <w:color w:val="auto"/>
              </w:rPr>
            </w:pPr>
            <w:r>
              <w:rPr>
                <w:rFonts w:ascii="Arial" w:cs="Arial" w:eastAsia="Arial" w:hAnsi="Arial"/>
                <w:sz w:val="11"/>
                <w:szCs w:val="11"/>
                <w:b w:val="1"/>
                <w:bCs w:val="1"/>
                <w:color w:val="auto"/>
                <w:w w:val="90"/>
              </w:rPr>
              <w:t>Delaware</w:t>
            </w:r>
          </w:p>
        </w:tc>
        <w:tc>
          <w:tcPr>
            <w:tcW w:w="2340" w:type="dxa"/>
            <w:vAlign w:val="bottom"/>
          </w:tcPr>
          <w:p>
            <w:pPr>
              <w:spacing w:after="0"/>
              <w:rPr>
                <w:sz w:val="24"/>
                <w:szCs w:val="24"/>
                <w:color w:val="auto"/>
              </w:rPr>
            </w:pPr>
          </w:p>
        </w:tc>
        <w:tc>
          <w:tcPr>
            <w:tcW w:w="3680" w:type="dxa"/>
            <w:vAlign w:val="bottom"/>
          </w:tcPr>
          <w:p>
            <w:pPr>
              <w:jc w:val="right"/>
              <w:ind w:right="1264"/>
              <w:spacing w:after="0"/>
              <w:rPr>
                <w:sz w:val="20"/>
                <w:szCs w:val="20"/>
                <w:color w:val="auto"/>
              </w:rPr>
            </w:pPr>
            <w:r>
              <w:rPr>
                <w:rFonts w:ascii="Arial" w:cs="Arial" w:eastAsia="Arial" w:hAnsi="Arial"/>
                <w:sz w:val="11"/>
                <w:szCs w:val="11"/>
                <w:b w:val="1"/>
                <w:bCs w:val="1"/>
                <w:color w:val="auto"/>
              </w:rPr>
              <w:t>46-5696597</w:t>
            </w:r>
          </w:p>
        </w:tc>
        <w:tc>
          <w:tcPr>
            <w:tcW w:w="0" w:type="dxa"/>
            <w:vAlign w:val="bottom"/>
          </w:tcPr>
          <w:p>
            <w:pPr>
              <w:spacing w:after="0"/>
              <w:rPr>
                <w:sz w:val="1"/>
                <w:szCs w:val="1"/>
                <w:color w:val="auto"/>
              </w:rPr>
            </w:pPr>
          </w:p>
        </w:tc>
      </w:tr>
      <w:tr>
        <w:trPr>
          <w:trHeight w:val="111"/>
        </w:trPr>
        <w:tc>
          <w:tcPr>
            <w:tcW w:w="3000" w:type="dxa"/>
            <w:vAlign w:val="bottom"/>
          </w:tcPr>
          <w:p>
            <w:pPr>
              <w:jc w:val="center"/>
              <w:ind w:left="505"/>
              <w:spacing w:after="0" w:line="111" w:lineRule="exact"/>
              <w:rPr>
                <w:sz w:val="20"/>
                <w:szCs w:val="20"/>
                <w:color w:val="auto"/>
              </w:rPr>
            </w:pPr>
            <w:r>
              <w:rPr>
                <w:rFonts w:ascii="Arial" w:cs="Arial" w:eastAsia="Arial" w:hAnsi="Arial"/>
                <w:sz w:val="11"/>
                <w:szCs w:val="11"/>
                <w:b w:val="1"/>
                <w:bCs w:val="1"/>
                <w:color w:val="auto"/>
                <w:w w:val="92"/>
              </w:rPr>
              <w:t>(State or other jurisdiction of</w:t>
            </w:r>
          </w:p>
        </w:tc>
        <w:tc>
          <w:tcPr>
            <w:tcW w:w="2340" w:type="dxa"/>
            <w:vAlign w:val="bottom"/>
          </w:tcPr>
          <w:p>
            <w:pPr>
              <w:spacing w:after="0"/>
              <w:rPr>
                <w:sz w:val="9"/>
                <w:szCs w:val="9"/>
                <w:color w:val="auto"/>
              </w:rPr>
            </w:pPr>
          </w:p>
        </w:tc>
        <w:tc>
          <w:tcPr>
            <w:tcW w:w="3680" w:type="dxa"/>
            <w:vAlign w:val="bottom"/>
          </w:tcPr>
          <w:p>
            <w:pPr>
              <w:jc w:val="center"/>
              <w:ind w:left="464"/>
              <w:spacing w:after="0" w:line="111" w:lineRule="exact"/>
              <w:rPr>
                <w:sz w:val="20"/>
                <w:szCs w:val="20"/>
                <w:color w:val="auto"/>
              </w:rPr>
            </w:pPr>
            <w:r>
              <w:rPr>
                <w:rFonts w:ascii="Arial" w:cs="Arial" w:eastAsia="Arial" w:hAnsi="Arial"/>
                <w:sz w:val="11"/>
                <w:szCs w:val="11"/>
                <w:b w:val="1"/>
                <w:bCs w:val="1"/>
                <w:color w:val="auto"/>
                <w:w w:val="94"/>
              </w:rPr>
              <w:t>(I.R.S. Employer</w:t>
            </w:r>
          </w:p>
        </w:tc>
        <w:tc>
          <w:tcPr>
            <w:tcW w:w="0" w:type="dxa"/>
            <w:vAlign w:val="bottom"/>
          </w:tcPr>
          <w:p>
            <w:pPr>
              <w:spacing w:after="0"/>
              <w:rPr>
                <w:sz w:val="1"/>
                <w:szCs w:val="1"/>
                <w:color w:val="auto"/>
              </w:rPr>
            </w:pPr>
          </w:p>
        </w:tc>
      </w:tr>
      <w:tr>
        <w:trPr>
          <w:trHeight w:val="143"/>
        </w:trPr>
        <w:tc>
          <w:tcPr>
            <w:tcW w:w="3000" w:type="dxa"/>
            <w:vAlign w:val="bottom"/>
          </w:tcPr>
          <w:p>
            <w:pPr>
              <w:jc w:val="center"/>
              <w:ind w:left="505"/>
              <w:spacing w:after="0"/>
              <w:rPr>
                <w:sz w:val="20"/>
                <w:szCs w:val="20"/>
                <w:color w:val="auto"/>
              </w:rPr>
            </w:pPr>
            <w:r>
              <w:rPr>
                <w:rFonts w:ascii="Arial" w:cs="Arial" w:eastAsia="Arial" w:hAnsi="Arial"/>
                <w:sz w:val="11"/>
                <w:szCs w:val="11"/>
                <w:b w:val="1"/>
                <w:bCs w:val="1"/>
                <w:color w:val="auto"/>
                <w:w w:val="91"/>
              </w:rPr>
              <w:t>incorporation or organization)</w:t>
            </w:r>
          </w:p>
        </w:tc>
        <w:tc>
          <w:tcPr>
            <w:tcW w:w="2340" w:type="dxa"/>
            <w:vAlign w:val="bottom"/>
          </w:tcPr>
          <w:p>
            <w:pPr>
              <w:spacing w:after="0"/>
              <w:rPr>
                <w:sz w:val="12"/>
                <w:szCs w:val="12"/>
                <w:color w:val="auto"/>
              </w:rPr>
            </w:pPr>
          </w:p>
        </w:tc>
        <w:tc>
          <w:tcPr>
            <w:tcW w:w="3680" w:type="dxa"/>
            <w:vAlign w:val="bottom"/>
          </w:tcPr>
          <w:p>
            <w:pPr>
              <w:jc w:val="center"/>
              <w:ind w:left="444"/>
              <w:spacing w:after="0"/>
              <w:rPr>
                <w:sz w:val="20"/>
                <w:szCs w:val="20"/>
                <w:color w:val="auto"/>
              </w:rPr>
            </w:pPr>
            <w:r>
              <w:rPr>
                <w:rFonts w:ascii="Arial" w:cs="Arial" w:eastAsia="Arial" w:hAnsi="Arial"/>
                <w:sz w:val="11"/>
                <w:szCs w:val="11"/>
                <w:b w:val="1"/>
                <w:bCs w:val="1"/>
                <w:color w:val="auto"/>
                <w:w w:val="92"/>
              </w:rPr>
              <w:t>Identification No.)</w:t>
            </w:r>
          </w:p>
        </w:tc>
        <w:tc>
          <w:tcPr>
            <w:tcW w:w="0" w:type="dxa"/>
            <w:vAlign w:val="bottom"/>
          </w:tcPr>
          <w:p>
            <w:pPr>
              <w:spacing w:after="0"/>
              <w:rPr>
                <w:sz w:val="1"/>
                <w:szCs w:val="1"/>
                <w:color w:val="auto"/>
              </w:rPr>
            </w:pPr>
          </w:p>
        </w:tc>
      </w:tr>
      <w:tr>
        <w:trPr>
          <w:trHeight w:val="189"/>
        </w:trPr>
        <w:tc>
          <w:tcPr>
            <w:tcW w:w="3000" w:type="dxa"/>
            <w:vAlign w:val="bottom"/>
          </w:tcPr>
          <w:p>
            <w:pPr>
              <w:jc w:val="center"/>
              <w:ind w:left="525"/>
              <w:spacing w:after="0"/>
              <w:rPr>
                <w:sz w:val="20"/>
                <w:szCs w:val="20"/>
                <w:color w:val="auto"/>
              </w:rPr>
            </w:pPr>
            <w:r>
              <w:rPr>
                <w:rFonts w:ascii="Arial" w:cs="Arial" w:eastAsia="Arial" w:hAnsi="Arial"/>
                <w:sz w:val="11"/>
                <w:szCs w:val="11"/>
                <w:b w:val="1"/>
                <w:bCs w:val="1"/>
                <w:color w:val="auto"/>
                <w:w w:val="92"/>
              </w:rPr>
              <w:t>3957 Point Eden Way</w:t>
            </w:r>
          </w:p>
        </w:tc>
        <w:tc>
          <w:tcPr>
            <w:tcW w:w="2340" w:type="dxa"/>
            <w:vAlign w:val="bottom"/>
          </w:tcPr>
          <w:p>
            <w:pPr>
              <w:spacing w:after="0"/>
              <w:rPr>
                <w:sz w:val="16"/>
                <w:szCs w:val="16"/>
                <w:color w:val="auto"/>
              </w:rPr>
            </w:pPr>
          </w:p>
        </w:tc>
        <w:tc>
          <w:tcPr>
            <w:tcW w:w="3680" w:type="dxa"/>
            <w:vAlign w:val="bottom"/>
            <w:vMerge w:val="restart"/>
          </w:tcPr>
          <w:p>
            <w:pPr>
              <w:jc w:val="right"/>
              <w:ind w:right="1404"/>
              <w:spacing w:after="0"/>
              <w:rPr>
                <w:sz w:val="20"/>
                <w:szCs w:val="20"/>
                <w:color w:val="auto"/>
              </w:rPr>
            </w:pPr>
            <w:r>
              <w:rPr>
                <w:rFonts w:ascii="Arial" w:cs="Arial" w:eastAsia="Arial" w:hAnsi="Arial"/>
                <w:sz w:val="11"/>
                <w:szCs w:val="11"/>
                <w:b w:val="1"/>
                <w:bCs w:val="1"/>
                <w:color w:val="auto"/>
              </w:rPr>
              <w:t>94545</w:t>
            </w:r>
          </w:p>
        </w:tc>
        <w:tc>
          <w:tcPr>
            <w:tcW w:w="0" w:type="dxa"/>
            <w:vAlign w:val="bottom"/>
          </w:tcPr>
          <w:p>
            <w:pPr>
              <w:spacing w:after="0"/>
              <w:rPr>
                <w:sz w:val="1"/>
                <w:szCs w:val="1"/>
                <w:color w:val="auto"/>
              </w:rPr>
            </w:pPr>
          </w:p>
        </w:tc>
      </w:tr>
      <w:tr>
        <w:trPr>
          <w:trHeight w:val="111"/>
        </w:trPr>
        <w:tc>
          <w:tcPr>
            <w:tcW w:w="3000" w:type="dxa"/>
            <w:vAlign w:val="bottom"/>
          </w:tcPr>
          <w:p>
            <w:pPr>
              <w:jc w:val="center"/>
              <w:ind w:left="525"/>
              <w:spacing w:after="0" w:line="111" w:lineRule="exact"/>
              <w:rPr>
                <w:sz w:val="20"/>
                <w:szCs w:val="20"/>
                <w:color w:val="auto"/>
              </w:rPr>
            </w:pPr>
            <w:r>
              <w:rPr>
                <w:rFonts w:ascii="Arial" w:cs="Arial" w:eastAsia="Arial" w:hAnsi="Arial"/>
                <w:sz w:val="11"/>
                <w:szCs w:val="11"/>
                <w:b w:val="1"/>
                <w:bCs w:val="1"/>
                <w:color w:val="auto"/>
                <w:w w:val="97"/>
              </w:rPr>
              <w:t>Hayward, CA</w:t>
            </w:r>
          </w:p>
        </w:tc>
        <w:tc>
          <w:tcPr>
            <w:tcW w:w="2340" w:type="dxa"/>
            <w:vAlign w:val="bottom"/>
          </w:tcPr>
          <w:p>
            <w:pPr>
              <w:spacing w:after="0"/>
              <w:rPr>
                <w:sz w:val="9"/>
                <w:szCs w:val="9"/>
                <w:color w:val="auto"/>
              </w:rPr>
            </w:pPr>
          </w:p>
        </w:tc>
        <w:tc>
          <w:tcPr>
            <w:tcW w:w="3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000" w:type="dxa"/>
            <w:vAlign w:val="bottom"/>
          </w:tcPr>
          <w:p>
            <w:pPr>
              <w:jc w:val="center"/>
              <w:ind w:left="505"/>
              <w:spacing w:after="0"/>
              <w:rPr>
                <w:sz w:val="20"/>
                <w:szCs w:val="20"/>
                <w:color w:val="auto"/>
              </w:rPr>
            </w:pPr>
            <w:r>
              <w:rPr>
                <w:rFonts w:ascii="Arial" w:cs="Arial" w:eastAsia="Arial" w:hAnsi="Arial"/>
                <w:sz w:val="11"/>
                <w:szCs w:val="11"/>
                <w:b w:val="1"/>
                <w:bCs w:val="1"/>
                <w:color w:val="auto"/>
                <w:w w:val="89"/>
              </w:rPr>
              <w:t>(Address of principal executive offices)</w:t>
            </w:r>
          </w:p>
        </w:tc>
        <w:tc>
          <w:tcPr>
            <w:tcW w:w="2340" w:type="dxa"/>
            <w:vAlign w:val="bottom"/>
            <w:vMerge w:val="restart"/>
          </w:tcPr>
          <w:p>
            <w:pPr>
              <w:jc w:val="center"/>
              <w:ind w:left="796"/>
              <w:spacing w:after="0"/>
              <w:rPr>
                <w:sz w:val="20"/>
                <w:szCs w:val="20"/>
                <w:color w:val="auto"/>
              </w:rPr>
            </w:pPr>
            <w:r>
              <w:rPr>
                <w:rFonts w:ascii="Arial" w:cs="Arial" w:eastAsia="Arial" w:hAnsi="Arial"/>
                <w:sz w:val="11"/>
                <w:szCs w:val="11"/>
                <w:b w:val="1"/>
                <w:bCs w:val="1"/>
                <w:color w:val="auto"/>
                <w:w w:val="90"/>
              </w:rPr>
              <w:t>(510) 906-4600</w:t>
            </w:r>
          </w:p>
        </w:tc>
        <w:tc>
          <w:tcPr>
            <w:tcW w:w="3680" w:type="dxa"/>
            <w:vAlign w:val="bottom"/>
          </w:tcPr>
          <w:p>
            <w:pPr>
              <w:jc w:val="center"/>
              <w:ind w:left="444"/>
              <w:spacing w:after="0"/>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79"/>
        </w:trPr>
        <w:tc>
          <w:tcPr>
            <w:tcW w:w="3000" w:type="dxa"/>
            <w:vAlign w:val="bottom"/>
          </w:tcPr>
          <w:p>
            <w:pPr>
              <w:spacing w:after="0"/>
              <w:rPr>
                <w:sz w:val="6"/>
                <w:szCs w:val="6"/>
                <w:color w:val="auto"/>
              </w:rPr>
            </w:pPr>
          </w:p>
        </w:tc>
        <w:tc>
          <w:tcPr>
            <w:tcW w:w="2340" w:type="dxa"/>
            <w:vAlign w:val="bottom"/>
            <w:vMerge w:val="continue"/>
          </w:tcPr>
          <w:p>
            <w:pPr>
              <w:spacing w:after="0"/>
              <w:rPr>
                <w:sz w:val="6"/>
                <w:szCs w:val="6"/>
                <w:color w:val="auto"/>
              </w:rPr>
            </w:pPr>
          </w:p>
        </w:tc>
        <w:tc>
          <w:tcPr>
            <w:tcW w:w="3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000" w:type="dxa"/>
            <w:vAlign w:val="bottom"/>
          </w:tcPr>
          <w:p>
            <w:pPr>
              <w:spacing w:after="0"/>
              <w:rPr>
                <w:sz w:val="9"/>
                <w:szCs w:val="9"/>
                <w:color w:val="auto"/>
              </w:rPr>
            </w:pPr>
          </w:p>
        </w:tc>
        <w:tc>
          <w:tcPr>
            <w:tcW w:w="6020" w:type="dxa"/>
            <w:vAlign w:val="bottom"/>
            <w:gridSpan w:val="2"/>
          </w:tcPr>
          <w:p>
            <w:pPr>
              <w:jc w:val="center"/>
              <w:ind w:right="2744"/>
              <w:spacing w:after="0" w:line="111" w:lineRule="exact"/>
              <w:rPr>
                <w:sz w:val="20"/>
                <w:szCs w:val="20"/>
                <w:color w:val="auto"/>
              </w:rPr>
            </w:pPr>
            <w:r>
              <w:rPr>
                <w:rFonts w:ascii="Arial" w:cs="Arial" w:eastAsia="Arial" w:hAnsi="Arial"/>
                <w:sz w:val="11"/>
                <w:szCs w:val="11"/>
                <w:b w:val="1"/>
                <w:bCs w:val="1"/>
                <w:color w:val="auto"/>
                <w:w w:val="89"/>
              </w:rPr>
              <w:t>(Registrant’s telephone number, including area code)</w:t>
            </w:r>
          </w:p>
        </w:tc>
        <w:tc>
          <w:tcPr>
            <w:tcW w:w="0" w:type="dxa"/>
            <w:vAlign w:val="bottom"/>
          </w:tcPr>
          <w:p>
            <w:pPr>
              <w:spacing w:after="0"/>
              <w:rPr>
                <w:sz w:val="1"/>
                <w:szCs w:val="1"/>
                <w:color w:val="auto"/>
              </w:rPr>
            </w:pPr>
          </w:p>
        </w:tc>
      </w:tr>
      <w:tr>
        <w:trPr>
          <w:trHeight w:val="115"/>
        </w:trPr>
        <w:tc>
          <w:tcPr>
            <w:tcW w:w="3000" w:type="dxa"/>
            <w:vAlign w:val="bottom"/>
          </w:tcPr>
          <w:p>
            <w:pPr>
              <w:spacing w:after="0"/>
              <w:rPr>
                <w:sz w:val="9"/>
                <w:szCs w:val="9"/>
                <w:color w:val="auto"/>
              </w:rPr>
            </w:pPr>
          </w:p>
        </w:tc>
        <w:tc>
          <w:tcPr>
            <w:tcW w:w="6020" w:type="dxa"/>
            <w:vAlign w:val="bottom"/>
            <w:gridSpan w:val="2"/>
          </w:tcPr>
          <w:p>
            <w:pPr>
              <w:jc w:val="center"/>
              <w:ind w:right="2744"/>
              <w:spacing w:after="0" w:line="115" w:lineRule="exact"/>
              <w:rPr>
                <w:sz w:val="20"/>
                <w:szCs w:val="20"/>
                <w:color w:val="auto"/>
              </w:rPr>
            </w:pPr>
            <w:r>
              <w:rPr>
                <w:rFonts w:ascii="Arial" w:cs="Arial" w:eastAsia="Arial" w:hAnsi="Arial"/>
                <w:sz w:val="11"/>
                <w:szCs w:val="11"/>
                <w:b w:val="1"/>
                <w:bCs w:val="1"/>
                <w:color w:val="auto"/>
                <w:w w:val="90"/>
              </w:rPr>
              <w:t>___________________________________</w:t>
            </w:r>
          </w:p>
        </w:tc>
        <w:tc>
          <w:tcPr>
            <w:tcW w:w="0" w:type="dxa"/>
            <w:vAlign w:val="bottom"/>
          </w:tcPr>
          <w:p>
            <w:pPr>
              <w:spacing w:after="0"/>
              <w:rPr>
                <w:sz w:val="1"/>
                <w:szCs w:val="1"/>
                <w:color w:val="auto"/>
              </w:rPr>
            </w:pPr>
          </w:p>
        </w:tc>
      </w:tr>
      <w:tr>
        <w:trPr>
          <w:trHeight w:val="139"/>
        </w:trPr>
        <w:tc>
          <w:tcPr>
            <w:tcW w:w="3000" w:type="dxa"/>
            <w:vAlign w:val="bottom"/>
          </w:tcPr>
          <w:p>
            <w:pPr>
              <w:spacing w:after="0"/>
              <w:rPr>
                <w:sz w:val="12"/>
                <w:szCs w:val="12"/>
                <w:color w:val="auto"/>
              </w:rPr>
            </w:pPr>
          </w:p>
        </w:tc>
        <w:tc>
          <w:tcPr>
            <w:tcW w:w="6020" w:type="dxa"/>
            <w:vAlign w:val="bottom"/>
            <w:gridSpan w:val="2"/>
          </w:tcPr>
          <w:p>
            <w:pPr>
              <w:jc w:val="center"/>
              <w:ind w:right="2764"/>
              <w:spacing w:after="0"/>
              <w:rPr>
                <w:sz w:val="20"/>
                <w:szCs w:val="20"/>
                <w:color w:val="auto"/>
              </w:rPr>
            </w:pPr>
            <w:r>
              <w:rPr>
                <w:rFonts w:ascii="Arial" w:cs="Arial" w:eastAsia="Arial" w:hAnsi="Arial"/>
                <w:sz w:val="11"/>
                <w:szCs w:val="11"/>
                <w:color w:val="auto"/>
                <w:w w:val="91"/>
              </w:rPr>
              <w:t>Securities registered pursuant to Section 12(b) of the Act:</w:t>
            </w:r>
          </w:p>
        </w:tc>
        <w:tc>
          <w:tcPr>
            <w:tcW w:w="0" w:type="dxa"/>
            <w:vAlign w:val="bottom"/>
          </w:tcPr>
          <w:p>
            <w:pPr>
              <w:spacing w:after="0"/>
              <w:rPr>
                <w:sz w:val="1"/>
                <w:szCs w:val="1"/>
                <w:color w:val="auto"/>
              </w:rPr>
            </w:pPr>
          </w:p>
        </w:tc>
      </w:tr>
      <w:tr>
        <w:trPr>
          <w:trHeight w:val="231"/>
        </w:trPr>
        <w:tc>
          <w:tcPr>
            <w:tcW w:w="3000" w:type="dxa"/>
            <w:vAlign w:val="bottom"/>
          </w:tcPr>
          <w:p>
            <w:pPr>
              <w:jc w:val="center"/>
              <w:ind w:right="905"/>
              <w:spacing w:after="0"/>
              <w:rPr>
                <w:sz w:val="20"/>
                <w:szCs w:val="20"/>
                <w:color w:val="auto"/>
              </w:rPr>
            </w:pPr>
            <w:r>
              <w:rPr>
                <w:rFonts w:ascii="Arial" w:cs="Arial" w:eastAsia="Arial" w:hAnsi="Arial"/>
                <w:sz w:val="11"/>
                <w:szCs w:val="11"/>
                <w:color w:val="auto"/>
                <w:w w:val="90"/>
              </w:rPr>
              <w:t>Title of each class</w:t>
            </w:r>
          </w:p>
        </w:tc>
        <w:tc>
          <w:tcPr>
            <w:tcW w:w="2340" w:type="dxa"/>
            <w:vAlign w:val="bottom"/>
          </w:tcPr>
          <w:p>
            <w:pPr>
              <w:jc w:val="center"/>
              <w:ind w:left="476"/>
              <w:spacing w:after="0"/>
              <w:rPr>
                <w:sz w:val="20"/>
                <w:szCs w:val="20"/>
                <w:color w:val="auto"/>
              </w:rPr>
            </w:pPr>
            <w:r>
              <w:rPr>
                <w:rFonts w:ascii="Arial" w:cs="Arial" w:eastAsia="Arial" w:hAnsi="Arial"/>
                <w:sz w:val="11"/>
                <w:szCs w:val="11"/>
                <w:color w:val="auto"/>
                <w:w w:val="93"/>
              </w:rPr>
              <w:t>Trading Symbol(s)</w:t>
            </w:r>
          </w:p>
        </w:tc>
        <w:tc>
          <w:tcPr>
            <w:tcW w:w="3680" w:type="dxa"/>
            <w:vAlign w:val="bottom"/>
          </w:tcPr>
          <w:p>
            <w:pPr>
              <w:jc w:val="center"/>
              <w:ind w:left="1664"/>
              <w:spacing w:after="0"/>
              <w:rPr>
                <w:sz w:val="20"/>
                <w:szCs w:val="20"/>
                <w:color w:val="auto"/>
              </w:rPr>
            </w:pPr>
            <w:r>
              <w:rPr>
                <w:rFonts w:ascii="Arial" w:cs="Arial" w:eastAsia="Arial" w:hAnsi="Arial"/>
                <w:sz w:val="11"/>
                <w:szCs w:val="11"/>
                <w:color w:val="auto"/>
                <w:w w:val="90"/>
              </w:rPr>
              <w:t>Name of each exchange on which registered</w:t>
            </w:r>
          </w:p>
        </w:tc>
        <w:tc>
          <w:tcPr>
            <w:tcW w:w="0" w:type="dxa"/>
            <w:vAlign w:val="bottom"/>
          </w:tcPr>
          <w:p>
            <w:pPr>
              <w:spacing w:after="0"/>
              <w:rPr>
                <w:sz w:val="1"/>
                <w:szCs w:val="1"/>
                <w:color w:val="auto"/>
              </w:rPr>
            </w:pPr>
          </w:p>
        </w:tc>
      </w:tr>
      <w:tr>
        <w:trPr>
          <w:trHeight w:val="184"/>
        </w:trPr>
        <w:tc>
          <w:tcPr>
            <w:tcW w:w="3000" w:type="dxa"/>
            <w:vAlign w:val="bottom"/>
          </w:tcPr>
          <w:p>
            <w:pPr>
              <w:jc w:val="center"/>
              <w:ind w:right="905"/>
              <w:spacing w:after="0"/>
              <w:rPr>
                <w:sz w:val="20"/>
                <w:szCs w:val="20"/>
                <w:color w:val="auto"/>
              </w:rPr>
            </w:pPr>
            <w:r>
              <w:rPr>
                <w:rFonts w:ascii="Arial" w:cs="Arial" w:eastAsia="Arial" w:hAnsi="Arial"/>
                <w:sz w:val="11"/>
                <w:szCs w:val="11"/>
                <w:b w:val="1"/>
                <w:bCs w:val="1"/>
                <w:color w:val="auto"/>
                <w:w w:val="90"/>
              </w:rPr>
              <w:t>Common Stock, par value $0.001 per share</w:t>
            </w:r>
          </w:p>
        </w:tc>
        <w:tc>
          <w:tcPr>
            <w:tcW w:w="2340" w:type="dxa"/>
            <w:vAlign w:val="bottom"/>
          </w:tcPr>
          <w:p>
            <w:pPr>
              <w:jc w:val="center"/>
              <w:ind w:left="476"/>
              <w:spacing w:after="0"/>
              <w:rPr>
                <w:sz w:val="20"/>
                <w:szCs w:val="20"/>
                <w:color w:val="auto"/>
              </w:rPr>
            </w:pPr>
            <w:r>
              <w:rPr>
                <w:rFonts w:ascii="Arial" w:cs="Arial" w:eastAsia="Arial" w:hAnsi="Arial"/>
                <w:sz w:val="11"/>
                <w:szCs w:val="11"/>
                <w:b w:val="1"/>
                <w:bCs w:val="1"/>
                <w:color w:val="auto"/>
                <w:w w:val="97"/>
              </w:rPr>
              <w:t>PLSE</w:t>
            </w:r>
          </w:p>
        </w:tc>
        <w:tc>
          <w:tcPr>
            <w:tcW w:w="3680" w:type="dxa"/>
            <w:vAlign w:val="bottom"/>
          </w:tcPr>
          <w:p>
            <w:pPr>
              <w:jc w:val="center"/>
              <w:ind w:left="1644"/>
              <w:spacing w:after="0"/>
              <w:rPr>
                <w:sz w:val="20"/>
                <w:szCs w:val="20"/>
                <w:color w:val="auto"/>
              </w:rPr>
            </w:pPr>
            <w:r>
              <w:rPr>
                <w:rFonts w:ascii="Arial" w:cs="Arial" w:eastAsia="Arial" w:hAnsi="Arial"/>
                <w:sz w:val="11"/>
                <w:szCs w:val="11"/>
                <w:b w:val="1"/>
                <w:bCs w:val="1"/>
                <w:color w:val="auto"/>
                <w:w w:val="94"/>
              </w:rPr>
              <w:t>The Nasdaq Stock Market</w:t>
            </w: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6" w:right="100" w:firstLine="301"/>
        <w:spacing w:after="0" w:line="131"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1"/>
          <w:szCs w:val="11"/>
          <w:color w:val="auto"/>
        </w:rPr>
        <w:t>☐</w:t>
      </w:r>
    </w:p>
    <w:p>
      <w:pPr>
        <w:spacing w:after="0" w:line="72" w:lineRule="exact"/>
        <w:rPr>
          <w:sz w:val="24"/>
          <w:szCs w:val="24"/>
          <w:color w:val="auto"/>
        </w:rPr>
      </w:pPr>
    </w:p>
    <w:p>
      <w:pPr>
        <w:ind w:left="6" w:right="80" w:firstLine="301"/>
        <w:spacing w:after="0" w:line="131"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1"/>
          <w:szCs w:val="11"/>
          <w:color w:val="auto"/>
        </w:rPr>
        <w:t>☐</w:t>
      </w:r>
    </w:p>
    <w:p>
      <w:pPr>
        <w:spacing w:after="0" w:line="72" w:lineRule="exact"/>
        <w:rPr>
          <w:sz w:val="24"/>
          <w:szCs w:val="24"/>
          <w:color w:val="auto"/>
        </w:rPr>
      </w:pPr>
    </w:p>
    <w:p>
      <w:pPr>
        <w:ind w:left="6" w:right="60" w:firstLine="301"/>
        <w:spacing w:after="0" w:line="23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6" w:type="dxa"/>
        <w:tblCellMar>
          <w:top w:w="0" w:type="dxa"/>
          <w:left w:w="0" w:type="dxa"/>
          <w:bottom w:w="0" w:type="dxa"/>
          <w:right w:w="0" w:type="dxa"/>
        </w:tblCellMar>
      </w:tblPr>
      <w:tr>
        <w:trPr>
          <w:trHeight w:val="133"/>
        </w:trPr>
        <w:tc>
          <w:tcPr>
            <w:tcW w:w="196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500" w:type="dxa"/>
            <w:vAlign w:val="bottom"/>
          </w:tcPr>
          <w:p>
            <w:pPr>
              <w:ind w:left="980"/>
              <w:spacing w:after="0" w:line="111" w:lineRule="exact"/>
              <w:rPr>
                <w:sz w:val="20"/>
                <w:szCs w:val="20"/>
                <w:color w:val="auto"/>
              </w:rPr>
            </w:pPr>
            <w:r>
              <w:rPr>
                <w:rFonts w:ascii="MS PGothic" w:cs="MS PGothic" w:eastAsia="MS PGothic" w:hAnsi="MS PGothic"/>
                <w:sz w:val="11"/>
                <w:szCs w:val="11"/>
                <w:color w:val="auto"/>
              </w:rPr>
              <w:t>☐</w:t>
            </w:r>
          </w:p>
        </w:tc>
        <w:tc>
          <w:tcPr>
            <w:tcW w:w="4600" w:type="dxa"/>
            <w:vAlign w:val="bottom"/>
          </w:tcPr>
          <w:p>
            <w:pPr>
              <w:ind w:left="2420"/>
              <w:spacing w:after="0"/>
              <w:rPr>
                <w:sz w:val="20"/>
                <w:szCs w:val="20"/>
                <w:color w:val="auto"/>
              </w:rPr>
            </w:pPr>
            <w:r>
              <w:rPr>
                <w:rFonts w:ascii="Arial" w:cs="Arial" w:eastAsia="Arial" w:hAnsi="Arial"/>
                <w:sz w:val="11"/>
                <w:szCs w:val="11"/>
                <w:color w:val="auto"/>
              </w:rPr>
              <w:t>Accelerated filer</w:t>
            </w:r>
          </w:p>
        </w:tc>
        <w:tc>
          <w:tcPr>
            <w:tcW w:w="10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11"/>
        </w:trPr>
        <w:tc>
          <w:tcPr>
            <w:tcW w:w="1960" w:type="dxa"/>
            <w:vAlign w:val="bottom"/>
          </w:tcPr>
          <w:p>
            <w:pPr>
              <w:spacing w:after="0" w:line="111" w:lineRule="exact"/>
              <w:rPr>
                <w:sz w:val="20"/>
                <w:szCs w:val="20"/>
                <w:color w:val="auto"/>
              </w:rPr>
            </w:pPr>
            <w:r>
              <w:rPr>
                <w:rFonts w:ascii="Arial" w:cs="Arial" w:eastAsia="Arial" w:hAnsi="Arial"/>
                <w:sz w:val="11"/>
                <w:szCs w:val="11"/>
                <w:color w:val="auto"/>
              </w:rPr>
              <w:t>Non-accelerated filer</w:t>
            </w:r>
          </w:p>
        </w:tc>
        <w:tc>
          <w:tcPr>
            <w:tcW w:w="3500" w:type="dxa"/>
            <w:vAlign w:val="bottom"/>
          </w:tcPr>
          <w:p>
            <w:pPr>
              <w:ind w:left="980"/>
              <w:spacing w:after="0" w:line="111" w:lineRule="exact"/>
              <w:rPr>
                <w:sz w:val="20"/>
                <w:szCs w:val="20"/>
                <w:color w:val="auto"/>
              </w:rPr>
            </w:pPr>
            <w:r>
              <w:rPr>
                <w:rFonts w:ascii="Arial" w:cs="Arial" w:eastAsia="Arial" w:hAnsi="Arial"/>
                <w:sz w:val="11"/>
                <w:szCs w:val="11"/>
                <w:color w:val="auto"/>
              </w:rPr>
              <w:t>x</w:t>
            </w:r>
          </w:p>
        </w:tc>
        <w:tc>
          <w:tcPr>
            <w:tcW w:w="4600" w:type="dxa"/>
            <w:vAlign w:val="bottom"/>
          </w:tcPr>
          <w:p>
            <w:pPr>
              <w:ind w:left="2420"/>
              <w:spacing w:after="0" w:line="111" w:lineRule="exact"/>
              <w:rPr>
                <w:sz w:val="20"/>
                <w:szCs w:val="20"/>
                <w:color w:val="auto"/>
              </w:rPr>
            </w:pPr>
            <w:r>
              <w:rPr>
                <w:rFonts w:ascii="Arial" w:cs="Arial" w:eastAsia="Arial" w:hAnsi="Arial"/>
                <w:sz w:val="11"/>
                <w:szCs w:val="11"/>
                <w:color w:val="auto"/>
              </w:rPr>
              <w:t>Smaller reporting company</w:t>
            </w:r>
          </w:p>
        </w:tc>
        <w:tc>
          <w:tcPr>
            <w:tcW w:w="1080" w:type="dxa"/>
            <w:vAlign w:val="bottom"/>
          </w:tcPr>
          <w:p>
            <w:pPr>
              <w:ind w:left="980"/>
              <w:spacing w:after="0" w:line="111" w:lineRule="exact"/>
              <w:rPr>
                <w:sz w:val="20"/>
                <w:szCs w:val="20"/>
                <w:color w:val="auto"/>
              </w:rPr>
            </w:pPr>
            <w:r>
              <w:rPr>
                <w:rFonts w:ascii="Arial" w:cs="Arial" w:eastAsia="Arial" w:hAnsi="Arial"/>
                <w:sz w:val="11"/>
                <w:szCs w:val="11"/>
                <w:color w:val="auto"/>
              </w:rPr>
              <w:t>x</w:t>
            </w:r>
          </w:p>
        </w:tc>
      </w:tr>
      <w:tr>
        <w:trPr>
          <w:trHeight w:val="139"/>
        </w:trPr>
        <w:tc>
          <w:tcPr>
            <w:tcW w:w="19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600" w:type="dxa"/>
            <w:vAlign w:val="bottom"/>
          </w:tcPr>
          <w:p>
            <w:pPr>
              <w:ind w:left="2420"/>
              <w:spacing w:after="0"/>
              <w:rPr>
                <w:sz w:val="20"/>
                <w:szCs w:val="20"/>
                <w:color w:val="auto"/>
              </w:rPr>
            </w:pPr>
            <w:r>
              <w:rPr>
                <w:rFonts w:ascii="Arial" w:cs="Arial" w:eastAsia="Arial" w:hAnsi="Arial"/>
                <w:sz w:val="11"/>
                <w:szCs w:val="11"/>
                <w:color w:val="auto"/>
              </w:rPr>
              <w:t>Emerging growth company</w:t>
            </w:r>
          </w:p>
        </w:tc>
        <w:tc>
          <w:tcPr>
            <w:tcW w:w="1080" w:type="dxa"/>
            <w:vAlign w:val="bottom"/>
          </w:tcPr>
          <w:p>
            <w:pPr>
              <w:ind w:left="980"/>
              <w:spacing w:after="0"/>
              <w:rPr>
                <w:sz w:val="20"/>
                <w:szCs w:val="20"/>
                <w:color w:val="auto"/>
              </w:rPr>
            </w:pPr>
            <w:r>
              <w:rPr>
                <w:rFonts w:ascii="Arial" w:cs="Arial" w:eastAsia="Arial" w:hAnsi="Arial"/>
                <w:sz w:val="11"/>
                <w:szCs w:val="11"/>
                <w:color w:val="auto"/>
              </w:rPr>
              <w:t>x</w:t>
            </w:r>
          </w:p>
        </w:tc>
      </w:tr>
    </w:tbl>
    <w:p>
      <w:pPr>
        <w:spacing w:after="0" w:line="83" w:lineRule="exact"/>
        <w:rPr>
          <w:sz w:val="24"/>
          <w:szCs w:val="24"/>
          <w:color w:val="auto"/>
        </w:rPr>
      </w:pPr>
    </w:p>
    <w:p>
      <w:pPr>
        <w:ind w:left="306"/>
        <w:spacing w:after="0"/>
        <w:rPr>
          <w:sz w:val="20"/>
          <w:szCs w:val="20"/>
          <w:color w:val="auto"/>
        </w:rPr>
      </w:pPr>
      <w:r>
        <w:rPr>
          <w:rFonts w:ascii="Arial" w:cs="Arial" w:eastAsia="Arial" w:hAnsi="Arial"/>
          <w:sz w:val="10"/>
          <w:szCs w:val="10"/>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4" w:lineRule="exact"/>
        <w:rPr>
          <w:sz w:val="24"/>
          <w:szCs w:val="24"/>
          <w:color w:val="auto"/>
        </w:rPr>
      </w:pPr>
    </w:p>
    <w:p>
      <w:pPr>
        <w:ind w:left="6"/>
        <w:spacing w:after="0"/>
        <w:rPr>
          <w:sz w:val="20"/>
          <w:szCs w:val="20"/>
          <w:color w:val="auto"/>
        </w:rPr>
      </w:pPr>
      <w:r>
        <w:rPr>
          <w:rFonts w:ascii="Arial" w:cs="Arial" w:eastAsia="Arial" w:hAnsi="Arial"/>
          <w:sz w:val="11"/>
          <w:szCs w:val="11"/>
          <w:color w:val="auto"/>
        </w:rPr>
        <w:t>Act. x</w:t>
      </w:r>
    </w:p>
    <w:p>
      <w:pPr>
        <w:spacing w:after="0" w:line="65" w:lineRule="exact"/>
        <w:rPr>
          <w:sz w:val="24"/>
          <w:szCs w:val="24"/>
          <w:color w:val="auto"/>
        </w:rPr>
      </w:pPr>
    </w:p>
    <w:p>
      <w:pPr>
        <w:ind w:left="266" w:right="5220" w:firstLine="27"/>
        <w:spacing w:after="0" w:line="191"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x The number of shares outstanding of the registrant’s common stock as of April 30, 2021: 26,460,353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248285</wp:posOffset>
            </wp:positionV>
            <wp:extent cx="720090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266"/>
          </w:cols>
          <w:pgMar w:left="294" w:top="4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6700" w:type="dxa"/>
            <w:vAlign w:val="bottom"/>
            <w:gridSpan w:val="22"/>
          </w:tcPr>
          <w:p>
            <w:pPr>
              <w:spacing w:after="0"/>
              <w:rPr>
                <w:rFonts w:ascii="Arial" w:cs="Arial" w:eastAsia="Arial" w:hAnsi="Arial"/>
                <w:sz w:val="12"/>
                <w:szCs w:val="12"/>
                <w:b w:val="1"/>
                <w:bCs w:val="1"/>
                <w:color w:val="0563C1"/>
              </w:rPr>
            </w:pPr>
            <w:hyperlink w:anchor="page2">
              <w:r>
                <w:rPr>
                  <w:rFonts w:ascii="Arial" w:cs="Arial" w:eastAsia="Arial" w:hAnsi="Arial"/>
                  <w:sz w:val="12"/>
                  <w:szCs w:val="12"/>
                  <w:b w:val="1"/>
                  <w:bCs w:val="1"/>
                  <w:color w:val="0563C1"/>
                </w:rPr>
                <w:t>Table of Contents</w:t>
              </w:r>
            </w:hyperlink>
          </w:p>
        </w:tc>
        <w:tc>
          <w:tcPr>
            <w:tcW w:w="4600" w:type="dxa"/>
            <w:vAlign w:val="bottom"/>
          </w:tcPr>
          <w:p>
            <w:pPr>
              <w:spacing w:after="0"/>
              <w:rPr>
                <w:sz w:val="12"/>
                <w:szCs w:val="12"/>
                <w:color w:val="auto"/>
              </w:rPr>
            </w:pPr>
          </w:p>
        </w:tc>
      </w:tr>
      <w:tr>
        <w:trPr>
          <w:trHeight w:val="367"/>
        </w:trPr>
        <w:tc>
          <w:tcPr>
            <w:tcW w:w="12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TABLE OF CONTENTS</w:t>
            </w:r>
          </w:p>
        </w:tc>
        <w:tc>
          <w:tcPr>
            <w:tcW w:w="4600" w:type="dxa"/>
            <w:vAlign w:val="bottom"/>
          </w:tcPr>
          <w:p>
            <w:pPr>
              <w:spacing w:after="0"/>
              <w:rPr>
                <w:sz w:val="24"/>
                <w:szCs w:val="24"/>
                <w:color w:val="auto"/>
              </w:rPr>
            </w:pPr>
          </w:p>
        </w:tc>
      </w:tr>
      <w:tr>
        <w:trPr>
          <w:trHeight w:val="237"/>
        </w:trPr>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151"/>
        </w:trPr>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0" w:type="dxa"/>
            <w:vAlign w:val="bottom"/>
          </w:tcPr>
          <w:p>
            <w:pPr>
              <w:jc w:val="right"/>
              <w:spacing w:after="0"/>
              <w:rPr>
                <w:sz w:val="20"/>
                <w:szCs w:val="20"/>
                <w:color w:val="auto"/>
              </w:rPr>
            </w:pPr>
            <w:r>
              <w:rPr>
                <w:rFonts w:ascii="Arial" w:cs="Arial" w:eastAsia="Arial" w:hAnsi="Arial"/>
                <w:sz w:val="12"/>
                <w:szCs w:val="12"/>
                <w:b w:val="1"/>
                <w:bCs w:val="1"/>
                <w:color w:val="auto"/>
              </w:rPr>
              <w:t>No.</w:t>
            </w:r>
          </w:p>
        </w:tc>
      </w:tr>
      <w:tr>
        <w:trPr>
          <w:trHeight w:val="188"/>
        </w:trPr>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100" w:type="dxa"/>
            <w:vAlign w:val="bottom"/>
            <w:tcBorders>
              <w:bottom w:val="single" w:sz="8" w:color="0563C1"/>
            </w:tcBorders>
            <w:gridSpan w:val="4"/>
            <w:shd w:val="clear" w:color="auto" w:fill="CCEEFF"/>
          </w:tcPr>
          <w:p>
            <w:pPr>
              <w:jc w:val="center"/>
              <w:spacing w:after="0"/>
              <w:rPr>
                <w:rFonts w:ascii="Arial" w:cs="Arial" w:eastAsia="Arial" w:hAnsi="Arial"/>
                <w:sz w:val="12"/>
                <w:szCs w:val="12"/>
                <w:b w:val="1"/>
                <w:bCs w:val="1"/>
                <w:color w:val="0563C1"/>
              </w:rPr>
            </w:pPr>
            <w:hyperlink w:anchor="page3">
              <w:r>
                <w:rPr>
                  <w:rFonts w:ascii="Arial" w:cs="Arial" w:eastAsia="Arial" w:hAnsi="Arial"/>
                  <w:sz w:val="12"/>
                  <w:szCs w:val="12"/>
                  <w:b w:val="1"/>
                  <w:bCs w:val="1"/>
                  <w:color w:val="0563C1"/>
                </w:rPr>
                <w:t>PART I. FINANCIAL INFORMATION</w:t>
              </w:r>
            </w:hyperlink>
          </w:p>
        </w:tc>
        <w:tc>
          <w:tcPr>
            <w:tcW w:w="4600" w:type="dxa"/>
            <w:vAlign w:val="bottom"/>
            <w:tcBorders>
              <w:bottom w:val="single" w:sz="8" w:color="CCEEFF"/>
            </w:tcBorders>
            <w:shd w:val="clear" w:color="auto" w:fill="CCEEFF"/>
          </w:tcPr>
          <w:p>
            <w:pPr>
              <w:spacing w:after="0"/>
              <w:rPr>
                <w:sz w:val="15"/>
                <w:szCs w:val="15"/>
                <w:color w:val="auto"/>
              </w:rPr>
            </w:pPr>
          </w:p>
        </w:tc>
      </w:tr>
      <w:tr>
        <w:trPr>
          <w:trHeight w:val="111"/>
        </w:trPr>
        <w:tc>
          <w:tcPr>
            <w:tcW w:w="2040" w:type="dxa"/>
            <w:vAlign w:val="bottom"/>
            <w:tcBorders>
              <w:top w:val="single" w:sz="8" w:color="CCEEFF"/>
              <w:bottom w:val="single" w:sz="8" w:color="0563C1"/>
            </w:tcBorders>
            <w:gridSpan w:val="9"/>
          </w:tcPr>
          <w:p>
            <w:pPr>
              <w:spacing w:after="0" w:line="111" w:lineRule="exact"/>
              <w:rPr>
                <w:rFonts w:ascii="Arial" w:cs="Arial" w:eastAsia="Arial" w:hAnsi="Arial"/>
                <w:sz w:val="12"/>
                <w:szCs w:val="12"/>
                <w:color w:val="0563C1"/>
                <w:w w:val="92"/>
              </w:rPr>
            </w:pPr>
            <w:hyperlink w:anchor="page3">
              <w:r>
                <w:rPr>
                  <w:rFonts w:ascii="Arial" w:cs="Arial" w:eastAsia="Arial" w:hAnsi="Arial"/>
                  <w:sz w:val="12"/>
                  <w:szCs w:val="12"/>
                  <w:color w:val="0563C1"/>
                  <w:w w:val="92"/>
                </w:rPr>
                <w:t>Item 1. Financial Statements (unaudited):</w:t>
              </w:r>
            </w:hyperlink>
          </w:p>
        </w:tc>
        <w:tc>
          <w:tcPr>
            <w:tcW w:w="4660" w:type="dxa"/>
            <w:vAlign w:val="bottom"/>
            <w:tcBorders>
              <w:top w:val="single" w:sz="8" w:color="CCEEFF"/>
            </w:tcBorders>
            <w:gridSpan w:val="13"/>
          </w:tcPr>
          <w:p>
            <w:pPr>
              <w:spacing w:after="0"/>
              <w:rPr>
                <w:sz w:val="9"/>
                <w:szCs w:val="9"/>
                <w:color w:val="auto"/>
              </w:rPr>
            </w:pPr>
          </w:p>
        </w:tc>
        <w:tc>
          <w:tcPr>
            <w:tcW w:w="4600" w:type="dxa"/>
            <w:vAlign w:val="bottom"/>
            <w:tcBorders>
              <w:top w:val="single" w:sz="8" w:color="CCEEFF"/>
            </w:tcBorders>
          </w:tcPr>
          <w:p>
            <w:pPr>
              <w:jc w:val="right"/>
              <w:spacing w:after="0" w:line="111" w:lineRule="exact"/>
              <w:rPr>
                <w:sz w:val="20"/>
                <w:szCs w:val="20"/>
                <w:color w:val="auto"/>
              </w:rPr>
            </w:pPr>
            <w:r>
              <w:rPr>
                <w:rFonts w:ascii="Arial" w:cs="Arial" w:eastAsia="Arial" w:hAnsi="Arial"/>
                <w:sz w:val="12"/>
                <w:szCs w:val="12"/>
                <w:color w:val="auto"/>
              </w:rPr>
              <w:t>3</w:t>
            </w:r>
          </w:p>
        </w:tc>
      </w:tr>
      <w:tr>
        <w:trPr>
          <w:trHeight w:val="109"/>
        </w:trPr>
        <w:tc>
          <w:tcPr>
            <w:tcW w:w="120" w:type="dxa"/>
            <w:vAlign w:val="bottom"/>
            <w:shd w:val="clear" w:color="auto" w:fill="CCEEFF"/>
          </w:tcPr>
          <w:p>
            <w:pPr>
              <w:spacing w:after="0"/>
              <w:rPr>
                <w:sz w:val="9"/>
                <w:szCs w:val="9"/>
                <w:color w:val="auto"/>
              </w:rPr>
            </w:pPr>
          </w:p>
        </w:tc>
        <w:tc>
          <w:tcPr>
            <w:tcW w:w="6580" w:type="dxa"/>
            <w:vAlign w:val="bottom"/>
            <w:gridSpan w:val="21"/>
            <w:shd w:val="clear" w:color="auto" w:fill="CCEEFF"/>
          </w:tcPr>
          <w:p>
            <w:pPr>
              <w:spacing w:after="0" w:line="109" w:lineRule="exact"/>
              <w:rPr>
                <w:rFonts w:ascii="Arial" w:cs="Arial" w:eastAsia="Arial" w:hAnsi="Arial"/>
                <w:sz w:val="12"/>
                <w:szCs w:val="12"/>
                <w:color w:val="0563C1"/>
              </w:rPr>
            </w:pPr>
            <w:hyperlink w:anchor="page3">
              <w:r>
                <w:rPr>
                  <w:rFonts w:ascii="Arial" w:cs="Arial" w:eastAsia="Arial" w:hAnsi="Arial"/>
                  <w:sz w:val="12"/>
                  <w:szCs w:val="12"/>
                  <w:color w:val="0563C1"/>
                </w:rPr>
                <w:t>Condensed Consolidated Balance Sheets as of March 31, 2021 and December 31, 2020</w:t>
              </w:r>
            </w:hyperlink>
          </w:p>
        </w:tc>
        <w:tc>
          <w:tcPr>
            <w:tcW w:w="460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3</w:t>
            </w:r>
          </w:p>
        </w:tc>
      </w:tr>
      <w:tr>
        <w:trPr>
          <w:trHeight w:val="109"/>
        </w:trPr>
        <w:tc>
          <w:tcPr>
            <w:tcW w:w="120" w:type="dxa"/>
            <w:vAlign w:val="bottom"/>
            <w:tcBorders>
              <w:top w:val="single" w:sz="8" w:color="CCEEFF"/>
            </w:tcBorders>
          </w:tcPr>
          <w:p>
            <w:pPr>
              <w:spacing w:after="0"/>
              <w:rPr>
                <w:sz w:val="9"/>
                <w:szCs w:val="9"/>
                <w:color w:val="auto"/>
              </w:rPr>
            </w:pPr>
          </w:p>
        </w:tc>
        <w:tc>
          <w:tcPr>
            <w:tcW w:w="4280" w:type="dxa"/>
            <w:vAlign w:val="bottom"/>
            <w:tcBorders>
              <w:top w:val="single" w:sz="8" w:color="0563C1"/>
            </w:tcBorders>
            <w:gridSpan w:val="16"/>
          </w:tcPr>
          <w:p>
            <w:pPr>
              <w:spacing w:after="0" w:line="109" w:lineRule="exact"/>
              <w:rPr>
                <w:rFonts w:ascii="Arial" w:cs="Arial" w:eastAsia="Arial" w:hAnsi="Arial"/>
                <w:sz w:val="12"/>
                <w:szCs w:val="12"/>
                <w:color w:val="0563C1"/>
              </w:rPr>
            </w:pPr>
            <w:hyperlink w:anchor="page4">
              <w:r>
                <w:rPr>
                  <w:rFonts w:ascii="Arial" w:cs="Arial" w:eastAsia="Arial" w:hAnsi="Arial"/>
                  <w:sz w:val="12"/>
                  <w:szCs w:val="12"/>
                  <w:color w:val="0563C1"/>
                </w:rPr>
                <w:t>Condensed Consolidated Statements of Operations and Comprehensive Loss</w:t>
              </w:r>
            </w:hyperlink>
          </w:p>
        </w:tc>
        <w:tc>
          <w:tcPr>
            <w:tcW w:w="2300" w:type="dxa"/>
            <w:vAlign w:val="bottom"/>
            <w:tcBorders>
              <w:top w:val="single" w:sz="8" w:color="CCEEFF"/>
            </w:tcBorders>
            <w:gridSpan w:val="5"/>
          </w:tcPr>
          <w:p>
            <w:pPr>
              <w:spacing w:after="0"/>
              <w:rPr>
                <w:sz w:val="9"/>
                <w:szCs w:val="9"/>
                <w:color w:val="auto"/>
              </w:rPr>
            </w:pPr>
          </w:p>
        </w:tc>
        <w:tc>
          <w:tcPr>
            <w:tcW w:w="4600" w:type="dxa"/>
            <w:vAlign w:val="bottom"/>
            <w:tcBorders>
              <w:top w:val="single" w:sz="8" w:color="CCEEFF"/>
            </w:tcBorders>
          </w:tcPr>
          <w:p>
            <w:pPr>
              <w:jc w:val="right"/>
              <w:spacing w:after="0" w:line="109" w:lineRule="exact"/>
              <w:rPr>
                <w:sz w:val="20"/>
                <w:szCs w:val="20"/>
                <w:color w:val="auto"/>
              </w:rPr>
            </w:pPr>
            <w:r>
              <w:rPr>
                <w:rFonts w:ascii="Arial" w:cs="Arial" w:eastAsia="Arial" w:hAnsi="Arial"/>
                <w:sz w:val="12"/>
                <w:szCs w:val="12"/>
                <w:color w:val="auto"/>
              </w:rPr>
              <w:t>4</w:t>
            </w:r>
          </w:p>
        </w:tc>
      </w:tr>
      <w:tr>
        <w:trPr>
          <w:trHeight w:val="109"/>
        </w:trPr>
        <w:tc>
          <w:tcPr>
            <w:tcW w:w="120" w:type="dxa"/>
            <w:vAlign w:val="bottom"/>
          </w:tcPr>
          <w:p>
            <w:pPr>
              <w:spacing w:after="0"/>
              <w:rPr>
                <w:sz w:val="9"/>
                <w:szCs w:val="9"/>
                <w:color w:val="auto"/>
              </w:rPr>
            </w:pPr>
          </w:p>
        </w:tc>
        <w:tc>
          <w:tcPr>
            <w:tcW w:w="3060" w:type="dxa"/>
            <w:vAlign w:val="bottom"/>
            <w:tcBorders>
              <w:top w:val="single" w:sz="8" w:color="0563C1"/>
              <w:bottom w:val="single" w:sz="8" w:color="0563C1"/>
            </w:tcBorders>
            <w:gridSpan w:val="12"/>
          </w:tcPr>
          <w:p>
            <w:pPr>
              <w:spacing w:after="0" w:line="109" w:lineRule="exact"/>
              <w:rPr>
                <w:rFonts w:ascii="Arial" w:cs="Arial" w:eastAsia="Arial" w:hAnsi="Arial"/>
                <w:sz w:val="12"/>
                <w:szCs w:val="12"/>
                <w:color w:val="0563C1"/>
                <w:w w:val="92"/>
              </w:rPr>
            </w:pPr>
            <w:hyperlink w:anchor="page4">
              <w:r>
                <w:rPr>
                  <w:rFonts w:ascii="Arial" w:cs="Arial" w:eastAsia="Arial" w:hAnsi="Arial"/>
                  <w:sz w:val="12"/>
                  <w:szCs w:val="12"/>
                  <w:color w:val="0563C1"/>
                  <w:w w:val="92"/>
                </w:rPr>
                <w:t>for the Three-Month Periods Ended March 31, 2021 and 2020</w:t>
              </w:r>
            </w:hyperlink>
          </w:p>
        </w:tc>
        <w:tc>
          <w:tcPr>
            <w:tcW w:w="720" w:type="dxa"/>
            <w:vAlign w:val="bottom"/>
            <w:tcBorders>
              <w:top w:val="single" w:sz="8" w:color="0563C1"/>
            </w:tcBorders>
            <w:gridSpan w:val="3"/>
          </w:tcPr>
          <w:p>
            <w:pPr>
              <w:spacing w:after="0"/>
              <w:rPr>
                <w:sz w:val="9"/>
                <w:szCs w:val="9"/>
                <w:color w:val="auto"/>
              </w:rPr>
            </w:pPr>
          </w:p>
        </w:tc>
        <w:tc>
          <w:tcPr>
            <w:tcW w:w="800" w:type="dxa"/>
            <w:vAlign w:val="bottom"/>
            <w:gridSpan w:val="3"/>
          </w:tcPr>
          <w:p>
            <w:pPr>
              <w:spacing w:after="0"/>
              <w:rPr>
                <w:sz w:val="9"/>
                <w:szCs w:val="9"/>
                <w:color w:val="auto"/>
              </w:rPr>
            </w:pPr>
          </w:p>
        </w:tc>
        <w:tc>
          <w:tcPr>
            <w:tcW w:w="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0" w:type="dxa"/>
            <w:vAlign w:val="bottom"/>
          </w:tcPr>
          <w:p>
            <w:pPr>
              <w:spacing w:after="0"/>
              <w:rPr>
                <w:sz w:val="9"/>
                <w:szCs w:val="9"/>
                <w:color w:val="auto"/>
              </w:rPr>
            </w:pPr>
          </w:p>
        </w:tc>
      </w:tr>
      <w:tr>
        <w:trPr>
          <w:trHeight w:val="109"/>
        </w:trPr>
        <w:tc>
          <w:tcPr>
            <w:tcW w:w="120" w:type="dxa"/>
            <w:vAlign w:val="bottom"/>
            <w:shd w:val="clear" w:color="auto" w:fill="CCEEFF"/>
          </w:tcPr>
          <w:p>
            <w:pPr>
              <w:spacing w:after="0"/>
              <w:rPr>
                <w:sz w:val="9"/>
                <w:szCs w:val="9"/>
                <w:color w:val="auto"/>
              </w:rPr>
            </w:pPr>
          </w:p>
        </w:tc>
        <w:tc>
          <w:tcPr>
            <w:tcW w:w="6580" w:type="dxa"/>
            <w:vAlign w:val="bottom"/>
            <w:gridSpan w:val="21"/>
            <w:shd w:val="clear" w:color="auto" w:fill="CCEEFF"/>
          </w:tcPr>
          <w:p>
            <w:pPr>
              <w:spacing w:after="0" w:line="109" w:lineRule="exact"/>
              <w:rPr>
                <w:rFonts w:ascii="Arial" w:cs="Arial" w:eastAsia="Arial" w:hAnsi="Arial"/>
                <w:sz w:val="12"/>
                <w:szCs w:val="12"/>
                <w:color w:val="0563C1"/>
              </w:rPr>
            </w:pPr>
            <w:hyperlink w:anchor="page5">
              <w:r>
                <w:rPr>
                  <w:rFonts w:ascii="Arial" w:cs="Arial" w:eastAsia="Arial" w:hAnsi="Arial"/>
                  <w:sz w:val="12"/>
                  <w:szCs w:val="12"/>
                  <w:color w:val="0563C1"/>
                </w:rPr>
                <w:t>Condensed Consolidated Statements of Cash Flows</w:t>
              </w:r>
            </w:hyperlink>
          </w:p>
        </w:tc>
        <w:tc>
          <w:tcPr>
            <w:tcW w:w="460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5</w:t>
            </w:r>
          </w:p>
        </w:tc>
      </w:tr>
      <w:tr>
        <w:trPr>
          <w:trHeight w:val="109"/>
        </w:trPr>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2540" w:type="dxa"/>
            <w:vAlign w:val="bottom"/>
            <w:tcBorders>
              <w:top w:val="single" w:sz="8" w:color="0563C1"/>
              <w:bottom w:val="single" w:sz="8" w:color="0563C1"/>
            </w:tcBorders>
            <w:gridSpan w:val="9"/>
            <w:shd w:val="clear" w:color="auto" w:fill="CCEEFF"/>
          </w:tcPr>
          <w:p>
            <w:pPr>
              <w:spacing w:after="0" w:line="109" w:lineRule="exact"/>
              <w:rPr>
                <w:rFonts w:ascii="Arial" w:cs="Arial" w:eastAsia="Arial" w:hAnsi="Arial"/>
                <w:sz w:val="12"/>
                <w:szCs w:val="12"/>
                <w:color w:val="0563C1"/>
                <w:w w:val="91"/>
              </w:rPr>
            </w:pPr>
            <w:hyperlink w:anchor="page5">
              <w:r>
                <w:rPr>
                  <w:rFonts w:ascii="Arial" w:cs="Arial" w:eastAsia="Arial" w:hAnsi="Arial"/>
                  <w:sz w:val="12"/>
                  <w:szCs w:val="12"/>
                  <w:color w:val="0563C1"/>
                  <w:w w:val="91"/>
                </w:rPr>
                <w:t>for the Three-Month Periods Ended March 31, 2021</w:t>
              </w:r>
            </w:hyperlink>
          </w:p>
        </w:tc>
        <w:tc>
          <w:tcPr>
            <w:tcW w:w="520" w:type="dxa"/>
            <w:vAlign w:val="bottom"/>
            <w:tcBorders>
              <w:top w:val="single" w:sz="8" w:color="CCEEFF"/>
              <w:bottom w:val="single" w:sz="8" w:color="0563C1"/>
            </w:tcBorders>
            <w:gridSpan w:val="3"/>
            <w:shd w:val="clear" w:color="auto" w:fill="CCEEFF"/>
          </w:tcPr>
          <w:p>
            <w:pPr>
              <w:ind w:left="60"/>
              <w:spacing w:after="0" w:line="109" w:lineRule="exact"/>
              <w:rPr>
                <w:rFonts w:ascii="Arial" w:cs="Arial" w:eastAsia="Arial" w:hAnsi="Arial"/>
                <w:sz w:val="12"/>
                <w:szCs w:val="12"/>
                <w:color w:val="0563C1"/>
                <w:w w:val="87"/>
              </w:rPr>
            </w:pPr>
            <w:hyperlink w:anchor="page5">
              <w:r>
                <w:rPr>
                  <w:rFonts w:ascii="Arial" w:cs="Arial" w:eastAsia="Arial" w:hAnsi="Arial"/>
                  <w:sz w:val="12"/>
                  <w:szCs w:val="12"/>
                  <w:color w:val="0563C1"/>
                  <w:w w:val="87"/>
                </w:rPr>
                <w:t xml:space="preserve">and </w:t>
              </w:r>
            </w:hyperlink>
            <w:r>
              <w:rPr>
                <w:rFonts w:ascii="Arial" w:cs="Arial" w:eastAsia="Arial" w:hAnsi="Arial"/>
                <w:sz w:val="12"/>
                <w:szCs w:val="12"/>
                <w:color w:val="0563C1"/>
                <w:w w:val="87"/>
              </w:rPr>
              <w:t>2020</w:t>
            </w:r>
          </w:p>
        </w:tc>
        <w:tc>
          <w:tcPr>
            <w:tcW w:w="3520" w:type="dxa"/>
            <w:vAlign w:val="bottom"/>
            <w:tcBorders>
              <w:top w:val="single" w:sz="8" w:color="CCEEFF"/>
              <w:bottom w:val="single" w:sz="8" w:color="CCEEFF"/>
            </w:tcBorders>
            <w:gridSpan w:val="9"/>
            <w:shd w:val="clear" w:color="auto" w:fill="CCEEFF"/>
          </w:tcPr>
          <w:p>
            <w:pPr>
              <w:spacing w:after="0"/>
              <w:rPr>
                <w:sz w:val="9"/>
                <w:szCs w:val="9"/>
                <w:color w:val="auto"/>
              </w:rPr>
            </w:pPr>
          </w:p>
        </w:tc>
        <w:tc>
          <w:tcPr>
            <w:tcW w:w="4600" w:type="dxa"/>
            <w:vAlign w:val="bottom"/>
            <w:tcBorders>
              <w:top w:val="single" w:sz="8" w:color="CCEEFF"/>
              <w:bottom w:val="single" w:sz="8" w:color="CCEEFF"/>
            </w:tcBorders>
            <w:shd w:val="clear" w:color="auto" w:fill="CCEEFF"/>
          </w:tcPr>
          <w:p>
            <w:pPr>
              <w:spacing w:after="0"/>
              <w:rPr>
                <w:sz w:val="9"/>
                <w:szCs w:val="9"/>
                <w:color w:val="auto"/>
              </w:rPr>
            </w:pPr>
          </w:p>
        </w:tc>
      </w:tr>
      <w:tr>
        <w:trPr>
          <w:trHeight w:val="109"/>
        </w:trPr>
        <w:tc>
          <w:tcPr>
            <w:tcW w:w="120" w:type="dxa"/>
            <w:vAlign w:val="bottom"/>
          </w:tcPr>
          <w:p>
            <w:pPr>
              <w:spacing w:after="0"/>
              <w:rPr>
                <w:sz w:val="9"/>
                <w:szCs w:val="9"/>
                <w:color w:val="auto"/>
              </w:rPr>
            </w:pPr>
          </w:p>
        </w:tc>
        <w:tc>
          <w:tcPr>
            <w:tcW w:w="6580" w:type="dxa"/>
            <w:vAlign w:val="bottom"/>
            <w:gridSpan w:val="21"/>
          </w:tcPr>
          <w:p>
            <w:pPr>
              <w:spacing w:after="0" w:line="109" w:lineRule="exact"/>
              <w:rPr>
                <w:rFonts w:ascii="Arial" w:cs="Arial" w:eastAsia="Arial" w:hAnsi="Arial"/>
                <w:sz w:val="12"/>
                <w:szCs w:val="12"/>
                <w:color w:val="0563C1"/>
              </w:rPr>
            </w:pPr>
            <w:hyperlink w:anchor="page6">
              <w:r>
                <w:rPr>
                  <w:rFonts w:ascii="Arial" w:cs="Arial" w:eastAsia="Arial" w:hAnsi="Arial"/>
                  <w:sz w:val="12"/>
                  <w:szCs w:val="12"/>
                  <w:color w:val="0563C1"/>
                </w:rPr>
                <w:t>Condensed Consolidated Statements of Stockholders’ Equity</w:t>
              </w:r>
            </w:hyperlink>
          </w:p>
        </w:tc>
        <w:tc>
          <w:tcPr>
            <w:tcW w:w="4600" w:type="dxa"/>
            <w:vAlign w:val="bottom"/>
          </w:tcPr>
          <w:p>
            <w:pPr>
              <w:jc w:val="right"/>
              <w:spacing w:after="0" w:line="109" w:lineRule="exact"/>
              <w:rPr>
                <w:sz w:val="20"/>
                <w:szCs w:val="20"/>
                <w:color w:val="auto"/>
              </w:rPr>
            </w:pPr>
            <w:r>
              <w:rPr>
                <w:rFonts w:ascii="Arial" w:cs="Arial" w:eastAsia="Arial" w:hAnsi="Arial"/>
                <w:sz w:val="12"/>
                <w:szCs w:val="12"/>
                <w:color w:val="auto"/>
              </w:rPr>
              <w:t>6</w:t>
            </w:r>
          </w:p>
        </w:tc>
      </w:tr>
      <w:tr>
        <w:trPr>
          <w:trHeight w:val="109"/>
        </w:trPr>
        <w:tc>
          <w:tcPr>
            <w:tcW w:w="120" w:type="dxa"/>
            <w:vAlign w:val="bottom"/>
          </w:tcPr>
          <w:p>
            <w:pPr>
              <w:spacing w:after="0"/>
              <w:rPr>
                <w:sz w:val="9"/>
                <w:szCs w:val="9"/>
                <w:color w:val="auto"/>
              </w:rPr>
            </w:pPr>
          </w:p>
        </w:tc>
        <w:tc>
          <w:tcPr>
            <w:tcW w:w="3000" w:type="dxa"/>
            <w:vAlign w:val="bottom"/>
            <w:tcBorders>
              <w:top w:val="single" w:sz="8" w:color="0563C1"/>
              <w:bottom w:val="single" w:sz="8" w:color="0563C1"/>
            </w:tcBorders>
            <w:gridSpan w:val="11"/>
          </w:tcPr>
          <w:p>
            <w:pPr>
              <w:spacing w:after="0" w:line="109" w:lineRule="exact"/>
              <w:rPr>
                <w:rFonts w:ascii="Arial" w:cs="Arial" w:eastAsia="Arial" w:hAnsi="Arial"/>
                <w:sz w:val="12"/>
                <w:szCs w:val="12"/>
                <w:color w:val="0563C1"/>
                <w:w w:val="90"/>
              </w:rPr>
            </w:pPr>
            <w:hyperlink w:anchor="page6">
              <w:r>
                <w:rPr>
                  <w:rFonts w:ascii="Arial" w:cs="Arial" w:eastAsia="Arial" w:hAnsi="Arial"/>
                  <w:sz w:val="12"/>
                  <w:szCs w:val="12"/>
                  <w:color w:val="0563C1"/>
                  <w:w w:val="90"/>
                </w:rPr>
                <w:t>for the Three-Month Periods Ended March 31, 2021 and 2020</w:t>
              </w:r>
            </w:hyperlink>
          </w:p>
        </w:tc>
        <w:tc>
          <w:tcPr>
            <w:tcW w:w="60" w:type="dxa"/>
            <w:vAlign w:val="bottom"/>
            <w:tcBorders>
              <w:bottom w:val="single" w:sz="8" w:color="0563C1"/>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gridSpan w:val="4"/>
          </w:tcPr>
          <w:p>
            <w:pPr>
              <w:spacing w:after="0"/>
              <w:rPr>
                <w:sz w:val="9"/>
                <w:szCs w:val="9"/>
                <w:color w:val="auto"/>
              </w:rPr>
            </w:pPr>
          </w:p>
        </w:tc>
        <w:tc>
          <w:tcPr>
            <w:tcW w:w="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0" w:type="dxa"/>
            <w:vAlign w:val="bottom"/>
          </w:tcPr>
          <w:p>
            <w:pPr>
              <w:spacing w:after="0"/>
              <w:rPr>
                <w:sz w:val="9"/>
                <w:szCs w:val="9"/>
                <w:color w:val="auto"/>
              </w:rPr>
            </w:pPr>
          </w:p>
        </w:tc>
      </w:tr>
      <w:tr>
        <w:trPr>
          <w:trHeight w:val="109"/>
        </w:trPr>
        <w:tc>
          <w:tcPr>
            <w:tcW w:w="120" w:type="dxa"/>
            <w:vAlign w:val="bottom"/>
            <w:shd w:val="clear" w:color="auto" w:fill="CCEEFF"/>
          </w:tcPr>
          <w:p>
            <w:pPr>
              <w:spacing w:after="0"/>
              <w:rPr>
                <w:sz w:val="9"/>
                <w:szCs w:val="9"/>
                <w:color w:val="auto"/>
              </w:rPr>
            </w:pPr>
          </w:p>
        </w:tc>
        <w:tc>
          <w:tcPr>
            <w:tcW w:w="6580" w:type="dxa"/>
            <w:vAlign w:val="bottom"/>
            <w:gridSpan w:val="21"/>
            <w:shd w:val="clear" w:color="auto" w:fill="CCEEFF"/>
          </w:tcPr>
          <w:p>
            <w:pPr>
              <w:spacing w:after="0" w:line="109" w:lineRule="exact"/>
              <w:rPr>
                <w:rFonts w:ascii="Arial" w:cs="Arial" w:eastAsia="Arial" w:hAnsi="Arial"/>
                <w:sz w:val="12"/>
                <w:szCs w:val="12"/>
                <w:color w:val="0563C1"/>
              </w:rPr>
            </w:pPr>
            <w:hyperlink w:anchor="page7">
              <w:r>
                <w:rPr>
                  <w:rFonts w:ascii="Arial" w:cs="Arial" w:eastAsia="Arial" w:hAnsi="Arial"/>
                  <w:sz w:val="12"/>
                  <w:szCs w:val="12"/>
                  <w:color w:val="0563C1"/>
                </w:rPr>
                <w:t>Notes to Condensed Consolidated Financial Statements</w:t>
              </w:r>
            </w:hyperlink>
          </w:p>
        </w:tc>
        <w:tc>
          <w:tcPr>
            <w:tcW w:w="460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7</w:t>
            </w:r>
          </w:p>
        </w:tc>
      </w:tr>
      <w:tr>
        <w:trPr>
          <w:trHeight w:val="20"/>
        </w:trPr>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r>
      <w:tr>
        <w:trPr>
          <w:trHeight w:val="109"/>
        </w:trPr>
        <w:tc>
          <w:tcPr>
            <w:tcW w:w="6700" w:type="dxa"/>
            <w:vAlign w:val="bottom"/>
            <w:gridSpan w:val="22"/>
          </w:tcPr>
          <w:p>
            <w:pPr>
              <w:spacing w:after="0" w:line="109" w:lineRule="exact"/>
              <w:rPr>
                <w:rFonts w:ascii="Arial" w:cs="Arial" w:eastAsia="Arial" w:hAnsi="Arial"/>
                <w:sz w:val="12"/>
                <w:szCs w:val="12"/>
                <w:color w:val="0563C1"/>
              </w:rPr>
            </w:pPr>
            <w:hyperlink w:anchor="page18">
              <w:r>
                <w:rPr>
                  <w:rFonts w:ascii="Arial" w:cs="Arial" w:eastAsia="Arial" w:hAnsi="Arial"/>
                  <w:sz w:val="12"/>
                  <w:szCs w:val="12"/>
                  <w:color w:val="0563C1"/>
                </w:rPr>
                <w:t>Item 2. Management’s Discussion and Analysis of Financial Condition and Results of Operations</w:t>
              </w:r>
            </w:hyperlink>
          </w:p>
        </w:tc>
        <w:tc>
          <w:tcPr>
            <w:tcW w:w="4600" w:type="dxa"/>
            <w:vAlign w:val="bottom"/>
          </w:tcPr>
          <w:p>
            <w:pPr>
              <w:jc w:val="right"/>
              <w:spacing w:after="0" w:line="109" w:lineRule="exact"/>
              <w:rPr>
                <w:sz w:val="20"/>
                <w:szCs w:val="20"/>
                <w:color w:val="auto"/>
              </w:rPr>
            </w:pPr>
            <w:r>
              <w:rPr>
                <w:rFonts w:ascii="Arial" w:cs="Arial" w:eastAsia="Arial" w:hAnsi="Arial"/>
                <w:sz w:val="12"/>
                <w:szCs w:val="12"/>
                <w:color w:val="auto"/>
              </w:rPr>
              <w:t>18</w:t>
            </w:r>
          </w:p>
        </w:tc>
      </w:tr>
      <w:tr>
        <w:trPr>
          <w:trHeight w:val="109"/>
        </w:trPr>
        <w:tc>
          <w:tcPr>
            <w:tcW w:w="3360" w:type="dxa"/>
            <w:vAlign w:val="bottom"/>
            <w:tcBorders>
              <w:top w:val="single" w:sz="8" w:color="0563C1"/>
              <w:bottom w:val="single" w:sz="8" w:color="0563C1"/>
            </w:tcBorders>
            <w:gridSpan w:val="15"/>
            <w:shd w:val="clear" w:color="auto" w:fill="CCEEFF"/>
          </w:tcPr>
          <w:p>
            <w:pPr>
              <w:spacing w:after="0" w:line="109" w:lineRule="exact"/>
              <w:rPr>
                <w:rFonts w:ascii="Arial" w:cs="Arial" w:eastAsia="Arial" w:hAnsi="Arial"/>
                <w:sz w:val="12"/>
                <w:szCs w:val="12"/>
                <w:color w:val="0563C1"/>
                <w:w w:val="94"/>
              </w:rPr>
            </w:pPr>
            <w:hyperlink w:anchor="page25">
              <w:r>
                <w:rPr>
                  <w:rFonts w:ascii="Arial" w:cs="Arial" w:eastAsia="Arial" w:hAnsi="Arial"/>
                  <w:sz w:val="12"/>
                  <w:szCs w:val="12"/>
                  <w:color w:val="0563C1"/>
                  <w:w w:val="94"/>
                </w:rPr>
                <w:t>Item 3. Quantitative and Qualitative Disclosures About Market Risk</w:t>
              </w:r>
            </w:hyperlink>
          </w:p>
        </w:tc>
        <w:tc>
          <w:tcPr>
            <w:tcW w:w="1420" w:type="dxa"/>
            <w:vAlign w:val="bottom"/>
            <w:tcBorders>
              <w:top w:val="single" w:sz="8" w:color="0563C1"/>
              <w:bottom w:val="single" w:sz="8" w:color="CCEEFF"/>
            </w:tcBorders>
            <w:gridSpan w:val="5"/>
            <w:shd w:val="clear" w:color="auto" w:fill="CCEEFF"/>
          </w:tcPr>
          <w:p>
            <w:pPr>
              <w:spacing w:after="0"/>
              <w:rPr>
                <w:sz w:val="9"/>
                <w:szCs w:val="9"/>
                <w:color w:val="auto"/>
              </w:rPr>
            </w:pPr>
          </w:p>
        </w:tc>
        <w:tc>
          <w:tcPr>
            <w:tcW w:w="1920" w:type="dxa"/>
            <w:vAlign w:val="bottom"/>
            <w:tcBorders>
              <w:bottom w:val="single" w:sz="8" w:color="CCEEFF"/>
            </w:tcBorders>
            <w:gridSpan w:val="2"/>
            <w:shd w:val="clear" w:color="auto" w:fill="CCEEFF"/>
          </w:tcPr>
          <w:p>
            <w:pPr>
              <w:spacing w:after="0"/>
              <w:rPr>
                <w:sz w:val="9"/>
                <w:szCs w:val="9"/>
                <w:color w:val="auto"/>
              </w:rPr>
            </w:pPr>
          </w:p>
        </w:tc>
        <w:tc>
          <w:tcPr>
            <w:tcW w:w="4600" w:type="dxa"/>
            <w:vAlign w:val="bottom"/>
            <w:tcBorders>
              <w:bottom w:val="single" w:sz="8" w:color="CCEEFF"/>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25</w:t>
            </w:r>
          </w:p>
        </w:tc>
      </w:tr>
      <w:tr>
        <w:trPr>
          <w:trHeight w:val="109"/>
        </w:trPr>
        <w:tc>
          <w:tcPr>
            <w:tcW w:w="6700" w:type="dxa"/>
            <w:vAlign w:val="bottom"/>
            <w:gridSpan w:val="22"/>
          </w:tcPr>
          <w:p>
            <w:pPr>
              <w:spacing w:after="0" w:line="109" w:lineRule="exact"/>
              <w:rPr>
                <w:rFonts w:ascii="Arial" w:cs="Arial" w:eastAsia="Arial" w:hAnsi="Arial"/>
                <w:sz w:val="12"/>
                <w:szCs w:val="12"/>
                <w:color w:val="0563C1"/>
              </w:rPr>
            </w:pPr>
            <w:hyperlink w:anchor="page26">
              <w:r>
                <w:rPr>
                  <w:rFonts w:ascii="Arial" w:cs="Arial" w:eastAsia="Arial" w:hAnsi="Arial"/>
                  <w:sz w:val="12"/>
                  <w:szCs w:val="12"/>
                  <w:color w:val="0563C1"/>
                </w:rPr>
                <w:t>Item 4. Controls and Procedures</w:t>
              </w:r>
            </w:hyperlink>
          </w:p>
        </w:tc>
        <w:tc>
          <w:tcPr>
            <w:tcW w:w="4600" w:type="dxa"/>
            <w:vAlign w:val="bottom"/>
          </w:tcPr>
          <w:p>
            <w:pPr>
              <w:jc w:val="right"/>
              <w:spacing w:after="0" w:line="109" w:lineRule="exact"/>
              <w:rPr>
                <w:sz w:val="20"/>
                <w:szCs w:val="20"/>
                <w:color w:val="auto"/>
              </w:rPr>
            </w:pPr>
            <w:r>
              <w:rPr>
                <w:rFonts w:ascii="Arial" w:cs="Arial" w:eastAsia="Arial" w:hAnsi="Arial"/>
                <w:sz w:val="12"/>
                <w:szCs w:val="12"/>
                <w:color w:val="auto"/>
              </w:rPr>
              <w:t>26</w:t>
            </w:r>
          </w:p>
        </w:tc>
      </w:tr>
      <w:tr>
        <w:trPr>
          <w:trHeight w:val="128"/>
        </w:trPr>
        <w:tc>
          <w:tcPr>
            <w:tcW w:w="120" w:type="dxa"/>
            <w:vAlign w:val="bottom"/>
            <w:tcBorders>
              <w:top w:val="single" w:sz="8" w:color="0563C1"/>
            </w:tcBorders>
            <w:shd w:val="clear" w:color="auto" w:fill="CCEEFF"/>
          </w:tcPr>
          <w:p>
            <w:pPr>
              <w:spacing w:after="0"/>
              <w:rPr>
                <w:sz w:val="11"/>
                <w:szCs w:val="11"/>
                <w:color w:val="auto"/>
              </w:rPr>
            </w:pPr>
          </w:p>
        </w:tc>
        <w:tc>
          <w:tcPr>
            <w:tcW w:w="400" w:type="dxa"/>
            <w:vAlign w:val="bottom"/>
            <w:tcBorders>
              <w:top w:val="single" w:sz="8" w:color="0563C1"/>
            </w:tcBorders>
            <w:shd w:val="clear" w:color="auto" w:fill="CCEEFF"/>
          </w:tcPr>
          <w:p>
            <w:pPr>
              <w:spacing w:after="0"/>
              <w:rPr>
                <w:sz w:val="11"/>
                <w:szCs w:val="11"/>
                <w:color w:val="auto"/>
              </w:rPr>
            </w:pPr>
          </w:p>
        </w:tc>
        <w:tc>
          <w:tcPr>
            <w:tcW w:w="260" w:type="dxa"/>
            <w:vAlign w:val="bottom"/>
            <w:tcBorders>
              <w:top w:val="single" w:sz="8" w:color="0563C1"/>
            </w:tcBorders>
            <w:shd w:val="clear" w:color="auto" w:fill="CCEEFF"/>
          </w:tcPr>
          <w:p>
            <w:pPr>
              <w:spacing w:after="0"/>
              <w:rPr>
                <w:sz w:val="11"/>
                <w:szCs w:val="11"/>
                <w:color w:val="auto"/>
              </w:rPr>
            </w:pPr>
          </w:p>
        </w:tc>
        <w:tc>
          <w:tcPr>
            <w:tcW w:w="140" w:type="dxa"/>
            <w:vAlign w:val="bottom"/>
            <w:tcBorders>
              <w:top w:val="single" w:sz="8" w:color="0563C1"/>
            </w:tcBorders>
            <w:shd w:val="clear" w:color="auto" w:fill="CCEEFF"/>
          </w:tcPr>
          <w:p>
            <w:pPr>
              <w:spacing w:after="0"/>
              <w:rPr>
                <w:sz w:val="11"/>
                <w:szCs w:val="11"/>
                <w:color w:val="auto"/>
              </w:rPr>
            </w:pPr>
          </w:p>
        </w:tc>
        <w:tc>
          <w:tcPr>
            <w:tcW w:w="160" w:type="dxa"/>
            <w:vAlign w:val="bottom"/>
            <w:tcBorders>
              <w:top w:val="single" w:sz="8" w:color="0563C1"/>
            </w:tcBorders>
            <w:shd w:val="clear" w:color="auto" w:fill="CCEEFF"/>
          </w:tcPr>
          <w:p>
            <w:pPr>
              <w:spacing w:after="0"/>
              <w:rPr>
                <w:sz w:val="11"/>
                <w:szCs w:val="11"/>
                <w:color w:val="auto"/>
              </w:rPr>
            </w:pPr>
          </w:p>
        </w:tc>
        <w:tc>
          <w:tcPr>
            <w:tcW w:w="200" w:type="dxa"/>
            <w:vAlign w:val="bottom"/>
            <w:tcBorders>
              <w:top w:val="single" w:sz="8" w:color="0563C1"/>
            </w:tcBorders>
            <w:shd w:val="clear" w:color="auto" w:fill="CCEEFF"/>
          </w:tcPr>
          <w:p>
            <w:pPr>
              <w:spacing w:after="0"/>
              <w:rPr>
                <w:sz w:val="11"/>
                <w:szCs w:val="11"/>
                <w:color w:val="auto"/>
              </w:rPr>
            </w:pPr>
          </w:p>
        </w:tc>
        <w:tc>
          <w:tcPr>
            <w:tcW w:w="300" w:type="dxa"/>
            <w:vAlign w:val="bottom"/>
            <w:tcBorders>
              <w:top w:val="single" w:sz="8" w:color="0563C1"/>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0" w:type="dxa"/>
            <w:vAlign w:val="bottom"/>
            <w:shd w:val="clear" w:color="auto" w:fill="CCEEFF"/>
          </w:tcPr>
          <w:p>
            <w:pPr>
              <w:spacing w:after="0"/>
              <w:rPr>
                <w:sz w:val="11"/>
                <w:szCs w:val="11"/>
                <w:color w:val="auto"/>
              </w:rPr>
            </w:pPr>
          </w:p>
        </w:tc>
      </w:tr>
      <w:tr>
        <w:trPr>
          <w:trHeight w:val="111"/>
        </w:trPr>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4"/>
          </w:tcPr>
          <w:p>
            <w:pPr>
              <w:jc w:val="center"/>
              <w:ind w:right="20"/>
              <w:spacing w:after="0" w:line="111" w:lineRule="exact"/>
              <w:rPr>
                <w:rFonts w:ascii="Arial" w:cs="Arial" w:eastAsia="Arial" w:hAnsi="Arial"/>
                <w:sz w:val="12"/>
                <w:szCs w:val="12"/>
                <w:b w:val="1"/>
                <w:bCs w:val="1"/>
                <w:color w:val="0563C1"/>
              </w:rPr>
            </w:pPr>
            <w:hyperlink w:anchor="page27">
              <w:r>
                <w:rPr>
                  <w:rFonts w:ascii="Arial" w:cs="Arial" w:eastAsia="Arial" w:hAnsi="Arial"/>
                  <w:sz w:val="12"/>
                  <w:szCs w:val="12"/>
                  <w:b w:val="1"/>
                  <w:bCs w:val="1"/>
                  <w:color w:val="0563C1"/>
                </w:rPr>
                <w:t>PART II. OTHER INFORMATION</w:t>
              </w:r>
            </w:hyperlink>
          </w:p>
        </w:tc>
        <w:tc>
          <w:tcPr>
            <w:tcW w:w="4600" w:type="dxa"/>
            <w:vAlign w:val="bottom"/>
          </w:tcPr>
          <w:p>
            <w:pPr>
              <w:spacing w:after="0"/>
              <w:rPr>
                <w:sz w:val="9"/>
                <w:szCs w:val="9"/>
                <w:color w:val="auto"/>
              </w:rPr>
            </w:pPr>
          </w:p>
        </w:tc>
      </w:tr>
      <w:tr>
        <w:trPr>
          <w:trHeight w:val="109"/>
        </w:trPr>
        <w:tc>
          <w:tcPr>
            <w:tcW w:w="4700" w:type="dxa"/>
            <w:vAlign w:val="bottom"/>
            <w:gridSpan w:val="19"/>
            <w:shd w:val="clear" w:color="auto" w:fill="CCEEFF"/>
          </w:tcPr>
          <w:p>
            <w:pPr>
              <w:spacing w:after="0" w:line="109" w:lineRule="exact"/>
              <w:rPr>
                <w:rFonts w:ascii="Arial" w:cs="Arial" w:eastAsia="Arial" w:hAnsi="Arial"/>
                <w:sz w:val="12"/>
                <w:szCs w:val="12"/>
                <w:color w:val="0563C1"/>
              </w:rPr>
            </w:pPr>
            <w:hyperlink w:anchor="page27">
              <w:r>
                <w:rPr>
                  <w:rFonts w:ascii="Arial" w:cs="Arial" w:eastAsia="Arial" w:hAnsi="Arial"/>
                  <w:sz w:val="12"/>
                  <w:szCs w:val="12"/>
                  <w:color w:val="0563C1"/>
                </w:rPr>
                <w:t>Item 1. Legal Proceedings</w:t>
              </w:r>
            </w:hyperlink>
          </w:p>
        </w:tc>
        <w:tc>
          <w:tcPr>
            <w:tcW w:w="1880" w:type="dxa"/>
            <w:vAlign w:val="bottom"/>
            <w:tcBorders>
              <w:top w:val="single" w:sz="8" w:color="0563C1"/>
            </w:tcBorders>
            <w:gridSpan w:val="2"/>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27</w:t>
            </w:r>
          </w:p>
        </w:tc>
      </w:tr>
      <w:tr>
        <w:trPr>
          <w:trHeight w:val="109"/>
        </w:trPr>
        <w:tc>
          <w:tcPr>
            <w:tcW w:w="1080" w:type="dxa"/>
            <w:vAlign w:val="bottom"/>
            <w:tcBorders>
              <w:top w:val="single" w:sz="8" w:color="0563C1"/>
              <w:bottom w:val="single" w:sz="8" w:color="0563C1"/>
            </w:tcBorders>
            <w:gridSpan w:val="5"/>
          </w:tcPr>
          <w:p>
            <w:pPr>
              <w:spacing w:after="0" w:line="109" w:lineRule="exact"/>
              <w:rPr>
                <w:rFonts w:ascii="Arial" w:cs="Arial" w:eastAsia="Arial" w:hAnsi="Arial"/>
                <w:sz w:val="12"/>
                <w:szCs w:val="12"/>
                <w:color w:val="0563C1"/>
                <w:w w:val="92"/>
              </w:rPr>
            </w:pPr>
            <w:hyperlink w:anchor="page27">
              <w:r>
                <w:rPr>
                  <w:rFonts w:ascii="Arial" w:cs="Arial" w:eastAsia="Arial" w:hAnsi="Arial"/>
                  <w:sz w:val="12"/>
                  <w:szCs w:val="12"/>
                  <w:color w:val="0563C1"/>
                  <w:w w:val="92"/>
                </w:rPr>
                <w:t>Item 1A. Risk Factors</w:t>
              </w:r>
            </w:hyperlink>
          </w:p>
        </w:tc>
        <w:tc>
          <w:tcPr>
            <w:tcW w:w="200" w:type="dxa"/>
            <w:vAlign w:val="bottom"/>
            <w:tcBorders>
              <w:top w:val="single" w:sz="8" w:color="0563C1"/>
            </w:tcBorders>
          </w:tcPr>
          <w:p>
            <w:pPr>
              <w:spacing w:after="0"/>
              <w:rPr>
                <w:sz w:val="9"/>
                <w:szCs w:val="9"/>
                <w:color w:val="auto"/>
              </w:rPr>
            </w:pPr>
          </w:p>
        </w:tc>
        <w:tc>
          <w:tcPr>
            <w:tcW w:w="5420" w:type="dxa"/>
            <w:vAlign w:val="bottom"/>
            <w:tcBorders>
              <w:top w:val="single" w:sz="8" w:color="CCEEFF"/>
            </w:tcBorders>
            <w:gridSpan w:val="16"/>
          </w:tcPr>
          <w:p>
            <w:pPr>
              <w:spacing w:after="0"/>
              <w:rPr>
                <w:sz w:val="9"/>
                <w:szCs w:val="9"/>
                <w:color w:val="auto"/>
              </w:rPr>
            </w:pPr>
          </w:p>
        </w:tc>
        <w:tc>
          <w:tcPr>
            <w:tcW w:w="4600" w:type="dxa"/>
            <w:vAlign w:val="bottom"/>
            <w:tcBorders>
              <w:top w:val="single" w:sz="8" w:color="CCEEFF"/>
            </w:tcBorders>
          </w:tcPr>
          <w:p>
            <w:pPr>
              <w:jc w:val="right"/>
              <w:spacing w:after="0" w:line="109" w:lineRule="exact"/>
              <w:rPr>
                <w:sz w:val="20"/>
                <w:szCs w:val="20"/>
                <w:color w:val="auto"/>
              </w:rPr>
            </w:pPr>
            <w:r>
              <w:rPr>
                <w:rFonts w:ascii="Arial" w:cs="Arial" w:eastAsia="Arial" w:hAnsi="Arial"/>
                <w:sz w:val="12"/>
                <w:szCs w:val="12"/>
                <w:color w:val="auto"/>
              </w:rPr>
              <w:t>27</w:t>
            </w:r>
          </w:p>
        </w:tc>
      </w:tr>
      <w:tr>
        <w:trPr>
          <w:trHeight w:val="109"/>
        </w:trPr>
        <w:tc>
          <w:tcPr>
            <w:tcW w:w="6700" w:type="dxa"/>
            <w:vAlign w:val="bottom"/>
            <w:gridSpan w:val="22"/>
            <w:shd w:val="clear" w:color="auto" w:fill="CCEEFF"/>
          </w:tcPr>
          <w:p>
            <w:pPr>
              <w:spacing w:after="0" w:line="109" w:lineRule="exact"/>
              <w:rPr>
                <w:rFonts w:ascii="Arial" w:cs="Arial" w:eastAsia="Arial" w:hAnsi="Arial"/>
                <w:sz w:val="12"/>
                <w:szCs w:val="12"/>
                <w:color w:val="0563C1"/>
              </w:rPr>
            </w:pPr>
            <w:hyperlink w:anchor="page56">
              <w:r>
                <w:rPr>
                  <w:rFonts w:ascii="Arial" w:cs="Arial" w:eastAsia="Arial" w:hAnsi="Arial"/>
                  <w:sz w:val="12"/>
                  <w:szCs w:val="12"/>
                  <w:color w:val="0563C1"/>
                </w:rPr>
                <w:t>Item 2. Unregistered Sales of Equity Securities and Use of Proceeds</w:t>
              </w:r>
            </w:hyperlink>
          </w:p>
        </w:tc>
        <w:tc>
          <w:tcPr>
            <w:tcW w:w="460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56</w:t>
            </w:r>
          </w:p>
        </w:tc>
      </w:tr>
      <w:tr>
        <w:trPr>
          <w:trHeight w:val="109"/>
        </w:trPr>
        <w:tc>
          <w:tcPr>
            <w:tcW w:w="1920" w:type="dxa"/>
            <w:vAlign w:val="bottom"/>
            <w:tcBorders>
              <w:top w:val="single" w:sz="8" w:color="0563C1"/>
              <w:bottom w:val="single" w:sz="8" w:color="0563C1"/>
            </w:tcBorders>
            <w:gridSpan w:val="8"/>
          </w:tcPr>
          <w:p>
            <w:pPr>
              <w:spacing w:after="0" w:line="109" w:lineRule="exact"/>
              <w:rPr>
                <w:rFonts w:ascii="Arial" w:cs="Arial" w:eastAsia="Arial" w:hAnsi="Arial"/>
                <w:sz w:val="12"/>
                <w:szCs w:val="12"/>
                <w:color w:val="0563C1"/>
                <w:w w:val="93"/>
              </w:rPr>
            </w:pPr>
            <w:hyperlink w:anchor="page56">
              <w:r>
                <w:rPr>
                  <w:rFonts w:ascii="Arial" w:cs="Arial" w:eastAsia="Arial" w:hAnsi="Arial"/>
                  <w:sz w:val="12"/>
                  <w:szCs w:val="12"/>
                  <w:color w:val="0563C1"/>
                  <w:w w:val="93"/>
                </w:rPr>
                <w:t>Item 3. Default Upon Senior Securities</w:t>
              </w:r>
            </w:hyperlink>
          </w:p>
        </w:tc>
        <w:tc>
          <w:tcPr>
            <w:tcW w:w="1420" w:type="dxa"/>
            <w:vAlign w:val="bottom"/>
            <w:tcBorders>
              <w:top w:val="single" w:sz="8" w:color="0563C1"/>
            </w:tcBorders>
            <w:gridSpan w:val="6"/>
          </w:tcPr>
          <w:p>
            <w:pPr>
              <w:spacing w:after="0"/>
              <w:rPr>
                <w:sz w:val="9"/>
                <w:szCs w:val="9"/>
                <w:color w:val="auto"/>
              </w:rPr>
            </w:pPr>
          </w:p>
        </w:tc>
        <w:tc>
          <w:tcPr>
            <w:tcW w:w="3360" w:type="dxa"/>
            <w:vAlign w:val="bottom"/>
            <w:tcBorders>
              <w:top w:val="single" w:sz="8" w:color="CCEEFF"/>
            </w:tcBorders>
            <w:gridSpan w:val="8"/>
          </w:tcPr>
          <w:p>
            <w:pPr>
              <w:spacing w:after="0"/>
              <w:rPr>
                <w:sz w:val="9"/>
                <w:szCs w:val="9"/>
                <w:color w:val="auto"/>
              </w:rPr>
            </w:pPr>
          </w:p>
        </w:tc>
        <w:tc>
          <w:tcPr>
            <w:tcW w:w="4600" w:type="dxa"/>
            <w:vAlign w:val="bottom"/>
            <w:tcBorders>
              <w:top w:val="single" w:sz="8" w:color="CCEEFF"/>
            </w:tcBorders>
          </w:tcPr>
          <w:p>
            <w:pPr>
              <w:jc w:val="right"/>
              <w:spacing w:after="0" w:line="109" w:lineRule="exact"/>
              <w:rPr>
                <w:sz w:val="20"/>
                <w:szCs w:val="20"/>
                <w:color w:val="auto"/>
              </w:rPr>
            </w:pPr>
            <w:r>
              <w:rPr>
                <w:rFonts w:ascii="Arial" w:cs="Arial" w:eastAsia="Arial" w:hAnsi="Arial"/>
                <w:sz w:val="12"/>
                <w:szCs w:val="12"/>
                <w:color w:val="auto"/>
              </w:rPr>
              <w:t>56</w:t>
            </w:r>
          </w:p>
        </w:tc>
      </w:tr>
      <w:tr>
        <w:trPr>
          <w:trHeight w:val="109"/>
        </w:trPr>
        <w:tc>
          <w:tcPr>
            <w:tcW w:w="6700" w:type="dxa"/>
            <w:vAlign w:val="bottom"/>
            <w:gridSpan w:val="22"/>
            <w:shd w:val="clear" w:color="auto" w:fill="CCEEFF"/>
          </w:tcPr>
          <w:p>
            <w:pPr>
              <w:spacing w:after="0" w:line="109" w:lineRule="exact"/>
              <w:rPr>
                <w:rFonts w:ascii="Arial" w:cs="Arial" w:eastAsia="Arial" w:hAnsi="Arial"/>
                <w:sz w:val="12"/>
                <w:szCs w:val="12"/>
                <w:color w:val="0563C1"/>
              </w:rPr>
            </w:pPr>
            <w:hyperlink w:anchor="page56">
              <w:r>
                <w:rPr>
                  <w:rFonts w:ascii="Arial" w:cs="Arial" w:eastAsia="Arial" w:hAnsi="Arial"/>
                  <w:sz w:val="12"/>
                  <w:szCs w:val="12"/>
                  <w:color w:val="0563C1"/>
                </w:rPr>
                <w:t>Item 4. Mine Safety Disclosures</w:t>
              </w:r>
            </w:hyperlink>
          </w:p>
        </w:tc>
        <w:tc>
          <w:tcPr>
            <w:tcW w:w="460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56</w:t>
            </w:r>
          </w:p>
        </w:tc>
      </w:tr>
      <w:tr>
        <w:trPr>
          <w:trHeight w:val="109"/>
        </w:trPr>
        <w:tc>
          <w:tcPr>
            <w:tcW w:w="1280" w:type="dxa"/>
            <w:vAlign w:val="bottom"/>
            <w:tcBorders>
              <w:top w:val="single" w:sz="8" w:color="0563C1"/>
              <w:bottom w:val="single" w:sz="8" w:color="0563C1"/>
            </w:tcBorders>
            <w:gridSpan w:val="6"/>
          </w:tcPr>
          <w:p>
            <w:pPr>
              <w:spacing w:after="0" w:line="109" w:lineRule="exact"/>
              <w:rPr>
                <w:rFonts w:ascii="Arial" w:cs="Arial" w:eastAsia="Arial" w:hAnsi="Arial"/>
                <w:sz w:val="12"/>
                <w:szCs w:val="12"/>
                <w:color w:val="0563C1"/>
                <w:w w:val="94"/>
              </w:rPr>
            </w:pPr>
            <w:hyperlink w:anchor="page56">
              <w:r>
                <w:rPr>
                  <w:rFonts w:ascii="Arial" w:cs="Arial" w:eastAsia="Arial" w:hAnsi="Arial"/>
                  <w:sz w:val="12"/>
                  <w:szCs w:val="12"/>
                  <w:color w:val="0563C1"/>
                  <w:w w:val="94"/>
                </w:rPr>
                <w:t>Item 5. Other Information</w:t>
              </w:r>
            </w:hyperlink>
          </w:p>
        </w:tc>
        <w:tc>
          <w:tcPr>
            <w:tcW w:w="300" w:type="dxa"/>
            <w:vAlign w:val="bottom"/>
            <w:tcBorders>
              <w:top w:val="single" w:sz="8" w:color="0563C1"/>
            </w:tcBorders>
          </w:tcPr>
          <w:p>
            <w:pPr>
              <w:spacing w:after="0"/>
              <w:rPr>
                <w:sz w:val="9"/>
                <w:szCs w:val="9"/>
                <w:color w:val="auto"/>
              </w:rPr>
            </w:pPr>
          </w:p>
        </w:tc>
        <w:tc>
          <w:tcPr>
            <w:tcW w:w="5120" w:type="dxa"/>
            <w:vAlign w:val="bottom"/>
            <w:tcBorders>
              <w:top w:val="single" w:sz="8" w:color="CCEEFF"/>
            </w:tcBorders>
            <w:gridSpan w:val="15"/>
          </w:tcPr>
          <w:p>
            <w:pPr>
              <w:spacing w:after="0"/>
              <w:rPr>
                <w:sz w:val="9"/>
                <w:szCs w:val="9"/>
                <w:color w:val="auto"/>
              </w:rPr>
            </w:pPr>
          </w:p>
        </w:tc>
        <w:tc>
          <w:tcPr>
            <w:tcW w:w="4600" w:type="dxa"/>
            <w:vAlign w:val="bottom"/>
            <w:tcBorders>
              <w:top w:val="single" w:sz="8" w:color="CCEEFF"/>
            </w:tcBorders>
          </w:tcPr>
          <w:p>
            <w:pPr>
              <w:jc w:val="right"/>
              <w:spacing w:after="0" w:line="109" w:lineRule="exact"/>
              <w:rPr>
                <w:sz w:val="20"/>
                <w:szCs w:val="20"/>
                <w:color w:val="auto"/>
              </w:rPr>
            </w:pPr>
            <w:r>
              <w:rPr>
                <w:rFonts w:ascii="Arial" w:cs="Arial" w:eastAsia="Arial" w:hAnsi="Arial"/>
                <w:sz w:val="12"/>
                <w:szCs w:val="12"/>
                <w:color w:val="auto"/>
              </w:rPr>
              <w:t>56</w:t>
            </w:r>
          </w:p>
        </w:tc>
      </w:tr>
      <w:tr>
        <w:trPr>
          <w:trHeight w:val="109"/>
        </w:trPr>
        <w:tc>
          <w:tcPr>
            <w:tcW w:w="6700" w:type="dxa"/>
            <w:vAlign w:val="bottom"/>
            <w:gridSpan w:val="22"/>
            <w:shd w:val="clear" w:color="auto" w:fill="CCEEFF"/>
          </w:tcPr>
          <w:p>
            <w:pPr>
              <w:spacing w:after="0" w:line="109" w:lineRule="exact"/>
              <w:rPr>
                <w:rFonts w:ascii="Arial" w:cs="Arial" w:eastAsia="Arial" w:hAnsi="Arial"/>
                <w:sz w:val="12"/>
                <w:szCs w:val="12"/>
                <w:color w:val="0563C1"/>
              </w:rPr>
            </w:pPr>
            <w:hyperlink w:anchor="page57">
              <w:r>
                <w:rPr>
                  <w:rFonts w:ascii="Arial" w:cs="Arial" w:eastAsia="Arial" w:hAnsi="Arial"/>
                  <w:sz w:val="12"/>
                  <w:szCs w:val="12"/>
                  <w:color w:val="0563C1"/>
                </w:rPr>
                <w:t>Item 6. Exhibits</w:t>
              </w:r>
            </w:hyperlink>
          </w:p>
        </w:tc>
        <w:tc>
          <w:tcPr>
            <w:tcW w:w="460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57</w:t>
            </w:r>
          </w:p>
        </w:tc>
      </w:tr>
      <w:tr>
        <w:trPr>
          <w:trHeight w:val="109"/>
        </w:trPr>
        <w:tc>
          <w:tcPr>
            <w:tcW w:w="520" w:type="dxa"/>
            <w:vAlign w:val="bottom"/>
            <w:tcBorders>
              <w:top w:val="single" w:sz="8" w:color="0563C1"/>
              <w:bottom w:val="single" w:sz="8" w:color="0563C1"/>
            </w:tcBorders>
            <w:gridSpan w:val="2"/>
          </w:tcPr>
          <w:p>
            <w:pPr>
              <w:spacing w:after="0" w:line="109" w:lineRule="exact"/>
              <w:rPr>
                <w:rFonts w:ascii="Arial" w:cs="Arial" w:eastAsia="Arial" w:hAnsi="Arial"/>
                <w:sz w:val="12"/>
                <w:szCs w:val="12"/>
                <w:color w:val="0563C1"/>
                <w:w w:val="87"/>
              </w:rPr>
            </w:pPr>
            <w:hyperlink w:anchor="page58">
              <w:r>
                <w:rPr>
                  <w:rFonts w:ascii="Arial" w:cs="Arial" w:eastAsia="Arial" w:hAnsi="Arial"/>
                  <w:sz w:val="12"/>
                  <w:szCs w:val="12"/>
                  <w:color w:val="0563C1"/>
                  <w:w w:val="87"/>
                </w:rPr>
                <w:t>Signatures</w:t>
              </w:r>
            </w:hyperlink>
          </w:p>
        </w:tc>
        <w:tc>
          <w:tcPr>
            <w:tcW w:w="260" w:type="dxa"/>
            <w:vAlign w:val="bottom"/>
            <w:tcBorders>
              <w:top w:val="single" w:sz="8" w:color="0563C1"/>
            </w:tcBorders>
          </w:tcPr>
          <w:p>
            <w:pPr>
              <w:spacing w:after="0"/>
              <w:rPr>
                <w:sz w:val="9"/>
                <w:szCs w:val="9"/>
                <w:color w:val="auto"/>
              </w:rPr>
            </w:pPr>
          </w:p>
        </w:tc>
        <w:tc>
          <w:tcPr>
            <w:tcW w:w="5920" w:type="dxa"/>
            <w:vAlign w:val="bottom"/>
            <w:tcBorders>
              <w:top w:val="single" w:sz="8" w:color="CCEEFF"/>
            </w:tcBorders>
            <w:gridSpan w:val="19"/>
          </w:tcPr>
          <w:p>
            <w:pPr>
              <w:spacing w:after="0"/>
              <w:rPr>
                <w:sz w:val="9"/>
                <w:szCs w:val="9"/>
                <w:color w:val="auto"/>
              </w:rPr>
            </w:pPr>
          </w:p>
        </w:tc>
        <w:tc>
          <w:tcPr>
            <w:tcW w:w="4600" w:type="dxa"/>
            <w:vAlign w:val="bottom"/>
            <w:tcBorders>
              <w:top w:val="single" w:sz="8" w:color="CCEEFF"/>
            </w:tcBorders>
          </w:tcPr>
          <w:p>
            <w:pPr>
              <w:jc w:val="right"/>
              <w:spacing w:after="0" w:line="109" w:lineRule="exact"/>
              <w:rPr>
                <w:sz w:val="20"/>
                <w:szCs w:val="20"/>
                <w:color w:val="auto"/>
              </w:rPr>
            </w:pPr>
            <w:r>
              <w:rPr>
                <w:rFonts w:ascii="Arial" w:cs="Arial" w:eastAsia="Arial" w:hAnsi="Arial"/>
                <w:sz w:val="12"/>
                <w:szCs w:val="12"/>
                <w:color w:val="auto"/>
              </w:rPr>
              <w:t>58</w:t>
            </w:r>
          </w:p>
        </w:tc>
      </w:tr>
      <w:tr>
        <w:trPr>
          <w:trHeight w:val="523"/>
        </w:trPr>
        <w:tc>
          <w:tcPr>
            <w:tcW w:w="6580" w:type="dxa"/>
            <w:vAlign w:val="bottom"/>
            <w:gridSpan w:val="21"/>
          </w:tcPr>
          <w:p>
            <w:pPr>
              <w:jc w:val="center"/>
              <w:ind w:left="4659"/>
              <w:spacing w:after="0"/>
              <w:rPr>
                <w:sz w:val="20"/>
                <w:szCs w:val="20"/>
                <w:color w:val="auto"/>
              </w:rPr>
            </w:pPr>
            <w:r>
              <w:rPr>
                <w:rFonts w:ascii="Arial" w:cs="Arial" w:eastAsia="Arial" w:hAnsi="Arial"/>
                <w:sz w:val="12"/>
                <w:szCs w:val="12"/>
                <w:color w:val="auto"/>
                <w:w w:val="89"/>
              </w:rPr>
              <w:t>2</w:t>
            </w:r>
          </w:p>
        </w:tc>
        <w:tc>
          <w:tcPr>
            <w:tcW w:w="1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13"/>
        </w:trPr>
        <w:tc>
          <w:tcPr>
            <w:tcW w:w="1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8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46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2" w:right="299" w:bottom="1440" w:gutter="0" w:footer="0" w:header="0"/>
        </w:sectPr>
      </w:pPr>
    </w:p>
    <w:bookmarkStart w:id="2" w:name="page3"/>
    <w:bookmarkEnd w:id="2"/>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 FINANCIAL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Financial Statements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PULSE BIOSCIENCES, INC.</w:t>
      </w:r>
    </w:p>
    <w:p>
      <w:pPr>
        <w:ind w:left="4580"/>
        <w:spacing w:after="0" w:line="233" w:lineRule="auto"/>
        <w:rPr>
          <w:sz w:val="20"/>
          <w:szCs w:val="20"/>
          <w:color w:val="auto"/>
        </w:rPr>
      </w:pPr>
      <w:r>
        <w:rPr>
          <w:rFonts w:ascii="Arial" w:cs="Arial" w:eastAsia="Arial" w:hAnsi="Arial"/>
          <w:sz w:val="12"/>
          <w:szCs w:val="12"/>
          <w:b w:val="1"/>
          <w:bCs w:val="1"/>
          <w:color w:val="auto"/>
        </w:rPr>
        <w:t>Condensed Consolidated Balance Sheets</w:t>
      </w:r>
    </w:p>
    <w:p>
      <w:pPr>
        <w:ind w:left="4560"/>
        <w:spacing w:after="0" w:line="225" w:lineRule="auto"/>
        <w:rPr>
          <w:sz w:val="20"/>
          <w:szCs w:val="20"/>
          <w:color w:val="auto"/>
        </w:rPr>
      </w:pPr>
      <w:r>
        <w:rPr>
          <w:rFonts w:ascii="Arial" w:cs="Arial" w:eastAsia="Arial" w:hAnsi="Arial"/>
          <w:sz w:val="12"/>
          <w:szCs w:val="12"/>
          <w:b w:val="1"/>
          <w:bCs w:val="1"/>
          <w:color w:val="auto"/>
        </w:rPr>
        <w:t>(In thousands, except per share amounts)</w:t>
      </w: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March 31,</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ind w:right="399"/>
              <w:spacing w:after="0"/>
              <w:rPr>
                <w:sz w:val="20"/>
                <w:szCs w:val="20"/>
                <w:color w:val="auto"/>
              </w:rPr>
            </w:pPr>
            <w:r>
              <w:rPr>
                <w:rFonts w:ascii="Arial" w:cs="Arial" w:eastAsia="Arial" w:hAnsi="Arial"/>
                <w:sz w:val="10"/>
                <w:szCs w:val="10"/>
                <w:b w:val="1"/>
                <w:bCs w:val="1"/>
                <w:color w:val="auto"/>
              </w:rPr>
              <w:t>December 31,</w:t>
            </w:r>
          </w:p>
        </w:tc>
      </w:tr>
      <w:tr>
        <w:trPr>
          <w:trHeight w:val="116"/>
        </w:trPr>
        <w:tc>
          <w:tcPr>
            <w:tcW w:w="816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0"/>
                <w:szCs w:val="10"/>
                <w:b w:val="1"/>
                <w:bCs w:val="1"/>
                <w:color w:val="auto"/>
              </w:rPr>
              <w:t>2020</w:t>
            </w:r>
          </w:p>
        </w:tc>
      </w:tr>
      <w:tr>
        <w:trPr>
          <w:trHeight w:val="118"/>
        </w:trPr>
        <w:tc>
          <w:tcPr>
            <w:tcW w:w="8160" w:type="dxa"/>
            <w:vAlign w:val="bottom"/>
            <w:shd w:val="clear" w:color="auto" w:fill="CCEEFF"/>
          </w:tcPr>
          <w:p>
            <w:pPr>
              <w:spacing w:after="0" w:line="118" w:lineRule="exact"/>
              <w:rPr>
                <w:sz w:val="20"/>
                <w:szCs w:val="20"/>
                <w:color w:val="auto"/>
              </w:rPr>
            </w:pPr>
            <w:r>
              <w:rPr>
                <w:rFonts w:ascii="Arial" w:cs="Arial" w:eastAsia="Arial" w:hAnsi="Arial"/>
                <w:sz w:val="12"/>
                <w:szCs w:val="12"/>
                <w:b w:val="1"/>
                <w:bCs w:val="1"/>
                <w:color w:val="auto"/>
              </w:rPr>
              <w:t>ASSETS</w:t>
            </w:r>
          </w:p>
        </w:tc>
        <w:tc>
          <w:tcPr>
            <w:tcW w:w="9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Current assets:</w:t>
            </w: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Cash and cash equivalents</w:t>
            </w:r>
          </w:p>
        </w:tc>
        <w:tc>
          <w:tcPr>
            <w:tcW w:w="980" w:type="dxa"/>
            <w:vAlign w:val="bottom"/>
            <w:shd w:val="clear" w:color="auto" w:fill="CCEEFF"/>
          </w:tcPr>
          <w:p>
            <w:pPr>
              <w:jc w:val="right"/>
              <w:ind w:right="86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59,883</w:t>
            </w:r>
          </w:p>
        </w:tc>
        <w:tc>
          <w:tcPr>
            <w:tcW w:w="1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29"/>
              <w:spacing w:after="0" w:line="129" w:lineRule="exact"/>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12,463</w:t>
            </w: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Investments</w:t>
            </w:r>
          </w:p>
        </w:tc>
        <w:tc>
          <w:tcPr>
            <w:tcW w:w="980" w:type="dxa"/>
            <w:vAlign w:val="bottom"/>
          </w:tcPr>
          <w:p>
            <w:pPr>
              <w:spacing w:after="0"/>
              <w:rPr>
                <w:sz w:val="11"/>
                <w:szCs w:val="11"/>
                <w:color w:val="auto"/>
              </w:rPr>
            </w:pPr>
          </w:p>
        </w:tc>
        <w:tc>
          <w:tcPr>
            <w:tcW w:w="66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8,012</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Inventory</w:t>
            </w: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1,135</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tcBorders>
              <w:bottom w:val="single" w:sz="8" w:color="CCEEFF"/>
            </w:tcBorders>
          </w:tcPr>
          <w:p>
            <w:pPr>
              <w:ind w:left="140"/>
              <w:spacing w:after="0" w:line="129" w:lineRule="exact"/>
              <w:rPr>
                <w:sz w:val="20"/>
                <w:szCs w:val="20"/>
                <w:color w:val="auto"/>
              </w:rPr>
            </w:pPr>
            <w:r>
              <w:rPr>
                <w:rFonts w:ascii="Arial" w:cs="Arial" w:eastAsia="Arial" w:hAnsi="Arial"/>
                <w:sz w:val="12"/>
                <w:szCs w:val="12"/>
                <w:color w:val="auto"/>
              </w:rPr>
              <w:t>Prepaid expenses and other current assets</w:t>
            </w:r>
          </w:p>
        </w:tc>
        <w:tc>
          <w:tcPr>
            <w:tcW w:w="9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958</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1,864</w:t>
            </w:r>
          </w:p>
        </w:tc>
      </w:tr>
      <w:tr>
        <w:trPr>
          <w:trHeight w:val="118"/>
        </w:trPr>
        <w:tc>
          <w:tcPr>
            <w:tcW w:w="8160" w:type="dxa"/>
            <w:vAlign w:val="bottom"/>
            <w:shd w:val="clear" w:color="auto" w:fill="CCEEFF"/>
          </w:tcPr>
          <w:p>
            <w:pPr>
              <w:ind w:left="280"/>
              <w:spacing w:after="0" w:line="118" w:lineRule="exact"/>
              <w:rPr>
                <w:sz w:val="20"/>
                <w:szCs w:val="20"/>
                <w:color w:val="auto"/>
              </w:rPr>
            </w:pPr>
            <w:r>
              <w:rPr>
                <w:rFonts w:ascii="Arial" w:cs="Arial" w:eastAsia="Arial" w:hAnsi="Arial"/>
                <w:sz w:val="12"/>
                <w:szCs w:val="12"/>
                <w:color w:val="auto"/>
              </w:rPr>
              <w:t>Total current assets</w:t>
            </w:r>
          </w:p>
        </w:tc>
        <w:tc>
          <w:tcPr>
            <w:tcW w:w="9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61,976</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22,339</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Property and equipment, net</w:t>
            </w:r>
          </w:p>
        </w:tc>
        <w:tc>
          <w:tcPr>
            <w:tcW w:w="9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2"/>
                <w:szCs w:val="12"/>
                <w:color w:val="auto"/>
              </w:rPr>
              <w:t>2,430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2,478</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Intangible assets, net</w:t>
            </w: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3,715</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3,882</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Goodwill</w:t>
            </w:r>
          </w:p>
        </w:tc>
        <w:tc>
          <w:tcPr>
            <w:tcW w:w="9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2"/>
                <w:szCs w:val="12"/>
                <w:color w:val="auto"/>
              </w:rPr>
              <w:t>2,791</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2,791</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Right-of-use assets</w:t>
            </w: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9,280</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9,438</w:t>
            </w:r>
          </w:p>
        </w:tc>
      </w:tr>
      <w:tr>
        <w:trPr>
          <w:trHeight w:val="129"/>
        </w:trPr>
        <w:tc>
          <w:tcPr>
            <w:tcW w:w="8160" w:type="dxa"/>
            <w:vAlign w:val="bottom"/>
            <w:tcBorders>
              <w:bottom w:val="single" w:sz="8" w:color="CCEEFF"/>
            </w:tcBorders>
          </w:tcPr>
          <w:p>
            <w:pPr>
              <w:spacing w:after="0" w:line="129" w:lineRule="exact"/>
              <w:rPr>
                <w:sz w:val="20"/>
                <w:szCs w:val="20"/>
                <w:color w:val="auto"/>
              </w:rPr>
            </w:pPr>
            <w:r>
              <w:rPr>
                <w:rFonts w:ascii="Arial" w:cs="Arial" w:eastAsia="Arial" w:hAnsi="Arial"/>
                <w:sz w:val="12"/>
                <w:szCs w:val="12"/>
                <w:color w:val="auto"/>
              </w:rPr>
              <w:t>Other assets</w:t>
            </w:r>
          </w:p>
        </w:tc>
        <w:tc>
          <w:tcPr>
            <w:tcW w:w="9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365</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365</w:t>
            </w:r>
          </w:p>
        </w:tc>
      </w:tr>
      <w:tr>
        <w:trPr>
          <w:trHeight w:val="126"/>
        </w:trPr>
        <w:tc>
          <w:tcPr>
            <w:tcW w:w="8160" w:type="dxa"/>
            <w:vAlign w:val="bottom"/>
            <w:tcBorders>
              <w:bottom w:val="single" w:sz="8" w:color="CCEEFF"/>
            </w:tcBorders>
            <w:shd w:val="clear" w:color="auto" w:fill="CCEEFF"/>
          </w:tcPr>
          <w:p>
            <w:pPr>
              <w:ind w:left="280"/>
              <w:spacing w:after="0" w:line="118" w:lineRule="exact"/>
              <w:rPr>
                <w:sz w:val="20"/>
                <w:szCs w:val="20"/>
                <w:color w:val="auto"/>
              </w:rPr>
            </w:pPr>
            <w:r>
              <w:rPr>
                <w:rFonts w:ascii="Arial" w:cs="Arial" w:eastAsia="Arial" w:hAnsi="Arial"/>
                <w:sz w:val="12"/>
                <w:szCs w:val="12"/>
                <w:color w:val="auto"/>
              </w:rPr>
              <w:t>Total assets</w:t>
            </w:r>
          </w:p>
        </w:tc>
        <w:tc>
          <w:tcPr>
            <w:tcW w:w="980" w:type="dxa"/>
            <w:vAlign w:val="bottom"/>
            <w:tcBorders>
              <w:bottom w:val="single" w:sz="8" w:color="auto"/>
            </w:tcBorders>
            <w:shd w:val="clear" w:color="auto" w:fill="CCEEFF"/>
          </w:tcPr>
          <w:p>
            <w:pPr>
              <w:jc w:val="right"/>
              <w:ind w:right="869"/>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80,557</w:t>
            </w:r>
          </w:p>
        </w:tc>
        <w:tc>
          <w:tcPr>
            <w:tcW w:w="16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41,293</w:t>
            </w:r>
          </w:p>
        </w:tc>
      </w:tr>
      <w:tr>
        <w:trPr>
          <w:trHeight w:val="129"/>
        </w:trPr>
        <w:tc>
          <w:tcPr>
            <w:tcW w:w="8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LIABILITIES AND STOCKHOLDERS’ EQUITY</w:t>
            </w: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Current liabilities:</w:t>
            </w: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Accounts payable</w:t>
            </w:r>
          </w:p>
        </w:tc>
        <w:tc>
          <w:tcPr>
            <w:tcW w:w="980" w:type="dxa"/>
            <w:vAlign w:val="bottom"/>
            <w:shd w:val="clear" w:color="auto" w:fill="CCEEFF"/>
          </w:tcPr>
          <w:p>
            <w:pPr>
              <w:jc w:val="right"/>
              <w:ind w:right="86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2,164</w:t>
            </w:r>
          </w:p>
        </w:tc>
        <w:tc>
          <w:tcPr>
            <w:tcW w:w="1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29"/>
              <w:spacing w:after="0" w:line="129" w:lineRule="exact"/>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1,717</w:t>
            </w: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Accrued expenses</w:t>
            </w:r>
          </w:p>
        </w:tc>
        <w:tc>
          <w:tcPr>
            <w:tcW w:w="9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2"/>
                <w:szCs w:val="12"/>
                <w:color w:val="auto"/>
              </w:rPr>
              <w:t>5,617</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5,326</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Lease liability, current</w:t>
            </w: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629</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542</w:t>
            </w:r>
          </w:p>
        </w:tc>
      </w:tr>
      <w:tr>
        <w:trPr>
          <w:trHeight w:val="129"/>
        </w:trPr>
        <w:tc>
          <w:tcPr>
            <w:tcW w:w="8160" w:type="dxa"/>
            <w:vAlign w:val="bottom"/>
            <w:tcBorders>
              <w:bottom w:val="single" w:sz="8" w:color="CCEEFF"/>
            </w:tcBorders>
          </w:tcPr>
          <w:p>
            <w:pPr>
              <w:ind w:left="140"/>
              <w:spacing w:after="0" w:line="129" w:lineRule="exact"/>
              <w:rPr>
                <w:sz w:val="20"/>
                <w:szCs w:val="20"/>
                <w:color w:val="auto"/>
              </w:rPr>
            </w:pPr>
            <w:r>
              <w:rPr>
                <w:rFonts w:ascii="Arial" w:cs="Arial" w:eastAsia="Arial" w:hAnsi="Arial"/>
                <w:sz w:val="12"/>
                <w:szCs w:val="12"/>
                <w:color w:val="auto"/>
              </w:rPr>
              <w:t>Related party note payable, current (Note 8)</w:t>
            </w:r>
          </w:p>
        </w:tc>
        <w:tc>
          <w:tcPr>
            <w:tcW w:w="9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118</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w:t>
            </w:r>
          </w:p>
        </w:tc>
      </w:tr>
      <w:tr>
        <w:trPr>
          <w:trHeight w:val="118"/>
        </w:trPr>
        <w:tc>
          <w:tcPr>
            <w:tcW w:w="8160" w:type="dxa"/>
            <w:vAlign w:val="bottom"/>
            <w:shd w:val="clear" w:color="auto" w:fill="CCEEFF"/>
          </w:tcPr>
          <w:p>
            <w:pPr>
              <w:ind w:left="280"/>
              <w:spacing w:after="0" w:line="118" w:lineRule="exact"/>
              <w:rPr>
                <w:sz w:val="20"/>
                <w:szCs w:val="20"/>
                <w:color w:val="auto"/>
              </w:rPr>
            </w:pPr>
            <w:r>
              <w:rPr>
                <w:rFonts w:ascii="Arial" w:cs="Arial" w:eastAsia="Arial" w:hAnsi="Arial"/>
                <w:sz w:val="12"/>
                <w:szCs w:val="12"/>
                <w:color w:val="auto"/>
              </w:rPr>
              <w:t>Total current liabilities</w:t>
            </w:r>
          </w:p>
        </w:tc>
        <w:tc>
          <w:tcPr>
            <w:tcW w:w="9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8,528</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7,585</w:t>
            </w:r>
          </w:p>
        </w:tc>
      </w:tr>
      <w:tr>
        <w:trPr>
          <w:trHeight w:val="129"/>
        </w:trPr>
        <w:tc>
          <w:tcPr>
            <w:tcW w:w="8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Lease liability, less current</w:t>
            </w: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10,632</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10,814</w:t>
            </w:r>
          </w:p>
        </w:tc>
      </w:tr>
      <w:tr>
        <w:trPr>
          <w:trHeight w:val="129"/>
        </w:trPr>
        <w:tc>
          <w:tcPr>
            <w:tcW w:w="8160" w:type="dxa"/>
            <w:vAlign w:val="bottom"/>
            <w:tcBorders>
              <w:bottom w:val="single" w:sz="8" w:color="CCEEFF"/>
            </w:tcBorders>
          </w:tcPr>
          <w:p>
            <w:pPr>
              <w:spacing w:after="0" w:line="129" w:lineRule="exact"/>
              <w:rPr>
                <w:sz w:val="20"/>
                <w:szCs w:val="20"/>
                <w:color w:val="auto"/>
              </w:rPr>
            </w:pPr>
            <w:r>
              <w:rPr>
                <w:rFonts w:ascii="Arial" w:cs="Arial" w:eastAsia="Arial" w:hAnsi="Arial"/>
                <w:sz w:val="12"/>
                <w:szCs w:val="12"/>
                <w:color w:val="auto"/>
              </w:rPr>
              <w:t>Related party note payable, less current</w:t>
            </w:r>
          </w:p>
        </w:tc>
        <w:tc>
          <w:tcPr>
            <w:tcW w:w="9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41,000</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w:t>
            </w:r>
          </w:p>
        </w:tc>
      </w:tr>
      <w:tr>
        <w:trPr>
          <w:trHeight w:val="118"/>
        </w:trPr>
        <w:tc>
          <w:tcPr>
            <w:tcW w:w="8160" w:type="dxa"/>
            <w:vAlign w:val="bottom"/>
            <w:shd w:val="clear" w:color="auto" w:fill="CCEEFF"/>
          </w:tcPr>
          <w:p>
            <w:pPr>
              <w:ind w:left="280"/>
              <w:spacing w:after="0" w:line="118" w:lineRule="exact"/>
              <w:rPr>
                <w:sz w:val="20"/>
                <w:szCs w:val="20"/>
                <w:color w:val="auto"/>
              </w:rPr>
            </w:pPr>
            <w:r>
              <w:rPr>
                <w:rFonts w:ascii="Arial" w:cs="Arial" w:eastAsia="Arial" w:hAnsi="Arial"/>
                <w:sz w:val="12"/>
                <w:szCs w:val="12"/>
                <w:color w:val="auto"/>
              </w:rPr>
              <w:t>Total liabilities</w:t>
            </w:r>
          </w:p>
        </w:tc>
        <w:tc>
          <w:tcPr>
            <w:tcW w:w="98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60,160</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18,399</w:t>
            </w:r>
          </w:p>
        </w:tc>
      </w:tr>
      <w:tr>
        <w:trPr>
          <w:trHeight w:val="118"/>
        </w:trPr>
        <w:tc>
          <w:tcPr>
            <w:tcW w:w="8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Commitments and contingencies (Note 8)</w:t>
            </w: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29"/>
        </w:trPr>
        <w:tc>
          <w:tcPr>
            <w:tcW w:w="8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Stockholders’ equity:</w:t>
            </w: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11"/>
        </w:trPr>
        <w:tc>
          <w:tcPr>
            <w:tcW w:w="8160" w:type="dxa"/>
            <w:vAlign w:val="bottom"/>
          </w:tcPr>
          <w:p>
            <w:pPr>
              <w:ind w:left="140"/>
              <w:spacing w:after="0" w:line="111" w:lineRule="exact"/>
              <w:rPr>
                <w:sz w:val="20"/>
                <w:szCs w:val="20"/>
                <w:color w:val="auto"/>
              </w:rPr>
            </w:pPr>
            <w:r>
              <w:rPr>
                <w:rFonts w:ascii="Arial" w:cs="Arial" w:eastAsia="Arial" w:hAnsi="Arial"/>
                <w:sz w:val="12"/>
                <w:szCs w:val="12"/>
                <w:color w:val="auto"/>
              </w:rPr>
              <w:t>Preferred stock, $0.001 par value;</w:t>
            </w:r>
          </w:p>
        </w:tc>
        <w:tc>
          <w:tcPr>
            <w:tcW w:w="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47"/>
        </w:trPr>
        <w:tc>
          <w:tcPr>
            <w:tcW w:w="8160" w:type="dxa"/>
            <w:vAlign w:val="bottom"/>
          </w:tcPr>
          <w:p>
            <w:pPr>
              <w:ind w:left="140"/>
              <w:spacing w:after="0"/>
              <w:rPr>
                <w:sz w:val="20"/>
                <w:szCs w:val="20"/>
                <w:color w:val="auto"/>
              </w:rPr>
            </w:pPr>
            <w:r>
              <w:rPr>
                <w:rFonts w:ascii="Arial" w:cs="Arial" w:eastAsia="Arial" w:hAnsi="Arial"/>
                <w:sz w:val="12"/>
                <w:szCs w:val="12"/>
                <w:color w:val="auto"/>
              </w:rPr>
              <w:t>authorized – 50,000 shares; no shares issued and outstanding</w:t>
            </w:r>
          </w:p>
        </w:tc>
        <w:tc>
          <w:tcPr>
            <w:tcW w:w="98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11"/>
        </w:trPr>
        <w:tc>
          <w:tcPr>
            <w:tcW w:w="8160" w:type="dxa"/>
            <w:vAlign w:val="bottom"/>
            <w:shd w:val="clear" w:color="auto" w:fill="CCEEFF"/>
          </w:tcPr>
          <w:p>
            <w:pPr>
              <w:ind w:left="140"/>
              <w:spacing w:after="0" w:line="111" w:lineRule="exact"/>
              <w:rPr>
                <w:sz w:val="20"/>
                <w:szCs w:val="20"/>
                <w:color w:val="auto"/>
              </w:rPr>
            </w:pPr>
            <w:r>
              <w:rPr>
                <w:rFonts w:ascii="Arial" w:cs="Arial" w:eastAsia="Arial" w:hAnsi="Arial"/>
                <w:sz w:val="12"/>
                <w:szCs w:val="12"/>
                <w:color w:val="auto"/>
              </w:rPr>
              <w:t>Common stock, $0.001 par value:</w:t>
            </w:r>
          </w:p>
        </w:tc>
        <w:tc>
          <w:tcPr>
            <w:tcW w:w="9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r>
      <w:tr>
        <w:trPr>
          <w:trHeight w:val="147"/>
        </w:trPr>
        <w:tc>
          <w:tcPr>
            <w:tcW w:w="81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authorized – 500,000 shares; issued and outstanding – 26,401 shares and 25,550 shares at March 31, 2021 and December 31, 2020, respectively</w:t>
            </w:r>
          </w:p>
        </w:tc>
        <w:tc>
          <w:tcPr>
            <w:tcW w:w="9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Additional paid-in capital</w:t>
            </w:r>
          </w:p>
        </w:tc>
        <w:tc>
          <w:tcPr>
            <w:tcW w:w="9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2"/>
                <w:szCs w:val="12"/>
                <w:color w:val="auto"/>
                <w:w w:val="96"/>
              </w:rPr>
              <w:t>211,550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195,410</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Accumulated other comprehensive income (loss)</w:t>
            </w:r>
          </w:p>
        </w:tc>
        <w:tc>
          <w:tcPr>
            <w:tcW w:w="9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w:t>
            </w: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Accumulated deficit</w:t>
            </w:r>
          </w:p>
        </w:tc>
        <w:tc>
          <w:tcPr>
            <w:tcW w:w="980" w:type="dxa"/>
            <w:vAlign w:val="bottom"/>
          </w:tcPr>
          <w:p>
            <w:pPr>
              <w:spacing w:after="0"/>
              <w:rPr>
                <w:sz w:val="11"/>
                <w:szCs w:val="11"/>
                <w:color w:val="auto"/>
              </w:rPr>
            </w:pPr>
          </w:p>
        </w:tc>
        <w:tc>
          <w:tcPr>
            <w:tcW w:w="66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w w:val="93"/>
              </w:rPr>
              <w:t>(191,179)</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(172,540)</w:t>
            </w:r>
          </w:p>
        </w:tc>
      </w:tr>
      <w:tr>
        <w:trPr>
          <w:trHeight w:val="118"/>
        </w:trPr>
        <w:tc>
          <w:tcPr>
            <w:tcW w:w="8160" w:type="dxa"/>
            <w:vAlign w:val="bottom"/>
            <w:tcBorders>
              <w:top w:val="single" w:sz="8" w:color="CCEEFF"/>
            </w:tcBorders>
            <w:shd w:val="clear" w:color="auto" w:fill="CCEEFF"/>
          </w:tcPr>
          <w:p>
            <w:pPr>
              <w:ind w:left="280"/>
              <w:spacing w:after="0" w:line="118" w:lineRule="exact"/>
              <w:rPr>
                <w:sz w:val="20"/>
                <w:szCs w:val="20"/>
                <w:color w:val="auto"/>
              </w:rPr>
            </w:pPr>
            <w:r>
              <w:rPr>
                <w:rFonts w:ascii="Arial" w:cs="Arial" w:eastAsia="Arial" w:hAnsi="Arial"/>
                <w:sz w:val="12"/>
                <w:szCs w:val="12"/>
                <w:color w:val="auto"/>
              </w:rPr>
              <w:t>Total stockholders’ equity</w:t>
            </w:r>
          </w:p>
        </w:tc>
        <w:tc>
          <w:tcPr>
            <w:tcW w:w="980" w:type="dxa"/>
            <w:vAlign w:val="bottom"/>
            <w:tcBorders>
              <w:top w:val="single" w:sz="8" w:color="auto"/>
              <w:bottom w:val="single" w:sz="8" w:color="auto"/>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20,397</w:t>
            </w: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spacing w:after="0"/>
              <w:rPr>
                <w:sz w:val="10"/>
                <w:szCs w:val="10"/>
                <w:color w:val="auto"/>
              </w:rPr>
            </w:pPr>
          </w:p>
        </w:tc>
        <w:tc>
          <w:tcPr>
            <w:tcW w:w="12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22,894</w:t>
            </w:r>
          </w:p>
        </w:tc>
      </w:tr>
      <w:tr>
        <w:trPr>
          <w:trHeight w:val="126"/>
        </w:trPr>
        <w:tc>
          <w:tcPr>
            <w:tcW w:w="8160" w:type="dxa"/>
            <w:vAlign w:val="bottom"/>
          </w:tcPr>
          <w:p>
            <w:pPr>
              <w:ind w:left="280"/>
              <w:spacing w:after="0" w:line="118" w:lineRule="exact"/>
              <w:rPr>
                <w:sz w:val="20"/>
                <w:szCs w:val="20"/>
                <w:color w:val="auto"/>
              </w:rPr>
            </w:pPr>
            <w:r>
              <w:rPr>
                <w:rFonts w:ascii="Arial" w:cs="Arial" w:eastAsia="Arial" w:hAnsi="Arial"/>
                <w:sz w:val="12"/>
                <w:szCs w:val="12"/>
                <w:color w:val="auto"/>
              </w:rPr>
              <w:t>Total liabilities and stockholders’ equity</w:t>
            </w:r>
          </w:p>
        </w:tc>
        <w:tc>
          <w:tcPr>
            <w:tcW w:w="980" w:type="dxa"/>
            <w:vAlign w:val="bottom"/>
            <w:tcBorders>
              <w:bottom w:val="single" w:sz="8" w:color="auto"/>
            </w:tcBorders>
          </w:tcPr>
          <w:p>
            <w:pPr>
              <w:jc w:val="right"/>
              <w:ind w:right="869"/>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80,557</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41,293</w:t>
            </w:r>
          </w:p>
        </w:tc>
      </w:tr>
    </w:tbl>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 w:name="page4"/>
    <w:bookmarkEnd w:id="3"/>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31" w:lineRule="exact"/>
        <w:rPr>
          <w:sz w:val="20"/>
          <w:szCs w:val="20"/>
          <w:color w:val="auto"/>
        </w:rPr>
      </w:pPr>
    </w:p>
    <w:p>
      <w:pPr>
        <w:jc w:val="center"/>
        <w:ind w:left="440"/>
        <w:spacing w:after="0"/>
        <w:rPr>
          <w:sz w:val="20"/>
          <w:szCs w:val="20"/>
          <w:color w:val="auto"/>
        </w:rPr>
      </w:pPr>
      <w:r>
        <w:rPr>
          <w:rFonts w:ascii="Arial" w:cs="Arial" w:eastAsia="Arial" w:hAnsi="Arial"/>
          <w:sz w:val="12"/>
          <w:szCs w:val="12"/>
          <w:b w:val="1"/>
          <w:bCs w:val="1"/>
          <w:color w:val="auto"/>
        </w:rPr>
        <w:t>PULSE BIOSCIENCES, INC.</w:t>
      </w:r>
    </w:p>
    <w:p>
      <w:pPr>
        <w:jc w:val="center"/>
        <w:ind w:left="440"/>
        <w:spacing w:after="0" w:line="233" w:lineRule="auto"/>
        <w:rPr>
          <w:sz w:val="20"/>
          <w:szCs w:val="20"/>
          <w:color w:val="auto"/>
        </w:rPr>
      </w:pPr>
      <w:r>
        <w:rPr>
          <w:rFonts w:ascii="Arial" w:cs="Arial" w:eastAsia="Arial" w:hAnsi="Arial"/>
          <w:sz w:val="12"/>
          <w:szCs w:val="12"/>
          <w:b w:val="1"/>
          <w:bCs w:val="1"/>
          <w:color w:val="auto"/>
        </w:rPr>
        <w:t>Condensed Consolidated Statements of Operations and Comprehensive Loss</w:t>
      </w:r>
    </w:p>
    <w:p>
      <w:pPr>
        <w:jc w:val="center"/>
        <w:ind w:left="440"/>
        <w:spacing w:after="0" w:line="225" w:lineRule="auto"/>
        <w:rPr>
          <w:sz w:val="20"/>
          <w:szCs w:val="20"/>
          <w:color w:val="auto"/>
        </w:rPr>
      </w:pPr>
      <w:r>
        <w:rPr>
          <w:rFonts w:ascii="Arial" w:cs="Arial" w:eastAsia="Arial" w:hAnsi="Arial"/>
          <w:sz w:val="12"/>
          <w:szCs w:val="12"/>
          <w:b w:val="1"/>
          <w:bCs w:val="1"/>
          <w:color w:val="auto"/>
        </w:rPr>
        <w:t>(In thousands, except per share amounts)</w:t>
      </w:r>
    </w:p>
    <w:p>
      <w:pPr>
        <w:jc w:val="center"/>
        <w:ind w:left="440"/>
        <w:spacing w:after="0"/>
        <w:rPr>
          <w:sz w:val="20"/>
          <w:szCs w:val="20"/>
          <w:color w:val="auto"/>
        </w:rPr>
      </w:pPr>
      <w:r>
        <w:rPr>
          <w:rFonts w:ascii="Arial" w:cs="Arial" w:eastAsia="Arial" w:hAnsi="Arial"/>
          <w:sz w:val="12"/>
          <w:szCs w:val="12"/>
          <w:b w:val="1"/>
          <w:bCs w:val="1"/>
          <w:color w:val="auto"/>
        </w:rPr>
        <w:t>(Unaudited)</w:t>
      </w:r>
    </w:p>
    <w:p>
      <w:pPr>
        <w:spacing w:after="0" w:line="36" w:lineRule="exact"/>
        <w:rPr>
          <w:sz w:val="20"/>
          <w:szCs w:val="20"/>
          <w:color w:val="auto"/>
        </w:rPr>
      </w:pPr>
    </w:p>
    <w:p>
      <w:pPr>
        <w:jc w:val="center"/>
        <w:ind w:left="8160"/>
        <w:spacing w:after="0"/>
        <w:rPr>
          <w:sz w:val="20"/>
          <w:szCs w:val="20"/>
          <w:color w:val="auto"/>
        </w:rPr>
      </w:pPr>
      <w:r>
        <w:rPr>
          <w:rFonts w:ascii="Arial" w:cs="Arial" w:eastAsia="Arial" w:hAnsi="Arial"/>
          <w:sz w:val="10"/>
          <w:szCs w:val="10"/>
          <w:b w:val="1"/>
          <w:bCs w:val="1"/>
          <w:color w:val="auto"/>
        </w:rPr>
        <w:t>Three-Month Periods Ended</w:t>
      </w:r>
    </w:p>
    <w:p>
      <w:pPr>
        <w:jc w:val="center"/>
        <w:ind w:left="8160"/>
        <w:spacing w:after="0" w:line="221" w:lineRule="auto"/>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1"/>
        </w:trPr>
        <w:tc>
          <w:tcPr>
            <w:tcW w:w="8160" w:type="dxa"/>
            <w:vAlign w:val="bottom"/>
            <w:tcBorders>
              <w:bottom w:val="single" w:sz="8" w:color="CCEEFF"/>
            </w:tcBorders>
          </w:tcPr>
          <w:p>
            <w:pPr>
              <w:spacing w:after="0"/>
              <w:rPr>
                <w:sz w:val="7"/>
                <w:szCs w:val="7"/>
                <w:color w:val="auto"/>
              </w:rPr>
            </w:pPr>
          </w:p>
        </w:tc>
        <w:tc>
          <w:tcPr>
            <w:tcW w:w="940" w:type="dxa"/>
            <w:vAlign w:val="bottom"/>
            <w:tcBorders>
              <w:top w:val="single" w:sz="8" w:color="auto"/>
              <w:bottom w:val="single" w:sz="8" w:color="auto"/>
            </w:tcBorders>
          </w:tcPr>
          <w:p>
            <w:pPr>
              <w:jc w:val="right"/>
              <w:ind w:right="49"/>
              <w:spacing w:after="0" w:line="91" w:lineRule="exact"/>
              <w:rPr>
                <w:sz w:val="20"/>
                <w:szCs w:val="20"/>
                <w:color w:val="auto"/>
              </w:rPr>
            </w:pPr>
            <w:r>
              <w:rPr>
                <w:rFonts w:ascii="Arial" w:cs="Arial" w:eastAsia="Arial" w:hAnsi="Arial"/>
                <w:sz w:val="10"/>
                <w:szCs w:val="10"/>
                <w:b w:val="1"/>
                <w:bCs w:val="1"/>
                <w:color w:val="auto"/>
              </w:rPr>
              <w:t>2021</w:t>
            </w:r>
          </w:p>
        </w:tc>
        <w:tc>
          <w:tcPr>
            <w:tcW w:w="54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CCEEFF"/>
            </w:tcBorders>
          </w:tcPr>
          <w:p>
            <w:pPr>
              <w:spacing w:after="0"/>
              <w:rPr>
                <w:sz w:val="7"/>
                <w:szCs w:val="7"/>
                <w:color w:val="auto"/>
              </w:rPr>
            </w:pPr>
          </w:p>
        </w:tc>
        <w:tc>
          <w:tcPr>
            <w:tcW w:w="360" w:type="dxa"/>
            <w:vAlign w:val="bottom"/>
            <w:tcBorders>
              <w:top w:val="single" w:sz="8" w:color="auto"/>
              <w:bottom w:val="single" w:sz="8" w:color="auto"/>
            </w:tcBorders>
          </w:tcPr>
          <w:p>
            <w:pPr>
              <w:spacing w:after="0"/>
              <w:rPr>
                <w:sz w:val="7"/>
                <w:szCs w:val="7"/>
                <w:color w:val="auto"/>
              </w:rPr>
            </w:pPr>
          </w:p>
        </w:tc>
        <w:tc>
          <w:tcPr>
            <w:tcW w:w="1140" w:type="dxa"/>
            <w:vAlign w:val="bottom"/>
            <w:tcBorders>
              <w:top w:val="single" w:sz="8" w:color="auto"/>
              <w:bottom w:val="single" w:sz="8" w:color="auto"/>
            </w:tcBorders>
          </w:tcPr>
          <w:p>
            <w:pPr>
              <w:jc w:val="right"/>
              <w:ind w:right="579"/>
              <w:spacing w:after="0" w:line="91" w:lineRule="exact"/>
              <w:rPr>
                <w:sz w:val="20"/>
                <w:szCs w:val="20"/>
                <w:color w:val="auto"/>
              </w:rPr>
            </w:pPr>
            <w:r>
              <w:rPr>
                <w:rFonts w:ascii="Arial" w:cs="Arial" w:eastAsia="Arial" w:hAnsi="Arial"/>
                <w:sz w:val="10"/>
                <w:szCs w:val="10"/>
                <w:b w:val="1"/>
                <w:bCs w:val="1"/>
                <w:color w:val="auto"/>
              </w:rPr>
              <w:t>2020</w:t>
            </w:r>
          </w:p>
        </w:tc>
      </w:tr>
      <w:tr>
        <w:trPr>
          <w:trHeight w:val="118"/>
        </w:trPr>
        <w:tc>
          <w:tcPr>
            <w:tcW w:w="81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Revenue</w:t>
            </w:r>
          </w:p>
        </w:tc>
        <w:tc>
          <w:tcPr>
            <w:tcW w:w="940" w:type="dxa"/>
            <w:vAlign w:val="bottom"/>
            <w:tcBorders>
              <w:bottom w:val="single" w:sz="8" w:color="auto"/>
            </w:tcBorders>
            <w:shd w:val="clear" w:color="auto" w:fill="CCEEFF"/>
          </w:tcPr>
          <w:p>
            <w:pPr>
              <w:jc w:val="right"/>
              <w:ind w:right="82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jc w:val="right"/>
              <w:ind w:right="219"/>
              <w:spacing w:after="0" w:line="118" w:lineRule="exact"/>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r>
      <w:tr>
        <w:trPr>
          <w:trHeight w:val="118"/>
        </w:trPr>
        <w:tc>
          <w:tcPr>
            <w:tcW w:w="8160" w:type="dxa"/>
            <w:vAlign w:val="bottom"/>
          </w:tcPr>
          <w:p>
            <w:pPr>
              <w:spacing w:after="0" w:line="118" w:lineRule="exact"/>
              <w:rPr>
                <w:sz w:val="20"/>
                <w:szCs w:val="20"/>
                <w:color w:val="auto"/>
              </w:rPr>
            </w:pPr>
            <w:r>
              <w:rPr>
                <w:rFonts w:ascii="Arial" w:cs="Arial" w:eastAsia="Arial" w:hAnsi="Arial"/>
                <w:sz w:val="12"/>
                <w:szCs w:val="12"/>
                <w:color w:val="auto"/>
              </w:rPr>
              <w:t>Operating expenses:</w:t>
            </w: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Research and development</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9,063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6,181</w:t>
            </w: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Sales and marketing</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4,146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1,695</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General and administrative</w:t>
            </w:r>
          </w:p>
        </w:tc>
        <w:tc>
          <w:tcPr>
            <w:tcW w:w="9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5,316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4,074</w:t>
            </w:r>
          </w:p>
        </w:tc>
      </w:tr>
      <w:tr>
        <w:trPr>
          <w:trHeight w:val="118"/>
        </w:trPr>
        <w:tc>
          <w:tcPr>
            <w:tcW w:w="8160" w:type="dxa"/>
            <w:vAlign w:val="bottom"/>
            <w:tcBorders>
              <w:bottom w:val="single" w:sz="8" w:color="CCEEFF"/>
            </w:tcBorders>
          </w:tcPr>
          <w:p>
            <w:pPr>
              <w:spacing w:after="0" w:line="118" w:lineRule="exact"/>
              <w:rPr>
                <w:sz w:val="20"/>
                <w:szCs w:val="20"/>
                <w:color w:val="auto"/>
              </w:rPr>
            </w:pPr>
            <w:r>
              <w:rPr>
                <w:rFonts w:ascii="Arial" w:cs="Arial" w:eastAsia="Arial" w:hAnsi="Arial"/>
                <w:sz w:val="12"/>
                <w:szCs w:val="12"/>
                <w:color w:val="auto"/>
              </w:rPr>
              <w:t>Total operating expenses</w:t>
            </w: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18,525</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11,950</w:t>
            </w:r>
          </w:p>
        </w:tc>
      </w:tr>
      <w:tr>
        <w:trPr>
          <w:trHeight w:val="118"/>
        </w:trPr>
        <w:tc>
          <w:tcPr>
            <w:tcW w:w="81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Other income (expense):</w:t>
            </w:r>
          </w:p>
        </w:tc>
        <w:tc>
          <w:tcPr>
            <w:tcW w:w="9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Interest income (expense), net</w:t>
            </w:r>
          </w:p>
        </w:tc>
        <w:tc>
          <w:tcPr>
            <w:tcW w:w="940" w:type="dxa"/>
            <w:vAlign w:val="bottom"/>
          </w:tcPr>
          <w:p>
            <w:pPr>
              <w:spacing w:after="0"/>
              <w:rPr>
                <w:sz w:val="11"/>
                <w:szCs w:val="11"/>
                <w:color w:val="auto"/>
              </w:rPr>
            </w:pPr>
          </w:p>
        </w:tc>
        <w:tc>
          <w:tcPr>
            <w:tcW w:w="6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(114)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78</w:t>
            </w:r>
          </w:p>
        </w:tc>
      </w:tr>
      <w:tr>
        <w:trPr>
          <w:trHeight w:val="118"/>
        </w:trPr>
        <w:tc>
          <w:tcPr>
            <w:tcW w:w="816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Total other income (expense)</w:t>
            </w:r>
          </w:p>
        </w:tc>
        <w:tc>
          <w:tcPr>
            <w:tcW w:w="940" w:type="dxa"/>
            <w:vAlign w:val="bottom"/>
            <w:tcBorders>
              <w:top w:val="single" w:sz="8" w:color="auto"/>
              <w:bottom w:val="single" w:sz="8" w:color="auto"/>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(114)</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spacing w:after="0"/>
              <w:rPr>
                <w:sz w:val="10"/>
                <w:szCs w:val="10"/>
                <w:color w:val="auto"/>
              </w:rPr>
            </w:pPr>
          </w:p>
        </w:tc>
        <w:tc>
          <w:tcPr>
            <w:tcW w:w="11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78</w:t>
            </w:r>
          </w:p>
        </w:tc>
      </w:tr>
      <w:tr>
        <w:trPr>
          <w:trHeight w:val="126"/>
        </w:trPr>
        <w:tc>
          <w:tcPr>
            <w:tcW w:w="8160" w:type="dxa"/>
            <w:vAlign w:val="bottom"/>
            <w:tcBorders>
              <w:bottom w:val="single" w:sz="8" w:color="CCEEFF"/>
            </w:tcBorders>
          </w:tcPr>
          <w:p>
            <w:pPr>
              <w:spacing w:after="0" w:line="118" w:lineRule="exact"/>
              <w:rPr>
                <w:sz w:val="20"/>
                <w:szCs w:val="20"/>
                <w:color w:val="auto"/>
              </w:rPr>
            </w:pPr>
            <w:r>
              <w:rPr>
                <w:rFonts w:ascii="Arial" w:cs="Arial" w:eastAsia="Arial" w:hAnsi="Arial"/>
                <w:sz w:val="12"/>
                <w:szCs w:val="12"/>
                <w:color w:val="auto"/>
              </w:rPr>
              <w:t>Net loss</w:t>
            </w: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(18,639)</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(11,872)</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Other comprehensive loss: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29"/>
        </w:trPr>
        <w:tc>
          <w:tcPr>
            <w:tcW w:w="8160" w:type="dxa"/>
            <w:vAlign w:val="bottom"/>
            <w:tcBorders>
              <w:bottom w:val="single" w:sz="8" w:color="CCEEFF"/>
            </w:tcBorders>
          </w:tcPr>
          <w:p>
            <w:pPr>
              <w:ind w:left="60"/>
              <w:spacing w:after="0" w:line="129" w:lineRule="exact"/>
              <w:rPr>
                <w:sz w:val="20"/>
                <w:szCs w:val="20"/>
                <w:color w:val="auto"/>
              </w:rPr>
            </w:pPr>
            <w:r>
              <w:rPr>
                <w:rFonts w:ascii="Arial" w:cs="Arial" w:eastAsia="Arial" w:hAnsi="Arial"/>
                <w:sz w:val="12"/>
                <w:szCs w:val="12"/>
                <w:color w:val="auto"/>
              </w:rPr>
              <w:t>Unrealized gain on available-for-sale securities</w:t>
            </w:r>
          </w:p>
        </w:tc>
        <w:tc>
          <w:tcPr>
            <w:tcW w:w="9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13</w:t>
            </w:r>
          </w:p>
        </w:tc>
      </w:tr>
      <w:tr>
        <w:trPr>
          <w:trHeight w:val="138"/>
        </w:trPr>
        <w:tc>
          <w:tcPr>
            <w:tcW w:w="8160" w:type="dxa"/>
            <w:vAlign w:val="bottom"/>
            <w:tcBorders>
              <w:bottom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Comprehensive loss</w:t>
            </w:r>
          </w:p>
        </w:tc>
        <w:tc>
          <w:tcPr>
            <w:tcW w:w="940" w:type="dxa"/>
            <w:vAlign w:val="bottom"/>
            <w:tcBorders>
              <w:bottom w:val="single" w:sz="8" w:color="auto"/>
            </w:tcBorders>
            <w:shd w:val="clear" w:color="auto" w:fill="CCEEFF"/>
          </w:tcPr>
          <w:p>
            <w:pPr>
              <w:jc w:val="right"/>
              <w:ind w:right="82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(18,638)</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219"/>
              <w:spacing w:after="0" w:line="118" w:lineRule="exact"/>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(11,859)</w:t>
            </w:r>
          </w:p>
        </w:tc>
      </w:tr>
      <w:tr>
        <w:trPr>
          <w:trHeight w:val="117"/>
        </w:trPr>
        <w:tc>
          <w:tcPr>
            <w:tcW w:w="8160" w:type="dxa"/>
            <w:vAlign w:val="bottom"/>
          </w:tcPr>
          <w:p>
            <w:pPr>
              <w:spacing w:after="0" w:line="117" w:lineRule="exact"/>
              <w:rPr>
                <w:sz w:val="20"/>
                <w:szCs w:val="20"/>
                <w:color w:val="auto"/>
              </w:rPr>
            </w:pPr>
            <w:r>
              <w:rPr>
                <w:rFonts w:ascii="Arial" w:cs="Arial" w:eastAsia="Arial" w:hAnsi="Arial"/>
                <w:sz w:val="12"/>
                <w:szCs w:val="12"/>
                <w:color w:val="auto"/>
              </w:rPr>
              <w:t>Net loss per share:</w:t>
            </w: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4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Basic and diluted net loss per share</w:t>
            </w:r>
          </w:p>
        </w:tc>
        <w:tc>
          <w:tcPr>
            <w:tcW w:w="940" w:type="dxa"/>
            <w:vAlign w:val="bottom"/>
            <w:shd w:val="clear" w:color="auto" w:fill="CCEEFF"/>
          </w:tcPr>
          <w:p>
            <w:pPr>
              <w:jc w:val="right"/>
              <w:ind w:right="829"/>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(0.71)</w:t>
            </w:r>
          </w:p>
        </w:tc>
        <w:tc>
          <w:tcPr>
            <w:tcW w:w="440" w:type="dxa"/>
            <w:vAlign w:val="bottom"/>
            <w:gridSpan w:val="2"/>
            <w:shd w:val="clear" w:color="auto" w:fill="CCEEFF"/>
          </w:tcPr>
          <w:p>
            <w:pPr>
              <w:jc w:val="right"/>
              <w:ind w:right="219"/>
              <w:spacing w:after="0" w:line="129" w:lineRule="exact"/>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(0.57)</w:t>
            </w:r>
          </w:p>
        </w:tc>
      </w:tr>
      <w:tr>
        <w:trPr>
          <w:trHeight w:val="124"/>
        </w:trPr>
        <w:tc>
          <w:tcPr>
            <w:tcW w:w="8160" w:type="dxa"/>
            <w:vAlign w:val="bottom"/>
            <w:tcBorders>
              <w:top w:val="single" w:sz="8" w:color="CCEEFF"/>
            </w:tcBorders>
          </w:tcPr>
          <w:p>
            <w:pPr>
              <w:spacing w:after="0" w:line="117" w:lineRule="exact"/>
              <w:rPr>
                <w:sz w:val="20"/>
                <w:szCs w:val="20"/>
                <w:color w:val="auto"/>
              </w:rPr>
            </w:pPr>
            <w:r>
              <w:rPr>
                <w:rFonts w:ascii="Arial" w:cs="Arial" w:eastAsia="Arial" w:hAnsi="Arial"/>
                <w:sz w:val="12"/>
                <w:szCs w:val="12"/>
                <w:color w:val="auto"/>
              </w:rPr>
              <w:t>Weighted average shares used to compute net loss per common share — basic and diluted</w:t>
            </w:r>
          </w:p>
        </w:tc>
        <w:tc>
          <w:tcPr>
            <w:tcW w:w="9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26,072</w:t>
            </w: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11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20,838</w:t>
            </w:r>
          </w:p>
        </w:tc>
      </w:tr>
    </w:tbl>
    <w:p>
      <w:pPr>
        <w:spacing w:after="0" w:line="111" w:lineRule="exact"/>
        <w:rPr>
          <w:sz w:val="20"/>
          <w:szCs w:val="20"/>
          <w:color w:val="auto"/>
        </w:rPr>
      </w:pPr>
    </w:p>
    <w:p>
      <w:pPr>
        <w:ind w:left="3980"/>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139"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 w:name="page5"/>
    <w:bookmarkEnd w:id="4"/>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PULSE BIOSCIENCES, INC.</w:t>
      </w:r>
    </w:p>
    <w:p>
      <w:pPr>
        <w:jc w:val="center"/>
        <w:spacing w:after="0" w:line="233" w:lineRule="auto"/>
        <w:rPr>
          <w:sz w:val="20"/>
          <w:szCs w:val="20"/>
          <w:color w:val="auto"/>
        </w:rPr>
      </w:pPr>
      <w:r>
        <w:rPr>
          <w:rFonts w:ascii="Arial" w:cs="Arial" w:eastAsia="Arial" w:hAnsi="Arial"/>
          <w:sz w:val="12"/>
          <w:szCs w:val="12"/>
          <w:b w:val="1"/>
          <w:bCs w:val="1"/>
          <w:color w:val="auto"/>
        </w:rPr>
        <w:t>Condensed Consolidated Statements of Cash Flows</w:t>
      </w:r>
    </w:p>
    <w:p>
      <w:pPr>
        <w:jc w:val="center"/>
        <w:spacing w:after="0" w:line="225" w:lineRule="auto"/>
        <w:rPr>
          <w:sz w:val="20"/>
          <w:szCs w:val="20"/>
          <w:color w:val="auto"/>
        </w:rPr>
      </w:pPr>
      <w:r>
        <w:rPr>
          <w:rFonts w:ascii="Arial" w:cs="Arial" w:eastAsia="Arial" w:hAnsi="Arial"/>
          <w:sz w:val="12"/>
          <w:szCs w:val="12"/>
          <w:b w:val="1"/>
          <w:bCs w:val="1"/>
          <w:color w:val="auto"/>
        </w:rPr>
        <w:t>(In thousands)</w:t>
      </w: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47" w:lineRule="exact"/>
        <w:rPr>
          <w:sz w:val="20"/>
          <w:szCs w:val="20"/>
          <w:color w:val="auto"/>
        </w:rPr>
      </w:pPr>
    </w:p>
    <w:p>
      <w:pPr>
        <w:jc w:val="center"/>
        <w:ind w:left="8160"/>
        <w:spacing w:after="0"/>
        <w:rPr>
          <w:sz w:val="20"/>
          <w:szCs w:val="20"/>
          <w:color w:val="auto"/>
        </w:rPr>
      </w:pPr>
      <w:r>
        <w:rPr>
          <w:rFonts w:ascii="Arial" w:cs="Arial" w:eastAsia="Arial" w:hAnsi="Arial"/>
          <w:sz w:val="10"/>
          <w:szCs w:val="10"/>
          <w:b w:val="1"/>
          <w:bCs w:val="1"/>
          <w:color w:val="auto"/>
        </w:rPr>
        <w:t>Three-Month Periods Ended</w:t>
      </w:r>
    </w:p>
    <w:p>
      <w:pPr>
        <w:jc w:val="center"/>
        <w:ind w:left="8160"/>
        <w:spacing w:after="0" w:line="221" w:lineRule="auto"/>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1"/>
        </w:trPr>
        <w:tc>
          <w:tcPr>
            <w:tcW w:w="8160" w:type="dxa"/>
            <w:vAlign w:val="bottom"/>
            <w:tcBorders>
              <w:bottom w:val="single" w:sz="8" w:color="CCEEFF"/>
            </w:tcBorders>
          </w:tcPr>
          <w:p>
            <w:pPr>
              <w:spacing w:after="0"/>
              <w:rPr>
                <w:sz w:val="7"/>
                <w:szCs w:val="7"/>
                <w:color w:val="auto"/>
              </w:rPr>
            </w:pPr>
          </w:p>
        </w:tc>
        <w:tc>
          <w:tcPr>
            <w:tcW w:w="940" w:type="dxa"/>
            <w:vAlign w:val="bottom"/>
            <w:tcBorders>
              <w:top w:val="single" w:sz="8" w:color="auto"/>
              <w:bottom w:val="single" w:sz="8" w:color="auto"/>
            </w:tcBorders>
          </w:tcPr>
          <w:p>
            <w:pPr>
              <w:jc w:val="right"/>
              <w:ind w:right="49"/>
              <w:spacing w:after="0" w:line="91" w:lineRule="exact"/>
              <w:rPr>
                <w:sz w:val="20"/>
                <w:szCs w:val="20"/>
                <w:color w:val="auto"/>
              </w:rPr>
            </w:pPr>
            <w:r>
              <w:rPr>
                <w:rFonts w:ascii="Arial" w:cs="Arial" w:eastAsia="Arial" w:hAnsi="Arial"/>
                <w:sz w:val="10"/>
                <w:szCs w:val="10"/>
                <w:b w:val="1"/>
                <w:bCs w:val="1"/>
                <w:color w:val="auto"/>
              </w:rPr>
              <w:t>2021</w:t>
            </w:r>
          </w:p>
        </w:tc>
        <w:tc>
          <w:tcPr>
            <w:tcW w:w="54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CCEEFF"/>
            </w:tcBorders>
          </w:tcPr>
          <w:p>
            <w:pPr>
              <w:spacing w:after="0"/>
              <w:rPr>
                <w:sz w:val="7"/>
                <w:szCs w:val="7"/>
                <w:color w:val="auto"/>
              </w:rPr>
            </w:pPr>
          </w:p>
        </w:tc>
        <w:tc>
          <w:tcPr>
            <w:tcW w:w="360" w:type="dxa"/>
            <w:vAlign w:val="bottom"/>
            <w:tcBorders>
              <w:top w:val="single" w:sz="8" w:color="auto"/>
              <w:bottom w:val="single" w:sz="8" w:color="auto"/>
            </w:tcBorders>
          </w:tcPr>
          <w:p>
            <w:pPr>
              <w:spacing w:after="0"/>
              <w:rPr>
                <w:sz w:val="7"/>
                <w:szCs w:val="7"/>
                <w:color w:val="auto"/>
              </w:rPr>
            </w:pPr>
          </w:p>
        </w:tc>
        <w:tc>
          <w:tcPr>
            <w:tcW w:w="1140" w:type="dxa"/>
            <w:vAlign w:val="bottom"/>
            <w:tcBorders>
              <w:top w:val="single" w:sz="8" w:color="auto"/>
              <w:bottom w:val="single" w:sz="8" w:color="auto"/>
            </w:tcBorders>
          </w:tcPr>
          <w:p>
            <w:pPr>
              <w:jc w:val="right"/>
              <w:ind w:right="579"/>
              <w:spacing w:after="0" w:line="91" w:lineRule="exact"/>
              <w:rPr>
                <w:sz w:val="20"/>
                <w:szCs w:val="20"/>
                <w:color w:val="auto"/>
              </w:rPr>
            </w:pPr>
            <w:r>
              <w:rPr>
                <w:rFonts w:ascii="Arial" w:cs="Arial" w:eastAsia="Arial" w:hAnsi="Arial"/>
                <w:sz w:val="10"/>
                <w:szCs w:val="10"/>
                <w:b w:val="1"/>
                <w:bCs w:val="1"/>
                <w:color w:val="auto"/>
              </w:rPr>
              <w:t>2020</w:t>
            </w:r>
          </w:p>
        </w:tc>
      </w:tr>
      <w:tr>
        <w:trPr>
          <w:trHeight w:val="118"/>
        </w:trPr>
        <w:tc>
          <w:tcPr>
            <w:tcW w:w="8160" w:type="dxa"/>
            <w:vAlign w:val="bottom"/>
            <w:shd w:val="clear" w:color="auto" w:fill="CCEEFF"/>
          </w:tcPr>
          <w:p>
            <w:pPr>
              <w:spacing w:after="0" w:line="118" w:lineRule="exact"/>
              <w:rPr>
                <w:sz w:val="20"/>
                <w:szCs w:val="20"/>
                <w:color w:val="auto"/>
              </w:rPr>
            </w:pPr>
            <w:r>
              <w:rPr>
                <w:rFonts w:ascii="Arial" w:cs="Arial" w:eastAsia="Arial" w:hAnsi="Arial"/>
                <w:sz w:val="12"/>
                <w:szCs w:val="12"/>
                <w:b w:val="1"/>
                <w:bCs w:val="1"/>
                <w:color w:val="auto"/>
              </w:rPr>
              <w:t>Cash flows from operating activities:</w:t>
            </w:r>
          </w:p>
        </w:tc>
        <w:tc>
          <w:tcPr>
            <w:tcW w:w="9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Net loss</w:t>
            </w:r>
          </w:p>
        </w:tc>
        <w:tc>
          <w:tcPr>
            <w:tcW w:w="940" w:type="dxa"/>
            <w:vAlign w:val="bottom"/>
          </w:tcPr>
          <w:p>
            <w:pPr>
              <w:jc w:val="right"/>
              <w:ind w:right="829"/>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(18,639)</w:t>
            </w:r>
          </w:p>
        </w:tc>
        <w:tc>
          <w:tcPr>
            <w:tcW w:w="440" w:type="dxa"/>
            <w:vAlign w:val="bottom"/>
            <w:gridSpan w:val="2"/>
          </w:tcPr>
          <w:p>
            <w:pPr>
              <w:jc w:val="right"/>
              <w:ind w:right="219"/>
              <w:spacing w:after="0" w:line="129" w:lineRule="exact"/>
              <w:rPr>
                <w:sz w:val="20"/>
                <w:szCs w:val="20"/>
                <w:color w:val="auto"/>
              </w:rPr>
            </w:pPr>
            <w:r>
              <w:rPr>
                <w:rFonts w:ascii="Arial" w:cs="Arial" w:eastAsia="Arial" w:hAnsi="Arial"/>
                <w:sz w:val="12"/>
                <w:szCs w:val="12"/>
                <w:color w:val="auto"/>
              </w:rPr>
              <w:t>$</w:t>
            </w: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(11,872)</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Adjustments to reconcile net loss to net cash used in operating activities: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Depreciation</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113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104</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Amortization of intangible assets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167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166</w:t>
            </w: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Stock-based compensation</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6,965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2,626</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Net premium amortization and discount on available-for-sale securities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w:t>
            </w: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Changes in operating assets and liabilities:</w:t>
            </w: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Arial" w:cs="Arial" w:eastAsia="Arial" w:hAnsi="Arial"/>
                <w:sz w:val="12"/>
                <w:szCs w:val="12"/>
                <w:color w:val="auto"/>
              </w:rPr>
              <w:t>Inventory</w:t>
            </w: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(1,135)</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tcPr>
          <w:p>
            <w:pPr>
              <w:ind w:left="280"/>
              <w:spacing w:after="0" w:line="129" w:lineRule="exact"/>
              <w:rPr>
                <w:sz w:val="20"/>
                <w:szCs w:val="20"/>
                <w:color w:val="auto"/>
              </w:rPr>
            </w:pPr>
            <w:r>
              <w:rPr>
                <w:rFonts w:ascii="Arial" w:cs="Arial" w:eastAsia="Arial" w:hAnsi="Arial"/>
                <w:sz w:val="12"/>
                <w:szCs w:val="12"/>
                <w:color w:val="auto"/>
              </w:rPr>
              <w:t>Prepaid expenses and other current assets</w:t>
            </w:r>
          </w:p>
        </w:tc>
        <w:tc>
          <w:tcPr>
            <w:tcW w:w="940" w:type="dxa"/>
            <w:vAlign w:val="bottom"/>
          </w:tcPr>
          <w:p>
            <w:pPr>
              <w:spacing w:after="0"/>
              <w:rPr>
                <w:sz w:val="11"/>
                <w:szCs w:val="11"/>
                <w:color w:val="auto"/>
              </w:rPr>
            </w:pPr>
          </w:p>
        </w:tc>
        <w:tc>
          <w:tcPr>
            <w:tcW w:w="6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(124)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460</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Arial" w:cs="Arial" w:eastAsia="Arial" w:hAnsi="Arial"/>
                <w:sz w:val="12"/>
                <w:szCs w:val="12"/>
                <w:color w:val="auto"/>
              </w:rPr>
              <w:t>Other receivables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tcPr>
          <w:p>
            <w:pPr>
              <w:ind w:left="280"/>
              <w:spacing w:after="0" w:line="129" w:lineRule="exact"/>
              <w:rPr>
                <w:sz w:val="20"/>
                <w:szCs w:val="20"/>
                <w:color w:val="auto"/>
              </w:rPr>
            </w:pPr>
            <w:r>
              <w:rPr>
                <w:rFonts w:ascii="Arial" w:cs="Arial" w:eastAsia="Arial" w:hAnsi="Arial"/>
                <w:sz w:val="12"/>
                <w:szCs w:val="12"/>
                <w:color w:val="auto"/>
              </w:rPr>
              <w:t>Right-of-use assets</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158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71</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Arial" w:cs="Arial" w:eastAsia="Arial" w:hAnsi="Arial"/>
                <w:sz w:val="12"/>
                <w:szCs w:val="12"/>
                <w:color w:val="auto"/>
              </w:rPr>
              <w:t>Other long-term assets</w:t>
            </w: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(68)</w:t>
            </w:r>
          </w:p>
        </w:tc>
      </w:tr>
      <w:tr>
        <w:trPr>
          <w:trHeight w:val="129"/>
        </w:trPr>
        <w:tc>
          <w:tcPr>
            <w:tcW w:w="8160" w:type="dxa"/>
            <w:vAlign w:val="bottom"/>
          </w:tcPr>
          <w:p>
            <w:pPr>
              <w:ind w:left="280"/>
              <w:spacing w:after="0" w:line="129" w:lineRule="exact"/>
              <w:rPr>
                <w:sz w:val="20"/>
                <w:szCs w:val="20"/>
                <w:color w:val="auto"/>
              </w:rPr>
            </w:pPr>
            <w:r>
              <w:rPr>
                <w:rFonts w:ascii="Arial" w:cs="Arial" w:eastAsia="Arial" w:hAnsi="Arial"/>
                <w:sz w:val="12"/>
                <w:szCs w:val="12"/>
                <w:color w:val="auto"/>
              </w:rPr>
              <w:t>Accounts payable</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433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(749)</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Arial" w:cs="Arial" w:eastAsia="Arial" w:hAnsi="Arial"/>
                <w:sz w:val="12"/>
                <w:szCs w:val="12"/>
                <w:color w:val="auto"/>
              </w:rPr>
              <w:t>Accrued expenses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291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(425)</w:t>
            </w:r>
          </w:p>
        </w:tc>
      </w:tr>
      <w:tr>
        <w:trPr>
          <w:trHeight w:val="129"/>
        </w:trPr>
        <w:tc>
          <w:tcPr>
            <w:tcW w:w="8160" w:type="dxa"/>
            <w:vAlign w:val="bottom"/>
          </w:tcPr>
          <w:p>
            <w:pPr>
              <w:ind w:left="280"/>
              <w:spacing w:after="0" w:line="129" w:lineRule="exact"/>
              <w:rPr>
                <w:sz w:val="20"/>
                <w:szCs w:val="20"/>
                <w:color w:val="auto"/>
              </w:rPr>
            </w:pPr>
            <w:r>
              <w:rPr>
                <w:rFonts w:ascii="Arial" w:cs="Arial" w:eastAsia="Arial" w:hAnsi="Arial"/>
                <w:sz w:val="12"/>
                <w:szCs w:val="12"/>
                <w:color w:val="auto"/>
              </w:rPr>
              <w:t>Accrued interest on related party note</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118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Arial" w:cs="Arial" w:eastAsia="Arial" w:hAnsi="Arial"/>
                <w:sz w:val="12"/>
                <w:szCs w:val="12"/>
                <w:color w:val="auto"/>
              </w:rPr>
              <w:t>Lease liabilities</w:t>
            </w: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(95)</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69</w:t>
            </w:r>
          </w:p>
        </w:tc>
      </w:tr>
      <w:tr>
        <w:trPr>
          <w:trHeight w:val="118"/>
        </w:trPr>
        <w:tc>
          <w:tcPr>
            <w:tcW w:w="8160" w:type="dxa"/>
            <w:vAlign w:val="bottom"/>
            <w:tcBorders>
              <w:bottom w:val="single" w:sz="8" w:color="CCEEFF"/>
            </w:tcBorders>
          </w:tcPr>
          <w:p>
            <w:pPr>
              <w:ind w:left="440"/>
              <w:spacing w:after="0" w:line="118" w:lineRule="exact"/>
              <w:rPr>
                <w:sz w:val="20"/>
                <w:szCs w:val="20"/>
                <w:color w:val="auto"/>
              </w:rPr>
            </w:pPr>
            <w:r>
              <w:rPr>
                <w:rFonts w:ascii="Arial" w:cs="Arial" w:eastAsia="Arial" w:hAnsi="Arial"/>
                <w:sz w:val="12"/>
                <w:szCs w:val="12"/>
                <w:color w:val="auto"/>
              </w:rPr>
              <w:t>Net cash used in operating activities</w:t>
            </w:r>
          </w:p>
        </w:tc>
        <w:tc>
          <w:tcPr>
            <w:tcW w:w="9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(11,687)</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114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(9,622)</w:t>
            </w:r>
          </w:p>
        </w:tc>
      </w:tr>
      <w:tr>
        <w:trPr>
          <w:trHeight w:val="118"/>
        </w:trPr>
        <w:tc>
          <w:tcPr>
            <w:tcW w:w="8160" w:type="dxa"/>
            <w:vAlign w:val="bottom"/>
            <w:shd w:val="clear" w:color="auto" w:fill="CCEEFF"/>
          </w:tcPr>
          <w:p>
            <w:pPr>
              <w:spacing w:after="0" w:line="118" w:lineRule="exact"/>
              <w:rPr>
                <w:sz w:val="20"/>
                <w:szCs w:val="20"/>
                <w:color w:val="auto"/>
              </w:rPr>
            </w:pPr>
            <w:r>
              <w:rPr>
                <w:rFonts w:ascii="Arial" w:cs="Arial" w:eastAsia="Arial" w:hAnsi="Arial"/>
                <w:sz w:val="12"/>
                <w:szCs w:val="12"/>
                <w:b w:val="1"/>
                <w:bCs w:val="1"/>
                <w:color w:val="auto"/>
              </w:rPr>
              <w:t>Cash flows from investing activities:</w:t>
            </w:r>
          </w:p>
        </w:tc>
        <w:tc>
          <w:tcPr>
            <w:tcW w:w="9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Purchases of property and equipment</w:t>
            </w:r>
          </w:p>
        </w:tc>
        <w:tc>
          <w:tcPr>
            <w:tcW w:w="940" w:type="dxa"/>
            <w:vAlign w:val="bottom"/>
          </w:tcPr>
          <w:p>
            <w:pPr>
              <w:spacing w:after="0"/>
              <w:rPr>
                <w:sz w:val="11"/>
                <w:szCs w:val="11"/>
                <w:color w:val="auto"/>
              </w:rPr>
            </w:pPr>
          </w:p>
        </w:tc>
        <w:tc>
          <w:tcPr>
            <w:tcW w:w="6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(51)</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(171)</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Purchases of investments</w:t>
            </w: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(3,006)</w:t>
            </w:r>
          </w:p>
        </w:tc>
      </w:tr>
      <w:tr>
        <w:trPr>
          <w:trHeight w:val="129"/>
        </w:trPr>
        <w:tc>
          <w:tcPr>
            <w:tcW w:w="8160" w:type="dxa"/>
            <w:vAlign w:val="bottom"/>
            <w:tcBorders>
              <w:bottom w:val="single" w:sz="8" w:color="CCEEFF"/>
            </w:tcBorders>
          </w:tcPr>
          <w:p>
            <w:pPr>
              <w:spacing w:after="0" w:line="129" w:lineRule="exact"/>
              <w:rPr>
                <w:sz w:val="20"/>
                <w:szCs w:val="20"/>
                <w:color w:val="auto"/>
              </w:rPr>
            </w:pPr>
            <w:r>
              <w:rPr>
                <w:rFonts w:ascii="Arial" w:cs="Arial" w:eastAsia="Arial" w:hAnsi="Arial"/>
                <w:sz w:val="12"/>
                <w:szCs w:val="12"/>
                <w:color w:val="auto"/>
              </w:rPr>
              <w:t>Maturities of investments</w:t>
            </w:r>
          </w:p>
        </w:tc>
        <w:tc>
          <w:tcPr>
            <w:tcW w:w="9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8,000</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13,500</w:t>
            </w:r>
          </w:p>
        </w:tc>
      </w:tr>
      <w:tr>
        <w:trPr>
          <w:trHeight w:val="118"/>
        </w:trPr>
        <w:tc>
          <w:tcPr>
            <w:tcW w:w="8160" w:type="dxa"/>
            <w:vAlign w:val="bottom"/>
            <w:shd w:val="clear" w:color="auto" w:fill="CCEEFF"/>
          </w:tcPr>
          <w:p>
            <w:pPr>
              <w:ind w:left="440"/>
              <w:spacing w:after="0" w:line="118" w:lineRule="exact"/>
              <w:rPr>
                <w:sz w:val="20"/>
                <w:szCs w:val="20"/>
                <w:color w:val="auto"/>
              </w:rPr>
            </w:pPr>
            <w:r>
              <w:rPr>
                <w:rFonts w:ascii="Arial" w:cs="Arial" w:eastAsia="Arial" w:hAnsi="Arial"/>
                <w:sz w:val="12"/>
                <w:szCs w:val="12"/>
                <w:color w:val="auto"/>
              </w:rPr>
              <w:t>Net cash provided by investing activities</w:t>
            </w:r>
          </w:p>
        </w:tc>
        <w:tc>
          <w:tcPr>
            <w:tcW w:w="94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7,949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10,323</w:t>
            </w:r>
          </w:p>
        </w:tc>
      </w:tr>
      <w:tr>
        <w:trPr>
          <w:trHeight w:val="118"/>
        </w:trPr>
        <w:tc>
          <w:tcPr>
            <w:tcW w:w="8160" w:type="dxa"/>
            <w:vAlign w:val="bottom"/>
          </w:tcPr>
          <w:p>
            <w:pPr>
              <w:spacing w:after="0" w:line="118" w:lineRule="exact"/>
              <w:rPr>
                <w:sz w:val="20"/>
                <w:szCs w:val="20"/>
                <w:color w:val="auto"/>
              </w:rPr>
            </w:pPr>
            <w:r>
              <w:rPr>
                <w:rFonts w:ascii="Arial" w:cs="Arial" w:eastAsia="Arial" w:hAnsi="Arial"/>
                <w:sz w:val="12"/>
                <w:szCs w:val="12"/>
                <w:b w:val="1"/>
                <w:bCs w:val="1"/>
                <w:color w:val="auto"/>
              </w:rPr>
              <w:t>Cash flows from financing activities:</w:t>
            </w: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Proceeds from issuance of common stock under employee stock purchase plan</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430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255</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Proceeds from exercises of warrants</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4,217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Proceeds from exercises of stock options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619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Proceeds from issuance of common stock from at-the-market equity offering</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4,892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Proceeds from issuance of related party note</w:t>
            </w:r>
          </w:p>
        </w:tc>
        <w:tc>
          <w:tcPr>
            <w:tcW w:w="9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41,000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r>
      <w:tr>
        <w:trPr>
          <w:trHeight w:val="118"/>
        </w:trPr>
        <w:tc>
          <w:tcPr>
            <w:tcW w:w="8160" w:type="dxa"/>
            <w:vAlign w:val="bottom"/>
            <w:tcBorders>
              <w:bottom w:val="single" w:sz="8" w:color="CCEEFF"/>
            </w:tcBorders>
          </w:tcPr>
          <w:p>
            <w:pPr>
              <w:ind w:left="440"/>
              <w:spacing w:after="0" w:line="118" w:lineRule="exact"/>
              <w:rPr>
                <w:sz w:val="20"/>
                <w:szCs w:val="20"/>
                <w:color w:val="auto"/>
              </w:rPr>
            </w:pPr>
            <w:r>
              <w:rPr>
                <w:rFonts w:ascii="Arial" w:cs="Arial" w:eastAsia="Arial" w:hAnsi="Arial"/>
                <w:sz w:val="12"/>
                <w:szCs w:val="12"/>
                <w:color w:val="auto"/>
              </w:rPr>
              <w:t>Net cash provided by financing activities</w:t>
            </w: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51,158</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264</w:t>
            </w:r>
          </w:p>
        </w:tc>
      </w:tr>
      <w:tr>
        <w:trPr>
          <w:trHeight w:val="118"/>
        </w:trPr>
        <w:tc>
          <w:tcPr>
            <w:tcW w:w="8160" w:type="dxa"/>
            <w:vAlign w:val="bottom"/>
            <w:shd w:val="clear" w:color="auto" w:fill="CCEEFF"/>
          </w:tcPr>
          <w:p>
            <w:pPr>
              <w:ind w:left="440"/>
              <w:spacing w:after="0" w:line="118" w:lineRule="exact"/>
              <w:rPr>
                <w:sz w:val="20"/>
                <w:szCs w:val="20"/>
                <w:color w:val="auto"/>
              </w:rPr>
            </w:pPr>
            <w:r>
              <w:rPr>
                <w:rFonts w:ascii="Arial" w:cs="Arial" w:eastAsia="Arial" w:hAnsi="Arial"/>
                <w:sz w:val="12"/>
                <w:szCs w:val="12"/>
                <w:color w:val="auto"/>
              </w:rPr>
              <w:t>Net increase in cash</w:t>
            </w:r>
          </w:p>
        </w:tc>
        <w:tc>
          <w:tcPr>
            <w:tcW w:w="94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47,420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965</w:t>
            </w:r>
          </w:p>
        </w:tc>
      </w:tr>
      <w:tr>
        <w:trPr>
          <w:trHeight w:val="118"/>
        </w:trPr>
        <w:tc>
          <w:tcPr>
            <w:tcW w:w="8160" w:type="dxa"/>
            <w:vAlign w:val="bottom"/>
            <w:tcBorders>
              <w:bottom w:val="single" w:sz="8" w:color="CCEEFF"/>
            </w:tcBorders>
          </w:tcPr>
          <w:p>
            <w:pPr>
              <w:spacing w:after="0" w:line="118" w:lineRule="exact"/>
              <w:rPr>
                <w:sz w:val="20"/>
                <w:szCs w:val="20"/>
                <w:color w:val="auto"/>
              </w:rPr>
            </w:pPr>
            <w:r>
              <w:rPr>
                <w:rFonts w:ascii="Arial" w:cs="Arial" w:eastAsia="Arial" w:hAnsi="Arial"/>
                <w:sz w:val="12"/>
                <w:szCs w:val="12"/>
                <w:color w:val="auto"/>
              </w:rPr>
              <w:t>Cash and cash equivalents at beginning of period</w:t>
            </w: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12,463</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6,899</w:t>
            </w:r>
          </w:p>
        </w:tc>
      </w:tr>
      <w:tr>
        <w:trPr>
          <w:trHeight w:val="126"/>
        </w:trPr>
        <w:tc>
          <w:tcPr>
            <w:tcW w:w="8160" w:type="dxa"/>
            <w:vAlign w:val="bottom"/>
            <w:tcBorders>
              <w:bottom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Cash and cash equivalents at end of period</w:t>
            </w:r>
          </w:p>
        </w:tc>
        <w:tc>
          <w:tcPr>
            <w:tcW w:w="940" w:type="dxa"/>
            <w:vAlign w:val="bottom"/>
            <w:tcBorders>
              <w:bottom w:val="single" w:sz="8" w:color="auto"/>
            </w:tcBorders>
            <w:shd w:val="clear" w:color="auto" w:fill="CCEEFF"/>
          </w:tcPr>
          <w:p>
            <w:pPr>
              <w:jc w:val="right"/>
              <w:ind w:right="82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59,883</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jc w:val="right"/>
              <w:ind w:right="219"/>
              <w:spacing w:after="0" w:line="118" w:lineRule="exact"/>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7,864</w:t>
            </w:r>
          </w:p>
        </w:tc>
      </w:tr>
      <w:tr>
        <w:trPr>
          <w:trHeight w:val="129"/>
        </w:trPr>
        <w:tc>
          <w:tcPr>
            <w:tcW w:w="8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Supplemental disclosure of noncash investing and financing activities: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29"/>
        </w:trPr>
        <w:tc>
          <w:tcPr>
            <w:tcW w:w="8160" w:type="dxa"/>
            <w:vAlign w:val="bottom"/>
          </w:tcPr>
          <w:p>
            <w:pPr>
              <w:ind w:left="280"/>
              <w:spacing w:after="0" w:line="129" w:lineRule="exact"/>
              <w:rPr>
                <w:sz w:val="20"/>
                <w:szCs w:val="20"/>
                <w:color w:val="auto"/>
              </w:rPr>
            </w:pPr>
            <w:r>
              <w:rPr>
                <w:rFonts w:ascii="Arial" w:cs="Arial" w:eastAsia="Arial" w:hAnsi="Arial"/>
                <w:sz w:val="12"/>
                <w:szCs w:val="12"/>
                <w:color w:val="auto"/>
              </w:rPr>
              <w:t>Change in unrealized gains on available-for-sale securities</w:t>
            </w:r>
          </w:p>
        </w:tc>
        <w:tc>
          <w:tcPr>
            <w:tcW w:w="940" w:type="dxa"/>
            <w:vAlign w:val="bottom"/>
          </w:tcPr>
          <w:p>
            <w:pPr>
              <w:jc w:val="right"/>
              <w:ind w:right="82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1</w:t>
            </w:r>
          </w:p>
        </w:tc>
        <w:tc>
          <w:tcPr>
            <w:tcW w:w="80" w:type="dxa"/>
            <w:vAlign w:val="bottom"/>
          </w:tcPr>
          <w:p>
            <w:pPr>
              <w:spacing w:after="0"/>
              <w:rPr>
                <w:sz w:val="11"/>
                <w:szCs w:val="11"/>
                <w:color w:val="auto"/>
              </w:rPr>
            </w:pPr>
          </w:p>
        </w:tc>
        <w:tc>
          <w:tcPr>
            <w:tcW w:w="440" w:type="dxa"/>
            <w:vAlign w:val="bottom"/>
            <w:gridSpan w:val="2"/>
          </w:tcPr>
          <w:p>
            <w:pPr>
              <w:jc w:val="right"/>
              <w:ind w:right="219"/>
              <w:spacing w:after="0" w:line="129" w:lineRule="exact"/>
              <w:rPr>
                <w:sz w:val="20"/>
                <w:szCs w:val="20"/>
                <w:color w:val="auto"/>
              </w:rPr>
            </w:pPr>
            <w:r>
              <w:rPr>
                <w:rFonts w:ascii="Arial" w:cs="Arial" w:eastAsia="Arial" w:hAnsi="Arial"/>
                <w:sz w:val="12"/>
                <w:szCs w:val="12"/>
                <w:color w:val="auto"/>
              </w:rPr>
              <w:t>$</w:t>
            </w: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13</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Arial" w:cs="Arial" w:eastAsia="Arial" w:hAnsi="Arial"/>
                <w:sz w:val="12"/>
                <w:szCs w:val="12"/>
                <w:color w:val="auto"/>
              </w:rPr>
              <w:t>Unpaid property and equipment included in accounts payable and accrued expenses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r>
      <w:tr>
        <w:trPr>
          <w:trHeight w:val="156"/>
        </w:trPr>
        <w:tc>
          <w:tcPr>
            <w:tcW w:w="8160" w:type="dxa"/>
            <w:vAlign w:val="bottom"/>
          </w:tcPr>
          <w:p>
            <w:pPr>
              <w:ind w:left="280"/>
              <w:spacing w:after="0"/>
              <w:rPr>
                <w:sz w:val="20"/>
                <w:szCs w:val="20"/>
                <w:color w:val="auto"/>
              </w:rPr>
            </w:pPr>
            <w:r>
              <w:rPr>
                <w:rFonts w:ascii="Arial" w:cs="Arial" w:eastAsia="Arial" w:hAnsi="Arial"/>
                <w:sz w:val="12"/>
                <w:szCs w:val="12"/>
                <w:color w:val="auto"/>
              </w:rPr>
              <w:t>Other receivable from issuance of common stock from at-the-market equity offering</w:t>
            </w:r>
          </w:p>
        </w:tc>
        <w:tc>
          <w:tcPr>
            <w:tcW w:w="94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(71)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8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 w:name="page6"/>
    <w:bookmarkEnd w:id="5"/>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PULSE BIOSCIENCES,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jc w:val="center"/>
        <w:spacing w:after="0"/>
        <w:rPr>
          <w:sz w:val="20"/>
          <w:szCs w:val="20"/>
          <w:color w:val="auto"/>
        </w:rPr>
      </w:pPr>
      <w:r>
        <w:rPr>
          <w:rFonts w:ascii="Arial" w:cs="Arial" w:eastAsia="Arial" w:hAnsi="Arial"/>
          <w:sz w:val="12"/>
          <w:szCs w:val="12"/>
          <w:b w:val="1"/>
          <w:bCs w:val="1"/>
          <w:color w:val="auto"/>
        </w:rPr>
        <w:t>(Unaudited)</w:t>
      </w:r>
    </w:p>
    <w:p>
      <w:pPr>
        <w:sectPr>
          <w:pgSz w:w="11900" w:h="16838" w:orient="portrait"/>
          <w:cols w:equalWidth="0" w:num="1">
            <w:col w:w="11300"/>
          </w:cols>
          <w:pgMar w:left="300" w:top="118" w:right="299" w:bottom="1440" w:gutter="0" w:footer="0" w:header="0"/>
        </w:sect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700" w:type="dxa"/>
            <w:vAlign w:val="bottom"/>
          </w:tcPr>
          <w:p>
            <w:pPr>
              <w:spacing w:after="0"/>
              <w:rPr>
                <w:sz w:val="11"/>
                <w:szCs w:val="11"/>
                <w:color w:val="auto"/>
              </w:rPr>
            </w:pPr>
          </w:p>
        </w:tc>
        <w:tc>
          <w:tcPr>
            <w:tcW w:w="1940" w:type="dxa"/>
            <w:vAlign w:val="bottom"/>
            <w:gridSpan w:val="6"/>
          </w:tcPr>
          <w:p>
            <w:pPr>
              <w:jc w:val="right"/>
              <w:ind w:right="620"/>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700" w:type="dxa"/>
            <w:vAlign w:val="bottom"/>
            <w:vMerge w:val="restart"/>
          </w:tcPr>
          <w:p>
            <w:pPr>
              <w:spacing w:after="0"/>
              <w:rPr>
                <w:sz w:val="20"/>
                <w:szCs w:val="20"/>
                <w:color w:val="auto"/>
              </w:rPr>
            </w:pPr>
            <w:r>
              <w:rPr>
                <w:rFonts w:ascii="Arial" w:cs="Arial" w:eastAsia="Arial" w:hAnsi="Arial"/>
                <w:sz w:val="11"/>
                <w:szCs w:val="11"/>
                <w:color w:val="auto"/>
              </w:rPr>
              <w:t>Balance, December 31, 2020</w:t>
            </w:r>
          </w:p>
        </w:tc>
        <w:tc>
          <w:tcPr>
            <w:tcW w:w="1080" w:type="dxa"/>
            <w:vAlign w:val="bottom"/>
            <w:tcBorders>
              <w:top w:val="single" w:sz="8" w:color="auto"/>
            </w:tcBorders>
            <w:gridSpan w:val="2"/>
          </w:tcPr>
          <w:p>
            <w:pPr>
              <w:ind w:left="300"/>
              <w:spacing w:after="0" w:line="100" w:lineRule="exact"/>
              <w:rPr>
                <w:sz w:val="20"/>
                <w:szCs w:val="20"/>
                <w:color w:val="auto"/>
              </w:rPr>
            </w:pPr>
            <w:r>
              <w:rPr>
                <w:rFonts w:ascii="Arial" w:cs="Arial" w:eastAsia="Arial" w:hAnsi="Arial"/>
                <w:sz w:val="11"/>
                <w:szCs w:val="11"/>
                <w:b w:val="1"/>
                <w:bCs w:val="1"/>
                <w:color w:val="auto"/>
              </w:rPr>
              <w:t>Shares</w:t>
            </w: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165"/>
              <w:spacing w:after="0" w:line="100" w:lineRule="exact"/>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3700" w:type="dxa"/>
            <w:vAlign w:val="bottom"/>
            <w:vMerge w:val="continue"/>
          </w:tcPr>
          <w:p>
            <w:pPr>
              <w:spacing w:after="0"/>
              <w:rPr>
                <w:sz w:val="9"/>
                <w:szCs w:val="9"/>
                <w:color w:val="auto"/>
              </w:rPr>
            </w:pPr>
          </w:p>
        </w:tc>
        <w:tc>
          <w:tcPr>
            <w:tcW w:w="9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25,550</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25</w:t>
            </w:r>
          </w:p>
        </w:tc>
        <w:tc>
          <w:tcPr>
            <w:tcW w:w="2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700" w:type="dxa"/>
            <w:vAlign w:val="bottom"/>
          </w:tcPr>
          <w:p>
            <w:pPr>
              <w:spacing w:after="0" w:line="96" w:lineRule="exact"/>
              <w:rPr>
                <w:sz w:val="20"/>
                <w:szCs w:val="20"/>
                <w:color w:val="auto"/>
              </w:rPr>
            </w:pPr>
            <w:r>
              <w:rPr>
                <w:rFonts w:ascii="Arial" w:cs="Arial" w:eastAsia="Arial" w:hAnsi="Arial"/>
                <w:sz w:val="11"/>
                <w:szCs w:val="11"/>
                <w:color w:val="auto"/>
              </w:rPr>
              <w:t>Issuance of shares upon exercise of stock options</w:t>
            </w:r>
          </w:p>
        </w:tc>
        <w:tc>
          <w:tcPr>
            <w:tcW w:w="920" w:type="dxa"/>
            <w:vAlign w:val="bottom"/>
          </w:tcPr>
          <w:p>
            <w:pPr>
              <w:jc w:val="right"/>
              <w:spacing w:after="0" w:line="96" w:lineRule="exact"/>
              <w:rPr>
                <w:sz w:val="20"/>
                <w:szCs w:val="20"/>
                <w:color w:val="auto"/>
              </w:rPr>
            </w:pPr>
            <w:r>
              <w:rPr>
                <w:rFonts w:ascii="Arial" w:cs="Arial" w:eastAsia="Arial" w:hAnsi="Arial"/>
                <w:sz w:val="11"/>
                <w:szCs w:val="11"/>
                <w:color w:val="auto"/>
              </w:rPr>
              <w:t>40</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jc w:val="right"/>
              <w:spacing w:after="0" w:line="96"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Issuance of shares under employee stock purchase plan</w:t>
            </w:r>
          </w:p>
        </w:tc>
        <w:tc>
          <w:tcPr>
            <w:tcW w:w="920" w:type="dxa"/>
            <w:vAlign w:val="bottom"/>
          </w:tcPr>
          <w:p>
            <w:pPr>
              <w:jc w:val="right"/>
              <w:spacing w:after="0" w:line="111" w:lineRule="exact"/>
              <w:rPr>
                <w:sz w:val="20"/>
                <w:szCs w:val="20"/>
                <w:color w:val="auto"/>
              </w:rPr>
            </w:pPr>
            <w:r>
              <w:rPr>
                <w:rFonts w:ascii="Arial" w:cs="Arial" w:eastAsia="Arial" w:hAnsi="Arial"/>
                <w:sz w:val="11"/>
                <w:szCs w:val="11"/>
                <w:color w:val="auto"/>
              </w:rPr>
              <w:t>68</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Issuance of shares upon exercise of warrants</w:t>
            </w:r>
          </w:p>
        </w:tc>
        <w:tc>
          <w:tcPr>
            <w:tcW w:w="920" w:type="dxa"/>
            <w:vAlign w:val="bottom"/>
          </w:tcPr>
          <w:p>
            <w:pPr>
              <w:jc w:val="right"/>
              <w:spacing w:after="0" w:line="111" w:lineRule="exact"/>
              <w:rPr>
                <w:sz w:val="20"/>
                <w:szCs w:val="20"/>
                <w:color w:val="auto"/>
              </w:rPr>
            </w:pPr>
            <w:r>
              <w:rPr>
                <w:rFonts w:ascii="Arial" w:cs="Arial" w:eastAsia="Arial" w:hAnsi="Arial"/>
                <w:sz w:val="11"/>
                <w:szCs w:val="11"/>
                <w:color w:val="auto"/>
              </w:rPr>
              <w:t>585</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1</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w w:val="97"/>
              </w:rPr>
              <w:t>Issuance of common stock in an at-the-market equity offering, net of issuance</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158</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costs of $446</w:t>
            </w: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Stock-based compensation expense</w:t>
            </w:r>
          </w:p>
        </w:tc>
        <w:tc>
          <w:tcPr>
            <w:tcW w:w="10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Unrealized gain on available-for-sale securities</w:t>
            </w:r>
          </w:p>
        </w:tc>
        <w:tc>
          <w:tcPr>
            <w:tcW w:w="10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20"/>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700" w:type="dxa"/>
            <w:vAlign w:val="bottom"/>
          </w:tcPr>
          <w:p>
            <w:pPr>
              <w:spacing w:after="0" w:line="125" w:lineRule="exact"/>
              <w:rPr>
                <w:sz w:val="20"/>
                <w:szCs w:val="20"/>
                <w:color w:val="auto"/>
              </w:rPr>
            </w:pPr>
            <w:r>
              <w:rPr>
                <w:rFonts w:ascii="Arial" w:cs="Arial" w:eastAsia="Arial" w:hAnsi="Arial"/>
                <w:sz w:val="11"/>
                <w:szCs w:val="11"/>
                <w:color w:val="auto"/>
              </w:rPr>
              <w:t>Net loss</w:t>
            </w:r>
          </w:p>
        </w:tc>
        <w:tc>
          <w:tcPr>
            <w:tcW w:w="108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20"/>
              <w:spacing w:after="0" w:line="125" w:lineRule="exact"/>
              <w:rPr>
                <w:sz w:val="20"/>
                <w:szCs w:val="20"/>
                <w:color w:val="auto"/>
              </w:rPr>
            </w:pPr>
            <w:r>
              <w:rPr>
                <w:rFonts w:ascii="Arial" w:cs="Arial" w:eastAsia="Arial" w:hAnsi="Arial"/>
                <w:sz w:val="11"/>
                <w:szCs w:val="1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3700" w:type="dxa"/>
            <w:vAlign w:val="bottom"/>
          </w:tcPr>
          <w:p>
            <w:pPr>
              <w:spacing w:after="0" w:line="100" w:lineRule="exact"/>
              <w:rPr>
                <w:sz w:val="20"/>
                <w:szCs w:val="20"/>
                <w:color w:val="auto"/>
              </w:rPr>
            </w:pPr>
            <w:r>
              <w:rPr>
                <w:rFonts w:ascii="Arial" w:cs="Arial" w:eastAsia="Arial" w:hAnsi="Arial"/>
                <w:sz w:val="11"/>
                <w:szCs w:val="11"/>
                <w:color w:val="auto"/>
              </w:rPr>
              <w:t>Balance, March 31, 2021</w:t>
            </w:r>
          </w:p>
        </w:tc>
        <w:tc>
          <w:tcPr>
            <w:tcW w:w="9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26,401</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4"/>
                <w:szCs w:val="4"/>
                <w:color w:val="auto"/>
                <w:w w:val="87"/>
              </w:rPr>
              <w:t>$</w:t>
            </w:r>
          </w:p>
        </w:tc>
        <w:tc>
          <w:tcPr>
            <w:tcW w:w="720" w:type="dxa"/>
            <w:vAlign w:val="bottom"/>
            <w:tcBorders>
              <w:top w:val="single" w:sz="8" w:color="auto"/>
              <w:bottom w:val="single" w:sz="8" w:color="auto"/>
            </w:tcBorders>
            <w:gridSpan w:val="2"/>
          </w:tcPr>
          <w:p>
            <w:pPr>
              <w:jc w:val="right"/>
              <w:ind w:right="20"/>
              <w:spacing w:after="0" w:line="100" w:lineRule="exact"/>
              <w:rPr>
                <w:sz w:val="20"/>
                <w:szCs w:val="20"/>
                <w:color w:val="auto"/>
              </w:rPr>
            </w:pPr>
            <w:r>
              <w:rPr>
                <w:rFonts w:ascii="Arial" w:cs="Arial" w:eastAsia="Arial" w:hAnsi="Arial"/>
                <w:sz w:val="11"/>
                <w:szCs w:val="11"/>
                <w:color w:val="auto"/>
              </w:rPr>
              <w:t>26</w:t>
            </w:r>
          </w:p>
        </w:tc>
        <w:tc>
          <w:tcPr>
            <w:tcW w:w="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-584835</wp:posOffset>
            </wp:positionV>
            <wp:extent cx="7175500" cy="70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-444500</wp:posOffset>
            </wp:positionV>
            <wp:extent cx="7175500" cy="140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5500" cy="140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7175500" cy="70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-93345</wp:posOffset>
            </wp:positionV>
            <wp:extent cx="7175500" cy="81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5500" cy="81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-749300</wp:posOffset>
            </wp:positionV>
            <wp:extent cx="7175500" cy="81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700" w:type="dxa"/>
            <w:vAlign w:val="bottom"/>
          </w:tcPr>
          <w:p>
            <w:pPr>
              <w:spacing w:after="0"/>
              <w:rPr>
                <w:sz w:val="11"/>
                <w:szCs w:val="11"/>
                <w:color w:val="auto"/>
              </w:rPr>
            </w:pPr>
          </w:p>
        </w:tc>
        <w:tc>
          <w:tcPr>
            <w:tcW w:w="2000" w:type="dxa"/>
            <w:vAlign w:val="bottom"/>
            <w:gridSpan w:val="6"/>
          </w:tcPr>
          <w:p>
            <w:pPr>
              <w:ind w:left="600"/>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700" w:type="dxa"/>
            <w:vAlign w:val="bottom"/>
            <w:vMerge w:val="restart"/>
          </w:tcPr>
          <w:p>
            <w:pPr>
              <w:spacing w:after="0"/>
              <w:rPr>
                <w:sz w:val="20"/>
                <w:szCs w:val="20"/>
                <w:color w:val="auto"/>
              </w:rPr>
            </w:pPr>
            <w:r>
              <w:rPr>
                <w:rFonts w:ascii="Arial" w:cs="Arial" w:eastAsia="Arial" w:hAnsi="Arial"/>
                <w:sz w:val="11"/>
                <w:szCs w:val="11"/>
                <w:color w:val="auto"/>
              </w:rPr>
              <w:t>Balance, December 31, 2019</w:t>
            </w:r>
          </w:p>
        </w:tc>
        <w:tc>
          <w:tcPr>
            <w:tcW w:w="1080" w:type="dxa"/>
            <w:vAlign w:val="bottom"/>
            <w:tcBorders>
              <w:top w:val="single" w:sz="8" w:color="auto"/>
            </w:tcBorders>
            <w:gridSpan w:val="2"/>
          </w:tcPr>
          <w:p>
            <w:pPr>
              <w:ind w:left="300"/>
              <w:spacing w:after="0" w:line="100" w:lineRule="exact"/>
              <w:rPr>
                <w:sz w:val="20"/>
                <w:szCs w:val="20"/>
                <w:color w:val="auto"/>
              </w:rPr>
            </w:pPr>
            <w:r>
              <w:rPr>
                <w:rFonts w:ascii="Arial" w:cs="Arial" w:eastAsia="Arial" w:hAnsi="Arial"/>
                <w:sz w:val="11"/>
                <w:szCs w:val="11"/>
                <w:b w:val="1"/>
                <w:bCs w:val="1"/>
                <w:color w:val="auto"/>
              </w:rPr>
              <w:t>Shares</w:t>
            </w: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ind w:left="80"/>
              <w:spacing w:after="0" w:line="100" w:lineRule="exact"/>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3700" w:type="dxa"/>
            <w:vAlign w:val="bottom"/>
            <w:vMerge w:val="continue"/>
          </w:tcPr>
          <w:p>
            <w:pPr>
              <w:spacing w:after="0"/>
              <w:rPr>
                <w:sz w:val="9"/>
                <w:szCs w:val="9"/>
                <w:color w:val="auto"/>
              </w:rPr>
            </w:pPr>
          </w:p>
        </w:tc>
        <w:tc>
          <w:tcPr>
            <w:tcW w:w="9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20,825</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bottom w:val="single" w:sz="8" w:color="auto"/>
            </w:tcBorders>
          </w:tcPr>
          <w:p>
            <w:pPr>
              <w:ind w:left="560"/>
              <w:spacing w:after="0" w:line="100" w:lineRule="exact"/>
              <w:rPr>
                <w:sz w:val="20"/>
                <w:szCs w:val="20"/>
                <w:color w:val="auto"/>
              </w:rPr>
            </w:pPr>
            <w:r>
              <w:rPr>
                <w:rFonts w:ascii="Arial" w:cs="Arial" w:eastAsia="Arial" w:hAnsi="Arial"/>
                <w:sz w:val="11"/>
                <w:szCs w:val="11"/>
                <w:color w:val="auto"/>
                <w:w w:val="97"/>
              </w:rPr>
              <w:t>21</w:t>
            </w: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700" w:type="dxa"/>
            <w:vAlign w:val="bottom"/>
          </w:tcPr>
          <w:p>
            <w:pPr>
              <w:spacing w:after="0" w:line="96" w:lineRule="exact"/>
              <w:rPr>
                <w:sz w:val="20"/>
                <w:szCs w:val="20"/>
                <w:color w:val="auto"/>
              </w:rPr>
            </w:pPr>
            <w:r>
              <w:rPr>
                <w:rFonts w:ascii="Arial" w:cs="Arial" w:eastAsia="Arial" w:hAnsi="Arial"/>
                <w:sz w:val="11"/>
                <w:szCs w:val="11"/>
                <w:color w:val="auto"/>
              </w:rPr>
              <w:t>Issuance of shares upon exercise of stock options</w:t>
            </w:r>
          </w:p>
        </w:tc>
        <w:tc>
          <w:tcPr>
            <w:tcW w:w="920" w:type="dxa"/>
            <w:vAlign w:val="bottom"/>
          </w:tcPr>
          <w:p>
            <w:pPr>
              <w:jc w:val="right"/>
              <w:spacing w:after="0" w:line="96"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ind w:left="600"/>
              <w:spacing w:after="0" w:line="96" w:lineRule="exact"/>
              <w:rPr>
                <w:sz w:val="20"/>
                <w:szCs w:val="20"/>
                <w:color w:val="auto"/>
              </w:rPr>
            </w:pPr>
            <w:r>
              <w:rPr>
                <w:rFonts w:ascii="Arial" w:cs="Arial" w:eastAsia="Arial" w:hAnsi="Arial"/>
                <w:sz w:val="11"/>
                <w:szCs w:val="11"/>
                <w:color w:val="auto"/>
                <w:w w:val="72"/>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Issuance of shares under employee stock purchase plan</w:t>
            </w:r>
          </w:p>
        </w:tc>
        <w:tc>
          <w:tcPr>
            <w:tcW w:w="920" w:type="dxa"/>
            <w:vAlign w:val="bottom"/>
          </w:tcPr>
          <w:p>
            <w:pPr>
              <w:jc w:val="right"/>
              <w:spacing w:after="0" w:line="111" w:lineRule="exact"/>
              <w:rPr>
                <w:sz w:val="20"/>
                <w:szCs w:val="20"/>
                <w:color w:val="auto"/>
              </w:rPr>
            </w:pPr>
            <w:r>
              <w:rPr>
                <w:rFonts w:ascii="Arial" w:cs="Arial" w:eastAsia="Arial" w:hAnsi="Arial"/>
                <w:sz w:val="11"/>
                <w:szCs w:val="11"/>
                <w:color w:val="auto"/>
              </w:rPr>
              <w:t>43</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0"/>
              <w:spacing w:after="0" w:line="11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Stock-based compensation expense</w:t>
            </w:r>
          </w:p>
        </w:tc>
        <w:tc>
          <w:tcPr>
            <w:tcW w:w="1080" w:type="dxa"/>
            <w:vAlign w:val="bottom"/>
            <w:gridSpan w:val="2"/>
          </w:tcPr>
          <w:p>
            <w:pPr>
              <w:ind w:left="80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0"/>
              <w:spacing w:after="0" w:line="11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Unrealized gain on available-for-sale securities</w:t>
            </w:r>
          </w:p>
        </w:tc>
        <w:tc>
          <w:tcPr>
            <w:tcW w:w="1080" w:type="dxa"/>
            <w:vAlign w:val="bottom"/>
            <w:gridSpan w:val="2"/>
          </w:tcPr>
          <w:p>
            <w:pPr>
              <w:ind w:left="80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0"/>
              <w:spacing w:after="0" w:line="11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700" w:type="dxa"/>
            <w:vAlign w:val="bottom"/>
          </w:tcPr>
          <w:p>
            <w:pPr>
              <w:spacing w:after="0" w:line="125" w:lineRule="exact"/>
              <w:rPr>
                <w:sz w:val="20"/>
                <w:szCs w:val="20"/>
                <w:color w:val="auto"/>
              </w:rPr>
            </w:pPr>
            <w:r>
              <w:rPr>
                <w:rFonts w:ascii="Arial" w:cs="Arial" w:eastAsia="Arial" w:hAnsi="Arial"/>
                <w:sz w:val="11"/>
                <w:szCs w:val="11"/>
                <w:color w:val="auto"/>
              </w:rPr>
              <w:t>Net loss</w:t>
            </w:r>
          </w:p>
        </w:tc>
        <w:tc>
          <w:tcPr>
            <w:tcW w:w="1080" w:type="dxa"/>
            <w:vAlign w:val="bottom"/>
            <w:gridSpan w:val="2"/>
          </w:tcPr>
          <w:p>
            <w:pPr>
              <w:ind w:left="800"/>
              <w:spacing w:after="0" w:line="12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ind w:left="600"/>
              <w:spacing w:after="0" w:line="125" w:lineRule="exact"/>
              <w:rPr>
                <w:sz w:val="20"/>
                <w:szCs w:val="20"/>
                <w:color w:val="auto"/>
              </w:rPr>
            </w:pPr>
            <w:r>
              <w:rPr>
                <w:rFonts w:ascii="Arial" w:cs="Arial" w:eastAsia="Arial" w:hAnsi="Arial"/>
                <w:sz w:val="11"/>
                <w:szCs w:val="11"/>
                <w:color w:val="auto"/>
              </w:rPr>
              <w:t>—</w:t>
            </w: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3700" w:type="dxa"/>
            <w:vAlign w:val="bottom"/>
          </w:tcPr>
          <w:p>
            <w:pPr>
              <w:spacing w:after="0" w:line="100" w:lineRule="exact"/>
              <w:rPr>
                <w:sz w:val="20"/>
                <w:szCs w:val="20"/>
                <w:color w:val="auto"/>
              </w:rPr>
            </w:pPr>
            <w:r>
              <w:rPr>
                <w:rFonts w:ascii="Arial" w:cs="Arial" w:eastAsia="Arial" w:hAnsi="Arial"/>
                <w:sz w:val="11"/>
                <w:szCs w:val="11"/>
                <w:color w:val="auto"/>
              </w:rPr>
              <w:t>Balance, March 31, 2020</w:t>
            </w:r>
          </w:p>
        </w:tc>
        <w:tc>
          <w:tcPr>
            <w:tcW w:w="9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20,869</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bottom w:val="single" w:sz="8" w:color="auto"/>
            </w:tcBorders>
          </w:tcPr>
          <w:p>
            <w:pPr>
              <w:ind w:left="560"/>
              <w:spacing w:after="0" w:line="100" w:lineRule="exact"/>
              <w:rPr>
                <w:sz w:val="20"/>
                <w:szCs w:val="20"/>
                <w:color w:val="auto"/>
              </w:rPr>
            </w:pPr>
            <w:r>
              <w:rPr>
                <w:rFonts w:ascii="Arial" w:cs="Arial" w:eastAsia="Arial" w:hAnsi="Arial"/>
                <w:sz w:val="11"/>
                <w:szCs w:val="11"/>
                <w:color w:val="auto"/>
                <w:w w:val="97"/>
              </w:rPr>
              <w:t>21</w:t>
            </w: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175500" cy="70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7175500" cy="70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-93345</wp:posOffset>
            </wp:positionV>
            <wp:extent cx="7175500" cy="81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5500" cy="81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-538480</wp:posOffset>
            </wp:positionV>
            <wp:extent cx="7175500" cy="81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jc w:val="right"/>
              <w:ind w:right="425"/>
              <w:spacing w:after="0"/>
              <w:rPr>
                <w:sz w:val="20"/>
                <w:szCs w:val="20"/>
                <w:color w:val="auto"/>
              </w:rPr>
            </w:pPr>
            <w:r>
              <w:rPr>
                <w:rFonts w:ascii="Arial" w:cs="Arial" w:eastAsia="Arial" w:hAnsi="Arial"/>
                <w:sz w:val="11"/>
                <w:szCs w:val="11"/>
                <w:b w:val="1"/>
                <w:bCs w:val="1"/>
                <w:color w:val="auto"/>
                <w:w w:val="89"/>
              </w:rPr>
              <w:t>Additional</w:t>
            </w:r>
          </w:p>
        </w:tc>
        <w:tc>
          <w:tcPr>
            <w:tcW w:w="1340" w:type="dxa"/>
            <w:vAlign w:val="bottom"/>
          </w:tcPr>
          <w:p>
            <w:pPr>
              <w:jc w:val="center"/>
              <w:ind w:left="147"/>
              <w:spacing w:after="0"/>
              <w:rPr>
                <w:sz w:val="20"/>
                <w:szCs w:val="20"/>
                <w:color w:val="auto"/>
              </w:rPr>
            </w:pPr>
            <w:r>
              <w:rPr>
                <w:rFonts w:ascii="Arial" w:cs="Arial" w:eastAsia="Arial" w:hAnsi="Arial"/>
                <w:sz w:val="11"/>
                <w:szCs w:val="11"/>
                <w:b w:val="1"/>
                <w:bCs w:val="1"/>
                <w:color w:val="auto"/>
                <w:w w:val="92"/>
              </w:rPr>
              <w:t>Accumulated Other</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89"/>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85"/>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0"/>
        </w:trPr>
        <w:tc>
          <w:tcPr>
            <w:tcW w:w="980" w:type="dxa"/>
            <w:vAlign w:val="bottom"/>
          </w:tcPr>
          <w:p>
            <w:pPr>
              <w:jc w:val="right"/>
              <w:ind w:right="505"/>
              <w:spacing w:after="0" w:line="120" w:lineRule="exact"/>
              <w:rPr>
                <w:sz w:val="20"/>
                <w:szCs w:val="20"/>
                <w:color w:val="auto"/>
              </w:rPr>
            </w:pPr>
            <w:r>
              <w:rPr>
                <w:rFonts w:ascii="Arial" w:cs="Arial" w:eastAsia="Arial" w:hAnsi="Arial"/>
                <w:sz w:val="11"/>
                <w:szCs w:val="11"/>
                <w:b w:val="1"/>
                <w:bCs w:val="1"/>
                <w:color w:val="auto"/>
              </w:rPr>
              <w:t>Paid-in</w:t>
            </w:r>
          </w:p>
        </w:tc>
        <w:tc>
          <w:tcPr>
            <w:tcW w:w="1340" w:type="dxa"/>
            <w:vAlign w:val="bottom"/>
          </w:tcPr>
          <w:p>
            <w:pPr>
              <w:jc w:val="center"/>
              <w:ind w:left="147"/>
              <w:spacing w:after="0" w:line="120" w:lineRule="exact"/>
              <w:rPr>
                <w:sz w:val="20"/>
                <w:szCs w:val="20"/>
                <w:color w:val="auto"/>
              </w:rPr>
            </w:pPr>
            <w:r>
              <w:rPr>
                <w:rFonts w:ascii="Arial" w:cs="Arial" w:eastAsia="Arial" w:hAnsi="Arial"/>
                <w:sz w:val="11"/>
                <w:szCs w:val="11"/>
                <w:b w:val="1"/>
                <w:bCs w:val="1"/>
                <w:color w:val="auto"/>
                <w:w w:val="89"/>
              </w:rPr>
              <w:t>Comprehensive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105"/>
              <w:spacing w:after="0" w:line="120" w:lineRule="exact"/>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29"/>
        </w:trPr>
        <w:tc>
          <w:tcPr>
            <w:tcW w:w="980" w:type="dxa"/>
            <w:vAlign w:val="bottom"/>
          </w:tcPr>
          <w:p>
            <w:pPr>
              <w:jc w:val="right"/>
              <w:ind w:right="505"/>
              <w:spacing w:after="0"/>
              <w:rPr>
                <w:sz w:val="20"/>
                <w:szCs w:val="20"/>
                <w:color w:val="auto"/>
              </w:rPr>
            </w:pPr>
            <w:r>
              <w:rPr>
                <w:rFonts w:ascii="Arial" w:cs="Arial" w:eastAsia="Arial" w:hAnsi="Arial"/>
                <w:sz w:val="11"/>
                <w:szCs w:val="11"/>
                <w:b w:val="1"/>
                <w:bCs w:val="1"/>
                <w:color w:val="auto"/>
              </w:rPr>
              <w:t>Capital</w:t>
            </w:r>
          </w:p>
        </w:tc>
        <w:tc>
          <w:tcPr>
            <w:tcW w:w="1340" w:type="dxa"/>
            <w:vAlign w:val="bottom"/>
          </w:tcPr>
          <w:p>
            <w:pPr>
              <w:jc w:val="center"/>
              <w:ind w:left="167"/>
              <w:spacing w:after="0"/>
              <w:rPr>
                <w:sz w:val="20"/>
                <w:szCs w:val="20"/>
                <w:color w:val="auto"/>
              </w:rPr>
            </w:pPr>
            <w:r>
              <w:rPr>
                <w:rFonts w:ascii="Arial" w:cs="Arial" w:eastAsia="Arial" w:hAnsi="Arial"/>
                <w:sz w:val="11"/>
                <w:szCs w:val="11"/>
                <w:b w:val="1"/>
                <w:bCs w:val="1"/>
                <w:color w:val="auto"/>
                <w:w w:val="91"/>
              </w:rPr>
              <w:t>Income (Loss)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Deficit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08"/>
        </w:trPr>
        <w:tc>
          <w:tcPr>
            <w:tcW w:w="980" w:type="dxa"/>
            <w:vAlign w:val="bottom"/>
          </w:tcPr>
          <w:p>
            <w:pPr>
              <w:jc w:val="right"/>
              <w:ind w:right="105"/>
              <w:spacing w:after="0" w:line="100" w:lineRule="exact"/>
              <w:rPr>
                <w:sz w:val="20"/>
                <w:szCs w:val="20"/>
                <w:color w:val="auto"/>
              </w:rPr>
            </w:pPr>
            <w:r>
              <w:rPr>
                <w:rFonts w:ascii="Arial" w:cs="Arial" w:eastAsia="Arial" w:hAnsi="Arial"/>
                <w:sz w:val="11"/>
                <w:szCs w:val="11"/>
                <w:color w:val="auto"/>
              </w:rPr>
              <w:t>195,410</w:t>
            </w:r>
          </w:p>
        </w:tc>
        <w:tc>
          <w:tcPr>
            <w:tcW w:w="1340" w:type="dxa"/>
            <w:vAlign w:val="bottom"/>
            <w:tcBorders>
              <w:top w:val="single" w:sz="8" w:color="auto"/>
              <w:bottom w:val="single" w:sz="8" w:color="auto"/>
            </w:tcBorders>
          </w:tcPr>
          <w:p>
            <w:pPr>
              <w:jc w:val="right"/>
              <w:ind w:right="1227"/>
              <w:spacing w:after="0" w:line="100" w:lineRule="exact"/>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50"/>
              <w:spacing w:after="0" w:line="100" w:lineRule="exact"/>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(172,540)</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22,894</w:t>
            </w:r>
          </w:p>
        </w:tc>
        <w:tc>
          <w:tcPr>
            <w:tcW w:w="0" w:type="dxa"/>
            <w:vAlign w:val="bottom"/>
          </w:tcPr>
          <w:p>
            <w:pPr>
              <w:spacing w:after="0"/>
              <w:rPr>
                <w:sz w:val="1"/>
                <w:szCs w:val="1"/>
                <w:color w:val="auto"/>
              </w:rPr>
            </w:pPr>
          </w:p>
        </w:tc>
      </w:tr>
      <w:tr>
        <w:trPr>
          <w:trHeight w:val="96"/>
        </w:trPr>
        <w:tc>
          <w:tcPr>
            <w:tcW w:w="980" w:type="dxa"/>
            <w:vAlign w:val="bottom"/>
          </w:tcPr>
          <w:p>
            <w:pPr>
              <w:jc w:val="right"/>
              <w:ind w:right="105"/>
              <w:spacing w:after="0" w:line="96" w:lineRule="exact"/>
              <w:rPr>
                <w:sz w:val="20"/>
                <w:szCs w:val="20"/>
                <w:color w:val="auto"/>
              </w:rPr>
            </w:pPr>
            <w:r>
              <w:rPr>
                <w:rFonts w:ascii="Arial" w:cs="Arial" w:eastAsia="Arial" w:hAnsi="Arial"/>
                <w:sz w:val="11"/>
                <w:szCs w:val="11"/>
                <w:color w:val="auto"/>
              </w:rPr>
              <w:t>449</w:t>
            </w:r>
          </w:p>
        </w:tc>
        <w:tc>
          <w:tcPr>
            <w:tcW w:w="1340" w:type="dxa"/>
            <w:vAlign w:val="bottom"/>
          </w:tcPr>
          <w:p>
            <w:pPr>
              <w:spacing w:after="0"/>
              <w:rPr>
                <w:sz w:val="8"/>
                <w:szCs w:val="8"/>
                <w:color w:val="auto"/>
              </w:rPr>
            </w:pPr>
          </w:p>
        </w:tc>
        <w:tc>
          <w:tcPr>
            <w:tcW w:w="200" w:type="dxa"/>
            <w:vAlign w:val="bottom"/>
          </w:tcPr>
          <w:p>
            <w:pPr>
              <w:ind w:left="100"/>
              <w:spacing w:after="0" w:line="96" w:lineRule="exact"/>
              <w:rPr>
                <w:sz w:val="20"/>
                <w:szCs w:val="20"/>
                <w:color w:val="auto"/>
              </w:rPr>
            </w:pPr>
            <w:r>
              <w:rPr>
                <w:rFonts w:ascii="Arial" w:cs="Arial" w:eastAsia="Arial" w:hAnsi="Arial"/>
                <w:sz w:val="11"/>
                <w:szCs w:val="11"/>
                <w:color w:val="auto"/>
                <w:w w:val="72"/>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jc w:val="right"/>
              <w:spacing w:after="0" w:line="96"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jc w:val="right"/>
              <w:spacing w:after="0" w:line="96" w:lineRule="exact"/>
              <w:rPr>
                <w:sz w:val="20"/>
                <w:szCs w:val="20"/>
                <w:color w:val="auto"/>
              </w:rPr>
            </w:pPr>
            <w:r>
              <w:rPr>
                <w:rFonts w:ascii="Arial" w:cs="Arial" w:eastAsia="Arial" w:hAnsi="Arial"/>
                <w:sz w:val="11"/>
                <w:szCs w:val="11"/>
                <w:color w:val="auto"/>
              </w:rPr>
              <w:t>449</w:t>
            </w:r>
          </w:p>
        </w:tc>
        <w:tc>
          <w:tcPr>
            <w:tcW w:w="0" w:type="dxa"/>
            <w:vAlign w:val="bottom"/>
          </w:tcPr>
          <w:p>
            <w:pPr>
              <w:spacing w:after="0"/>
              <w:rPr>
                <w:sz w:val="1"/>
                <w:szCs w:val="1"/>
                <w:color w:val="auto"/>
              </w:rPr>
            </w:pPr>
          </w:p>
        </w:tc>
      </w:tr>
      <w:tr>
        <w:trPr>
          <w:trHeight w:val="111"/>
        </w:trPr>
        <w:tc>
          <w:tcPr>
            <w:tcW w:w="980" w:type="dxa"/>
            <w:vAlign w:val="bottom"/>
          </w:tcPr>
          <w:p>
            <w:pPr>
              <w:jc w:val="right"/>
              <w:ind w:right="105"/>
              <w:spacing w:after="0" w:line="111" w:lineRule="exact"/>
              <w:rPr>
                <w:sz w:val="20"/>
                <w:szCs w:val="20"/>
                <w:color w:val="auto"/>
              </w:rPr>
            </w:pPr>
            <w:r>
              <w:rPr>
                <w:rFonts w:ascii="Arial" w:cs="Arial" w:eastAsia="Arial" w:hAnsi="Arial"/>
                <w:sz w:val="11"/>
                <w:szCs w:val="11"/>
                <w:color w:val="auto"/>
              </w:rPr>
              <w:t>430</w:t>
            </w:r>
          </w:p>
        </w:tc>
        <w:tc>
          <w:tcPr>
            <w:tcW w:w="1340" w:type="dxa"/>
            <w:vAlign w:val="bottom"/>
          </w:tcPr>
          <w:p>
            <w:pPr>
              <w:spacing w:after="0"/>
              <w:rPr>
                <w:sz w:val="9"/>
                <w:szCs w:val="9"/>
                <w:color w:val="auto"/>
              </w:rPr>
            </w:pPr>
          </w:p>
        </w:tc>
        <w:tc>
          <w:tcPr>
            <w:tcW w:w="280" w:type="dxa"/>
            <w:vAlign w:val="bottom"/>
            <w:gridSpan w:val="2"/>
          </w:tcPr>
          <w:p>
            <w:pPr>
              <w:ind w:left="1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430</w:t>
            </w:r>
          </w:p>
        </w:tc>
        <w:tc>
          <w:tcPr>
            <w:tcW w:w="0" w:type="dxa"/>
            <w:vAlign w:val="bottom"/>
          </w:tcPr>
          <w:p>
            <w:pPr>
              <w:spacing w:after="0"/>
              <w:rPr>
                <w:sz w:val="1"/>
                <w:szCs w:val="1"/>
                <w:color w:val="auto"/>
              </w:rPr>
            </w:pPr>
          </w:p>
        </w:tc>
      </w:tr>
      <w:tr>
        <w:trPr>
          <w:trHeight w:val="139"/>
        </w:trPr>
        <w:tc>
          <w:tcPr>
            <w:tcW w:w="980" w:type="dxa"/>
            <w:vAlign w:val="bottom"/>
          </w:tcPr>
          <w:p>
            <w:pPr>
              <w:jc w:val="right"/>
              <w:ind w:right="105"/>
              <w:spacing w:after="0"/>
              <w:rPr>
                <w:sz w:val="20"/>
                <w:szCs w:val="20"/>
                <w:color w:val="auto"/>
              </w:rPr>
            </w:pPr>
            <w:r>
              <w:rPr>
                <w:rFonts w:ascii="Arial" w:cs="Arial" w:eastAsia="Arial" w:hAnsi="Arial"/>
                <w:sz w:val="11"/>
                <w:szCs w:val="11"/>
                <w:color w:val="auto"/>
              </w:rPr>
              <w:t>3,333</w:t>
            </w:r>
          </w:p>
        </w:tc>
        <w:tc>
          <w:tcPr>
            <w:tcW w:w="1340" w:type="dxa"/>
            <w:vAlign w:val="bottom"/>
          </w:tcPr>
          <w:p>
            <w:pPr>
              <w:spacing w:after="0"/>
              <w:rPr>
                <w:sz w:val="12"/>
                <w:szCs w:val="12"/>
                <w:color w:val="auto"/>
              </w:rPr>
            </w:pPr>
          </w:p>
        </w:tc>
        <w:tc>
          <w:tcPr>
            <w:tcW w:w="28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3,334</w:t>
            </w:r>
          </w:p>
        </w:tc>
        <w:tc>
          <w:tcPr>
            <w:tcW w:w="0" w:type="dxa"/>
            <w:vAlign w:val="bottom"/>
          </w:tcPr>
          <w:p>
            <w:pPr>
              <w:spacing w:after="0"/>
              <w:rPr>
                <w:sz w:val="1"/>
                <w:szCs w:val="1"/>
                <w:color w:val="auto"/>
              </w:rPr>
            </w:pPr>
          </w:p>
        </w:tc>
      </w:tr>
      <w:tr>
        <w:trPr>
          <w:trHeight w:val="193"/>
        </w:trPr>
        <w:tc>
          <w:tcPr>
            <w:tcW w:w="980" w:type="dxa"/>
            <w:vAlign w:val="bottom"/>
          </w:tcPr>
          <w:p>
            <w:pPr>
              <w:jc w:val="right"/>
              <w:ind w:right="105"/>
              <w:spacing w:after="0"/>
              <w:rPr>
                <w:sz w:val="20"/>
                <w:szCs w:val="20"/>
                <w:color w:val="auto"/>
              </w:rPr>
            </w:pPr>
            <w:r>
              <w:rPr>
                <w:rFonts w:ascii="Arial" w:cs="Arial" w:eastAsia="Arial" w:hAnsi="Arial"/>
                <w:sz w:val="11"/>
                <w:szCs w:val="11"/>
                <w:color w:val="auto"/>
              </w:rPr>
              <w:t>4,963</w:t>
            </w:r>
          </w:p>
        </w:tc>
        <w:tc>
          <w:tcPr>
            <w:tcW w:w="1340" w:type="dxa"/>
            <w:vAlign w:val="bottom"/>
          </w:tcPr>
          <w:p>
            <w:pPr>
              <w:spacing w:after="0"/>
              <w:rPr>
                <w:sz w:val="16"/>
                <w:szCs w:val="16"/>
                <w:color w:val="auto"/>
              </w:rPr>
            </w:pPr>
          </w:p>
        </w:tc>
        <w:tc>
          <w:tcPr>
            <w:tcW w:w="28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4,963</w:t>
            </w:r>
          </w:p>
        </w:tc>
        <w:tc>
          <w:tcPr>
            <w:tcW w:w="0" w:type="dxa"/>
            <w:vAlign w:val="bottom"/>
          </w:tcPr>
          <w:p>
            <w:pPr>
              <w:spacing w:after="0"/>
              <w:rPr>
                <w:sz w:val="1"/>
                <w:szCs w:val="1"/>
                <w:color w:val="auto"/>
              </w:rPr>
            </w:pPr>
          </w:p>
        </w:tc>
      </w:tr>
      <w:tr>
        <w:trPr>
          <w:trHeight w:val="111"/>
        </w:trPr>
        <w:tc>
          <w:tcPr>
            <w:tcW w:w="980" w:type="dxa"/>
            <w:vAlign w:val="bottom"/>
          </w:tcPr>
          <w:p>
            <w:pPr>
              <w:jc w:val="right"/>
              <w:ind w:right="105"/>
              <w:spacing w:after="0" w:line="111" w:lineRule="exact"/>
              <w:rPr>
                <w:sz w:val="20"/>
                <w:szCs w:val="20"/>
                <w:color w:val="auto"/>
              </w:rPr>
            </w:pPr>
            <w:r>
              <w:rPr>
                <w:rFonts w:ascii="Arial" w:cs="Arial" w:eastAsia="Arial" w:hAnsi="Arial"/>
                <w:sz w:val="11"/>
                <w:szCs w:val="11"/>
                <w:color w:val="auto"/>
              </w:rPr>
              <w:t>6,965</w:t>
            </w:r>
          </w:p>
        </w:tc>
        <w:tc>
          <w:tcPr>
            <w:tcW w:w="1340" w:type="dxa"/>
            <w:vAlign w:val="bottom"/>
          </w:tcPr>
          <w:p>
            <w:pPr>
              <w:spacing w:after="0"/>
              <w:rPr>
                <w:sz w:val="9"/>
                <w:szCs w:val="9"/>
                <w:color w:val="auto"/>
              </w:rPr>
            </w:pPr>
          </w:p>
        </w:tc>
        <w:tc>
          <w:tcPr>
            <w:tcW w:w="280" w:type="dxa"/>
            <w:vAlign w:val="bottom"/>
            <w:gridSpan w:val="2"/>
          </w:tcPr>
          <w:p>
            <w:pPr>
              <w:ind w:left="10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6,965</w:t>
            </w:r>
          </w:p>
        </w:tc>
        <w:tc>
          <w:tcPr>
            <w:tcW w:w="0" w:type="dxa"/>
            <w:vAlign w:val="bottom"/>
          </w:tcPr>
          <w:p>
            <w:pPr>
              <w:spacing w:after="0"/>
              <w:rPr>
                <w:sz w:val="1"/>
                <w:szCs w:val="1"/>
                <w:color w:val="auto"/>
              </w:rPr>
            </w:pPr>
          </w:p>
        </w:tc>
      </w:tr>
      <w:tr>
        <w:trPr>
          <w:trHeight w:val="111"/>
        </w:trPr>
        <w:tc>
          <w:tcPr>
            <w:tcW w:w="980" w:type="dxa"/>
            <w:vAlign w:val="bottom"/>
          </w:tcPr>
          <w:p>
            <w:pPr>
              <w:jc w:val="right"/>
              <w:ind w:right="105"/>
              <w:spacing w:after="0" w:line="111" w:lineRule="exact"/>
              <w:rPr>
                <w:sz w:val="20"/>
                <w:szCs w:val="20"/>
                <w:color w:val="auto"/>
              </w:rPr>
            </w:pPr>
            <w:r>
              <w:rPr>
                <w:rFonts w:ascii="Arial" w:cs="Arial" w:eastAsia="Arial" w:hAnsi="Arial"/>
                <w:sz w:val="11"/>
                <w:szCs w:val="11"/>
                <w:color w:val="auto"/>
              </w:rPr>
              <w:t>—</w:t>
            </w:r>
          </w:p>
        </w:tc>
        <w:tc>
          <w:tcPr>
            <w:tcW w:w="1340" w:type="dxa"/>
            <w:vAlign w:val="bottom"/>
          </w:tcPr>
          <w:p>
            <w:pPr>
              <w:spacing w:after="0"/>
              <w:rPr>
                <w:sz w:val="9"/>
                <w:szCs w:val="9"/>
                <w:color w:val="auto"/>
              </w:rPr>
            </w:pPr>
          </w:p>
        </w:tc>
        <w:tc>
          <w:tcPr>
            <w:tcW w:w="200" w:type="dxa"/>
            <w:vAlign w:val="bottom"/>
          </w:tcPr>
          <w:p>
            <w:pPr>
              <w:jc w:val="right"/>
              <w:spacing w:after="0" w:line="111" w:lineRule="exact"/>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25"/>
        </w:trPr>
        <w:tc>
          <w:tcPr>
            <w:tcW w:w="980" w:type="dxa"/>
            <w:vAlign w:val="bottom"/>
          </w:tcPr>
          <w:p>
            <w:pPr>
              <w:jc w:val="right"/>
              <w:ind w:right="105"/>
              <w:spacing w:after="0" w:line="125" w:lineRule="exact"/>
              <w:rPr>
                <w:sz w:val="20"/>
                <w:szCs w:val="20"/>
                <w:color w:val="auto"/>
              </w:rPr>
            </w:pPr>
            <w:r>
              <w:rPr>
                <w:rFonts w:ascii="Arial" w:cs="Arial" w:eastAsia="Arial" w:hAnsi="Arial"/>
                <w:sz w:val="11"/>
                <w:szCs w:val="11"/>
                <w:color w:val="auto"/>
              </w:rPr>
              <w:t>—</w:t>
            </w:r>
          </w:p>
        </w:tc>
        <w:tc>
          <w:tcPr>
            <w:tcW w:w="1340" w:type="dxa"/>
            <w:vAlign w:val="bottom"/>
          </w:tcPr>
          <w:p>
            <w:pPr>
              <w:spacing w:after="0"/>
              <w:rPr>
                <w:sz w:val="10"/>
                <w:szCs w:val="10"/>
                <w:color w:val="auto"/>
              </w:rPr>
            </w:pPr>
          </w:p>
        </w:tc>
        <w:tc>
          <w:tcPr>
            <w:tcW w:w="280" w:type="dxa"/>
            <w:vAlign w:val="bottom"/>
            <w:gridSpan w:val="2"/>
          </w:tcPr>
          <w:p>
            <w:pPr>
              <w:ind w:left="10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(18,639)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5" w:lineRule="exact"/>
              <w:rPr>
                <w:sz w:val="20"/>
                <w:szCs w:val="20"/>
                <w:color w:val="auto"/>
              </w:rPr>
            </w:pPr>
            <w:r>
              <w:rPr>
                <w:rFonts w:ascii="Arial" w:cs="Arial" w:eastAsia="Arial" w:hAnsi="Arial"/>
                <w:sz w:val="11"/>
                <w:szCs w:val="11"/>
                <w:color w:val="auto"/>
              </w:rPr>
              <w:t>(18,639)</w:t>
            </w:r>
          </w:p>
        </w:tc>
        <w:tc>
          <w:tcPr>
            <w:tcW w:w="0" w:type="dxa"/>
            <w:vAlign w:val="bottom"/>
          </w:tcPr>
          <w:p>
            <w:pPr>
              <w:spacing w:after="0"/>
              <w:rPr>
                <w:sz w:val="1"/>
                <w:szCs w:val="1"/>
                <w:color w:val="auto"/>
              </w:rPr>
            </w:pPr>
          </w:p>
        </w:tc>
      </w:tr>
      <w:tr>
        <w:trPr>
          <w:trHeight w:val="108"/>
        </w:trPr>
        <w:tc>
          <w:tcPr>
            <w:tcW w:w="980" w:type="dxa"/>
            <w:vAlign w:val="bottom"/>
          </w:tcPr>
          <w:p>
            <w:pPr>
              <w:jc w:val="right"/>
              <w:ind w:right="105"/>
              <w:spacing w:after="0" w:line="100" w:lineRule="exact"/>
              <w:rPr>
                <w:sz w:val="20"/>
                <w:szCs w:val="20"/>
                <w:color w:val="auto"/>
              </w:rPr>
            </w:pPr>
            <w:r>
              <w:rPr>
                <w:rFonts w:ascii="Arial" w:cs="Arial" w:eastAsia="Arial" w:hAnsi="Arial"/>
                <w:sz w:val="11"/>
                <w:szCs w:val="11"/>
                <w:color w:val="auto"/>
              </w:rPr>
              <w:t>211,550</w:t>
            </w:r>
          </w:p>
        </w:tc>
        <w:tc>
          <w:tcPr>
            <w:tcW w:w="1340" w:type="dxa"/>
            <w:vAlign w:val="bottom"/>
            <w:tcBorders>
              <w:top w:val="single" w:sz="8" w:color="auto"/>
              <w:bottom w:val="single" w:sz="8" w:color="auto"/>
            </w:tcBorders>
          </w:tcPr>
          <w:p>
            <w:pPr>
              <w:jc w:val="right"/>
              <w:ind w:right="1227"/>
              <w:spacing w:after="0" w:line="100" w:lineRule="exact"/>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ind w:left="100"/>
              <w:spacing w:after="0" w:line="100" w:lineRule="exact"/>
              <w:rPr>
                <w:sz w:val="20"/>
                <w:szCs w:val="20"/>
                <w:color w:val="auto"/>
              </w:rPr>
            </w:pPr>
            <w:r>
              <w:rPr>
                <w:rFonts w:ascii="Arial" w:cs="Arial" w:eastAsia="Arial" w:hAnsi="Arial"/>
                <w:sz w:val="11"/>
                <w:szCs w:val="11"/>
                <w:color w:val="auto"/>
                <w:w w:val="72"/>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50"/>
              <w:spacing w:after="0" w:line="100" w:lineRule="exact"/>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(191,179)</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20,397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-5080</wp:posOffset>
            </wp:positionV>
            <wp:extent cx="74422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44220" cy="571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-661035</wp:posOffset>
            </wp:positionV>
            <wp:extent cx="74422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jc w:val="right"/>
              <w:ind w:right="425"/>
              <w:spacing w:after="0"/>
              <w:rPr>
                <w:sz w:val="20"/>
                <w:szCs w:val="20"/>
                <w:color w:val="auto"/>
              </w:rPr>
            </w:pPr>
            <w:r>
              <w:rPr>
                <w:rFonts w:ascii="Arial" w:cs="Arial" w:eastAsia="Arial" w:hAnsi="Arial"/>
                <w:sz w:val="11"/>
                <w:szCs w:val="11"/>
                <w:b w:val="1"/>
                <w:bCs w:val="1"/>
                <w:color w:val="auto"/>
                <w:w w:val="89"/>
              </w:rPr>
              <w:t>Additional</w:t>
            </w:r>
          </w:p>
        </w:tc>
        <w:tc>
          <w:tcPr>
            <w:tcW w:w="1320" w:type="dxa"/>
            <w:vAlign w:val="bottom"/>
          </w:tcPr>
          <w:p>
            <w:pPr>
              <w:jc w:val="center"/>
              <w:ind w:left="167"/>
              <w:spacing w:after="0"/>
              <w:rPr>
                <w:sz w:val="20"/>
                <w:szCs w:val="20"/>
                <w:color w:val="auto"/>
              </w:rPr>
            </w:pPr>
            <w:r>
              <w:rPr>
                <w:rFonts w:ascii="Arial" w:cs="Arial" w:eastAsia="Arial" w:hAnsi="Arial"/>
                <w:sz w:val="11"/>
                <w:szCs w:val="11"/>
                <w:b w:val="1"/>
                <w:bCs w:val="1"/>
                <w:color w:val="auto"/>
                <w:w w:val="92"/>
              </w:rPr>
              <w:t>Accumulated Other</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89"/>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85"/>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0"/>
        </w:trPr>
        <w:tc>
          <w:tcPr>
            <w:tcW w:w="980" w:type="dxa"/>
            <w:vAlign w:val="bottom"/>
          </w:tcPr>
          <w:p>
            <w:pPr>
              <w:jc w:val="right"/>
              <w:ind w:right="505"/>
              <w:spacing w:after="0" w:line="120" w:lineRule="exact"/>
              <w:rPr>
                <w:sz w:val="20"/>
                <w:szCs w:val="20"/>
                <w:color w:val="auto"/>
              </w:rPr>
            </w:pPr>
            <w:r>
              <w:rPr>
                <w:rFonts w:ascii="Arial" w:cs="Arial" w:eastAsia="Arial" w:hAnsi="Arial"/>
                <w:sz w:val="11"/>
                <w:szCs w:val="11"/>
                <w:b w:val="1"/>
                <w:bCs w:val="1"/>
                <w:color w:val="auto"/>
              </w:rPr>
              <w:t>Paid-in</w:t>
            </w:r>
          </w:p>
        </w:tc>
        <w:tc>
          <w:tcPr>
            <w:tcW w:w="1320" w:type="dxa"/>
            <w:vAlign w:val="bottom"/>
          </w:tcPr>
          <w:p>
            <w:pPr>
              <w:jc w:val="center"/>
              <w:ind w:left="167"/>
              <w:spacing w:after="0" w:line="120" w:lineRule="exact"/>
              <w:rPr>
                <w:sz w:val="20"/>
                <w:szCs w:val="20"/>
                <w:color w:val="auto"/>
              </w:rPr>
            </w:pPr>
            <w:r>
              <w:rPr>
                <w:rFonts w:ascii="Arial" w:cs="Arial" w:eastAsia="Arial" w:hAnsi="Arial"/>
                <w:sz w:val="11"/>
                <w:szCs w:val="11"/>
                <w:b w:val="1"/>
                <w:bCs w:val="1"/>
                <w:color w:val="auto"/>
                <w:w w:val="89"/>
              </w:rPr>
              <w:t>Comprehensive</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105"/>
              <w:spacing w:after="0" w:line="120" w:lineRule="exact"/>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29"/>
        </w:trPr>
        <w:tc>
          <w:tcPr>
            <w:tcW w:w="980" w:type="dxa"/>
            <w:vAlign w:val="bottom"/>
          </w:tcPr>
          <w:p>
            <w:pPr>
              <w:jc w:val="right"/>
              <w:ind w:right="505"/>
              <w:spacing w:after="0"/>
              <w:rPr>
                <w:sz w:val="20"/>
                <w:szCs w:val="20"/>
                <w:color w:val="auto"/>
              </w:rPr>
            </w:pPr>
            <w:r>
              <w:rPr>
                <w:rFonts w:ascii="Arial" w:cs="Arial" w:eastAsia="Arial" w:hAnsi="Arial"/>
                <w:sz w:val="11"/>
                <w:szCs w:val="11"/>
                <w:b w:val="1"/>
                <w:bCs w:val="1"/>
                <w:color w:val="auto"/>
              </w:rPr>
              <w:t>Capital</w:t>
            </w:r>
          </w:p>
        </w:tc>
        <w:tc>
          <w:tcPr>
            <w:tcW w:w="1320" w:type="dxa"/>
            <w:vAlign w:val="bottom"/>
          </w:tcPr>
          <w:p>
            <w:pPr>
              <w:jc w:val="center"/>
              <w:ind w:left="187"/>
              <w:spacing w:after="0"/>
              <w:rPr>
                <w:sz w:val="20"/>
                <w:szCs w:val="20"/>
                <w:color w:val="auto"/>
              </w:rPr>
            </w:pPr>
            <w:r>
              <w:rPr>
                <w:rFonts w:ascii="Arial" w:cs="Arial" w:eastAsia="Arial" w:hAnsi="Arial"/>
                <w:sz w:val="11"/>
                <w:szCs w:val="11"/>
                <w:b w:val="1"/>
                <w:bCs w:val="1"/>
                <w:color w:val="auto"/>
                <w:w w:val="91"/>
              </w:rPr>
              <w:t>Income (Loss)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Deficit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08"/>
        </w:trPr>
        <w:tc>
          <w:tcPr>
            <w:tcW w:w="980" w:type="dxa"/>
            <w:vAlign w:val="bottom"/>
          </w:tcPr>
          <w:p>
            <w:pPr>
              <w:jc w:val="right"/>
              <w:ind w:right="125"/>
              <w:spacing w:after="0" w:line="100" w:lineRule="exact"/>
              <w:rPr>
                <w:sz w:val="20"/>
                <w:szCs w:val="20"/>
                <w:color w:val="auto"/>
              </w:rPr>
            </w:pPr>
            <w:r>
              <w:rPr>
                <w:rFonts w:ascii="Arial" w:cs="Arial" w:eastAsia="Arial" w:hAnsi="Arial"/>
                <w:sz w:val="11"/>
                <w:szCs w:val="11"/>
                <w:color w:val="auto"/>
              </w:rPr>
              <w:t>153,401</w:t>
            </w:r>
          </w:p>
        </w:tc>
        <w:tc>
          <w:tcPr>
            <w:tcW w:w="1320" w:type="dxa"/>
            <w:vAlign w:val="bottom"/>
            <w:tcBorders>
              <w:top w:val="single" w:sz="8" w:color="auto"/>
              <w:bottom w:val="single" w:sz="8" w:color="auto"/>
            </w:tcBorders>
          </w:tcPr>
          <w:p>
            <w:pPr>
              <w:jc w:val="right"/>
              <w:ind w:right="1207"/>
              <w:spacing w:after="0" w:line="100" w:lineRule="exact"/>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4</w:t>
            </w:r>
          </w:p>
        </w:tc>
        <w:tc>
          <w:tcPr>
            <w:tcW w:w="16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50"/>
              <w:spacing w:after="0" w:line="100" w:lineRule="exact"/>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(122,689)</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30,737</w:t>
            </w:r>
          </w:p>
        </w:tc>
        <w:tc>
          <w:tcPr>
            <w:tcW w:w="0" w:type="dxa"/>
            <w:vAlign w:val="bottom"/>
          </w:tcPr>
          <w:p>
            <w:pPr>
              <w:spacing w:after="0"/>
              <w:rPr>
                <w:sz w:val="1"/>
                <w:szCs w:val="1"/>
                <w:color w:val="auto"/>
              </w:rPr>
            </w:pPr>
          </w:p>
        </w:tc>
      </w:tr>
      <w:tr>
        <w:trPr>
          <w:trHeight w:val="96"/>
        </w:trPr>
        <w:tc>
          <w:tcPr>
            <w:tcW w:w="980" w:type="dxa"/>
            <w:vAlign w:val="bottom"/>
          </w:tcPr>
          <w:p>
            <w:pPr>
              <w:jc w:val="right"/>
              <w:ind w:right="125"/>
              <w:spacing w:after="0" w:line="96" w:lineRule="exact"/>
              <w:rPr>
                <w:sz w:val="20"/>
                <w:szCs w:val="20"/>
                <w:color w:val="auto"/>
              </w:rPr>
            </w:pPr>
            <w:r>
              <w:rPr>
                <w:rFonts w:ascii="Arial" w:cs="Arial" w:eastAsia="Arial" w:hAnsi="Arial"/>
                <w:sz w:val="11"/>
                <w:szCs w:val="11"/>
                <w:color w:val="auto"/>
              </w:rPr>
              <w:t>9</w:t>
            </w:r>
          </w:p>
        </w:tc>
        <w:tc>
          <w:tcPr>
            <w:tcW w:w="1320" w:type="dxa"/>
            <w:vAlign w:val="bottom"/>
          </w:tcPr>
          <w:p>
            <w:pPr>
              <w:spacing w:after="0"/>
              <w:rPr>
                <w:sz w:val="8"/>
                <w:szCs w:val="8"/>
                <w:color w:val="auto"/>
              </w:rPr>
            </w:pPr>
          </w:p>
        </w:tc>
        <w:tc>
          <w:tcPr>
            <w:tcW w:w="220" w:type="dxa"/>
            <w:vAlign w:val="bottom"/>
          </w:tcPr>
          <w:p>
            <w:pPr>
              <w:jc w:val="right"/>
              <w:spacing w:after="0" w:line="96"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jc w:val="right"/>
              <w:spacing w:after="0" w:line="96"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jc w:val="right"/>
              <w:spacing w:after="0" w:line="96" w:lineRule="exact"/>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11"/>
        </w:trPr>
        <w:tc>
          <w:tcPr>
            <w:tcW w:w="980" w:type="dxa"/>
            <w:vAlign w:val="bottom"/>
          </w:tcPr>
          <w:p>
            <w:pPr>
              <w:jc w:val="right"/>
              <w:ind w:right="125"/>
              <w:spacing w:after="0" w:line="111" w:lineRule="exact"/>
              <w:rPr>
                <w:sz w:val="20"/>
                <w:szCs w:val="20"/>
                <w:color w:val="auto"/>
              </w:rPr>
            </w:pPr>
            <w:r>
              <w:rPr>
                <w:rFonts w:ascii="Arial" w:cs="Arial" w:eastAsia="Arial" w:hAnsi="Arial"/>
                <w:sz w:val="11"/>
                <w:szCs w:val="11"/>
                <w:color w:val="auto"/>
              </w:rPr>
              <w:t>255</w:t>
            </w:r>
          </w:p>
        </w:tc>
        <w:tc>
          <w:tcPr>
            <w:tcW w:w="1320" w:type="dxa"/>
            <w:vAlign w:val="bottom"/>
          </w:tcPr>
          <w:p>
            <w:pPr>
              <w:spacing w:after="0"/>
              <w:rPr>
                <w:sz w:val="9"/>
                <w:szCs w:val="9"/>
                <w:color w:val="auto"/>
              </w:rPr>
            </w:pPr>
          </w:p>
        </w:tc>
        <w:tc>
          <w:tcPr>
            <w:tcW w:w="22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255</w:t>
            </w:r>
          </w:p>
        </w:tc>
        <w:tc>
          <w:tcPr>
            <w:tcW w:w="0" w:type="dxa"/>
            <w:vAlign w:val="bottom"/>
          </w:tcPr>
          <w:p>
            <w:pPr>
              <w:spacing w:after="0"/>
              <w:rPr>
                <w:sz w:val="1"/>
                <w:szCs w:val="1"/>
                <w:color w:val="auto"/>
              </w:rPr>
            </w:pPr>
          </w:p>
        </w:tc>
      </w:tr>
      <w:tr>
        <w:trPr>
          <w:trHeight w:val="111"/>
        </w:trPr>
        <w:tc>
          <w:tcPr>
            <w:tcW w:w="980" w:type="dxa"/>
            <w:vAlign w:val="bottom"/>
          </w:tcPr>
          <w:p>
            <w:pPr>
              <w:jc w:val="right"/>
              <w:ind w:right="125"/>
              <w:spacing w:after="0" w:line="111" w:lineRule="exact"/>
              <w:rPr>
                <w:sz w:val="20"/>
                <w:szCs w:val="20"/>
                <w:color w:val="auto"/>
              </w:rPr>
            </w:pPr>
            <w:r>
              <w:rPr>
                <w:rFonts w:ascii="Arial" w:cs="Arial" w:eastAsia="Arial" w:hAnsi="Arial"/>
                <w:sz w:val="11"/>
                <w:szCs w:val="11"/>
                <w:color w:val="auto"/>
              </w:rPr>
              <w:t>2,626</w:t>
            </w:r>
          </w:p>
        </w:tc>
        <w:tc>
          <w:tcPr>
            <w:tcW w:w="1320" w:type="dxa"/>
            <w:vAlign w:val="bottom"/>
          </w:tcPr>
          <w:p>
            <w:pPr>
              <w:spacing w:after="0"/>
              <w:rPr>
                <w:sz w:val="9"/>
                <w:szCs w:val="9"/>
                <w:color w:val="auto"/>
              </w:rPr>
            </w:pPr>
          </w:p>
        </w:tc>
        <w:tc>
          <w:tcPr>
            <w:tcW w:w="22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2,626</w:t>
            </w:r>
          </w:p>
        </w:tc>
        <w:tc>
          <w:tcPr>
            <w:tcW w:w="0" w:type="dxa"/>
            <w:vAlign w:val="bottom"/>
          </w:tcPr>
          <w:p>
            <w:pPr>
              <w:spacing w:after="0"/>
              <w:rPr>
                <w:sz w:val="1"/>
                <w:szCs w:val="1"/>
                <w:color w:val="auto"/>
              </w:rPr>
            </w:pPr>
          </w:p>
        </w:tc>
      </w:tr>
      <w:tr>
        <w:trPr>
          <w:trHeight w:val="111"/>
        </w:trPr>
        <w:tc>
          <w:tcPr>
            <w:tcW w:w="980" w:type="dxa"/>
            <w:vAlign w:val="bottom"/>
          </w:tcPr>
          <w:p>
            <w:pPr>
              <w:jc w:val="right"/>
              <w:ind w:right="105"/>
              <w:spacing w:after="0" w:line="111" w:lineRule="exact"/>
              <w:rPr>
                <w:sz w:val="20"/>
                <w:szCs w:val="20"/>
                <w:color w:val="auto"/>
              </w:rPr>
            </w:pPr>
            <w:r>
              <w:rPr>
                <w:rFonts w:ascii="Arial" w:cs="Arial" w:eastAsia="Arial" w:hAnsi="Arial"/>
                <w:sz w:val="11"/>
                <w:szCs w:val="11"/>
                <w:color w:val="auto"/>
              </w:rPr>
              <w:t>—</w:t>
            </w:r>
          </w:p>
        </w:tc>
        <w:tc>
          <w:tcPr>
            <w:tcW w:w="1320" w:type="dxa"/>
            <w:vAlign w:val="bottom"/>
          </w:tcPr>
          <w:p>
            <w:pPr>
              <w:spacing w:after="0"/>
              <w:rPr>
                <w:sz w:val="9"/>
                <w:szCs w:val="9"/>
                <w:color w:val="auto"/>
              </w:rPr>
            </w:pPr>
          </w:p>
        </w:tc>
        <w:tc>
          <w:tcPr>
            <w:tcW w:w="220" w:type="dxa"/>
            <w:vAlign w:val="bottom"/>
          </w:tcPr>
          <w:p>
            <w:pPr>
              <w:jc w:val="right"/>
              <w:spacing w:after="0" w:line="111" w:lineRule="exact"/>
              <w:rPr>
                <w:sz w:val="20"/>
                <w:szCs w:val="20"/>
                <w:color w:val="auto"/>
              </w:rPr>
            </w:pPr>
            <w:r>
              <w:rPr>
                <w:rFonts w:ascii="Arial" w:cs="Arial" w:eastAsia="Arial" w:hAnsi="Arial"/>
                <w:sz w:val="11"/>
                <w:szCs w:val="11"/>
                <w:color w:val="auto"/>
              </w:rPr>
              <w:t>13</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25"/>
        </w:trPr>
        <w:tc>
          <w:tcPr>
            <w:tcW w:w="980" w:type="dxa"/>
            <w:vAlign w:val="bottom"/>
          </w:tcPr>
          <w:p>
            <w:pPr>
              <w:jc w:val="right"/>
              <w:ind w:right="105"/>
              <w:spacing w:after="0" w:line="125" w:lineRule="exact"/>
              <w:rPr>
                <w:sz w:val="20"/>
                <w:szCs w:val="20"/>
                <w:color w:val="auto"/>
              </w:rPr>
            </w:pPr>
            <w:r>
              <w:rPr>
                <w:rFonts w:ascii="Arial" w:cs="Arial" w:eastAsia="Arial" w:hAnsi="Arial"/>
                <w:sz w:val="11"/>
                <w:szCs w:val="11"/>
                <w:color w:val="auto"/>
              </w:rPr>
              <w:t>—</w:t>
            </w:r>
          </w:p>
        </w:tc>
        <w:tc>
          <w:tcPr>
            <w:tcW w:w="1320" w:type="dxa"/>
            <w:vAlign w:val="bottom"/>
          </w:tcPr>
          <w:p>
            <w:pPr>
              <w:spacing w:after="0"/>
              <w:rPr>
                <w:sz w:val="10"/>
                <w:szCs w:val="10"/>
                <w:color w:val="auto"/>
              </w:rPr>
            </w:pPr>
          </w:p>
        </w:tc>
        <w:tc>
          <w:tcPr>
            <w:tcW w:w="2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(11,872)</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5" w:lineRule="exact"/>
              <w:rPr>
                <w:sz w:val="20"/>
                <w:szCs w:val="20"/>
                <w:color w:val="auto"/>
              </w:rPr>
            </w:pPr>
            <w:r>
              <w:rPr>
                <w:rFonts w:ascii="Arial" w:cs="Arial" w:eastAsia="Arial" w:hAnsi="Arial"/>
                <w:sz w:val="11"/>
                <w:szCs w:val="11"/>
                <w:color w:val="auto"/>
              </w:rPr>
              <w:t>(11,872)</w:t>
            </w:r>
          </w:p>
        </w:tc>
        <w:tc>
          <w:tcPr>
            <w:tcW w:w="0" w:type="dxa"/>
            <w:vAlign w:val="bottom"/>
          </w:tcPr>
          <w:p>
            <w:pPr>
              <w:spacing w:after="0"/>
              <w:rPr>
                <w:sz w:val="1"/>
                <w:szCs w:val="1"/>
                <w:color w:val="auto"/>
              </w:rPr>
            </w:pPr>
          </w:p>
        </w:tc>
      </w:tr>
      <w:tr>
        <w:trPr>
          <w:trHeight w:val="108"/>
        </w:trPr>
        <w:tc>
          <w:tcPr>
            <w:tcW w:w="980" w:type="dxa"/>
            <w:vAlign w:val="bottom"/>
          </w:tcPr>
          <w:p>
            <w:pPr>
              <w:jc w:val="right"/>
              <w:ind w:right="125"/>
              <w:spacing w:after="0" w:line="100" w:lineRule="exact"/>
              <w:rPr>
                <w:sz w:val="20"/>
                <w:szCs w:val="20"/>
                <w:color w:val="auto"/>
              </w:rPr>
            </w:pPr>
            <w:r>
              <w:rPr>
                <w:rFonts w:ascii="Arial" w:cs="Arial" w:eastAsia="Arial" w:hAnsi="Arial"/>
                <w:sz w:val="11"/>
                <w:szCs w:val="11"/>
                <w:color w:val="auto"/>
              </w:rPr>
              <w:t>156,291</w:t>
            </w:r>
          </w:p>
        </w:tc>
        <w:tc>
          <w:tcPr>
            <w:tcW w:w="1320" w:type="dxa"/>
            <w:vAlign w:val="bottom"/>
            <w:tcBorders>
              <w:top w:val="single" w:sz="8" w:color="auto"/>
              <w:bottom w:val="single" w:sz="8" w:color="auto"/>
            </w:tcBorders>
          </w:tcPr>
          <w:p>
            <w:pPr>
              <w:jc w:val="right"/>
              <w:ind w:right="1207"/>
              <w:spacing w:after="0" w:line="100" w:lineRule="exact"/>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17</w:t>
            </w:r>
          </w:p>
        </w:tc>
        <w:tc>
          <w:tcPr>
            <w:tcW w:w="16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50"/>
              <w:spacing w:after="0" w:line="100" w:lineRule="exact"/>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(134,561)</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21,768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-5080</wp:posOffset>
            </wp:positionV>
            <wp:extent cx="74422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4220" cy="571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-450215</wp:posOffset>
            </wp:positionV>
            <wp:extent cx="74422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280"/>
            <w:col w:w="5180"/>
          </w:cols>
          <w:pgMar w:left="300" w:top="118" w:right="299" w:bottom="1440" w:gutter="0" w:footer="0" w:header="0"/>
          <w:type w:val="continuous"/>
        </w:sectPr>
      </w:pP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See accompanying notes to the condensed consolidated financial statements.</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type w:val="continuous"/>
        </w:sectPr>
      </w:pPr>
    </w:p>
    <w:bookmarkStart w:id="6" w:name="page7"/>
    <w:bookmarkEnd w:id="6"/>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PULSE BIOSCIENCES, INC.</w:t>
      </w:r>
    </w:p>
    <w:p>
      <w:pPr>
        <w:jc w:val="center"/>
        <w:spacing w:after="0" w:line="233" w:lineRule="auto"/>
        <w:rPr>
          <w:sz w:val="20"/>
          <w:szCs w:val="20"/>
          <w:color w:val="auto"/>
        </w:rPr>
      </w:pPr>
      <w:r>
        <w:rPr>
          <w:rFonts w:ascii="Arial" w:cs="Arial" w:eastAsia="Arial" w:hAnsi="Arial"/>
          <w:sz w:val="12"/>
          <w:szCs w:val="12"/>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Description of the Business</w:t>
      </w:r>
    </w:p>
    <w:p>
      <w:pPr>
        <w:spacing w:after="0" w:line="12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Pulse Biosciences, Inc. (together with its subsidiaries, the Company) is a novel bioelectric medicine company committed to health innovation that has the potential to improve the lives of patients. The CellFX® System (CellFX) is the first commercial product to harness the distinctive advantages of the Company’s proprietary Nano-Pulse Stimulation™ (NPS) technology. The CellFX System delivers nano second duration pulses of electrical energy to non-thermally clear targeted cells while sparing adjacent non-cellular tissue, to treat a variety of applications for which an optimal solution remains unfulfilled.</w:t>
      </w:r>
    </w:p>
    <w:p>
      <w:pPr>
        <w:spacing w:after="0" w:line="10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In February 2021, the Company received 510(k) clearance from the United States (U.S.) Food and Drug Administration (FDA) for the CellFX System with initial clearance for a general dermatologic indication. Additionally, in January 2021, the Company received Conformité Européene (CE) marking approval for the CellFX System, which allows for marketing of the system in the European Union (EU) for treatment of general dermatologic conditions, including Sebaceous Hyperplasia (SH), Seborrheic Keratosis (SK), and cutaneous non-genital warts. The Company has commenced a controlled launch in both the U.S. and the EU with key opinion leaders (KOL) in dermatology (Note 9).</w:t>
      </w:r>
    </w:p>
    <w:p>
      <w:pPr>
        <w:spacing w:after="0" w:line="103"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The Company was incorporated in Nevada on May 19, 2014. On June 18, 2018, the Company reincorporated from the State of Nevada to the State of Delaware. The Company’s headquarters and manufacturing and research facility is located in Hayward, California.</w:t>
      </w:r>
    </w:p>
    <w:p>
      <w:pPr>
        <w:spacing w:after="0" w:line="9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The Company’s activities are subject to significant risks and uncertainties, including the need for additional capital. The Company has not yet commenced any revenue-generating operations, does not have any cash flows from operations, and will need to raise additional capital to finance its operations. However, there can be no assurances that the Company will be able to obtain additional financing on acceptable terms and in the amounts necessary to fully fund its operating requirements.</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1"/>
          <w:szCs w:val="11"/>
          <w:color w:val="auto"/>
        </w:rPr>
        <w:t>Pulse Biosciences, CellFX, CellFX CloudConnect, CellFX Marketplace, Nano-Pulse Stimulation, NPS, and the stylized logos are among the trademarks and/or registered trademarks of Pulse Biosciences, Inc. in the U.S.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and other countries.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COVID-19 Pandemic</w:t>
      </w:r>
    </w:p>
    <w:p>
      <w:pPr>
        <w:spacing w:after="0" w:line="120"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The Company is subject to risks and uncertainties as a result of the novel coronavirus pandemic (COVID-19). The extent of the impact of the COVID-19 pandemic on the Company’s business is highly uncertain and difficult to predict, as the response to the pandemic continues to evolve. The Company considered the impact of COVID-19 on the assumptions and estimates used to determine the results reported and asset valuations as of March 31, 2021.</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120"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The accompanying unaudited condensed consolidated financial statements have been prepared on a basis consistent with the Company’s December 31, 2020 audited Consolidated Financial Statements and include all adjustments, consisting of only normal recurring adjustments, necessary to fairly state the information set forth herein. The condensed consolidated financial statements have been prepared in accordance with the applicable rules and regulations of the Securities and Exchange Commission (SEC) and, as permitted by such rules and regulations, omit certain information and footnote disclosures necessary to present the financial statements in accordance with accounting principles generally accepted in the United States (U.S. GAAP). The condensed consolidated balance sheet as of December 31, 2020 was derived from the audited consolidated financial statements as of that date but does not include all of the information and footnotes required by U.S. GAAP for complete financial statements. These condensed consolidated financial statements should be read in conjunction with the audited consolidated financial statements and notes thereto included in the Company’s Annual Report on Form 10-K for the year ended December 31, 2020. The results of operations for the three-month periods ended March 31, 2021 are not necessarily indicative of the results to be expected for the entire year or any future periods.</w:t>
      </w:r>
    </w:p>
    <w:p>
      <w:pPr>
        <w:spacing w:after="0" w:line="103"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Certain prior period balances have been reclassified to conform to the current period presentation in the consolidated financial statements and the accompanying notes. Sales and marketing expenses are reclassified out of general and administrative expenses and presented as a separate line item. Amortization of intangible assets are reclassified to general and administrative expenses.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7" w:name="page8"/>
    <w:bookmarkEnd w:id="7"/>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Principles of Consolidation</w:t>
      </w:r>
    </w:p>
    <w:p>
      <w:pPr>
        <w:spacing w:after="0" w:line="120"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The accompanying condensed consolidated financial statements include the financial statements of Pulse Biosciences, Inc. and its wholly-owned subsidiaries. Intercompany balances and transactions, if any, have been eliminated in consolidation.</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preparation of financial statements in conformity with U.S. GAAP requires the Company to make estimates and assumptions that affect the amounts reported in the Financial Statements and accompanying notes to the condensed consolidated financial statements. Estimates include, but are not limited to, the valuation of cash equivalents and investments, the valuation and recognition of share-based compensation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Significant Accounting Policies</w:t>
      </w:r>
    </w:p>
    <w:p>
      <w:pPr>
        <w:spacing w:after="0" w:line="120"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The Company’s significant accounting policies are described in the Company’s Annual Report on Form 10-K for the year ended December 31, 2020. The Company continually evaluates the accounting policies and estimates used in preparing the consolidated financial statements. During the three-month period ended March 31, 2021, the Company received 510(k) clearance and CE marking approval for the CellFX System and began to capitalize inventory in preparation of commercialization.</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2"/>
          <w:szCs w:val="12"/>
          <w:i w:val="1"/>
          <w:iCs w:val="1"/>
          <w:color w:val="auto"/>
        </w:rPr>
        <w:t>Valuation of Inventory</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Inventory is stated at lower of cost or net realizable value. The Company establishes the inventory basis by determining the cost based on standard costs approximating the purchase costs on a first-in, first-out basis. Net realizable value is the estimated selling price in the ordinary course of the Company’s business, less reasonably predictable costs of completion, disposal, and transportation. The cost basis of the Company’s inventory will be reduced for any products that are considered excessive or obsolete based upon assumptions about future demand and market conditions. At March 31, 2021 there is no reduction to the balance of inventory for excessive and obsolete inventory.</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Loss per Share</w:t>
      </w:r>
    </w:p>
    <w:p>
      <w:pPr>
        <w:spacing w:after="0" w:line="120"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2"/>
          <w:szCs w:val="12"/>
          <w:color w:val="auto"/>
        </w:rPr>
        <w:t>Basic and diluted net loss per common share is the same for all periods presented because all warrants, stock options and restricted stock units outstanding are anti-dilutive.</w:t>
      </w:r>
    </w:p>
    <w:p>
      <w:pPr>
        <w:spacing w:after="0" w:line="120"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The following outstanding stock options, warrants and restricted stock units were excluded from the computation of diluted net loss per share for the periods presented because including them would have had an anti-dilutive effect:</w:t>
      </w:r>
    </w:p>
    <w:p>
      <w:pPr>
        <w:spacing w:after="0" w:line="122" w:lineRule="exact"/>
        <w:rPr>
          <w:sz w:val="20"/>
          <w:szCs w:val="20"/>
          <w:color w:val="auto"/>
        </w:rPr>
      </w:pPr>
    </w:p>
    <w:p>
      <w:pPr>
        <w:jc w:val="center"/>
        <w:ind w:left="8180"/>
        <w:spacing w:after="0"/>
        <w:rPr>
          <w:sz w:val="20"/>
          <w:szCs w:val="20"/>
          <w:color w:val="auto"/>
        </w:rPr>
      </w:pPr>
      <w:r>
        <w:rPr>
          <w:rFonts w:ascii="Arial" w:cs="Arial" w:eastAsia="Arial" w:hAnsi="Arial"/>
          <w:sz w:val="10"/>
          <w:szCs w:val="10"/>
          <w:b w:val="1"/>
          <w:bCs w:val="1"/>
          <w:color w:val="auto"/>
        </w:rPr>
        <w:t>Three-Month Periods Ended</w:t>
      </w:r>
    </w:p>
    <w:p>
      <w:pPr>
        <w:jc w:val="center"/>
        <w:ind w:left="8180"/>
        <w:spacing w:after="0" w:line="221" w:lineRule="auto"/>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1"/>
        </w:trPr>
        <w:tc>
          <w:tcPr>
            <w:tcW w:w="8180" w:type="dxa"/>
            <w:vAlign w:val="bottom"/>
            <w:tcBorders>
              <w:bottom w:val="single" w:sz="8" w:color="CCEEFF"/>
            </w:tcBorders>
          </w:tcPr>
          <w:p>
            <w:pPr>
              <w:spacing w:after="0"/>
              <w:rPr>
                <w:sz w:val="7"/>
                <w:szCs w:val="7"/>
                <w:color w:val="auto"/>
              </w:rPr>
            </w:pPr>
          </w:p>
        </w:tc>
        <w:tc>
          <w:tcPr>
            <w:tcW w:w="880" w:type="dxa"/>
            <w:vAlign w:val="bottom"/>
            <w:tcBorders>
              <w:top w:val="single" w:sz="8" w:color="auto"/>
              <w:bottom w:val="single" w:sz="8" w:color="auto"/>
            </w:tcBorders>
          </w:tcPr>
          <w:p>
            <w:pPr>
              <w:jc w:val="right"/>
              <w:ind w:right="11"/>
              <w:spacing w:after="0" w:line="91" w:lineRule="exact"/>
              <w:rPr>
                <w:sz w:val="20"/>
                <w:szCs w:val="20"/>
                <w:color w:val="auto"/>
              </w:rPr>
            </w:pPr>
            <w:r>
              <w:rPr>
                <w:rFonts w:ascii="Arial" w:cs="Arial" w:eastAsia="Arial" w:hAnsi="Arial"/>
                <w:sz w:val="10"/>
                <w:szCs w:val="10"/>
                <w:b w:val="1"/>
                <w:bCs w:val="1"/>
                <w:color w:val="auto"/>
              </w:rPr>
              <w:t>2021</w:t>
            </w:r>
          </w:p>
        </w:tc>
        <w:tc>
          <w:tcPr>
            <w:tcW w:w="580" w:type="dxa"/>
            <w:vAlign w:val="bottom"/>
            <w:tcBorders>
              <w:top w:val="single" w:sz="8" w:color="auto"/>
              <w:bottom w:val="single" w:sz="8" w:color="auto"/>
            </w:tcBorders>
          </w:tcPr>
          <w:p>
            <w:pPr>
              <w:spacing w:after="0"/>
              <w:rPr>
                <w:sz w:val="7"/>
                <w:szCs w:val="7"/>
                <w:color w:val="auto"/>
              </w:rPr>
            </w:pPr>
          </w:p>
        </w:tc>
        <w:tc>
          <w:tcPr>
            <w:tcW w:w="180" w:type="dxa"/>
            <w:vAlign w:val="bottom"/>
            <w:tcBorders>
              <w:top w:val="single" w:sz="8" w:color="auto"/>
              <w:bottom w:val="single" w:sz="8" w:color="CCEEFF"/>
            </w:tcBorders>
          </w:tcPr>
          <w:p>
            <w:pPr>
              <w:spacing w:after="0"/>
              <w:rPr>
                <w:sz w:val="7"/>
                <w:szCs w:val="7"/>
                <w:color w:val="auto"/>
              </w:rPr>
            </w:pPr>
          </w:p>
        </w:tc>
        <w:tc>
          <w:tcPr>
            <w:tcW w:w="1480" w:type="dxa"/>
            <w:vAlign w:val="bottom"/>
            <w:tcBorders>
              <w:top w:val="single" w:sz="8" w:color="auto"/>
              <w:bottom w:val="single" w:sz="8" w:color="auto"/>
            </w:tcBorders>
          </w:tcPr>
          <w:p>
            <w:pPr>
              <w:jc w:val="right"/>
              <w:ind w:right="581"/>
              <w:spacing w:after="0" w:line="91" w:lineRule="exact"/>
              <w:rPr>
                <w:sz w:val="20"/>
                <w:szCs w:val="20"/>
                <w:color w:val="auto"/>
              </w:rPr>
            </w:pPr>
            <w:r>
              <w:rPr>
                <w:rFonts w:ascii="Arial" w:cs="Arial" w:eastAsia="Arial" w:hAnsi="Arial"/>
                <w:sz w:val="10"/>
                <w:szCs w:val="10"/>
                <w:b w:val="1"/>
                <w:bCs w:val="1"/>
                <w:color w:val="auto"/>
              </w:rPr>
              <w:t>2020</w:t>
            </w:r>
          </w:p>
        </w:tc>
      </w:tr>
      <w:tr>
        <w:trPr>
          <w:trHeight w:val="118"/>
        </w:trPr>
        <w:tc>
          <w:tcPr>
            <w:tcW w:w="81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Common stock warrants</w:t>
            </w:r>
          </w:p>
        </w:tc>
        <w:tc>
          <w:tcPr>
            <w:tcW w:w="8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600</w:t>
            </w:r>
          </w:p>
        </w:tc>
        <w:tc>
          <w:tcPr>
            <w:tcW w:w="18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167,847</w:t>
            </w:r>
          </w:p>
        </w:tc>
      </w:tr>
      <w:tr>
        <w:trPr>
          <w:trHeight w:val="129"/>
        </w:trPr>
        <w:tc>
          <w:tcPr>
            <w:tcW w:w="9060" w:type="dxa"/>
            <w:vAlign w:val="bottom"/>
            <w:gridSpan w:val="2"/>
          </w:tcPr>
          <w:p>
            <w:pPr>
              <w:spacing w:after="0" w:line="129" w:lineRule="exact"/>
              <w:rPr>
                <w:sz w:val="20"/>
                <w:szCs w:val="20"/>
                <w:color w:val="auto"/>
              </w:rPr>
            </w:pPr>
            <w:r>
              <w:rPr>
                <w:rFonts w:ascii="Arial" w:cs="Arial" w:eastAsia="Arial" w:hAnsi="Arial"/>
                <w:sz w:val="12"/>
                <w:szCs w:val="12"/>
                <w:color w:val="auto"/>
              </w:rPr>
              <w:t>Common stock options</w:t>
            </w: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w w:val="97"/>
              </w:rPr>
              <w:t>5,476,636</w:t>
            </w:r>
          </w:p>
        </w:tc>
        <w:tc>
          <w:tcPr>
            <w:tcW w:w="180" w:type="dxa"/>
            <w:vAlign w:val="bottom"/>
          </w:tcPr>
          <w:p>
            <w:pPr>
              <w:spacing w:after="0"/>
              <w:rPr>
                <w:sz w:val="11"/>
                <w:szCs w:val="11"/>
                <w:color w:val="auto"/>
              </w:rPr>
            </w:pPr>
          </w:p>
        </w:tc>
        <w:tc>
          <w:tcPr>
            <w:tcW w:w="1480" w:type="dxa"/>
            <w:vAlign w:val="bottom"/>
          </w:tcPr>
          <w:p>
            <w:pPr>
              <w:jc w:val="right"/>
              <w:spacing w:after="0" w:line="129" w:lineRule="exact"/>
              <w:rPr>
                <w:sz w:val="20"/>
                <w:szCs w:val="20"/>
                <w:color w:val="auto"/>
              </w:rPr>
            </w:pPr>
            <w:r>
              <w:rPr>
                <w:rFonts w:ascii="Arial" w:cs="Arial" w:eastAsia="Arial" w:hAnsi="Arial"/>
                <w:sz w:val="12"/>
                <w:szCs w:val="12"/>
                <w:color w:val="auto"/>
              </w:rPr>
              <w:t>3,891,607</w:t>
            </w:r>
          </w:p>
        </w:tc>
      </w:tr>
      <w:tr>
        <w:trPr>
          <w:trHeight w:val="129"/>
        </w:trPr>
        <w:tc>
          <w:tcPr>
            <w:tcW w:w="906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Restricted stock units</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111,305</w:t>
            </w:r>
          </w:p>
        </w:tc>
        <w:tc>
          <w:tcPr>
            <w:tcW w:w="18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222,606</w:t>
            </w:r>
          </w:p>
        </w:tc>
      </w:tr>
      <w:tr>
        <w:trPr>
          <w:trHeight w:val="126"/>
        </w:trPr>
        <w:tc>
          <w:tcPr>
            <w:tcW w:w="8180" w:type="dxa"/>
            <w:vAlign w:val="bottom"/>
          </w:tcPr>
          <w:p>
            <w:pPr>
              <w:ind w:left="140"/>
              <w:spacing w:after="0" w:line="118" w:lineRule="exact"/>
              <w:rPr>
                <w:sz w:val="20"/>
                <w:szCs w:val="20"/>
                <w:color w:val="auto"/>
              </w:rPr>
            </w:pPr>
            <w:r>
              <w:rPr>
                <w:rFonts w:ascii="Arial" w:cs="Arial" w:eastAsia="Arial" w:hAnsi="Arial"/>
                <w:sz w:val="12"/>
                <w:szCs w:val="12"/>
                <w:color w:val="auto"/>
              </w:rPr>
              <w:t>Total</w:t>
            </w:r>
          </w:p>
        </w:tc>
        <w:tc>
          <w:tcPr>
            <w:tcW w:w="88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2"/>
                <w:szCs w:val="12"/>
                <w:color w:val="auto"/>
                <w:w w:val="97"/>
              </w:rPr>
              <w:t>5,588,541</w:t>
            </w:r>
          </w:p>
        </w:tc>
        <w:tc>
          <w:tcPr>
            <w:tcW w:w="180" w:type="dxa"/>
            <w:vAlign w:val="bottom"/>
          </w:tcPr>
          <w:p>
            <w:pPr>
              <w:spacing w:after="0"/>
              <w:rPr>
                <w:sz w:val="10"/>
                <w:szCs w:val="10"/>
                <w:color w:val="auto"/>
              </w:rPr>
            </w:pPr>
          </w:p>
        </w:tc>
        <w:tc>
          <w:tcPr>
            <w:tcW w:w="148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4,282,060</w:t>
            </w:r>
          </w:p>
        </w:tc>
      </w:tr>
      <w:tr>
        <w:trPr>
          <w:trHeight w:val="534"/>
        </w:trPr>
        <w:tc>
          <w:tcPr>
            <w:tcW w:w="8180" w:type="dxa"/>
            <w:vAlign w:val="bottom"/>
          </w:tcPr>
          <w:p>
            <w:pPr>
              <w:ind w:left="5620"/>
              <w:spacing w:after="0"/>
              <w:rPr>
                <w:sz w:val="20"/>
                <w:szCs w:val="20"/>
                <w:color w:val="auto"/>
              </w:rPr>
            </w:pPr>
            <w:r>
              <w:rPr>
                <w:rFonts w:ascii="Arial" w:cs="Arial" w:eastAsia="Arial" w:hAnsi="Arial"/>
                <w:sz w:val="12"/>
                <w:szCs w:val="12"/>
                <w:color w:val="auto"/>
              </w:rPr>
              <w:t>8</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3"/>
        </w:trPr>
        <w:tc>
          <w:tcPr>
            <w:tcW w:w="81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-23495</wp:posOffset>
            </wp:positionV>
            <wp:extent cx="311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-23495</wp:posOffset>
            </wp:positionV>
            <wp:extent cx="311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8" w:name="page9"/>
    <w:bookmarkEnd w:id="8"/>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Recent Accounting Pronouncement</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 xml:space="preserve">In December 2019, the Financial Accounting Standards Board (FASB) issued Accounting Standards Update (ASU) 2019-12, </w:t>
      </w:r>
      <w:r>
        <w:rPr>
          <w:rFonts w:ascii="Arial" w:cs="Arial" w:eastAsia="Arial" w:hAnsi="Arial"/>
          <w:sz w:val="12"/>
          <w:szCs w:val="12"/>
          <w:i w:val="1"/>
          <w:iCs w:val="1"/>
          <w:color w:val="auto"/>
        </w:rPr>
        <w:t>Income Taxes (Topic 740): Simplifying the Accounting for Income Taxes</w:t>
      </w:r>
      <w:r>
        <w:rPr>
          <w:rFonts w:ascii="Arial" w:cs="Arial" w:eastAsia="Arial" w:hAnsi="Arial"/>
          <w:sz w:val="12"/>
          <w:szCs w:val="12"/>
          <w:color w:val="auto"/>
        </w:rPr>
        <w:t>, which eliminates certain exceptions related to the general principles in Accounting Standards Codification (ASC) 740 and makes amendments to other areas with the intention of simplifying various aspects related to accounting for income taxes. The new standard is effective for fiscal years beginning after December 15, 2020, including interim periods therein; with early adoption permitted. The Company adopted the Topic 740 effective January 1, 2021. The adoption did not have a material impact on the Company’s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Fair Value of Financial Instruments</w:t>
      </w:r>
    </w:p>
    <w:p>
      <w:pPr>
        <w:spacing w:after="0" w:line="115" w:lineRule="exact"/>
        <w:rPr>
          <w:sz w:val="20"/>
          <w:szCs w:val="20"/>
          <w:color w:val="auto"/>
        </w:rPr>
      </w:pPr>
    </w:p>
    <w:p>
      <w:pPr>
        <w:jc w:val="both"/>
        <w:ind w:right="20" w:firstLine="274"/>
        <w:spacing w:after="0" w:line="255" w:lineRule="auto"/>
        <w:rPr>
          <w:sz w:val="20"/>
          <w:szCs w:val="20"/>
          <w:color w:val="auto"/>
        </w:rPr>
      </w:pPr>
      <w:r>
        <w:rPr>
          <w:rFonts w:ascii="Arial" w:cs="Arial" w:eastAsia="Arial" w:hAnsi="Arial"/>
          <w:sz w:val="12"/>
          <w:szCs w:val="12"/>
          <w:color w:val="auto"/>
        </w:rPr>
        <w:t>The authoritative guidance with respect to fair value established a fair value hierarchy that prioritizes the inputs to valuation techniques used to measure fair value into three levels, and requires that assets and liabilities carried at fair value be classified and disclosed in one of three categories, as presented below.</w:t>
      </w:r>
    </w:p>
    <w:p>
      <w:pPr>
        <w:spacing w:after="0" w:line="9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Level 1 - Observable inputs such as quoted prices in active markets for an identical asset or liability that the Company has the ability to access as of the measurement date. Financial assets and liabilities utilizing Level 1 inputs include money market funds.</w:t>
      </w:r>
    </w:p>
    <w:p>
      <w:pPr>
        <w:spacing w:after="0" w:line="85"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Level 2 - Inputs, other than quoted prices included within Level 1, which are directly observable for the asset or liability or indirectly observable through corroboration with observable market data. Financial assets and liabilities utilizing Level 2 inputs include commercial paper, corporate bonds, U.S. Treasury Securities, and asset-backed securities.</w:t>
      </w:r>
    </w:p>
    <w:p>
      <w:pPr>
        <w:spacing w:after="0" w:line="85"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Level 3 - Unobservable inputs for which there is little or no market data for the asset or liability which requires the reporting entity to develop its own assumptions. The Company did not classify any of its investments within Level 3 of the fair value hierarchy.</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following table sets forth the fair value of the Company’s financial assets measured on a recurring basis as of March 31, 2021 and December 31, 2020, respectively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Assets</w:t>
            </w:r>
          </w:p>
        </w:tc>
        <w:tc>
          <w:tcPr>
            <w:tcW w:w="1240" w:type="dxa"/>
            <w:vAlign w:val="bottom"/>
            <w:gridSpan w:val="2"/>
            <w:vMerge w:val="restart"/>
          </w:tcPr>
          <w:p>
            <w:pPr>
              <w:jc w:val="center"/>
              <w:ind w:right="60"/>
              <w:spacing w:after="0"/>
              <w:rPr>
                <w:sz w:val="20"/>
                <w:szCs w:val="20"/>
                <w:color w:val="auto"/>
              </w:rPr>
            </w:pPr>
            <w:r>
              <w:rPr>
                <w:rFonts w:ascii="Arial" w:cs="Arial" w:eastAsia="Arial" w:hAnsi="Arial"/>
                <w:sz w:val="10"/>
                <w:szCs w:val="10"/>
                <w:b w:val="1"/>
                <w:bCs w:val="1"/>
                <w:color w:val="auto"/>
                <w:w w:val="89"/>
              </w:rPr>
              <w:t>Classification</w:t>
            </w: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0"/>
                <w:szCs w:val="10"/>
                <w:b w:val="1"/>
                <w:bCs w:val="1"/>
                <w:color w:val="auto"/>
              </w:rPr>
              <w:t>March 31, 2021</w:t>
            </w:r>
          </w:p>
        </w:tc>
        <w:tc>
          <w:tcPr>
            <w:tcW w:w="5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0"/>
                <w:szCs w:val="10"/>
                <w:b w:val="1"/>
                <w:bCs w:val="1"/>
                <w:color w:val="auto"/>
              </w:rPr>
              <w:t>December 31, 2020</w:t>
            </w: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8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gridSpan w:val="2"/>
          </w:tcPr>
          <w:p>
            <w:pPr>
              <w:ind w:left="180"/>
              <w:spacing w:after="0" w:line="91" w:lineRule="exact"/>
              <w:rPr>
                <w:sz w:val="20"/>
                <w:szCs w:val="20"/>
                <w:color w:val="auto"/>
              </w:rPr>
            </w:pPr>
            <w:r>
              <w:rPr>
                <w:rFonts w:ascii="Arial" w:cs="Arial" w:eastAsia="Arial" w:hAnsi="Arial"/>
                <w:sz w:val="10"/>
                <w:szCs w:val="10"/>
                <w:b w:val="1"/>
                <w:bCs w:val="1"/>
                <w:color w:val="auto"/>
              </w:rPr>
              <w:t>Level 1</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tcPr>
          <w:p>
            <w:pPr>
              <w:ind w:left="240"/>
              <w:spacing w:after="0" w:line="91" w:lineRule="exact"/>
              <w:rPr>
                <w:sz w:val="20"/>
                <w:szCs w:val="20"/>
                <w:color w:val="auto"/>
              </w:rPr>
            </w:pPr>
            <w:r>
              <w:rPr>
                <w:rFonts w:ascii="Arial" w:cs="Arial" w:eastAsia="Arial" w:hAnsi="Arial"/>
                <w:sz w:val="10"/>
                <w:szCs w:val="10"/>
                <w:b w:val="1"/>
                <w:bCs w:val="1"/>
                <w:color w:val="auto"/>
              </w:rPr>
              <w:t>Level 2</w:t>
            </w:r>
          </w:p>
        </w:tc>
        <w:tc>
          <w:tcPr>
            <w:tcW w:w="300" w:type="dxa"/>
            <w:vAlign w:val="bottom"/>
          </w:tcPr>
          <w:p>
            <w:pPr>
              <w:spacing w:after="0"/>
              <w:rPr>
                <w:sz w:val="7"/>
                <w:szCs w:val="7"/>
                <w:color w:val="auto"/>
              </w:rPr>
            </w:pPr>
          </w:p>
        </w:tc>
        <w:tc>
          <w:tcPr>
            <w:tcW w:w="560" w:type="dxa"/>
            <w:vAlign w:val="bottom"/>
          </w:tcPr>
          <w:p>
            <w:pPr>
              <w:ind w:left="40"/>
              <w:spacing w:after="0" w:line="91" w:lineRule="exact"/>
              <w:rPr>
                <w:sz w:val="20"/>
                <w:szCs w:val="20"/>
                <w:color w:val="auto"/>
              </w:rPr>
            </w:pPr>
            <w:r>
              <w:rPr>
                <w:rFonts w:ascii="Arial" w:cs="Arial" w:eastAsia="Arial" w:hAnsi="Arial"/>
                <w:sz w:val="10"/>
                <w:szCs w:val="10"/>
                <w:b w:val="1"/>
                <w:bCs w:val="1"/>
                <w:color w:val="auto"/>
              </w:rPr>
              <w:t>Level 3</w:t>
            </w: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gridSpan w:val="2"/>
          </w:tcPr>
          <w:p>
            <w:pPr>
              <w:ind w:left="200"/>
              <w:spacing w:after="0" w:line="91" w:lineRule="exact"/>
              <w:rPr>
                <w:sz w:val="20"/>
                <w:szCs w:val="20"/>
                <w:color w:val="auto"/>
              </w:rPr>
            </w:pPr>
            <w:r>
              <w:rPr>
                <w:rFonts w:ascii="Arial" w:cs="Arial" w:eastAsia="Arial" w:hAnsi="Arial"/>
                <w:sz w:val="10"/>
                <w:szCs w:val="10"/>
                <w:b w:val="1"/>
                <w:bCs w:val="1"/>
                <w:color w:val="auto"/>
              </w:rPr>
              <w:t>Level 1</w:t>
            </w:r>
          </w:p>
        </w:tc>
        <w:tc>
          <w:tcPr>
            <w:tcW w:w="220" w:type="dxa"/>
            <w:vAlign w:val="bottom"/>
          </w:tcPr>
          <w:p>
            <w:pPr>
              <w:spacing w:after="0"/>
              <w:rPr>
                <w:sz w:val="7"/>
                <w:szCs w:val="7"/>
                <w:color w:val="auto"/>
              </w:rPr>
            </w:pPr>
          </w:p>
        </w:tc>
        <w:tc>
          <w:tcPr>
            <w:tcW w:w="720" w:type="dxa"/>
            <w:vAlign w:val="bottom"/>
          </w:tcPr>
          <w:p>
            <w:pPr>
              <w:jc w:val="right"/>
              <w:ind w:right="191"/>
              <w:spacing w:after="0" w:line="91" w:lineRule="exact"/>
              <w:rPr>
                <w:sz w:val="20"/>
                <w:szCs w:val="20"/>
                <w:color w:val="auto"/>
              </w:rPr>
            </w:pPr>
            <w:r>
              <w:rPr>
                <w:rFonts w:ascii="Arial" w:cs="Arial" w:eastAsia="Arial" w:hAnsi="Arial"/>
                <w:sz w:val="10"/>
                <w:szCs w:val="10"/>
                <w:b w:val="1"/>
                <w:bCs w:val="1"/>
                <w:color w:val="auto"/>
              </w:rPr>
              <w:t>Level 2</w:t>
            </w:r>
          </w:p>
        </w:tc>
        <w:tc>
          <w:tcPr>
            <w:tcW w:w="60" w:type="dxa"/>
            <w:vAlign w:val="bottom"/>
          </w:tcPr>
          <w:p>
            <w:pPr>
              <w:spacing w:after="0"/>
              <w:rPr>
                <w:sz w:val="7"/>
                <w:szCs w:val="7"/>
                <w:color w:val="auto"/>
              </w:rPr>
            </w:pPr>
          </w:p>
        </w:tc>
        <w:tc>
          <w:tcPr>
            <w:tcW w:w="780" w:type="dxa"/>
            <w:vAlign w:val="bottom"/>
          </w:tcPr>
          <w:p>
            <w:pPr>
              <w:jc w:val="right"/>
              <w:ind w:right="11"/>
              <w:spacing w:after="0" w:line="91" w:lineRule="exact"/>
              <w:rPr>
                <w:sz w:val="20"/>
                <w:szCs w:val="20"/>
                <w:color w:val="auto"/>
              </w:rPr>
            </w:pPr>
            <w:r>
              <w:rPr>
                <w:rFonts w:ascii="Arial" w:cs="Arial" w:eastAsia="Arial" w:hAnsi="Arial"/>
                <w:sz w:val="10"/>
                <w:szCs w:val="10"/>
                <w:b w:val="1"/>
                <w:bCs w:val="1"/>
                <w:color w:val="auto"/>
              </w:rPr>
              <w:t>Level 3</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jc w:val="right"/>
              <w:ind w:right="251"/>
              <w:spacing w:after="0" w:line="91"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91"/>
        </w:trPr>
        <w:tc>
          <w:tcPr>
            <w:tcW w:w="2020" w:type="dxa"/>
            <w:vAlign w:val="bottom"/>
            <w:tcBorders>
              <w:top w:val="single" w:sz="8" w:color="auto"/>
            </w:tcBorders>
            <w:shd w:val="clear" w:color="auto" w:fill="CCEEFF"/>
          </w:tcPr>
          <w:p>
            <w:pPr>
              <w:spacing w:after="0" w:line="91" w:lineRule="exact"/>
              <w:rPr>
                <w:sz w:val="20"/>
                <w:szCs w:val="20"/>
                <w:color w:val="auto"/>
              </w:rPr>
            </w:pPr>
            <w:r>
              <w:rPr>
                <w:rFonts w:ascii="Arial" w:cs="Arial" w:eastAsia="Arial" w:hAnsi="Arial"/>
                <w:sz w:val="10"/>
                <w:szCs w:val="10"/>
                <w:color w:val="auto"/>
              </w:rPr>
              <w:t>Money market funds</w:t>
            </w:r>
          </w:p>
        </w:tc>
        <w:tc>
          <w:tcPr>
            <w:tcW w:w="60" w:type="dxa"/>
            <w:vAlign w:val="bottom"/>
            <w:tcBorders>
              <w:top w:val="single" w:sz="8" w:color="CCEEFF"/>
            </w:tcBorders>
            <w:shd w:val="clear" w:color="auto" w:fill="CCEEFF"/>
          </w:tcPr>
          <w:p>
            <w:pPr>
              <w:spacing w:after="0"/>
              <w:rPr>
                <w:sz w:val="7"/>
                <w:szCs w:val="7"/>
                <w:color w:val="auto"/>
              </w:rPr>
            </w:pPr>
          </w:p>
        </w:tc>
        <w:tc>
          <w:tcPr>
            <w:tcW w:w="1180" w:type="dxa"/>
            <w:vAlign w:val="bottom"/>
            <w:tcBorders>
              <w:top w:val="single" w:sz="8" w:color="auto"/>
            </w:tcBorders>
            <w:shd w:val="clear" w:color="auto" w:fill="CCEEFF"/>
          </w:tcPr>
          <w:p>
            <w:pPr>
              <w:jc w:val="center"/>
              <w:spacing w:after="0" w:line="91" w:lineRule="exact"/>
              <w:rPr>
                <w:sz w:val="20"/>
                <w:szCs w:val="20"/>
                <w:color w:val="auto"/>
              </w:rPr>
            </w:pPr>
            <w:r>
              <w:rPr>
                <w:rFonts w:ascii="Arial" w:cs="Arial" w:eastAsia="Arial" w:hAnsi="Arial"/>
                <w:sz w:val="10"/>
                <w:szCs w:val="10"/>
                <w:color w:val="auto"/>
                <w:w w:val="86"/>
              </w:rPr>
              <w:t>Cash and cash equivalents</w:t>
            </w:r>
          </w:p>
        </w:tc>
        <w:tc>
          <w:tcPr>
            <w:tcW w:w="6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jc w:val="right"/>
              <w:ind w:right="131"/>
              <w:spacing w:after="0" w:line="91"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56,694</w:t>
            </w:r>
          </w:p>
        </w:tc>
        <w:tc>
          <w:tcPr>
            <w:tcW w:w="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gridSpan w:val="2"/>
            <w:shd w:val="clear" w:color="auto" w:fill="CCEEFF"/>
          </w:tcPr>
          <w:p>
            <w:pPr>
              <w:jc w:val="right"/>
              <w:ind w:right="55"/>
              <w:spacing w:after="0" w:line="91" w:lineRule="exact"/>
              <w:rPr>
                <w:sz w:val="20"/>
                <w:szCs w:val="20"/>
                <w:color w:val="auto"/>
              </w:rPr>
            </w:pPr>
            <w:r>
              <w:rPr>
                <w:rFonts w:ascii="Arial" w:cs="Arial" w:eastAsia="Arial" w:hAnsi="Arial"/>
                <w:sz w:val="10"/>
                <w:szCs w:val="10"/>
                <w:color w:val="auto"/>
              </w:rPr>
              <w:t>$</w:t>
            </w:r>
          </w:p>
        </w:tc>
        <w:tc>
          <w:tcPr>
            <w:tcW w:w="800" w:type="dxa"/>
            <w:vAlign w:val="bottom"/>
            <w:tcBorders>
              <w:top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ind w:right="235"/>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tcBorders>
            <w:shd w:val="clear" w:color="auto" w:fill="CCEEFF"/>
          </w:tcPr>
          <w:p>
            <w:pPr>
              <w:ind w:left="460"/>
              <w:spacing w:after="0" w:line="91" w:lineRule="exact"/>
              <w:rPr>
                <w:sz w:val="20"/>
                <w:szCs w:val="20"/>
                <w:color w:val="auto"/>
              </w:rPr>
            </w:pPr>
            <w:r>
              <w:rPr>
                <w:rFonts w:ascii="Arial" w:cs="Arial" w:eastAsia="Arial" w:hAnsi="Arial"/>
                <w:sz w:val="10"/>
                <w:szCs w:val="10"/>
                <w:color w:val="auto"/>
                <w:w w:val="79"/>
              </w:rPr>
              <w:t>—</w:t>
            </w:r>
          </w:p>
        </w:tc>
        <w:tc>
          <w:tcPr>
            <w:tcW w:w="6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jc w:val="right"/>
              <w:ind w:right="151"/>
              <w:spacing w:after="0" w:line="91" w:lineRule="exact"/>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56,694</w:t>
            </w: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7,176</w:t>
            </w:r>
          </w:p>
        </w:tc>
        <w:tc>
          <w:tcPr>
            <w:tcW w:w="8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auto"/>
            </w:tcBorders>
            <w:shd w:val="clear" w:color="auto" w:fill="CCEEFF"/>
          </w:tcPr>
          <w:p>
            <w:pPr>
              <w:jc w:val="right"/>
              <w:ind w:right="671"/>
              <w:spacing w:after="0" w:line="91" w:lineRule="exact"/>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tcBorders>
            <w:shd w:val="clear" w:color="auto" w:fill="CCEEFF"/>
          </w:tcPr>
          <w:p>
            <w:pPr>
              <w:ind w:left="40"/>
              <w:spacing w:after="0" w:line="91" w:lineRule="exact"/>
              <w:rPr>
                <w:sz w:val="20"/>
                <w:szCs w:val="20"/>
                <w:color w:val="auto"/>
              </w:rPr>
            </w:pPr>
            <w:r>
              <w:rPr>
                <w:rFonts w:ascii="Arial" w:cs="Arial" w:eastAsia="Arial" w:hAnsi="Arial"/>
                <w:sz w:val="10"/>
                <w:szCs w:val="10"/>
                <w:color w:val="auto"/>
                <w:w w:val="79"/>
              </w:rPr>
              <w:t>—</w:t>
            </w: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7,176</w:t>
            </w:r>
          </w:p>
        </w:tc>
        <w:tc>
          <w:tcPr>
            <w:tcW w:w="0" w:type="dxa"/>
            <w:vAlign w:val="bottom"/>
          </w:tcPr>
          <w:p>
            <w:pPr>
              <w:spacing w:after="0"/>
              <w:rPr>
                <w:sz w:val="1"/>
                <w:szCs w:val="1"/>
                <w:color w:val="auto"/>
              </w:rPr>
            </w:pPr>
          </w:p>
        </w:tc>
      </w:tr>
      <w:tr>
        <w:trPr>
          <w:trHeight w:val="101"/>
        </w:trPr>
        <w:tc>
          <w:tcPr>
            <w:tcW w:w="2080" w:type="dxa"/>
            <w:vAlign w:val="bottom"/>
            <w:gridSpan w:val="2"/>
          </w:tcPr>
          <w:p>
            <w:pPr>
              <w:spacing w:after="0" w:line="102" w:lineRule="exact"/>
              <w:rPr>
                <w:sz w:val="20"/>
                <w:szCs w:val="20"/>
                <w:color w:val="auto"/>
              </w:rPr>
            </w:pPr>
            <w:r>
              <w:rPr>
                <w:rFonts w:ascii="Arial" w:cs="Arial" w:eastAsia="Arial" w:hAnsi="Arial"/>
                <w:sz w:val="10"/>
                <w:szCs w:val="10"/>
                <w:color w:val="auto"/>
              </w:rPr>
              <w:t>U.S. Treasury Securities</w:t>
            </w:r>
          </w:p>
        </w:tc>
        <w:tc>
          <w:tcPr>
            <w:tcW w:w="1480" w:type="dxa"/>
            <w:vAlign w:val="bottom"/>
            <w:gridSpan w:val="3"/>
          </w:tcPr>
          <w:p>
            <w:pPr>
              <w:jc w:val="center"/>
              <w:ind w:right="231"/>
              <w:spacing w:after="0" w:line="102" w:lineRule="exact"/>
              <w:rPr>
                <w:sz w:val="20"/>
                <w:szCs w:val="20"/>
                <w:color w:val="auto"/>
              </w:rPr>
            </w:pPr>
            <w:r>
              <w:rPr>
                <w:rFonts w:ascii="Arial" w:cs="Arial" w:eastAsia="Arial" w:hAnsi="Arial"/>
                <w:sz w:val="10"/>
                <w:szCs w:val="10"/>
                <w:color w:val="auto"/>
                <w:w w:val="86"/>
              </w:rPr>
              <w:t>Cash and cash equivalents</w:t>
            </w:r>
          </w:p>
        </w:tc>
        <w:tc>
          <w:tcPr>
            <w:tcW w:w="740" w:type="dxa"/>
            <w:vAlign w:val="bottom"/>
            <w:gridSpan w:val="2"/>
          </w:tcPr>
          <w:p>
            <w:pPr>
              <w:ind w:left="620"/>
              <w:spacing w:after="0" w:line="102" w:lineRule="exact"/>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jc w:val="right"/>
              <w:ind w:right="60"/>
              <w:spacing w:after="0" w:line="102"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8"/>
                <w:szCs w:val="8"/>
                <w:color w:val="auto"/>
              </w:rPr>
            </w:pPr>
          </w:p>
        </w:tc>
        <w:tc>
          <w:tcPr>
            <w:tcW w:w="560" w:type="dxa"/>
            <w:vAlign w:val="bottom"/>
          </w:tcPr>
          <w:p>
            <w:pPr>
              <w:ind w:left="460"/>
              <w:spacing w:after="0" w:line="102" w:lineRule="exact"/>
              <w:rPr>
                <w:sz w:val="20"/>
                <w:szCs w:val="20"/>
                <w:color w:val="auto"/>
              </w:rPr>
            </w:pPr>
            <w:r>
              <w:rPr>
                <w:rFonts w:ascii="Arial" w:cs="Arial" w:eastAsia="Arial" w:hAnsi="Arial"/>
                <w:sz w:val="10"/>
                <w:szCs w:val="10"/>
                <w:color w:val="auto"/>
                <w:w w:val="79"/>
              </w:rPr>
              <w:t>—</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gridSpan w:val="2"/>
          </w:tcPr>
          <w:p>
            <w:pPr>
              <w:ind w:left="600"/>
              <w:spacing w:after="0" w:line="102"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gridSpan w:val="2"/>
          </w:tcPr>
          <w:p>
            <w:pPr>
              <w:ind w:left="640"/>
              <w:spacing w:after="0" w:line="102"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720" w:type="dxa"/>
            <w:vAlign w:val="bottom"/>
          </w:tcPr>
          <w:p>
            <w:pPr>
              <w:jc w:val="right"/>
              <w:spacing w:after="0" w:line="102" w:lineRule="exact"/>
              <w:rPr>
                <w:sz w:val="20"/>
                <w:szCs w:val="20"/>
                <w:color w:val="auto"/>
              </w:rPr>
            </w:pPr>
            <w:r>
              <w:rPr>
                <w:rFonts w:ascii="Arial" w:cs="Arial" w:eastAsia="Arial" w:hAnsi="Arial"/>
                <w:sz w:val="10"/>
                <w:szCs w:val="10"/>
                <w:color w:val="auto"/>
              </w:rPr>
              <w:t>2,004</w:t>
            </w: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gridSpan w:val="2"/>
          </w:tcPr>
          <w:p>
            <w:pPr>
              <w:ind w:left="40"/>
              <w:spacing w:after="0" w:line="102"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10"/>
                <w:szCs w:val="10"/>
                <w:color w:val="auto"/>
              </w:rPr>
              <w:t>2,004</w:t>
            </w:r>
          </w:p>
        </w:tc>
        <w:tc>
          <w:tcPr>
            <w:tcW w:w="0" w:type="dxa"/>
            <w:vAlign w:val="bottom"/>
          </w:tcPr>
          <w:p>
            <w:pPr>
              <w:spacing w:after="0"/>
              <w:rPr>
                <w:sz w:val="1"/>
                <w:szCs w:val="1"/>
                <w:color w:val="auto"/>
              </w:rPr>
            </w:pPr>
          </w:p>
        </w:tc>
      </w:tr>
      <w:tr>
        <w:trPr>
          <w:trHeight w:val="101"/>
        </w:trPr>
        <w:tc>
          <w:tcPr>
            <w:tcW w:w="2080" w:type="dxa"/>
            <w:vAlign w:val="bottom"/>
            <w:gridSpan w:val="2"/>
            <w:shd w:val="clear" w:color="auto" w:fill="CCEEFF"/>
          </w:tcPr>
          <w:p>
            <w:pPr>
              <w:spacing w:after="0" w:line="102" w:lineRule="exact"/>
              <w:rPr>
                <w:sz w:val="20"/>
                <w:szCs w:val="20"/>
                <w:color w:val="auto"/>
              </w:rPr>
            </w:pPr>
            <w:r>
              <w:rPr>
                <w:rFonts w:ascii="Arial" w:cs="Arial" w:eastAsia="Arial" w:hAnsi="Arial"/>
                <w:sz w:val="10"/>
                <w:szCs w:val="10"/>
                <w:color w:val="auto"/>
              </w:rPr>
              <w:t>U.S. Treasury Securities</w:t>
            </w:r>
          </w:p>
        </w:tc>
        <w:tc>
          <w:tcPr>
            <w:tcW w:w="1480" w:type="dxa"/>
            <w:vAlign w:val="bottom"/>
            <w:gridSpan w:val="3"/>
            <w:shd w:val="clear" w:color="auto" w:fill="CCEEFF"/>
          </w:tcPr>
          <w:p>
            <w:pPr>
              <w:jc w:val="center"/>
              <w:ind w:right="231"/>
              <w:spacing w:after="0" w:line="102" w:lineRule="exact"/>
              <w:rPr>
                <w:sz w:val="20"/>
                <w:szCs w:val="20"/>
                <w:color w:val="auto"/>
              </w:rPr>
            </w:pPr>
            <w:r>
              <w:rPr>
                <w:rFonts w:ascii="Arial" w:cs="Arial" w:eastAsia="Arial" w:hAnsi="Arial"/>
                <w:sz w:val="10"/>
                <w:szCs w:val="10"/>
                <w:color w:val="auto"/>
                <w:w w:val="88"/>
              </w:rPr>
              <w:t>Investments</w:t>
            </w:r>
          </w:p>
        </w:tc>
        <w:tc>
          <w:tcPr>
            <w:tcW w:w="740" w:type="dxa"/>
            <w:vAlign w:val="bottom"/>
            <w:gridSpan w:val="2"/>
            <w:shd w:val="clear" w:color="auto" w:fill="CCEEFF"/>
          </w:tcPr>
          <w:p>
            <w:pPr>
              <w:ind w:left="620"/>
              <w:spacing w:after="0" w:line="102" w:lineRule="exact"/>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60"/>
              <w:spacing w:after="0" w:line="102"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8"/>
                <w:szCs w:val="8"/>
                <w:color w:val="auto"/>
              </w:rPr>
            </w:pPr>
          </w:p>
        </w:tc>
        <w:tc>
          <w:tcPr>
            <w:tcW w:w="560" w:type="dxa"/>
            <w:vAlign w:val="bottom"/>
            <w:shd w:val="clear" w:color="auto" w:fill="CCEEFF"/>
          </w:tcPr>
          <w:p>
            <w:pPr>
              <w:ind w:left="460"/>
              <w:spacing w:after="0" w:line="102" w:lineRule="exact"/>
              <w:rPr>
                <w:sz w:val="20"/>
                <w:szCs w:val="20"/>
                <w:color w:val="auto"/>
              </w:rPr>
            </w:pPr>
            <w:r>
              <w:rPr>
                <w:rFonts w:ascii="Arial" w:cs="Arial" w:eastAsia="Arial" w:hAnsi="Arial"/>
                <w:sz w:val="10"/>
                <w:szCs w:val="10"/>
                <w:color w:val="auto"/>
                <w:w w:val="79"/>
              </w:rPr>
              <w:t>—</w:t>
            </w: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40" w:type="dxa"/>
            <w:vAlign w:val="bottom"/>
            <w:gridSpan w:val="2"/>
            <w:shd w:val="clear" w:color="auto" w:fill="CCEEFF"/>
          </w:tcPr>
          <w:p>
            <w:pPr>
              <w:ind w:left="600"/>
              <w:spacing w:after="0" w:line="102"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gridSpan w:val="2"/>
            <w:shd w:val="clear" w:color="auto" w:fill="CCEEFF"/>
          </w:tcPr>
          <w:p>
            <w:pPr>
              <w:ind w:left="640"/>
              <w:spacing w:after="0" w:line="102"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2" w:lineRule="exact"/>
              <w:rPr>
                <w:sz w:val="20"/>
                <w:szCs w:val="20"/>
                <w:color w:val="auto"/>
              </w:rPr>
            </w:pPr>
            <w:r>
              <w:rPr>
                <w:rFonts w:ascii="Arial" w:cs="Arial" w:eastAsia="Arial" w:hAnsi="Arial"/>
                <w:sz w:val="10"/>
                <w:szCs w:val="10"/>
                <w:color w:val="auto"/>
              </w:rPr>
              <w:t>8,012</w:t>
            </w:r>
          </w:p>
        </w:tc>
        <w:tc>
          <w:tcPr>
            <w:tcW w:w="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0" w:type="dxa"/>
            <w:vAlign w:val="bottom"/>
            <w:gridSpan w:val="2"/>
            <w:shd w:val="clear" w:color="auto" w:fill="CCEEFF"/>
          </w:tcPr>
          <w:p>
            <w:pPr>
              <w:ind w:left="40"/>
              <w:spacing w:after="0" w:line="102"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10"/>
                <w:szCs w:val="10"/>
                <w:color w:val="auto"/>
              </w:rPr>
              <w:t>8,012</w:t>
            </w:r>
          </w:p>
        </w:tc>
        <w:tc>
          <w:tcPr>
            <w:tcW w:w="0" w:type="dxa"/>
            <w:vAlign w:val="bottom"/>
          </w:tcPr>
          <w:p>
            <w:pPr>
              <w:spacing w:after="0"/>
              <w:rPr>
                <w:sz w:val="1"/>
                <w:szCs w:val="1"/>
                <w:color w:val="auto"/>
              </w:rPr>
            </w:pPr>
          </w:p>
        </w:tc>
      </w:tr>
      <w:tr>
        <w:trPr>
          <w:trHeight w:val="98"/>
        </w:trPr>
        <w:tc>
          <w:tcPr>
            <w:tcW w:w="2080" w:type="dxa"/>
            <w:vAlign w:val="bottom"/>
            <w:gridSpan w:val="2"/>
          </w:tcPr>
          <w:p>
            <w:pPr>
              <w:spacing w:after="0" w:line="91" w:lineRule="exact"/>
              <w:rPr>
                <w:sz w:val="20"/>
                <w:szCs w:val="20"/>
                <w:color w:val="auto"/>
              </w:rPr>
            </w:pPr>
            <w:r>
              <w:rPr>
                <w:rFonts w:ascii="Arial" w:cs="Arial" w:eastAsia="Arial" w:hAnsi="Arial"/>
                <w:sz w:val="10"/>
                <w:szCs w:val="10"/>
                <w:color w:val="auto"/>
              </w:rPr>
              <w:t>Total assets measured at fair value</w:t>
            </w: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Borders>
              <w:top w:val="single" w:sz="8" w:color="auto"/>
              <w:bottom w:val="single" w:sz="8" w:color="auto"/>
            </w:tcBorders>
          </w:tcPr>
          <w:p>
            <w:pPr>
              <w:jc w:val="right"/>
              <w:ind w:right="131"/>
              <w:spacing w:after="0" w:line="91"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color w:val="auto"/>
              </w:rPr>
              <w:t>56,694</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30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tcPr>
          <w:p>
            <w:pPr>
              <w:ind w:left="460"/>
              <w:spacing w:after="0" w:line="91" w:lineRule="exact"/>
              <w:rPr>
                <w:sz w:val="20"/>
                <w:szCs w:val="20"/>
                <w:color w:val="auto"/>
              </w:rPr>
            </w:pPr>
            <w:r>
              <w:rPr>
                <w:rFonts w:ascii="Arial" w:cs="Arial" w:eastAsia="Arial" w:hAnsi="Arial"/>
                <w:sz w:val="10"/>
                <w:szCs w:val="10"/>
                <w:color w:val="auto"/>
                <w:w w:val="79"/>
              </w:rPr>
              <w:t>—</w:t>
            </w:r>
          </w:p>
        </w:tc>
        <w:tc>
          <w:tcPr>
            <w:tcW w:w="60" w:type="dxa"/>
            <w:vAlign w:val="bottom"/>
          </w:tcPr>
          <w:p>
            <w:pPr>
              <w:spacing w:after="0"/>
              <w:rPr>
                <w:sz w:val="8"/>
                <w:szCs w:val="8"/>
                <w:color w:val="auto"/>
              </w:rPr>
            </w:pPr>
          </w:p>
        </w:tc>
        <w:tc>
          <w:tcPr>
            <w:tcW w:w="260" w:type="dxa"/>
            <w:vAlign w:val="bottom"/>
            <w:tcBorders>
              <w:top w:val="single" w:sz="8" w:color="auto"/>
              <w:bottom w:val="single" w:sz="8" w:color="auto"/>
            </w:tcBorders>
          </w:tcPr>
          <w:p>
            <w:pPr>
              <w:jc w:val="right"/>
              <w:ind w:right="151"/>
              <w:spacing w:after="0" w:line="91" w:lineRule="exact"/>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color w:val="auto"/>
              </w:rPr>
              <w:t>56,694</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color w:val="auto"/>
              </w:rPr>
              <w:t>7,176</w:t>
            </w:r>
          </w:p>
        </w:tc>
        <w:tc>
          <w:tcPr>
            <w:tcW w:w="80" w:type="dxa"/>
            <w:vAlign w:val="bottom"/>
          </w:tcPr>
          <w:p>
            <w:pPr>
              <w:spacing w:after="0"/>
              <w:rPr>
                <w:sz w:val="8"/>
                <w:szCs w:val="8"/>
                <w:color w:val="auto"/>
              </w:rPr>
            </w:pPr>
          </w:p>
        </w:tc>
        <w:tc>
          <w:tcPr>
            <w:tcW w:w="2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color w:val="auto"/>
              </w:rPr>
              <w:t>10,016</w:t>
            </w:r>
          </w:p>
        </w:tc>
        <w:tc>
          <w:tcPr>
            <w:tcW w:w="60" w:type="dxa"/>
            <w:vAlign w:val="bottom"/>
          </w:tcPr>
          <w:p>
            <w:pPr>
              <w:spacing w:after="0"/>
              <w:rPr>
                <w:sz w:val="8"/>
                <w:szCs w:val="8"/>
                <w:color w:val="auto"/>
              </w:rPr>
            </w:pPr>
          </w:p>
        </w:tc>
        <w:tc>
          <w:tcPr>
            <w:tcW w:w="780" w:type="dxa"/>
            <w:vAlign w:val="bottom"/>
            <w:tcBorders>
              <w:top w:val="single" w:sz="8" w:color="auto"/>
              <w:bottom w:val="single" w:sz="8" w:color="auto"/>
            </w:tcBorders>
          </w:tcPr>
          <w:p>
            <w:pPr>
              <w:jc w:val="right"/>
              <w:ind w:right="671"/>
              <w:spacing w:after="0" w:line="91" w:lineRule="exact"/>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tcPr>
          <w:p>
            <w:pPr>
              <w:ind w:left="40"/>
              <w:spacing w:after="0" w:line="91" w:lineRule="exact"/>
              <w:rPr>
                <w:sz w:val="20"/>
                <w:szCs w:val="20"/>
                <w:color w:val="auto"/>
              </w:rPr>
            </w:pPr>
            <w:r>
              <w:rPr>
                <w:rFonts w:ascii="Arial" w:cs="Arial" w:eastAsia="Arial" w:hAnsi="Arial"/>
                <w:sz w:val="10"/>
                <w:szCs w:val="10"/>
                <w:color w:val="auto"/>
                <w:w w:val="79"/>
              </w:rPr>
              <w:t>—</w:t>
            </w:r>
          </w:p>
        </w:tc>
        <w:tc>
          <w:tcPr>
            <w:tcW w:w="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color w:val="auto"/>
              </w:rPr>
              <w:t>17,192</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Company did not have any financial liabilities measured on a recurring basis as of March 31, 2021 or December 31, 2020.</w:t>
      </w:r>
    </w:p>
    <w:p>
      <w:pPr>
        <w:spacing w:after="0" w:line="120" w:lineRule="exact"/>
        <w:rPr>
          <w:sz w:val="20"/>
          <w:szCs w:val="20"/>
          <w:color w:val="auto"/>
        </w:rPr>
      </w:pPr>
    </w:p>
    <w:p>
      <w:pPr>
        <w:ind w:right="300" w:firstLine="301"/>
        <w:spacing w:after="0" w:line="255" w:lineRule="auto"/>
        <w:rPr>
          <w:sz w:val="20"/>
          <w:szCs w:val="20"/>
          <w:color w:val="auto"/>
        </w:rPr>
      </w:pPr>
      <w:r>
        <w:rPr>
          <w:rFonts w:ascii="Arial" w:cs="Arial" w:eastAsia="Arial" w:hAnsi="Arial"/>
          <w:sz w:val="12"/>
          <w:szCs w:val="12"/>
          <w:color w:val="auto"/>
        </w:rPr>
        <w:t>During the three-month period ended March 31, 2021, there were no transfers between Level 1, Level 2 or Level 3 assets or liabilities reported at fair value on a recurring basis and the valuation techniques used did not change compared to the Company’s established practice.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9" w:name="page10"/>
    <w:bookmarkEnd w:id="9"/>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Balance Sheet Components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auto"/>
        </w:rPr>
        <w:t>Property and Equipment, Net</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Property and equipment, net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gridSpan w:val="2"/>
          </w:tcPr>
          <w:p>
            <w:pPr>
              <w:ind w:left="220"/>
              <w:spacing w:after="0"/>
              <w:rPr>
                <w:sz w:val="20"/>
                <w:szCs w:val="20"/>
                <w:color w:val="auto"/>
              </w:rPr>
            </w:pPr>
            <w:r>
              <w:rPr>
                <w:rFonts w:ascii="Arial" w:cs="Arial" w:eastAsia="Arial" w:hAnsi="Arial"/>
                <w:sz w:val="10"/>
                <w:szCs w:val="10"/>
                <w:b w:val="1"/>
                <w:bCs w:val="1"/>
                <w:color w:val="auto"/>
              </w:rPr>
              <w:t>March 31,</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ind w:right="401"/>
              <w:spacing w:after="0"/>
              <w:rPr>
                <w:sz w:val="20"/>
                <w:szCs w:val="20"/>
                <w:color w:val="auto"/>
              </w:rPr>
            </w:pPr>
            <w:r>
              <w:rPr>
                <w:rFonts w:ascii="Arial" w:cs="Arial" w:eastAsia="Arial" w:hAnsi="Arial"/>
                <w:sz w:val="10"/>
                <w:szCs w:val="10"/>
                <w:b w:val="1"/>
                <w:bCs w:val="1"/>
                <w:color w:val="auto"/>
              </w:rPr>
              <w:t>December 31,</w:t>
            </w:r>
          </w:p>
        </w:tc>
      </w:tr>
      <w:tr>
        <w:trPr>
          <w:trHeight w:val="116"/>
        </w:trPr>
        <w:tc>
          <w:tcPr>
            <w:tcW w:w="816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2021</w:t>
            </w: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2020</w:t>
            </w:r>
          </w:p>
        </w:tc>
      </w:tr>
      <w:tr>
        <w:trPr>
          <w:trHeight w:val="118"/>
        </w:trPr>
        <w:tc>
          <w:tcPr>
            <w:tcW w:w="81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Leasehold improvements</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1"/>
              <w:spacing w:after="0" w:line="118" w:lineRule="exact"/>
              <w:rPr>
                <w:sz w:val="20"/>
                <w:szCs w:val="20"/>
                <w:color w:val="auto"/>
              </w:rPr>
            </w:pPr>
            <w:r>
              <w:rPr>
                <w:rFonts w:ascii="Arial" w:cs="Arial" w:eastAsia="Arial" w:hAnsi="Arial"/>
                <w:sz w:val="12"/>
                <w:szCs w:val="12"/>
                <w:color w:val="auto"/>
              </w:rPr>
              <w:t>2,827</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2,805</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Laboratory equipment</w:t>
            </w:r>
          </w:p>
        </w:tc>
        <w:tc>
          <w:tcPr>
            <w:tcW w:w="300" w:type="dxa"/>
            <w:vAlign w:val="bottom"/>
          </w:tcPr>
          <w:p>
            <w:pPr>
              <w:spacing w:after="0"/>
              <w:rPr>
                <w:sz w:val="11"/>
                <w:szCs w:val="11"/>
                <w:color w:val="auto"/>
              </w:rPr>
            </w:pPr>
          </w:p>
        </w:tc>
        <w:tc>
          <w:tcPr>
            <w:tcW w:w="1180" w:type="dxa"/>
            <w:vAlign w:val="bottom"/>
          </w:tcPr>
          <w:p>
            <w:pPr>
              <w:jc w:val="right"/>
              <w:ind w:right="1"/>
              <w:spacing w:after="0" w:line="129" w:lineRule="exact"/>
              <w:rPr>
                <w:sz w:val="20"/>
                <w:szCs w:val="20"/>
                <w:color w:val="auto"/>
              </w:rPr>
            </w:pPr>
            <w:r>
              <w:rPr>
                <w:rFonts w:ascii="Arial" w:cs="Arial" w:eastAsia="Arial" w:hAnsi="Arial"/>
                <w:sz w:val="12"/>
                <w:szCs w:val="12"/>
                <w:color w:val="auto"/>
              </w:rPr>
              <w:t>912</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878</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Furniture, fixtures, and equipment</w:t>
            </w:r>
          </w:p>
        </w:tc>
        <w:tc>
          <w:tcPr>
            <w:tcW w:w="30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
              <w:spacing w:after="0" w:line="129" w:lineRule="exact"/>
              <w:rPr>
                <w:sz w:val="20"/>
                <w:szCs w:val="20"/>
                <w:color w:val="auto"/>
              </w:rPr>
            </w:pPr>
            <w:r>
              <w:rPr>
                <w:rFonts w:ascii="Arial" w:cs="Arial" w:eastAsia="Arial" w:hAnsi="Arial"/>
                <w:sz w:val="12"/>
                <w:szCs w:val="12"/>
                <w:color w:val="auto"/>
              </w:rPr>
              <w:t>562</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517</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Software</w:t>
            </w:r>
          </w:p>
        </w:tc>
        <w:tc>
          <w:tcPr>
            <w:tcW w:w="300" w:type="dxa"/>
            <w:vAlign w:val="bottom"/>
          </w:tcPr>
          <w:p>
            <w:pPr>
              <w:spacing w:after="0"/>
              <w:rPr>
                <w:sz w:val="11"/>
                <w:szCs w:val="11"/>
                <w:color w:val="auto"/>
              </w:rPr>
            </w:pPr>
          </w:p>
        </w:tc>
        <w:tc>
          <w:tcPr>
            <w:tcW w:w="1180" w:type="dxa"/>
            <w:vAlign w:val="bottom"/>
          </w:tcPr>
          <w:p>
            <w:pPr>
              <w:jc w:val="right"/>
              <w:ind w:right="1"/>
              <w:spacing w:after="0" w:line="129" w:lineRule="exact"/>
              <w:rPr>
                <w:sz w:val="20"/>
                <w:szCs w:val="20"/>
                <w:color w:val="auto"/>
              </w:rPr>
            </w:pPr>
            <w:r>
              <w:rPr>
                <w:rFonts w:ascii="Arial" w:cs="Arial" w:eastAsia="Arial" w:hAnsi="Arial"/>
                <w:sz w:val="12"/>
                <w:szCs w:val="12"/>
                <w:color w:val="auto"/>
              </w:rPr>
              <w:t>128</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128</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Construction in progress</w:t>
            </w:r>
          </w:p>
        </w:tc>
        <w:tc>
          <w:tcPr>
            <w:tcW w:w="30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ind w:right="1"/>
              <w:spacing w:after="0" w:line="129" w:lineRule="exact"/>
              <w:rPr>
                <w:sz w:val="20"/>
                <w:szCs w:val="20"/>
                <w:color w:val="auto"/>
              </w:rPr>
            </w:pPr>
            <w:r>
              <w:rPr>
                <w:rFonts w:ascii="Arial" w:cs="Arial" w:eastAsia="Arial" w:hAnsi="Arial"/>
                <w:sz w:val="12"/>
                <w:szCs w:val="12"/>
                <w:color w:val="auto"/>
              </w:rPr>
              <w:t>30</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66</w:t>
            </w:r>
          </w:p>
        </w:tc>
      </w:tr>
      <w:tr>
        <w:trPr>
          <w:trHeight w:val="118"/>
        </w:trPr>
        <w:tc>
          <w:tcPr>
            <w:tcW w:w="816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1"/>
              <w:spacing w:after="0" w:line="118" w:lineRule="exact"/>
              <w:rPr>
                <w:sz w:val="20"/>
                <w:szCs w:val="20"/>
                <w:color w:val="auto"/>
              </w:rPr>
            </w:pPr>
            <w:r>
              <w:rPr>
                <w:rFonts w:ascii="Arial" w:cs="Arial" w:eastAsia="Arial" w:hAnsi="Arial"/>
                <w:sz w:val="12"/>
                <w:szCs w:val="12"/>
                <w:color w:val="auto"/>
              </w:rPr>
              <w:t>4,459</w:t>
            </w: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4,394</w:t>
            </w:r>
          </w:p>
        </w:tc>
      </w:tr>
      <w:tr>
        <w:trPr>
          <w:trHeight w:val="118"/>
        </w:trPr>
        <w:tc>
          <w:tcPr>
            <w:tcW w:w="81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Less: Accumulated depreciation</w:t>
            </w:r>
          </w:p>
        </w:tc>
        <w:tc>
          <w:tcPr>
            <w:tcW w:w="30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(2,029)</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(1,916)</w:t>
            </w:r>
          </w:p>
        </w:tc>
      </w:tr>
      <w:tr>
        <w:trPr>
          <w:trHeight w:val="126"/>
        </w:trPr>
        <w:tc>
          <w:tcPr>
            <w:tcW w:w="8160" w:type="dxa"/>
            <w:vAlign w:val="bottom"/>
          </w:tcPr>
          <w:p>
            <w:pPr>
              <w:ind w:left="140"/>
              <w:spacing w:after="0" w:line="118" w:lineRule="exact"/>
              <w:rPr>
                <w:sz w:val="20"/>
                <w:szCs w:val="20"/>
                <w:color w:val="auto"/>
              </w:rPr>
            </w:pPr>
            <w:r>
              <w:rPr>
                <w:rFonts w:ascii="Arial" w:cs="Arial" w:eastAsia="Arial" w:hAnsi="Arial"/>
                <w:sz w:val="12"/>
                <w:szCs w:val="12"/>
                <w:color w:val="auto"/>
              </w:rPr>
              <w:t>Property and equipment, net</w:t>
            </w: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1"/>
              <w:spacing w:after="0" w:line="118" w:lineRule="exact"/>
              <w:rPr>
                <w:sz w:val="20"/>
                <w:szCs w:val="20"/>
                <w:color w:val="auto"/>
              </w:rPr>
            </w:pPr>
            <w:r>
              <w:rPr>
                <w:rFonts w:ascii="Arial" w:cs="Arial" w:eastAsia="Arial" w:hAnsi="Arial"/>
                <w:sz w:val="12"/>
                <w:szCs w:val="12"/>
                <w:color w:val="auto"/>
              </w:rPr>
              <w:t>2,430</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2,478</w:t>
            </w:r>
          </w:p>
        </w:tc>
      </w:tr>
    </w:tbl>
    <w:p>
      <w:pPr>
        <w:spacing w:after="0" w:line="111" w:lineRule="exact"/>
        <w:rPr>
          <w:sz w:val="20"/>
          <w:szCs w:val="20"/>
          <w:color w:val="auto"/>
        </w:rPr>
      </w:pPr>
    </w:p>
    <w:p>
      <w:pPr>
        <w:ind w:left="300"/>
        <w:spacing w:after="0"/>
        <w:rPr>
          <w:sz w:val="20"/>
          <w:szCs w:val="20"/>
          <w:color w:val="auto"/>
        </w:rPr>
      </w:pPr>
      <w:r>
        <w:rPr>
          <w:rFonts w:ascii="Arial" w:cs="Arial" w:eastAsia="Arial" w:hAnsi="Arial"/>
          <w:sz w:val="12"/>
          <w:szCs w:val="12"/>
          <w:color w:val="auto"/>
        </w:rPr>
        <w:t>Depreciation expense was $0.1 million for each of the three-month periods ended March 31, 2021 and 2020.</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auto"/>
        </w:rPr>
        <w:t>Intangible Assets, Net</w:t>
      </w:r>
    </w:p>
    <w:p>
      <w:pPr>
        <w:spacing w:after="0" w:line="124"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Intangible assets primarily consist of acquired licenses to utilize certain patents, know-how and technology relating to the Company’s NPS technology for biomedical applications acquired from Old Dominion University Research Foundation (ODURF), Eastern Virginia Medical School, and the University of Southern California. In addition, the Company entered into a Sponsored Research Agreement with Old Dominion University’s Frank Reidy Research Center for Bioelectrics, which includes certain intellectual property rights arising from the research. The Company is amortizing the intangible assets over an estimated useful life of 12 years.</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2"/>
          <w:szCs w:val="12"/>
          <w:color w:val="auto"/>
        </w:rPr>
        <w:t>Intangible assets, net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1040" w:type="dxa"/>
            <w:vAlign w:val="bottom"/>
          </w:tcPr>
          <w:p>
            <w:pPr>
              <w:jc w:val="right"/>
              <w:ind w:right="30"/>
              <w:spacing w:after="0"/>
              <w:rPr>
                <w:sz w:val="20"/>
                <w:szCs w:val="20"/>
                <w:color w:val="auto"/>
              </w:rPr>
            </w:pPr>
            <w:r>
              <w:rPr>
                <w:rFonts w:ascii="Arial" w:cs="Arial" w:eastAsia="Arial" w:hAnsi="Arial"/>
                <w:sz w:val="10"/>
                <w:szCs w:val="10"/>
                <w:b w:val="1"/>
                <w:bCs w:val="1"/>
                <w:color w:val="auto"/>
              </w:rPr>
              <w:t>March 31,</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right"/>
              <w:ind w:right="401"/>
              <w:spacing w:after="0"/>
              <w:rPr>
                <w:sz w:val="20"/>
                <w:szCs w:val="20"/>
                <w:color w:val="auto"/>
              </w:rPr>
            </w:pPr>
            <w:r>
              <w:rPr>
                <w:rFonts w:ascii="Arial" w:cs="Arial" w:eastAsia="Arial" w:hAnsi="Arial"/>
                <w:sz w:val="10"/>
                <w:szCs w:val="10"/>
                <w:b w:val="1"/>
                <w:bCs w:val="1"/>
                <w:color w:val="auto"/>
              </w:rPr>
              <w:t>December 31,</w:t>
            </w:r>
          </w:p>
        </w:tc>
      </w:tr>
      <w:tr>
        <w:trPr>
          <w:trHeight w:val="116"/>
        </w:trPr>
        <w:tc>
          <w:tcPr>
            <w:tcW w:w="816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2020</w:t>
            </w:r>
          </w:p>
        </w:tc>
      </w:tr>
      <w:tr>
        <w:trPr>
          <w:trHeight w:val="118"/>
        </w:trPr>
        <w:tc>
          <w:tcPr>
            <w:tcW w:w="81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Acquired patents and licenses</w:t>
            </w:r>
          </w:p>
        </w:tc>
        <w:tc>
          <w:tcPr>
            <w:tcW w:w="1040" w:type="dxa"/>
            <w:vAlign w:val="bottom"/>
            <w:shd w:val="clear" w:color="auto" w:fill="CCEEFF"/>
          </w:tcPr>
          <w:p>
            <w:pPr>
              <w:jc w:val="right"/>
              <w:ind w:right="93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ind w:right="3"/>
              <w:spacing w:after="0" w:line="118" w:lineRule="exact"/>
              <w:rPr>
                <w:sz w:val="20"/>
                <w:szCs w:val="20"/>
                <w:color w:val="auto"/>
              </w:rPr>
            </w:pPr>
            <w:r>
              <w:rPr>
                <w:rFonts w:ascii="Arial" w:cs="Arial" w:eastAsia="Arial" w:hAnsi="Arial"/>
                <w:sz w:val="12"/>
                <w:szCs w:val="12"/>
                <w:color w:val="auto"/>
              </w:rPr>
              <w:t>7,985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jc w:val="right"/>
              <w:ind w:right="119"/>
              <w:spacing w:after="0" w:line="118" w:lineRule="exact"/>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7,985</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Less: Accumulated amortization</w:t>
            </w:r>
          </w:p>
        </w:tc>
        <w:tc>
          <w:tcPr>
            <w:tcW w:w="1040" w:type="dxa"/>
            <w:vAlign w:val="bottom"/>
          </w:tcPr>
          <w:p>
            <w:pPr>
              <w:spacing w:after="0"/>
              <w:rPr>
                <w:sz w:val="11"/>
                <w:szCs w:val="11"/>
                <w:color w:val="auto"/>
              </w:rPr>
            </w:pPr>
          </w:p>
        </w:tc>
        <w:tc>
          <w:tcPr>
            <w:tcW w:w="5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(4,270)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(4,103)</w:t>
            </w:r>
          </w:p>
        </w:tc>
      </w:tr>
      <w:tr>
        <w:trPr>
          <w:trHeight w:val="138"/>
        </w:trPr>
        <w:tc>
          <w:tcPr>
            <w:tcW w:w="8160" w:type="dxa"/>
            <w:vAlign w:val="bottom"/>
            <w:tcBorders>
              <w:top w:val="single" w:sz="8" w:color="CCEEFF"/>
              <w:bottom w:val="single" w:sz="8" w:color="CCEEFF"/>
            </w:tcBorders>
            <w:shd w:val="clear" w:color="auto" w:fill="CCEEFF"/>
          </w:tcPr>
          <w:p>
            <w:pPr>
              <w:ind w:left="140"/>
              <w:spacing w:after="0" w:line="118" w:lineRule="exact"/>
              <w:rPr>
                <w:sz w:val="20"/>
                <w:szCs w:val="20"/>
                <w:color w:val="auto"/>
              </w:rPr>
            </w:pPr>
            <w:r>
              <w:rPr>
                <w:rFonts w:ascii="Arial" w:cs="Arial" w:eastAsia="Arial" w:hAnsi="Arial"/>
                <w:sz w:val="12"/>
                <w:szCs w:val="12"/>
                <w:color w:val="auto"/>
              </w:rPr>
              <w:t>Intangible assets, net</w:t>
            </w:r>
          </w:p>
        </w:tc>
        <w:tc>
          <w:tcPr>
            <w:tcW w:w="104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ind w:right="3"/>
              <w:spacing w:after="0" w:line="118" w:lineRule="exact"/>
              <w:rPr>
                <w:sz w:val="20"/>
                <w:szCs w:val="20"/>
                <w:color w:val="auto"/>
              </w:rPr>
            </w:pPr>
            <w:r>
              <w:rPr>
                <w:rFonts w:ascii="Arial" w:cs="Arial" w:eastAsia="Arial" w:hAnsi="Arial"/>
                <w:sz w:val="12"/>
                <w:szCs w:val="12"/>
                <w:color w:val="auto"/>
              </w:rPr>
              <w:t>3,715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19"/>
              <w:spacing w:after="0" w:line="118" w:lineRule="exact"/>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3,882</w:t>
            </w:r>
          </w:p>
        </w:tc>
      </w:tr>
      <w:tr>
        <w:trPr>
          <w:trHeight w:val="254"/>
        </w:trPr>
        <w:tc>
          <w:tcPr>
            <w:tcW w:w="8160" w:type="dxa"/>
            <w:vAlign w:val="bottom"/>
          </w:tcPr>
          <w:p>
            <w:pPr>
              <w:ind w:left="260"/>
              <w:spacing w:after="0"/>
              <w:rPr>
                <w:sz w:val="20"/>
                <w:szCs w:val="20"/>
                <w:color w:val="auto"/>
              </w:rPr>
            </w:pPr>
            <w:r>
              <w:rPr>
                <w:rFonts w:ascii="Arial" w:cs="Arial" w:eastAsia="Arial" w:hAnsi="Arial"/>
                <w:sz w:val="12"/>
                <w:szCs w:val="12"/>
                <w:color w:val="auto"/>
              </w:rPr>
              <w:t>A schedule of the amortization of intangible assets for the remainder of 2021 and the succeeding five fiscal years is as follows (in thousands):</w:t>
            </w: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68"/>
        </w:trPr>
        <w:tc>
          <w:tcPr>
            <w:tcW w:w="8160" w:type="dxa"/>
            <w:vAlign w:val="bottom"/>
          </w:tcPr>
          <w:p>
            <w:pPr>
              <w:spacing w:after="0"/>
              <w:rPr>
                <w:sz w:val="20"/>
                <w:szCs w:val="20"/>
                <w:color w:val="auto"/>
              </w:rPr>
            </w:pPr>
            <w:r>
              <w:rPr>
                <w:rFonts w:ascii="Arial" w:cs="Arial" w:eastAsia="Arial" w:hAnsi="Arial"/>
                <w:sz w:val="12"/>
                <w:szCs w:val="12"/>
                <w:color w:val="auto"/>
              </w:rPr>
              <w:t>Year Ending December 31:</w:t>
            </w: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2021 (remaining 9 months)</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323"/>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499</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2022</w:t>
            </w: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665</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2023</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665</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2024</w:t>
            </w: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665</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2025</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665</w:t>
            </w:r>
          </w:p>
        </w:tc>
      </w:tr>
      <w:tr>
        <w:trPr>
          <w:trHeight w:val="129"/>
        </w:trPr>
        <w:tc>
          <w:tcPr>
            <w:tcW w:w="8160" w:type="dxa"/>
            <w:vAlign w:val="bottom"/>
            <w:tcBorders>
              <w:bottom w:val="single" w:sz="8" w:color="CCEEFF"/>
            </w:tcBorders>
          </w:tcPr>
          <w:p>
            <w:pPr>
              <w:spacing w:after="0" w:line="129" w:lineRule="exact"/>
              <w:rPr>
                <w:sz w:val="20"/>
                <w:szCs w:val="20"/>
                <w:color w:val="auto"/>
              </w:rPr>
            </w:pPr>
            <w:r>
              <w:rPr>
                <w:rFonts w:ascii="Arial" w:cs="Arial" w:eastAsia="Arial" w:hAnsi="Arial"/>
                <w:sz w:val="12"/>
                <w:szCs w:val="12"/>
                <w:color w:val="auto"/>
              </w:rPr>
              <w:t>2026</w:t>
            </w:r>
          </w:p>
        </w:tc>
        <w:tc>
          <w:tcPr>
            <w:tcW w:w="104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556</w:t>
            </w:r>
          </w:p>
        </w:tc>
      </w:tr>
      <w:tr>
        <w:trPr>
          <w:trHeight w:val="138"/>
        </w:trPr>
        <w:tc>
          <w:tcPr>
            <w:tcW w:w="8160" w:type="dxa"/>
            <w:vAlign w:val="bottom"/>
            <w:tcBorders>
              <w:bottom w:val="single" w:sz="8" w:color="CCEEFF"/>
            </w:tcBorders>
            <w:shd w:val="clear" w:color="auto" w:fill="CCEEFF"/>
          </w:tcPr>
          <w:p>
            <w:pPr>
              <w:ind w:left="140"/>
              <w:spacing w:after="0" w:line="118" w:lineRule="exact"/>
              <w:rPr>
                <w:sz w:val="20"/>
                <w:szCs w:val="20"/>
                <w:color w:val="auto"/>
              </w:rPr>
            </w:pPr>
            <w:r>
              <w:rPr>
                <w:rFonts w:ascii="Arial" w:cs="Arial" w:eastAsia="Arial" w:hAnsi="Arial"/>
                <w:sz w:val="12"/>
                <w:szCs w:val="12"/>
                <w:color w:val="auto"/>
              </w:rPr>
              <w:t>Total</w:t>
            </w:r>
          </w:p>
        </w:tc>
        <w:tc>
          <w:tcPr>
            <w:tcW w:w="10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3,715</w:t>
            </w:r>
          </w:p>
        </w:tc>
      </w:tr>
      <w:tr>
        <w:trPr>
          <w:trHeight w:val="383"/>
        </w:trPr>
        <w:tc>
          <w:tcPr>
            <w:tcW w:w="8160" w:type="dxa"/>
            <w:vAlign w:val="bottom"/>
          </w:tcPr>
          <w:p>
            <w:pPr>
              <w:ind w:left="5580"/>
              <w:spacing w:after="0"/>
              <w:rPr>
                <w:sz w:val="20"/>
                <w:szCs w:val="20"/>
                <w:color w:val="auto"/>
              </w:rPr>
            </w:pPr>
            <w:r>
              <w:rPr>
                <w:rFonts w:ascii="Arial" w:cs="Arial" w:eastAsia="Arial" w:hAnsi="Arial"/>
                <w:sz w:val="12"/>
                <w:szCs w:val="12"/>
                <w:color w:val="auto"/>
              </w:rPr>
              <w:t>10</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3"/>
        </w:trPr>
        <w:tc>
          <w:tcPr>
            <w:tcW w:w="81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-23495</wp:posOffset>
            </wp:positionV>
            <wp:extent cx="311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-23495</wp:posOffset>
            </wp:positionV>
            <wp:extent cx="311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0" w:name="page11"/>
    <w:bookmarkEnd w:id="10"/>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auto"/>
        </w:rPr>
        <w:t>Accrued Expenses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Accrued expenses consisted of the following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1060" w:type="dxa"/>
            <w:vAlign w:val="bottom"/>
          </w:tcPr>
          <w:p>
            <w:pPr>
              <w:jc w:val="right"/>
              <w:ind w:right="50"/>
              <w:spacing w:after="0"/>
              <w:rPr>
                <w:sz w:val="20"/>
                <w:szCs w:val="20"/>
                <w:color w:val="auto"/>
              </w:rPr>
            </w:pPr>
            <w:r>
              <w:rPr>
                <w:rFonts w:ascii="Arial" w:cs="Arial" w:eastAsia="Arial" w:hAnsi="Arial"/>
                <w:sz w:val="10"/>
                <w:szCs w:val="10"/>
                <w:b w:val="1"/>
                <w:bCs w:val="1"/>
                <w:color w:val="auto"/>
              </w:rPr>
              <w:t>March 31,</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right"/>
              <w:ind w:right="401"/>
              <w:spacing w:after="0"/>
              <w:rPr>
                <w:sz w:val="20"/>
                <w:szCs w:val="20"/>
                <w:color w:val="auto"/>
              </w:rPr>
            </w:pPr>
            <w:r>
              <w:rPr>
                <w:rFonts w:ascii="Arial" w:cs="Arial" w:eastAsia="Arial" w:hAnsi="Arial"/>
                <w:sz w:val="10"/>
                <w:szCs w:val="10"/>
                <w:b w:val="1"/>
                <w:bCs w:val="1"/>
                <w:color w:val="auto"/>
              </w:rPr>
              <w:t>December 31,</w:t>
            </w:r>
          </w:p>
        </w:tc>
      </w:tr>
      <w:tr>
        <w:trPr>
          <w:trHeight w:val="116"/>
        </w:trPr>
        <w:tc>
          <w:tcPr>
            <w:tcW w:w="8160" w:type="dxa"/>
            <w:vAlign w:val="bottom"/>
            <w:tcBorders>
              <w:bottom w:val="single" w:sz="8" w:color="CCEEFF"/>
            </w:tcBorders>
          </w:tcPr>
          <w:p>
            <w:pPr>
              <w:spacing w:after="0"/>
              <w:rPr>
                <w:sz w:val="10"/>
                <w:szCs w:val="1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2020</w:t>
            </w:r>
          </w:p>
        </w:tc>
      </w:tr>
      <w:tr>
        <w:trPr>
          <w:trHeight w:val="118"/>
        </w:trPr>
        <w:tc>
          <w:tcPr>
            <w:tcW w:w="81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Compensation</w:t>
            </w:r>
          </w:p>
        </w:tc>
        <w:tc>
          <w:tcPr>
            <w:tcW w:w="1060" w:type="dxa"/>
            <w:vAlign w:val="bottom"/>
            <w:shd w:val="clear" w:color="auto" w:fill="CCEEFF"/>
          </w:tcPr>
          <w:p>
            <w:pPr>
              <w:jc w:val="right"/>
              <w:ind w:right="95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2,718</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jc w:val="right"/>
              <w:ind w:right="119"/>
              <w:spacing w:after="0" w:line="118" w:lineRule="exact"/>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3,324</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Director and officer liability insurance (Note 10)</w:t>
            </w:r>
          </w:p>
        </w:tc>
        <w:tc>
          <w:tcPr>
            <w:tcW w:w="106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2"/>
                <w:szCs w:val="12"/>
                <w:color w:val="auto"/>
              </w:rPr>
              <w:t>2,188</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1,563</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Clinical trial costs and fees</w:t>
            </w:r>
          </w:p>
        </w:tc>
        <w:tc>
          <w:tcPr>
            <w:tcW w:w="10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223</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188</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Professional fees</w:t>
            </w:r>
          </w:p>
        </w:tc>
        <w:tc>
          <w:tcPr>
            <w:tcW w:w="106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2"/>
                <w:szCs w:val="12"/>
                <w:color w:val="auto"/>
              </w:rPr>
              <w:t>106</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87</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Controlled launch (Note 9)</w:t>
            </w:r>
          </w:p>
        </w:tc>
        <w:tc>
          <w:tcPr>
            <w:tcW w:w="10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135</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tcBorders>
              <w:bottom w:val="single" w:sz="8" w:color="CCEEFF"/>
            </w:tcBorders>
          </w:tcPr>
          <w:p>
            <w:pPr>
              <w:spacing w:after="0" w:line="129" w:lineRule="exact"/>
              <w:rPr>
                <w:sz w:val="20"/>
                <w:szCs w:val="20"/>
                <w:color w:val="auto"/>
              </w:rPr>
            </w:pPr>
            <w:r>
              <w:rPr>
                <w:rFonts w:ascii="Arial" w:cs="Arial" w:eastAsia="Arial" w:hAnsi="Arial"/>
                <w:sz w:val="12"/>
                <w:szCs w:val="12"/>
                <w:color w:val="auto"/>
              </w:rPr>
              <w:t>Other</w:t>
            </w:r>
          </w:p>
        </w:tc>
        <w:tc>
          <w:tcPr>
            <w:tcW w:w="10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247</w:t>
            </w:r>
          </w:p>
        </w:tc>
        <w:tc>
          <w:tcPr>
            <w:tcW w:w="1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164</w:t>
            </w:r>
          </w:p>
        </w:tc>
      </w:tr>
      <w:tr>
        <w:trPr>
          <w:trHeight w:val="126"/>
        </w:trPr>
        <w:tc>
          <w:tcPr>
            <w:tcW w:w="8160" w:type="dxa"/>
            <w:vAlign w:val="bottom"/>
            <w:tcBorders>
              <w:bottom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Total accrued expenses</w:t>
            </w:r>
          </w:p>
        </w:tc>
        <w:tc>
          <w:tcPr>
            <w:tcW w:w="10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5,617</w:t>
            </w:r>
          </w:p>
        </w:tc>
        <w:tc>
          <w:tcPr>
            <w:tcW w:w="16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jc w:val="right"/>
              <w:ind w:right="119"/>
              <w:spacing w:after="0" w:line="118" w:lineRule="exact"/>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5,326</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Goodwill</w:t>
      </w:r>
    </w:p>
    <w:p>
      <w:pPr>
        <w:spacing w:after="0" w:line="134" w:lineRule="exact"/>
        <w:rPr>
          <w:sz w:val="20"/>
          <w:szCs w:val="20"/>
          <w:color w:val="auto"/>
        </w:rPr>
      </w:pPr>
    </w:p>
    <w:p>
      <w:pPr>
        <w:jc w:val="both"/>
        <w:ind w:right="20" w:firstLine="248"/>
        <w:spacing w:after="0" w:line="255" w:lineRule="auto"/>
        <w:rPr>
          <w:sz w:val="20"/>
          <w:szCs w:val="20"/>
          <w:color w:val="auto"/>
        </w:rPr>
      </w:pPr>
      <w:r>
        <w:rPr>
          <w:rFonts w:ascii="Arial" w:cs="Arial" w:eastAsia="Arial" w:hAnsi="Arial"/>
          <w:sz w:val="12"/>
          <w:szCs w:val="12"/>
          <w:color w:val="auto"/>
        </w:rPr>
        <w:t xml:space="preserve">In 2014, the Company acquired three companies (the acquisitions) for aggregate consideration of $5.5 million. In accordance with ASC Topic 805, </w:t>
      </w:r>
      <w:r>
        <w:rPr>
          <w:rFonts w:ascii="Arial" w:cs="Arial" w:eastAsia="Arial" w:hAnsi="Arial"/>
          <w:sz w:val="12"/>
          <w:szCs w:val="12"/>
          <w:i w:val="1"/>
          <w:iCs w:val="1"/>
          <w:color w:val="auto"/>
        </w:rPr>
        <w:t>Business Combinations</w:t>
      </w:r>
      <w:r>
        <w:rPr>
          <w:rFonts w:ascii="Arial" w:cs="Arial" w:eastAsia="Arial" w:hAnsi="Arial"/>
          <w:sz w:val="12"/>
          <w:szCs w:val="12"/>
          <w:color w:val="auto"/>
        </w:rPr>
        <w:t>, the Company recorded goodwill of $2.8 million in connection with the acquisitions as the consideration paid exceeded the fair value of the net tangible assets and the intangible assets acquired.</w:t>
      </w:r>
    </w:p>
    <w:p>
      <w:pPr>
        <w:spacing w:after="0" w:line="103" w:lineRule="exact"/>
        <w:rPr>
          <w:sz w:val="20"/>
          <w:szCs w:val="20"/>
          <w:color w:val="auto"/>
        </w:rPr>
      </w:pPr>
    </w:p>
    <w:p>
      <w:pPr>
        <w:jc w:val="both"/>
        <w:ind w:firstLine="248"/>
        <w:spacing w:after="0" w:line="300" w:lineRule="auto"/>
        <w:rPr>
          <w:sz w:val="20"/>
          <w:szCs w:val="20"/>
          <w:color w:val="auto"/>
        </w:rPr>
      </w:pPr>
      <w:r>
        <w:rPr>
          <w:rFonts w:ascii="Arial" w:cs="Arial" w:eastAsia="Arial" w:hAnsi="Arial"/>
          <w:sz w:val="11"/>
          <w:szCs w:val="11"/>
          <w:color w:val="auto"/>
        </w:rPr>
        <w:t>The Company reviews goodwill for impairment at least annually or whenever changes in circumstances indicate that the carrying amount of goodwill may not be recoverable. Based on the Company’s annual impairment test as of December 31, 2020 the Company determined that no impairment of goodwill existed and was not aware of any indicators of impairment at such date. In addition, there were no indicators of impairment at March 31, 2021.</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Stockholders’ Equity and Stock-Based Compensation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At-the-Market Equity Offering</w:t>
      </w:r>
    </w:p>
    <w:p>
      <w:pPr>
        <w:spacing w:after="0" w:line="120" w:lineRule="exact"/>
        <w:rPr>
          <w:sz w:val="20"/>
          <w:szCs w:val="20"/>
          <w:color w:val="auto"/>
        </w:rPr>
      </w:pPr>
    </w:p>
    <w:p>
      <w:pPr>
        <w:jc w:val="both"/>
        <w:ind w:right="20" w:firstLine="301"/>
        <w:spacing w:after="0" w:line="232" w:lineRule="auto"/>
        <w:rPr>
          <w:sz w:val="20"/>
          <w:szCs w:val="20"/>
          <w:color w:val="auto"/>
        </w:rPr>
      </w:pPr>
      <w:r>
        <w:rPr>
          <w:rFonts w:ascii="Arial" w:cs="Arial" w:eastAsia="Arial" w:hAnsi="Arial"/>
          <w:sz w:val="12"/>
          <w:szCs w:val="12"/>
          <w:color w:val="auto"/>
        </w:rPr>
        <w:t>On February 4, 2021, the Company entered into a sales agreement (Sales Agreement) with Stifel, Nicolaus &amp; Company, Inc. (Stifel) as sales agent, pursuant to which the Company may offer and sell, from time to time, through Stifel, up to $60.0 million in shares of common stock, by any method permitted by law deemed to be an “at-the-market” offering as defined in Rule 415 promulgated under the Securities Act of 1933, as amended. The Company has no obligation to make any sales of its common stock pursuant to such Sales Agreement. During the three-month period ended March 31, 2021, the Company issued and sold 157,742 shares of common stock under the Sales Agreement. The shares were sold at a weighted average price of $34.29 per share for aggregate net proceeds of approximately $5.0 million, after deducting sales commissions and offering costs payable by the Company. At March 31, 2021, the Company had received $4.9 million of the net proceeds, which are included in cash and cash equivalents on the balance sheet, and has recorded $0.1 million as other receivable due to timing of receipt of funds.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Rights Offering</w:t>
      </w:r>
    </w:p>
    <w:p>
      <w:pPr>
        <w:spacing w:after="0" w:line="120" w:lineRule="exact"/>
        <w:rPr>
          <w:sz w:val="20"/>
          <w:szCs w:val="20"/>
          <w:color w:val="auto"/>
        </w:rPr>
      </w:pPr>
    </w:p>
    <w:p>
      <w:pPr>
        <w:jc w:val="both"/>
        <w:ind w:right="20" w:firstLine="336"/>
        <w:spacing w:after="0" w:line="300" w:lineRule="auto"/>
        <w:rPr>
          <w:sz w:val="20"/>
          <w:szCs w:val="20"/>
          <w:color w:val="auto"/>
        </w:rPr>
      </w:pPr>
      <w:r>
        <w:rPr>
          <w:rFonts w:ascii="Arial" w:cs="Arial" w:eastAsia="Arial" w:hAnsi="Arial"/>
          <w:sz w:val="11"/>
          <w:szCs w:val="11"/>
          <w:color w:val="auto"/>
        </w:rPr>
        <w:t>During June 2020, the Company completed a rights offering to purchase up to $30 million of units, each unit consisting of one share of the Company’s common stock, par value $0.001 per share, and 0.15 warrants to purchase shares of common stock (the Units) at a price of $7.01 per Unit (the Rights Offering). The common stock and warrants comprising the Units separated upon the closing of the Rights Offering and were issued separately.</w:t>
      </w:r>
    </w:p>
    <w:p>
      <w:pPr>
        <w:spacing w:after="0" w:line="62" w:lineRule="exact"/>
        <w:rPr>
          <w:sz w:val="20"/>
          <w:szCs w:val="20"/>
          <w:color w:val="auto"/>
        </w:rPr>
      </w:pPr>
    </w:p>
    <w:p>
      <w:pPr>
        <w:jc w:val="both"/>
        <w:ind w:firstLine="336"/>
        <w:spacing w:after="0" w:line="233" w:lineRule="auto"/>
        <w:rPr>
          <w:sz w:val="20"/>
          <w:szCs w:val="20"/>
          <w:color w:val="auto"/>
        </w:rPr>
      </w:pPr>
      <w:r>
        <w:rPr>
          <w:rFonts w:ascii="Arial" w:cs="Arial" w:eastAsia="Arial" w:hAnsi="Arial"/>
          <w:sz w:val="12"/>
          <w:szCs w:val="12"/>
          <w:color w:val="auto"/>
        </w:rPr>
        <w:t>A total of 4,279,600 shares of common stock and 641,571 warrants (Rights Offering Warrants) were issued and sold in the Rights Offering for net proceeds of approximately $29.4 million. Each warrant was exercisable for one share of the Company’s common stock at an exercise price equal to $7.01, the subscription price for the Units. The Rights Offering Warrants were exercisable immediately and expired on the fifth anniversary of the completion of the Rights Offering, or June 16, 2025, subject to certain redemption rights by the Company. The Rights Offering Warrants were subject to redemption by the Company, on or after December 16, 2020, six months after the issue date, for $0.01 per warrant, with not less than 30 days written notice, if the volume weighted average price of our common stock equaled or exceeded 200% of the exercise price for the Rights Offering Warrants for 10 consecutive trading days.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1" w:name="page12"/>
    <w:bookmarkEnd w:id="11"/>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46" w:lineRule="exact"/>
        <w:rPr>
          <w:sz w:val="20"/>
          <w:szCs w:val="20"/>
          <w:color w:val="auto"/>
        </w:rPr>
      </w:pPr>
    </w:p>
    <w:p>
      <w:pPr>
        <w:jc w:val="both"/>
        <w:ind w:right="20" w:firstLine="336"/>
        <w:spacing w:after="0" w:line="239" w:lineRule="auto"/>
        <w:rPr>
          <w:sz w:val="20"/>
          <w:szCs w:val="20"/>
          <w:color w:val="auto"/>
        </w:rPr>
      </w:pPr>
      <w:r>
        <w:rPr>
          <w:rFonts w:ascii="Arial" w:cs="Arial" w:eastAsia="Arial" w:hAnsi="Arial"/>
          <w:sz w:val="12"/>
          <w:szCs w:val="12"/>
          <w:color w:val="auto"/>
        </w:rPr>
        <w:t>Robert W. Duggan, principal stockholder and Chairman of the board of directors, who was the beneficial owner of approximately 43% of the Company’s outstanding common stock prior to the Rights Offering, participated in the Rights Offering and purchased an aggregate of 2,561,873 Units. After giving effect to the Rights Offering, including exercise of the Rights Offering Warrants, Mr. Duggan is the beneficial owner of approximately 47% of the Company’s outstanding common stock as of March 31, 2021.</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Common Stock Warrants</w:t>
      </w:r>
    </w:p>
    <w:p>
      <w:pPr>
        <w:spacing w:after="0" w:line="120" w:lineRule="exact"/>
        <w:rPr>
          <w:sz w:val="20"/>
          <w:szCs w:val="20"/>
          <w:color w:val="auto"/>
        </w:rPr>
      </w:pPr>
    </w:p>
    <w:p>
      <w:pPr>
        <w:jc w:val="both"/>
        <w:ind w:right="20" w:firstLine="336"/>
        <w:spacing w:after="0" w:line="272" w:lineRule="auto"/>
        <w:rPr>
          <w:sz w:val="20"/>
          <w:szCs w:val="20"/>
          <w:color w:val="auto"/>
        </w:rPr>
      </w:pPr>
      <w:r>
        <w:rPr>
          <w:rFonts w:ascii="Arial" w:cs="Arial" w:eastAsia="Arial" w:hAnsi="Arial"/>
          <w:sz w:val="11"/>
          <w:szCs w:val="11"/>
          <w:color w:val="auto"/>
        </w:rPr>
        <w:t>In connection with a private placement in 2014 of the Company’s common stock, par value $0.001 per share, the Company issued warrants as compensation to the placement agent to purchase a total of 299,625 shares of its common stock at an exercise price of $2.67 per share (Private Placement Warrants). The Private Placement Warrants are exercisable for period of seven years from issuance. In March 2021, warrants to purchase 45,638 shares of common stock were net exercised, resulting in the issuance of 40,563 shares of common stock. As of March 31, 2021, there were a total of 600 of Private Placement Warrants outstanding.</w:t>
      </w:r>
    </w:p>
    <w:p>
      <w:pPr>
        <w:spacing w:after="0" w:line="96" w:lineRule="exact"/>
        <w:rPr>
          <w:sz w:val="20"/>
          <w:szCs w:val="20"/>
          <w:color w:val="auto"/>
        </w:rPr>
      </w:pPr>
    </w:p>
    <w:p>
      <w:pPr>
        <w:jc w:val="both"/>
        <w:ind w:firstLine="443"/>
        <w:spacing w:after="0" w:line="239" w:lineRule="auto"/>
        <w:rPr>
          <w:sz w:val="20"/>
          <w:szCs w:val="20"/>
          <w:color w:val="auto"/>
        </w:rPr>
      </w:pPr>
      <w:r>
        <w:rPr>
          <w:rFonts w:ascii="Arial" w:cs="Arial" w:eastAsia="Arial" w:hAnsi="Arial"/>
          <w:sz w:val="12"/>
          <w:szCs w:val="12"/>
          <w:color w:val="auto"/>
        </w:rPr>
        <w:t>In connection with the closing of the Company’s initial public offering in 2016, the Company issued warrants as compensation to its underwriters, to purchase a total of 574,985 shares of its common stock at an exercise price of $5.00 per share (IPO Warrants). The IPO Warrants were exercisable for a period of five years from issuance. In March 2021, warrants to purchase 85,385 shares of common stock were net exercised, resulting in the issuance of 68,958 shares of common stock. As of March 31, 2021, there were no IPO Warrants outstanding.</w:t>
      </w:r>
    </w:p>
    <w:p>
      <w:pPr>
        <w:spacing w:after="0" w:line="114" w:lineRule="exact"/>
        <w:rPr>
          <w:sz w:val="20"/>
          <w:szCs w:val="20"/>
          <w:color w:val="auto"/>
        </w:rPr>
      </w:pPr>
    </w:p>
    <w:p>
      <w:pPr>
        <w:jc w:val="both"/>
        <w:ind w:firstLine="443"/>
        <w:spacing w:after="0" w:line="236" w:lineRule="auto"/>
        <w:rPr>
          <w:sz w:val="20"/>
          <w:szCs w:val="20"/>
          <w:color w:val="auto"/>
        </w:rPr>
      </w:pPr>
      <w:r>
        <w:rPr>
          <w:rFonts w:ascii="Arial" w:cs="Arial" w:eastAsia="Arial" w:hAnsi="Arial"/>
          <w:sz w:val="12"/>
          <w:szCs w:val="12"/>
          <w:color w:val="auto"/>
        </w:rPr>
        <w:t>In connection with the Rights Offering, the Company issued warrants to purchase a total of 641,571 shares of its common stock at an exercise price of $7.01. On December 31, 2020 the Company met the requirements for redemption of these warrants and delivered a notice of redemption to redeem all of the outstanding warrants that remained unexercised at February 5, 2021, for the redemption price of $0.01 per warrant. Pursuant to the redemption, the Company redeemed 5,139 warrants. Prior to the February 5, 2021 redemption date, 636,432 warrants were exercised, generating approximately $4.5 million of total gross proceeds to the Company. As of March 31, 2021, there were no Rights Offering Warrants outstanding.</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Plans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2017 Equity Incentive Plan and 2017 Inducement Equity Incentive Plan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Board of Directors of the Company (Board) previously adopted, and the Company’s stockholders approved, the Company’s 2017 Equity Incentive Plan (2017 Plan).</w:t>
      </w:r>
    </w:p>
    <w:p>
      <w:pPr>
        <w:spacing w:after="0" w:line="120" w:lineRule="exact"/>
        <w:rPr>
          <w:sz w:val="20"/>
          <w:szCs w:val="20"/>
          <w:color w:val="auto"/>
        </w:rPr>
      </w:pPr>
    </w:p>
    <w:p>
      <w:pPr>
        <w:jc w:val="both"/>
        <w:ind w:firstLine="248"/>
        <w:spacing w:after="0" w:line="230" w:lineRule="auto"/>
        <w:rPr>
          <w:sz w:val="20"/>
          <w:szCs w:val="20"/>
          <w:color w:val="auto"/>
        </w:rPr>
      </w:pPr>
      <w:r>
        <w:rPr>
          <w:rFonts w:ascii="Arial" w:cs="Arial" w:eastAsia="Arial" w:hAnsi="Arial"/>
          <w:sz w:val="12"/>
          <w:szCs w:val="12"/>
          <w:color w:val="auto"/>
        </w:rPr>
        <w:t>The 2017 Plan has a 10-year term, and provides for the grant of stock options, stock appreciation rights, restricted stock, restricted stock units, performance units, and performance shares to employees, directors and consultants of the Company and any parent or subsidiary of the Company, as the Compensation Committee of the Board may determine. 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(2015 Plan), and shares reserved but not issued pursuant to outstanding equity awards that expire or terminate without being exercised or that are forfeited or repurchased by the Company will be added to the shares of common stock available for issuance under the 2017 Plan. The 2017 Plan is administered by the Board’s Compensation Committee. Effective January 1, 2021, the Company’s Board authorized an increase in the number of shares of common stock available under the 2017 Plan by 1,022,002 shares pursuant to the evergreen provision of the 2017 Plan. Pursuant to the 2017 Plan, the 2021 share increase is determined based on the least of (i) 1,200,000 shares, (ii) 4% of the Company’s common stock outstanding at December 31 of the immediately preceding year, or (iii) such number of shares as determined by the Board. As of March 31, 2021, 998,290 shares of common stock remained available for issuance under the 2017 Plan.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2" w:name="page13"/>
    <w:bookmarkEnd w:id="12"/>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64" w:lineRule="exact"/>
        <w:rPr>
          <w:sz w:val="20"/>
          <w:szCs w:val="20"/>
          <w:color w:val="auto"/>
        </w:rPr>
      </w:pPr>
    </w:p>
    <w:p>
      <w:pPr>
        <w:jc w:val="both"/>
        <w:ind w:firstLine="248"/>
        <w:spacing w:after="0" w:line="256" w:lineRule="auto"/>
        <w:rPr>
          <w:sz w:val="20"/>
          <w:szCs w:val="20"/>
          <w:color w:val="auto"/>
        </w:rPr>
      </w:pPr>
      <w:r>
        <w:rPr>
          <w:rFonts w:ascii="Arial" w:cs="Arial" w:eastAsia="Arial" w:hAnsi="Arial"/>
          <w:sz w:val="11"/>
          <w:szCs w:val="11"/>
          <w:color w:val="auto"/>
        </w:rPr>
        <w:t>During November 2017, the Board adopted the 2017 Inducement Equity Incentive Plan (Inducement Plan) and reserved 1,000,000 shares of the Company’s common stock for issuance pursuant to equity awards granted under the Inducement Plan. The Inducement Plan was adopted without stockholder approval. The Inducement Plan has a 10-year term, and provides for the grant of equity-based awards, including nonstatutory stock options, restricted stock units,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grants generally vest 25% annual starting upon the first anniversary of the grant. Equity-based awards issued under the Inducement Plan are only issuable to individuals not previously engaged as employees or non-employee directors of the Company prior to the Inducement Plan’s adoption date. As of March 31, 2021, 23,346 shares of common stock remained available for issuance under the Inducement Plan.</w:t>
      </w:r>
    </w:p>
    <w:p>
      <w:pPr>
        <w:spacing w:after="0" w:line="95" w:lineRule="exact"/>
        <w:rPr>
          <w:sz w:val="20"/>
          <w:szCs w:val="20"/>
          <w:color w:val="auto"/>
        </w:rPr>
      </w:pPr>
    </w:p>
    <w:p>
      <w:pPr>
        <w:jc w:val="both"/>
        <w:ind w:firstLine="301"/>
        <w:spacing w:after="0" w:line="300" w:lineRule="auto"/>
        <w:rPr>
          <w:sz w:val="20"/>
          <w:szCs w:val="20"/>
          <w:color w:val="auto"/>
        </w:rPr>
      </w:pPr>
      <w:r>
        <w:rPr>
          <w:rFonts w:ascii="Arial" w:cs="Arial" w:eastAsia="Arial" w:hAnsi="Arial"/>
          <w:sz w:val="11"/>
          <w:szCs w:val="11"/>
          <w:color w:val="auto"/>
        </w:rPr>
        <w:t>Certain stock options awarded to the Company’s executives and other key employees contain performance conditions related to certain financial measures and achievements of strategic/operational milestones (performance options). As of March 31, 2021, not all of the performance conditions are probable to be achieved. Compensation expense has only been recognized for those conditions that are assumed to be probable.</w:t>
      </w:r>
    </w:p>
    <w:p>
      <w:pPr>
        <w:spacing w:after="0" w:line="71"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During February 2021, Management and the Compensation Committee approved of a modification to certain vesting conditions of outstanding performance options. The Company had not recognized any compensation expense in relation to these performance options as the performance condition was previously deemed to be improbable. However, upon modification those specific performance conditions are now deemed probable and fully vested. As such, during the three-month period ended March 31, 2021, the full expense in relation to the amended performance conditions was recognized resulting in $4.2 million of additional stock-compensation expense.</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2017 Employee Stock Purchase Plan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Board previously adopted and the stockholders approved the Company’s 2017 Employee Stock Purchase Plan (2017 ESPP).</w:t>
      </w:r>
    </w:p>
    <w:p>
      <w:pPr>
        <w:spacing w:after="0" w:line="130" w:lineRule="exact"/>
        <w:rPr>
          <w:sz w:val="20"/>
          <w:szCs w:val="20"/>
          <w:color w:val="auto"/>
        </w:rPr>
      </w:pPr>
    </w:p>
    <w:p>
      <w:pPr>
        <w:jc w:val="both"/>
        <w:ind w:firstLine="248"/>
        <w:spacing w:after="0" w:line="232" w:lineRule="auto"/>
        <w:rPr>
          <w:sz w:val="20"/>
          <w:szCs w:val="20"/>
          <w:color w:val="auto"/>
        </w:rPr>
      </w:pPr>
      <w:r>
        <w:rPr>
          <w:rFonts w:ascii="Arial" w:cs="Arial" w:eastAsia="Arial" w:hAnsi="Arial"/>
          <w:sz w:val="12"/>
          <w:szCs w:val="12"/>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Pursuant to the 2017 ESPP, the annual share increase pursuant to the evergreen provision is determined based on the least of (i) 450,000 shares, (ii) 1.5% of the Company’s common stock outstanding at December 31 of the immediately preceding year, or (iii) such number of shares as determined by the Board. Effective January 1, 2021, pursuant to the evergreen provision of the 2017 ESPP, the number of shares of common stock available under the 2017 ESPP was increased by 383,250 shares. During the three-month period ended March 31, 2021, the Company issued 68,057 shares of common stock under the 2017 ESPP. As of March 31, 2021, 672,417 shares of common stock remained available for issuance under the 2017 ESPP.</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 summary of stock option activity under the 2015 Plan, 2017 Plan and Inducement Plan for the three-months ended March 31, 2021 is presented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5340" w:type="dxa"/>
            <w:vAlign w:val="bottom"/>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3"/>
          </w:tcPr>
          <w:p>
            <w:pPr>
              <w:jc w:val="right"/>
              <w:ind w:right="409"/>
              <w:spacing w:after="0"/>
              <w:rPr>
                <w:sz w:val="20"/>
                <w:szCs w:val="20"/>
                <w:color w:val="auto"/>
              </w:rPr>
            </w:pPr>
            <w:r>
              <w:rPr>
                <w:rFonts w:ascii="Arial" w:cs="Arial" w:eastAsia="Arial" w:hAnsi="Arial"/>
                <w:sz w:val="10"/>
                <w:szCs w:val="10"/>
                <w:b w:val="1"/>
                <w:bCs w:val="1"/>
                <w:color w:val="auto"/>
              </w:rPr>
              <w:t>Stock Options Outstanding</w:t>
            </w:r>
          </w:p>
        </w:tc>
        <w:tc>
          <w:tcPr>
            <w:tcW w:w="1940" w:type="dxa"/>
            <w:vAlign w:val="bottom"/>
            <w:tcBorders>
              <w:bottom w:val="single" w:sz="8" w:color="auto"/>
            </w:tcBorders>
          </w:tcPr>
          <w:p>
            <w:pPr>
              <w:spacing w:after="0"/>
              <w:rPr>
                <w:sz w:val="10"/>
                <w:szCs w:val="10"/>
                <w:color w:val="auto"/>
              </w:rPr>
            </w:pPr>
          </w:p>
        </w:tc>
      </w:tr>
      <w:tr>
        <w:trPr>
          <w:trHeight w:val="76"/>
        </w:trPr>
        <w:tc>
          <w:tcPr>
            <w:tcW w:w="53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940" w:type="dxa"/>
            <w:vAlign w:val="bottom"/>
          </w:tcPr>
          <w:p>
            <w:pPr>
              <w:jc w:val="center"/>
              <w:ind w:right="367"/>
              <w:spacing w:after="0" w:line="76" w:lineRule="exact"/>
              <w:rPr>
                <w:sz w:val="20"/>
                <w:szCs w:val="20"/>
                <w:color w:val="auto"/>
              </w:rPr>
            </w:pPr>
            <w:r>
              <w:rPr>
                <w:rFonts w:ascii="Arial" w:cs="Arial" w:eastAsia="Arial" w:hAnsi="Arial"/>
                <w:sz w:val="7"/>
                <w:szCs w:val="7"/>
                <w:b w:val="1"/>
                <w:bCs w:val="1"/>
                <w:color w:val="auto"/>
              </w:rPr>
              <w:t>Weighted</w:t>
            </w:r>
          </w:p>
        </w:tc>
      </w:tr>
      <w:tr>
        <w:trPr>
          <w:trHeight w:val="101"/>
        </w:trPr>
        <w:tc>
          <w:tcPr>
            <w:tcW w:w="5340" w:type="dxa"/>
            <w:vAlign w:val="bottom"/>
          </w:tcPr>
          <w:p>
            <w:pPr>
              <w:spacing w:after="0"/>
              <w:rPr>
                <w:sz w:val="8"/>
                <w:szCs w:val="8"/>
                <w:color w:val="auto"/>
              </w:rPr>
            </w:pPr>
          </w:p>
        </w:tc>
        <w:tc>
          <w:tcPr>
            <w:tcW w:w="2080" w:type="dxa"/>
            <w:vAlign w:val="bottom"/>
          </w:tcPr>
          <w:p>
            <w:pPr>
              <w:ind w:left="1360"/>
              <w:spacing w:after="0" w:line="102" w:lineRule="exact"/>
              <w:rPr>
                <w:sz w:val="20"/>
                <w:szCs w:val="20"/>
                <w:color w:val="auto"/>
              </w:rPr>
            </w:pPr>
            <w:r>
              <w:rPr>
                <w:rFonts w:ascii="Arial" w:cs="Arial" w:eastAsia="Arial" w:hAnsi="Arial"/>
                <w:sz w:val="10"/>
                <w:szCs w:val="10"/>
                <w:b w:val="1"/>
                <w:bCs w:val="1"/>
                <w:color w:val="auto"/>
              </w:rPr>
              <w:t>Number</w:t>
            </w: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940" w:type="dxa"/>
            <w:vAlign w:val="bottom"/>
          </w:tcPr>
          <w:p>
            <w:pPr>
              <w:jc w:val="center"/>
              <w:ind w:right="347"/>
              <w:spacing w:after="0" w:line="102" w:lineRule="exact"/>
              <w:rPr>
                <w:sz w:val="20"/>
                <w:szCs w:val="20"/>
                <w:color w:val="auto"/>
              </w:rPr>
            </w:pPr>
            <w:r>
              <w:rPr>
                <w:rFonts w:ascii="Arial" w:cs="Arial" w:eastAsia="Arial" w:hAnsi="Arial"/>
                <w:sz w:val="10"/>
                <w:szCs w:val="10"/>
                <w:b w:val="1"/>
                <w:bCs w:val="1"/>
                <w:color w:val="auto"/>
                <w:w w:val="89"/>
              </w:rPr>
              <w:t>average</w:t>
            </w:r>
          </w:p>
        </w:tc>
      </w:tr>
      <w:tr>
        <w:trPr>
          <w:trHeight w:val="116"/>
        </w:trPr>
        <w:tc>
          <w:tcPr>
            <w:tcW w:w="5340" w:type="dxa"/>
            <w:vAlign w:val="bottom"/>
            <w:tcBorders>
              <w:bottom w:val="single" w:sz="8" w:color="CCEEFF"/>
            </w:tcBorders>
          </w:tcPr>
          <w:p>
            <w:pPr>
              <w:spacing w:after="0"/>
              <w:rPr>
                <w:sz w:val="10"/>
                <w:szCs w:val="10"/>
                <w:color w:val="auto"/>
              </w:rPr>
            </w:pPr>
          </w:p>
        </w:tc>
        <w:tc>
          <w:tcPr>
            <w:tcW w:w="2080" w:type="dxa"/>
            <w:vAlign w:val="bottom"/>
            <w:tcBorders>
              <w:bottom w:val="single" w:sz="8" w:color="auto"/>
            </w:tcBorders>
          </w:tcPr>
          <w:p>
            <w:pPr>
              <w:ind w:left="1360"/>
              <w:spacing w:after="0"/>
              <w:rPr>
                <w:sz w:val="20"/>
                <w:szCs w:val="20"/>
                <w:color w:val="auto"/>
              </w:rPr>
            </w:pPr>
            <w:r>
              <w:rPr>
                <w:rFonts w:ascii="Arial" w:cs="Arial" w:eastAsia="Arial" w:hAnsi="Arial"/>
                <w:sz w:val="10"/>
                <w:szCs w:val="10"/>
                <w:b w:val="1"/>
                <w:bCs w:val="1"/>
                <w:color w:val="auto"/>
              </w:rPr>
              <w:t>of shares</w:t>
            </w:r>
          </w:p>
        </w:tc>
        <w:tc>
          <w:tcPr>
            <w:tcW w:w="102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jc w:val="center"/>
              <w:ind w:right="347"/>
              <w:spacing w:after="0"/>
              <w:rPr>
                <w:sz w:val="20"/>
                <w:szCs w:val="20"/>
                <w:color w:val="auto"/>
              </w:rPr>
            </w:pPr>
            <w:r>
              <w:rPr>
                <w:rFonts w:ascii="Arial" w:cs="Arial" w:eastAsia="Arial" w:hAnsi="Arial"/>
                <w:sz w:val="10"/>
                <w:szCs w:val="10"/>
                <w:b w:val="1"/>
                <w:bCs w:val="1"/>
                <w:color w:val="auto"/>
                <w:w w:val="86"/>
              </w:rPr>
              <w:t>exercise price</w:t>
            </w:r>
          </w:p>
        </w:tc>
      </w:tr>
      <w:tr>
        <w:trPr>
          <w:trHeight w:val="118"/>
        </w:trPr>
        <w:tc>
          <w:tcPr>
            <w:tcW w:w="53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Balances — December 31, 2020</w:t>
            </w:r>
          </w:p>
        </w:tc>
        <w:tc>
          <w:tcPr>
            <w:tcW w:w="208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5,039,194</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194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14.26</w:t>
            </w:r>
          </w:p>
        </w:tc>
      </w:tr>
      <w:tr>
        <w:trPr>
          <w:trHeight w:val="129"/>
        </w:trPr>
        <w:tc>
          <w:tcPr>
            <w:tcW w:w="7420" w:type="dxa"/>
            <w:vAlign w:val="bottom"/>
            <w:gridSpan w:val="2"/>
          </w:tcPr>
          <w:p>
            <w:pPr>
              <w:spacing w:after="0" w:line="129" w:lineRule="exact"/>
              <w:rPr>
                <w:sz w:val="20"/>
                <w:szCs w:val="20"/>
                <w:color w:val="auto"/>
              </w:rPr>
            </w:pPr>
            <w:r>
              <w:rPr>
                <w:rFonts w:ascii="Arial" w:cs="Arial" w:eastAsia="Arial" w:hAnsi="Arial"/>
                <w:sz w:val="12"/>
                <w:szCs w:val="12"/>
                <w:color w:val="auto"/>
              </w:rPr>
              <w:t>Options granted</w:t>
            </w:r>
          </w:p>
        </w:tc>
        <w:tc>
          <w:tcPr>
            <w:tcW w:w="1020" w:type="dxa"/>
            <w:vAlign w:val="bottom"/>
          </w:tcPr>
          <w:p>
            <w:pPr>
              <w:jc w:val="right"/>
              <w:spacing w:after="0" w:line="129" w:lineRule="exact"/>
              <w:rPr>
                <w:sz w:val="20"/>
                <w:szCs w:val="20"/>
                <w:color w:val="auto"/>
              </w:rPr>
            </w:pPr>
            <w:r>
              <w:rPr>
                <w:rFonts w:ascii="Arial" w:cs="Arial" w:eastAsia="Arial" w:hAnsi="Arial"/>
                <w:sz w:val="12"/>
                <w:szCs w:val="12"/>
                <w:color w:val="auto"/>
              </w:rPr>
              <w:t>608,815</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40" w:type="dxa"/>
            <w:vAlign w:val="bottom"/>
          </w:tcPr>
          <w:p>
            <w:pPr>
              <w:spacing w:after="0"/>
              <w:rPr>
                <w:sz w:val="11"/>
                <w:szCs w:val="11"/>
                <w:color w:val="auto"/>
              </w:rPr>
            </w:pPr>
          </w:p>
        </w:tc>
      </w:tr>
      <w:tr>
        <w:trPr>
          <w:trHeight w:val="129"/>
        </w:trPr>
        <w:tc>
          <w:tcPr>
            <w:tcW w:w="742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Options exercised</w:t>
            </w:r>
          </w:p>
        </w:tc>
        <w:tc>
          <w:tcPr>
            <w:tcW w:w="118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(39,981)</w:t>
            </w:r>
          </w:p>
        </w:tc>
        <w:tc>
          <w:tcPr>
            <w:tcW w:w="7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r>
      <w:tr>
        <w:trPr>
          <w:trHeight w:val="129"/>
        </w:trPr>
        <w:tc>
          <w:tcPr>
            <w:tcW w:w="7420" w:type="dxa"/>
            <w:vAlign w:val="bottom"/>
            <w:gridSpan w:val="2"/>
          </w:tcPr>
          <w:p>
            <w:pPr>
              <w:spacing w:after="0" w:line="129" w:lineRule="exact"/>
              <w:rPr>
                <w:sz w:val="20"/>
                <w:szCs w:val="20"/>
                <w:color w:val="auto"/>
              </w:rPr>
            </w:pPr>
            <w:r>
              <w:rPr>
                <w:rFonts w:ascii="Arial" w:cs="Arial" w:eastAsia="Arial" w:hAnsi="Arial"/>
                <w:sz w:val="12"/>
                <w:szCs w:val="12"/>
                <w:color w:val="auto"/>
              </w:rPr>
              <w:t>Options canceled</w:t>
            </w:r>
          </w:p>
        </w:tc>
        <w:tc>
          <w:tcPr>
            <w:tcW w:w="118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(68,654)</w:t>
            </w:r>
          </w:p>
        </w:tc>
        <w:tc>
          <w:tcPr>
            <w:tcW w:w="760" w:type="dxa"/>
            <w:vAlign w:val="bottom"/>
          </w:tcPr>
          <w:p>
            <w:pPr>
              <w:spacing w:after="0"/>
              <w:rPr>
                <w:sz w:val="11"/>
                <w:szCs w:val="11"/>
                <w:color w:val="auto"/>
              </w:rPr>
            </w:pPr>
          </w:p>
        </w:tc>
        <w:tc>
          <w:tcPr>
            <w:tcW w:w="1940" w:type="dxa"/>
            <w:vAlign w:val="bottom"/>
          </w:tcPr>
          <w:p>
            <w:pPr>
              <w:spacing w:after="0"/>
              <w:rPr>
                <w:sz w:val="11"/>
                <w:szCs w:val="11"/>
                <w:color w:val="auto"/>
              </w:rPr>
            </w:pPr>
          </w:p>
        </w:tc>
      </w:tr>
      <w:tr>
        <w:trPr>
          <w:trHeight w:val="129"/>
        </w:trPr>
        <w:tc>
          <w:tcPr>
            <w:tcW w:w="742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Options expired</w:t>
            </w:r>
          </w:p>
        </w:tc>
        <w:tc>
          <w:tcPr>
            <w:tcW w:w="118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(62,738)</w:t>
            </w:r>
          </w:p>
        </w:tc>
        <w:tc>
          <w:tcPr>
            <w:tcW w:w="7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r>
      <w:tr>
        <w:trPr>
          <w:trHeight w:val="126"/>
        </w:trPr>
        <w:tc>
          <w:tcPr>
            <w:tcW w:w="5340" w:type="dxa"/>
            <w:vAlign w:val="bottom"/>
            <w:tcBorders>
              <w:bottom w:val="single" w:sz="8" w:color="CCEEFF"/>
            </w:tcBorders>
          </w:tcPr>
          <w:p>
            <w:pPr>
              <w:spacing w:after="0" w:line="118" w:lineRule="exact"/>
              <w:rPr>
                <w:sz w:val="20"/>
                <w:szCs w:val="20"/>
                <w:color w:val="auto"/>
              </w:rPr>
            </w:pPr>
            <w:r>
              <w:rPr>
                <w:rFonts w:ascii="Arial" w:cs="Arial" w:eastAsia="Arial" w:hAnsi="Arial"/>
                <w:sz w:val="12"/>
                <w:szCs w:val="12"/>
                <w:color w:val="auto"/>
              </w:rPr>
              <w:t>Balances — March 31, 2021</w:t>
            </w:r>
          </w:p>
        </w:tc>
        <w:tc>
          <w:tcPr>
            <w:tcW w:w="2080" w:type="dxa"/>
            <w:vAlign w:val="bottom"/>
            <w:tcBorders>
              <w:top w:val="single" w:sz="8" w:color="auto"/>
              <w:bottom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5,476,636</w:t>
            </w:r>
          </w:p>
        </w:tc>
        <w:tc>
          <w:tcPr>
            <w:tcW w:w="16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jc w:val="right"/>
              <w:ind w:right="649"/>
              <w:spacing w:after="0"/>
              <w:rPr>
                <w:sz w:val="20"/>
                <w:szCs w:val="20"/>
                <w:color w:val="auto"/>
              </w:rPr>
            </w:pPr>
            <w:r>
              <w:rPr>
                <w:rFonts w:ascii="Arial" w:cs="Arial" w:eastAsia="Arial" w:hAnsi="Arial"/>
                <w:sz w:val="10"/>
                <w:szCs w:val="10"/>
                <w:color w:val="auto"/>
                <w:w w:val="71"/>
              </w:rPr>
              <w:t>$</w:t>
            </w:r>
          </w:p>
        </w:tc>
        <w:tc>
          <w:tcPr>
            <w:tcW w:w="1940" w:type="dxa"/>
            <w:vAlign w:val="bottom"/>
            <w:tcBorders>
              <w:bottom w:val="single" w:sz="8" w:color="CCEEFF"/>
            </w:tcBorders>
          </w:tcPr>
          <w:p>
            <w:pPr>
              <w:jc w:val="right"/>
              <w:spacing w:after="0" w:line="118" w:lineRule="exact"/>
              <w:rPr>
                <w:sz w:val="20"/>
                <w:szCs w:val="20"/>
                <w:color w:val="auto"/>
              </w:rPr>
            </w:pPr>
            <w:r>
              <w:rPr>
                <w:rFonts w:ascii="Arial" w:cs="Arial" w:eastAsia="Arial" w:hAnsi="Arial"/>
                <w:sz w:val="12"/>
                <w:szCs w:val="12"/>
                <w:color w:val="auto"/>
              </w:rPr>
              <w:t>15.47</w:t>
            </w:r>
          </w:p>
        </w:tc>
      </w:tr>
      <w:tr>
        <w:trPr>
          <w:trHeight w:val="137"/>
        </w:trPr>
        <w:tc>
          <w:tcPr>
            <w:tcW w:w="534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2"/>
                <w:szCs w:val="12"/>
                <w:color w:val="auto"/>
              </w:rPr>
              <w:t>Exercisable — March 31, 2021</w:t>
            </w:r>
          </w:p>
        </w:tc>
        <w:tc>
          <w:tcPr>
            <w:tcW w:w="208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2,905,929</w:t>
            </w:r>
          </w:p>
        </w:tc>
        <w:tc>
          <w:tcPr>
            <w:tcW w:w="1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194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16.13</w:t>
            </w:r>
          </w:p>
        </w:tc>
      </w:tr>
      <w:tr>
        <w:trPr>
          <w:trHeight w:val="396"/>
        </w:trPr>
        <w:tc>
          <w:tcPr>
            <w:tcW w:w="7420" w:type="dxa"/>
            <w:vAlign w:val="bottom"/>
            <w:gridSpan w:val="2"/>
          </w:tcPr>
          <w:p>
            <w:pPr>
              <w:ind w:left="5580"/>
              <w:spacing w:after="0"/>
              <w:rPr>
                <w:sz w:val="20"/>
                <w:szCs w:val="20"/>
                <w:color w:val="auto"/>
              </w:rPr>
            </w:pPr>
            <w:r>
              <w:rPr>
                <w:rFonts w:ascii="Arial" w:cs="Arial" w:eastAsia="Arial" w:hAnsi="Arial"/>
                <w:sz w:val="12"/>
                <w:szCs w:val="12"/>
                <w:color w:val="auto"/>
              </w:rPr>
              <w:t>13</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3"/>
        </w:trPr>
        <w:tc>
          <w:tcPr>
            <w:tcW w:w="5340" w:type="dxa"/>
            <w:vAlign w:val="bottom"/>
            <w:tcBorders>
              <w:bottom w:val="single" w:sz="8" w:color="9A9A9A"/>
            </w:tcBorders>
          </w:tcPr>
          <w:p>
            <w:pPr>
              <w:spacing w:after="0"/>
              <w:rPr>
                <w:sz w:val="18"/>
                <w:szCs w:val="18"/>
                <w:color w:val="auto"/>
              </w:rPr>
            </w:pPr>
          </w:p>
        </w:tc>
        <w:tc>
          <w:tcPr>
            <w:tcW w:w="208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-23495</wp:posOffset>
            </wp:positionV>
            <wp:extent cx="3111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-23495</wp:posOffset>
            </wp:positionV>
            <wp:extent cx="3111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3" w:name="page14"/>
    <w:bookmarkEnd w:id="13"/>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Total stock-based compensation expense consisted of the following (in thousands):</w:t>
      </w:r>
    </w:p>
    <w:p>
      <w:pPr>
        <w:spacing w:after="0" w:line="19" w:lineRule="exact"/>
        <w:rPr>
          <w:sz w:val="20"/>
          <w:szCs w:val="20"/>
          <w:color w:val="auto"/>
        </w:rPr>
      </w:pPr>
    </w:p>
    <w:p>
      <w:pPr>
        <w:jc w:val="center"/>
        <w:ind w:left="8160"/>
        <w:spacing w:after="0"/>
        <w:rPr>
          <w:sz w:val="20"/>
          <w:szCs w:val="20"/>
          <w:color w:val="auto"/>
        </w:rPr>
      </w:pPr>
      <w:r>
        <w:rPr>
          <w:rFonts w:ascii="Arial" w:cs="Arial" w:eastAsia="Arial" w:hAnsi="Arial"/>
          <w:sz w:val="10"/>
          <w:szCs w:val="10"/>
          <w:b w:val="1"/>
          <w:bCs w:val="1"/>
          <w:color w:val="auto"/>
        </w:rPr>
        <w:t>Three-Month Periods Ended</w:t>
      </w:r>
    </w:p>
    <w:p>
      <w:pPr>
        <w:jc w:val="center"/>
        <w:ind w:left="8160"/>
        <w:spacing w:after="0" w:line="221" w:lineRule="auto"/>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91"/>
        </w:trPr>
        <w:tc>
          <w:tcPr>
            <w:tcW w:w="8160" w:type="dxa"/>
            <w:vAlign w:val="bottom"/>
            <w:tcBorders>
              <w:bottom w:val="single" w:sz="8" w:color="CCEEFF"/>
            </w:tcBorders>
          </w:tcPr>
          <w:p>
            <w:pPr>
              <w:spacing w:after="0"/>
              <w:rPr>
                <w:sz w:val="7"/>
                <w:szCs w:val="7"/>
                <w:color w:val="auto"/>
              </w:rPr>
            </w:pPr>
          </w:p>
        </w:tc>
        <w:tc>
          <w:tcPr>
            <w:tcW w:w="1000" w:type="dxa"/>
            <w:vAlign w:val="bottom"/>
            <w:tcBorders>
              <w:top w:val="single" w:sz="8" w:color="auto"/>
              <w:bottom w:val="single" w:sz="8" w:color="auto"/>
            </w:tcBorders>
          </w:tcPr>
          <w:p>
            <w:pPr>
              <w:jc w:val="right"/>
              <w:ind w:right="109"/>
              <w:spacing w:after="0" w:line="91" w:lineRule="exact"/>
              <w:rPr>
                <w:sz w:val="20"/>
                <w:szCs w:val="20"/>
                <w:color w:val="auto"/>
              </w:rPr>
            </w:pPr>
            <w:r>
              <w:rPr>
                <w:rFonts w:ascii="Arial" w:cs="Arial" w:eastAsia="Arial" w:hAnsi="Arial"/>
                <w:sz w:val="10"/>
                <w:szCs w:val="10"/>
                <w:b w:val="1"/>
                <w:bCs w:val="1"/>
                <w:color w:val="auto"/>
              </w:rPr>
              <w:t>2021</w:t>
            </w:r>
          </w:p>
        </w:tc>
        <w:tc>
          <w:tcPr>
            <w:tcW w:w="480" w:type="dxa"/>
            <w:vAlign w:val="bottom"/>
            <w:tcBorders>
              <w:top w:val="single" w:sz="8" w:color="auto"/>
              <w:bottom w:val="single" w:sz="8" w:color="auto"/>
            </w:tcBorders>
          </w:tcPr>
          <w:p>
            <w:pPr>
              <w:spacing w:after="0"/>
              <w:rPr>
                <w:sz w:val="7"/>
                <w:szCs w:val="7"/>
                <w:color w:val="auto"/>
              </w:rPr>
            </w:pPr>
          </w:p>
        </w:tc>
        <w:tc>
          <w:tcPr>
            <w:tcW w:w="160" w:type="dxa"/>
            <w:vAlign w:val="bottom"/>
            <w:tcBorders>
              <w:top w:val="single" w:sz="8" w:color="auto"/>
              <w:bottom w:val="single" w:sz="8" w:color="CCEEFF"/>
            </w:tcBorders>
          </w:tcPr>
          <w:p>
            <w:pPr>
              <w:spacing w:after="0"/>
              <w:rPr>
                <w:sz w:val="7"/>
                <w:szCs w:val="7"/>
                <w:color w:val="auto"/>
              </w:rPr>
            </w:pPr>
          </w:p>
        </w:tc>
        <w:tc>
          <w:tcPr>
            <w:tcW w:w="20" w:type="dxa"/>
            <w:vAlign w:val="bottom"/>
            <w:tcBorders>
              <w:top w:val="single" w:sz="8" w:color="auto"/>
              <w:bottom w:val="single" w:sz="8" w:color="CCEEFF"/>
            </w:tcBorders>
          </w:tcPr>
          <w:p>
            <w:pPr>
              <w:spacing w:after="0"/>
              <w:rPr>
                <w:sz w:val="7"/>
                <w:szCs w:val="7"/>
                <w:color w:val="auto"/>
              </w:rPr>
            </w:pPr>
          </w:p>
        </w:tc>
        <w:tc>
          <w:tcPr>
            <w:tcW w:w="340" w:type="dxa"/>
            <w:vAlign w:val="bottom"/>
            <w:tcBorders>
              <w:top w:val="single" w:sz="8" w:color="auto"/>
              <w:bottom w:val="single" w:sz="8" w:color="auto"/>
            </w:tcBorders>
          </w:tcPr>
          <w:p>
            <w:pPr>
              <w:spacing w:after="0"/>
              <w:rPr>
                <w:sz w:val="7"/>
                <w:szCs w:val="7"/>
                <w:color w:val="auto"/>
              </w:rPr>
            </w:pPr>
          </w:p>
        </w:tc>
        <w:tc>
          <w:tcPr>
            <w:tcW w:w="1140" w:type="dxa"/>
            <w:vAlign w:val="bottom"/>
            <w:tcBorders>
              <w:top w:val="single" w:sz="8" w:color="auto"/>
              <w:bottom w:val="single" w:sz="8" w:color="auto"/>
            </w:tcBorders>
          </w:tcPr>
          <w:p>
            <w:pPr>
              <w:jc w:val="right"/>
              <w:ind w:right="581"/>
              <w:spacing w:after="0" w:line="91" w:lineRule="exact"/>
              <w:rPr>
                <w:sz w:val="20"/>
                <w:szCs w:val="20"/>
                <w:color w:val="auto"/>
              </w:rPr>
            </w:pPr>
            <w:r>
              <w:rPr>
                <w:rFonts w:ascii="Arial" w:cs="Arial" w:eastAsia="Arial" w:hAnsi="Arial"/>
                <w:sz w:val="10"/>
                <w:szCs w:val="10"/>
                <w:b w:val="1"/>
                <w:bCs w:val="1"/>
                <w:color w:val="auto"/>
              </w:rPr>
              <w:t>2020</w:t>
            </w:r>
          </w:p>
        </w:tc>
      </w:tr>
      <w:tr>
        <w:trPr>
          <w:trHeight w:val="118"/>
        </w:trPr>
        <w:tc>
          <w:tcPr>
            <w:tcW w:w="81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Research and development</w:t>
            </w:r>
          </w:p>
        </w:tc>
        <w:tc>
          <w:tcPr>
            <w:tcW w:w="1000" w:type="dxa"/>
            <w:vAlign w:val="bottom"/>
            <w:shd w:val="clear" w:color="auto" w:fill="CCEEFF"/>
          </w:tcPr>
          <w:p>
            <w:pPr>
              <w:jc w:val="right"/>
              <w:ind w:right="889"/>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3,166</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877</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Sales and marketing</w:t>
            </w:r>
          </w:p>
        </w:tc>
        <w:tc>
          <w:tcPr>
            <w:tcW w:w="100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2"/>
                <w:szCs w:val="12"/>
                <w:color w:val="auto"/>
              </w:rPr>
              <w:t>1,761</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310</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General and administrative</w:t>
            </w:r>
          </w:p>
        </w:tc>
        <w:tc>
          <w:tcPr>
            <w:tcW w:w="10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2,038</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1,439</w:t>
            </w:r>
          </w:p>
        </w:tc>
      </w:tr>
      <w:tr>
        <w:trPr>
          <w:trHeight w:val="126"/>
        </w:trPr>
        <w:tc>
          <w:tcPr>
            <w:tcW w:w="8160" w:type="dxa"/>
            <w:vAlign w:val="bottom"/>
          </w:tcPr>
          <w:p>
            <w:pPr>
              <w:ind w:left="140"/>
              <w:spacing w:after="0" w:line="118" w:lineRule="exact"/>
              <w:rPr>
                <w:sz w:val="20"/>
                <w:szCs w:val="20"/>
                <w:color w:val="auto"/>
              </w:rPr>
            </w:pPr>
            <w:r>
              <w:rPr>
                <w:rFonts w:ascii="Arial" w:cs="Arial" w:eastAsia="Arial" w:hAnsi="Arial"/>
                <w:sz w:val="12"/>
                <w:szCs w:val="12"/>
                <w:color w:val="auto"/>
              </w:rPr>
              <w:t>Total stock-based compensation expense</w:t>
            </w:r>
          </w:p>
        </w:tc>
        <w:tc>
          <w:tcPr>
            <w:tcW w:w="1000" w:type="dxa"/>
            <w:vAlign w:val="bottom"/>
            <w:tcBorders>
              <w:bottom w:val="single" w:sz="8" w:color="auto"/>
            </w:tcBorders>
          </w:tcPr>
          <w:p>
            <w:pPr>
              <w:jc w:val="right"/>
              <w:ind w:right="889"/>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6,965</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2,626</w:t>
            </w:r>
          </w:p>
        </w:tc>
      </w:tr>
    </w:tbl>
    <w:p>
      <w:pPr>
        <w:spacing w:after="0" w:line="111"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The Company estimated the fair value of employee stock options on the grant date using the Black-Scholes option pricing model. The estimated fair value of employee stock options is amortized on a straight-line basis over the requisite service period of the awards. The Company reviews, and when deemed appropriate, updates the assumptions used on a periodic basis. Due to the limited trading history of the Company’s common stock, the Company utilizes a portfolio of comparable companies to estimate volatility. The fair value of employee stock options was estimated using the following weighted-average assumptions: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5320" w:type="dxa"/>
            <w:vAlign w:val="bottom"/>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4000" w:type="dxa"/>
            <w:vAlign w:val="bottom"/>
            <w:tcBorders>
              <w:bottom w:val="single" w:sz="8" w:color="auto"/>
            </w:tcBorders>
            <w:gridSpan w:val="3"/>
          </w:tcPr>
          <w:p>
            <w:pPr>
              <w:ind w:left="180"/>
              <w:spacing w:after="0"/>
              <w:rPr>
                <w:sz w:val="20"/>
                <w:szCs w:val="20"/>
                <w:color w:val="auto"/>
              </w:rPr>
            </w:pPr>
            <w:r>
              <w:rPr>
                <w:rFonts w:ascii="Arial" w:cs="Arial" w:eastAsia="Arial" w:hAnsi="Arial"/>
                <w:sz w:val="10"/>
                <w:szCs w:val="10"/>
                <w:b w:val="1"/>
                <w:bCs w:val="1"/>
                <w:color w:val="auto"/>
              </w:rPr>
              <w:t>Three-Month Periods Ended March 31,</w:t>
            </w:r>
          </w:p>
        </w:tc>
      </w:tr>
      <w:tr>
        <w:trPr>
          <w:trHeight w:val="91"/>
        </w:trPr>
        <w:tc>
          <w:tcPr>
            <w:tcW w:w="5320" w:type="dxa"/>
            <w:vAlign w:val="bottom"/>
          </w:tcPr>
          <w:p>
            <w:pPr>
              <w:spacing w:after="0"/>
              <w:rPr>
                <w:sz w:val="7"/>
                <w:szCs w:val="7"/>
                <w:color w:val="auto"/>
              </w:rPr>
            </w:pPr>
          </w:p>
        </w:tc>
        <w:tc>
          <w:tcPr>
            <w:tcW w:w="1980" w:type="dxa"/>
            <w:vAlign w:val="bottom"/>
          </w:tcPr>
          <w:p>
            <w:pPr>
              <w:jc w:val="center"/>
              <w:ind w:left="1041"/>
              <w:spacing w:after="0" w:line="91" w:lineRule="exact"/>
              <w:rPr>
                <w:sz w:val="20"/>
                <w:szCs w:val="20"/>
                <w:color w:val="auto"/>
              </w:rPr>
            </w:pPr>
            <w:r>
              <w:rPr>
                <w:rFonts w:ascii="Arial" w:cs="Arial" w:eastAsia="Arial" w:hAnsi="Arial"/>
                <w:sz w:val="10"/>
                <w:szCs w:val="10"/>
                <w:b w:val="1"/>
                <w:bCs w:val="1"/>
                <w:color w:val="auto"/>
                <w:w w:val="89"/>
              </w:rPr>
              <w:t>2021</w:t>
            </w:r>
          </w:p>
        </w:tc>
        <w:tc>
          <w:tcPr>
            <w:tcW w:w="4000" w:type="dxa"/>
            <w:vAlign w:val="bottom"/>
            <w:gridSpan w:val="3"/>
          </w:tcPr>
          <w:p>
            <w:pPr>
              <w:jc w:val="center"/>
              <w:ind w:left="1625"/>
              <w:spacing w:after="0" w:line="91" w:lineRule="exact"/>
              <w:rPr>
                <w:sz w:val="20"/>
                <w:szCs w:val="20"/>
                <w:color w:val="auto"/>
              </w:rPr>
            </w:pPr>
            <w:r>
              <w:rPr>
                <w:rFonts w:ascii="Arial" w:cs="Arial" w:eastAsia="Arial" w:hAnsi="Arial"/>
                <w:sz w:val="10"/>
                <w:szCs w:val="10"/>
                <w:b w:val="1"/>
                <w:bCs w:val="1"/>
                <w:color w:val="auto"/>
                <w:w w:val="89"/>
              </w:rPr>
              <w:t>2020</w:t>
            </w:r>
          </w:p>
        </w:tc>
      </w:tr>
      <w:tr>
        <w:trPr>
          <w:trHeight w:val="118"/>
        </w:trPr>
        <w:tc>
          <w:tcPr>
            <w:tcW w:w="532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Expected term in years</w:t>
            </w:r>
          </w:p>
        </w:tc>
        <w:tc>
          <w:tcPr>
            <w:tcW w:w="1980" w:type="dxa"/>
            <w:vAlign w:val="bottom"/>
            <w:tcBorders>
              <w:top w:val="single" w:sz="8" w:color="auto"/>
            </w:tcBorders>
            <w:shd w:val="clear" w:color="auto" w:fill="CCEEFF"/>
          </w:tcPr>
          <w:p>
            <w:pPr>
              <w:jc w:val="center"/>
              <w:ind w:left="1041"/>
              <w:spacing w:after="0" w:line="118" w:lineRule="exact"/>
              <w:rPr>
                <w:sz w:val="20"/>
                <w:szCs w:val="20"/>
                <w:color w:val="auto"/>
              </w:rPr>
            </w:pPr>
            <w:r>
              <w:rPr>
                <w:rFonts w:ascii="Arial" w:cs="Arial" w:eastAsia="Arial" w:hAnsi="Arial"/>
                <w:sz w:val="12"/>
                <w:szCs w:val="12"/>
                <w:color w:val="auto"/>
                <w:w w:val="95"/>
              </w:rPr>
              <w:t>6.1</w:t>
            </w:r>
          </w:p>
        </w:tc>
        <w:tc>
          <w:tcPr>
            <w:tcW w:w="1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2320" w:type="dxa"/>
            <w:vAlign w:val="bottom"/>
            <w:tcBorders>
              <w:top w:val="single" w:sz="8" w:color="auto"/>
            </w:tcBorders>
            <w:shd w:val="clear" w:color="auto" w:fill="CCEEFF"/>
          </w:tcPr>
          <w:p>
            <w:pPr>
              <w:jc w:val="center"/>
              <w:spacing w:after="0" w:line="118" w:lineRule="exact"/>
              <w:rPr>
                <w:sz w:val="20"/>
                <w:szCs w:val="20"/>
                <w:color w:val="auto"/>
              </w:rPr>
            </w:pPr>
            <w:r>
              <w:rPr>
                <w:rFonts w:ascii="Arial" w:cs="Arial" w:eastAsia="Arial" w:hAnsi="Arial"/>
                <w:sz w:val="12"/>
                <w:szCs w:val="12"/>
                <w:color w:val="auto"/>
                <w:w w:val="95"/>
              </w:rPr>
              <w:t>6.1</w:t>
            </w:r>
          </w:p>
        </w:tc>
      </w:tr>
      <w:tr>
        <w:trPr>
          <w:trHeight w:val="129"/>
        </w:trPr>
        <w:tc>
          <w:tcPr>
            <w:tcW w:w="5320" w:type="dxa"/>
            <w:vAlign w:val="bottom"/>
          </w:tcPr>
          <w:p>
            <w:pPr>
              <w:spacing w:after="0" w:line="129" w:lineRule="exact"/>
              <w:rPr>
                <w:sz w:val="20"/>
                <w:szCs w:val="20"/>
                <w:color w:val="auto"/>
              </w:rPr>
            </w:pPr>
            <w:r>
              <w:rPr>
                <w:rFonts w:ascii="Arial" w:cs="Arial" w:eastAsia="Arial" w:hAnsi="Arial"/>
                <w:sz w:val="12"/>
                <w:szCs w:val="12"/>
                <w:color w:val="auto"/>
              </w:rPr>
              <w:t>Expected volatility</w:t>
            </w:r>
          </w:p>
        </w:tc>
        <w:tc>
          <w:tcPr>
            <w:tcW w:w="1980" w:type="dxa"/>
            <w:vAlign w:val="bottom"/>
          </w:tcPr>
          <w:p>
            <w:pPr>
              <w:jc w:val="center"/>
              <w:ind w:left="1061"/>
              <w:spacing w:after="0" w:line="129" w:lineRule="exact"/>
              <w:rPr>
                <w:sz w:val="20"/>
                <w:szCs w:val="20"/>
                <w:color w:val="auto"/>
              </w:rPr>
            </w:pPr>
            <w:r>
              <w:rPr>
                <w:rFonts w:ascii="Arial" w:cs="Arial" w:eastAsia="Arial" w:hAnsi="Arial"/>
                <w:sz w:val="12"/>
                <w:szCs w:val="12"/>
                <w:color w:val="auto"/>
                <w:w w:val="91"/>
              </w:rPr>
              <w:t>78%</w:t>
            </w:r>
          </w:p>
        </w:tc>
        <w:tc>
          <w:tcPr>
            <w:tcW w:w="4000" w:type="dxa"/>
            <w:vAlign w:val="bottom"/>
            <w:gridSpan w:val="3"/>
          </w:tcPr>
          <w:p>
            <w:pPr>
              <w:jc w:val="center"/>
              <w:ind w:left="1605"/>
              <w:spacing w:after="0" w:line="129" w:lineRule="exact"/>
              <w:rPr>
                <w:sz w:val="20"/>
                <w:szCs w:val="20"/>
                <w:color w:val="auto"/>
              </w:rPr>
            </w:pPr>
            <w:r>
              <w:rPr>
                <w:rFonts w:ascii="Arial" w:cs="Arial" w:eastAsia="Arial" w:hAnsi="Arial"/>
                <w:sz w:val="12"/>
                <w:szCs w:val="12"/>
                <w:color w:val="auto"/>
                <w:w w:val="91"/>
              </w:rPr>
              <w:t>70%</w:t>
            </w:r>
          </w:p>
        </w:tc>
      </w:tr>
      <w:tr>
        <w:trPr>
          <w:trHeight w:val="129"/>
        </w:trPr>
        <w:tc>
          <w:tcPr>
            <w:tcW w:w="53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Risk-free interest rate</w:t>
            </w:r>
          </w:p>
        </w:tc>
        <w:tc>
          <w:tcPr>
            <w:tcW w:w="1980" w:type="dxa"/>
            <w:vAlign w:val="bottom"/>
            <w:shd w:val="clear" w:color="auto" w:fill="CCEEFF"/>
          </w:tcPr>
          <w:p>
            <w:pPr>
              <w:jc w:val="center"/>
              <w:ind w:left="1061"/>
              <w:spacing w:after="0" w:line="129" w:lineRule="exact"/>
              <w:rPr>
                <w:sz w:val="20"/>
                <w:szCs w:val="20"/>
                <w:color w:val="auto"/>
              </w:rPr>
            </w:pPr>
            <w:r>
              <w:rPr>
                <w:rFonts w:ascii="Arial" w:cs="Arial" w:eastAsia="Arial" w:hAnsi="Arial"/>
                <w:sz w:val="12"/>
                <w:szCs w:val="12"/>
                <w:color w:val="auto"/>
                <w:w w:val="91"/>
              </w:rPr>
              <w:t>1.0 - 1.1%</w:t>
            </w:r>
          </w:p>
        </w:tc>
        <w:tc>
          <w:tcPr>
            <w:tcW w:w="4000" w:type="dxa"/>
            <w:vAlign w:val="bottom"/>
            <w:gridSpan w:val="3"/>
            <w:shd w:val="clear" w:color="auto" w:fill="CCEEFF"/>
          </w:tcPr>
          <w:p>
            <w:pPr>
              <w:jc w:val="center"/>
              <w:ind w:left="1625"/>
              <w:spacing w:after="0" w:line="129" w:lineRule="exact"/>
              <w:rPr>
                <w:sz w:val="20"/>
                <w:szCs w:val="20"/>
                <w:color w:val="auto"/>
              </w:rPr>
            </w:pPr>
            <w:r>
              <w:rPr>
                <w:rFonts w:ascii="Arial" w:cs="Arial" w:eastAsia="Arial" w:hAnsi="Arial"/>
                <w:sz w:val="12"/>
                <w:szCs w:val="12"/>
                <w:color w:val="auto"/>
                <w:w w:val="94"/>
              </w:rPr>
              <w:t>0.4 - 1.7%</w:t>
            </w:r>
          </w:p>
        </w:tc>
      </w:tr>
      <w:tr>
        <w:trPr>
          <w:trHeight w:val="156"/>
        </w:trPr>
        <w:tc>
          <w:tcPr>
            <w:tcW w:w="5320" w:type="dxa"/>
            <w:vAlign w:val="bottom"/>
          </w:tcPr>
          <w:p>
            <w:pPr>
              <w:spacing w:after="0"/>
              <w:rPr>
                <w:sz w:val="20"/>
                <w:szCs w:val="20"/>
                <w:color w:val="auto"/>
              </w:rPr>
            </w:pPr>
            <w:r>
              <w:rPr>
                <w:rFonts w:ascii="Arial" w:cs="Arial" w:eastAsia="Arial" w:hAnsi="Arial"/>
                <w:sz w:val="12"/>
                <w:szCs w:val="12"/>
                <w:color w:val="auto"/>
              </w:rPr>
              <w:t>Dividend yield</w:t>
            </w:r>
          </w:p>
        </w:tc>
        <w:tc>
          <w:tcPr>
            <w:tcW w:w="1980" w:type="dxa"/>
            <w:vAlign w:val="bottom"/>
          </w:tcPr>
          <w:p>
            <w:pPr>
              <w:jc w:val="center"/>
              <w:ind w:left="1041"/>
              <w:spacing w:after="0"/>
              <w:rPr>
                <w:sz w:val="20"/>
                <w:szCs w:val="20"/>
                <w:color w:val="auto"/>
              </w:rPr>
            </w:pPr>
            <w:r>
              <w:rPr>
                <w:rFonts w:ascii="Arial" w:cs="Arial" w:eastAsia="Arial" w:hAnsi="Arial"/>
                <w:sz w:val="12"/>
                <w:szCs w:val="12"/>
                <w:color w:val="auto"/>
                <w:w w:val="99"/>
              </w:rPr>
              <w:t>—</w:t>
            </w: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Arial" w:cs="Arial" w:eastAsia="Arial" w:hAnsi="Arial"/>
                <w:sz w:val="12"/>
                <w:szCs w:val="12"/>
                <w:color w:val="auto"/>
                <w:w w:val="99"/>
              </w:rPr>
              <w:t>—</w:t>
            </w:r>
          </w:p>
        </w:tc>
      </w:tr>
    </w:tbl>
    <w:p>
      <w:pPr>
        <w:spacing w:after="0" w:line="85"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The Company estimated the fair value of ESPP on the grant date using the Black-Scholes option pricing model. The estimated fair value of ESPP is amortized on a straight-line basis over the requisite service period of the awards. The Company reviews, and when deemed appropriate, updates the assumptions used on a periodic basis. The Company utilizes its estimated volatility in the Black-Scholes option pricing model to determine the fair value of ESPP. The fair value of ESPP was estimated using the following weighted-average assumptions: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5320" w:type="dxa"/>
            <w:vAlign w:val="bottom"/>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gridSpan w:val="3"/>
          </w:tcPr>
          <w:p>
            <w:pPr>
              <w:ind w:left="140"/>
              <w:spacing w:after="0"/>
              <w:rPr>
                <w:sz w:val="20"/>
                <w:szCs w:val="20"/>
                <w:color w:val="auto"/>
              </w:rPr>
            </w:pPr>
            <w:r>
              <w:rPr>
                <w:rFonts w:ascii="Arial" w:cs="Arial" w:eastAsia="Arial" w:hAnsi="Arial"/>
                <w:sz w:val="10"/>
                <w:szCs w:val="10"/>
                <w:b w:val="1"/>
                <w:bCs w:val="1"/>
                <w:color w:val="auto"/>
              </w:rPr>
              <w:t>Three-Month Periods Ended March 31,</w:t>
            </w:r>
          </w:p>
        </w:tc>
      </w:tr>
      <w:tr>
        <w:trPr>
          <w:trHeight w:val="91"/>
        </w:trPr>
        <w:tc>
          <w:tcPr>
            <w:tcW w:w="5320" w:type="dxa"/>
            <w:vAlign w:val="bottom"/>
          </w:tcPr>
          <w:p>
            <w:pPr>
              <w:spacing w:after="0"/>
              <w:rPr>
                <w:sz w:val="7"/>
                <w:szCs w:val="7"/>
                <w:color w:val="auto"/>
              </w:rPr>
            </w:pPr>
          </w:p>
        </w:tc>
        <w:tc>
          <w:tcPr>
            <w:tcW w:w="2020" w:type="dxa"/>
            <w:vAlign w:val="bottom"/>
          </w:tcPr>
          <w:p>
            <w:pPr>
              <w:jc w:val="center"/>
              <w:ind w:left="1001"/>
              <w:spacing w:after="0" w:line="91" w:lineRule="exact"/>
              <w:rPr>
                <w:sz w:val="20"/>
                <w:szCs w:val="20"/>
                <w:color w:val="auto"/>
              </w:rPr>
            </w:pPr>
            <w:r>
              <w:rPr>
                <w:rFonts w:ascii="Arial" w:cs="Arial" w:eastAsia="Arial" w:hAnsi="Arial"/>
                <w:sz w:val="10"/>
                <w:szCs w:val="10"/>
                <w:b w:val="1"/>
                <w:bCs w:val="1"/>
                <w:color w:val="auto"/>
                <w:w w:val="89"/>
              </w:rPr>
              <w:t>2021</w:t>
            </w:r>
          </w:p>
        </w:tc>
        <w:tc>
          <w:tcPr>
            <w:tcW w:w="3960" w:type="dxa"/>
            <w:vAlign w:val="bottom"/>
            <w:gridSpan w:val="3"/>
          </w:tcPr>
          <w:p>
            <w:pPr>
              <w:jc w:val="center"/>
              <w:ind w:left="1585"/>
              <w:spacing w:after="0" w:line="91" w:lineRule="exact"/>
              <w:rPr>
                <w:sz w:val="20"/>
                <w:szCs w:val="20"/>
                <w:color w:val="auto"/>
              </w:rPr>
            </w:pPr>
            <w:r>
              <w:rPr>
                <w:rFonts w:ascii="Arial" w:cs="Arial" w:eastAsia="Arial" w:hAnsi="Arial"/>
                <w:sz w:val="10"/>
                <w:szCs w:val="10"/>
                <w:b w:val="1"/>
                <w:bCs w:val="1"/>
                <w:color w:val="auto"/>
                <w:w w:val="89"/>
              </w:rPr>
              <w:t>2020</w:t>
            </w:r>
          </w:p>
        </w:tc>
      </w:tr>
      <w:tr>
        <w:trPr>
          <w:trHeight w:val="118"/>
        </w:trPr>
        <w:tc>
          <w:tcPr>
            <w:tcW w:w="532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Expected term in years</w:t>
            </w:r>
          </w:p>
        </w:tc>
        <w:tc>
          <w:tcPr>
            <w:tcW w:w="2020" w:type="dxa"/>
            <w:vAlign w:val="bottom"/>
            <w:tcBorders>
              <w:top w:val="single" w:sz="8" w:color="auto"/>
            </w:tcBorders>
            <w:shd w:val="clear" w:color="auto" w:fill="CCEEFF"/>
          </w:tcPr>
          <w:p>
            <w:pPr>
              <w:jc w:val="center"/>
              <w:ind w:left="1021"/>
              <w:spacing w:after="0" w:line="118" w:lineRule="exact"/>
              <w:rPr>
                <w:sz w:val="20"/>
                <w:szCs w:val="20"/>
                <w:color w:val="auto"/>
              </w:rPr>
            </w:pPr>
            <w:r>
              <w:rPr>
                <w:rFonts w:ascii="Arial" w:cs="Arial" w:eastAsia="Arial" w:hAnsi="Arial"/>
                <w:sz w:val="12"/>
                <w:szCs w:val="12"/>
                <w:color w:val="auto"/>
                <w:w w:val="95"/>
              </w:rPr>
              <w:t>0.5 - 1.0</w:t>
            </w:r>
          </w:p>
        </w:tc>
        <w:tc>
          <w:tcPr>
            <w:tcW w:w="10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2320" w:type="dxa"/>
            <w:vAlign w:val="bottom"/>
            <w:tcBorders>
              <w:top w:val="single" w:sz="8" w:color="auto"/>
            </w:tcBorders>
            <w:shd w:val="clear" w:color="auto" w:fill="CCEEFF"/>
          </w:tcPr>
          <w:p>
            <w:pPr>
              <w:jc w:val="center"/>
              <w:spacing w:after="0" w:line="118" w:lineRule="exact"/>
              <w:rPr>
                <w:sz w:val="20"/>
                <w:szCs w:val="20"/>
                <w:color w:val="auto"/>
              </w:rPr>
            </w:pPr>
            <w:r>
              <w:rPr>
                <w:rFonts w:ascii="Arial" w:cs="Arial" w:eastAsia="Arial" w:hAnsi="Arial"/>
                <w:sz w:val="12"/>
                <w:szCs w:val="12"/>
                <w:color w:val="auto"/>
                <w:w w:val="90"/>
              </w:rPr>
              <w:t>0.5 - 1.0</w:t>
            </w:r>
          </w:p>
        </w:tc>
      </w:tr>
      <w:tr>
        <w:trPr>
          <w:trHeight w:val="129"/>
        </w:trPr>
        <w:tc>
          <w:tcPr>
            <w:tcW w:w="5320" w:type="dxa"/>
            <w:vAlign w:val="bottom"/>
          </w:tcPr>
          <w:p>
            <w:pPr>
              <w:spacing w:after="0" w:line="129" w:lineRule="exact"/>
              <w:rPr>
                <w:sz w:val="20"/>
                <w:szCs w:val="20"/>
                <w:color w:val="auto"/>
              </w:rPr>
            </w:pPr>
            <w:r>
              <w:rPr>
                <w:rFonts w:ascii="Arial" w:cs="Arial" w:eastAsia="Arial" w:hAnsi="Arial"/>
                <w:sz w:val="12"/>
                <w:szCs w:val="12"/>
                <w:color w:val="auto"/>
              </w:rPr>
              <w:t>Expected volatility</w:t>
            </w:r>
          </w:p>
        </w:tc>
        <w:tc>
          <w:tcPr>
            <w:tcW w:w="2020" w:type="dxa"/>
            <w:vAlign w:val="bottom"/>
          </w:tcPr>
          <w:p>
            <w:pPr>
              <w:jc w:val="center"/>
              <w:ind w:left="1021"/>
              <w:spacing w:after="0" w:line="129" w:lineRule="exact"/>
              <w:rPr>
                <w:sz w:val="20"/>
                <w:szCs w:val="20"/>
                <w:color w:val="auto"/>
              </w:rPr>
            </w:pPr>
            <w:r>
              <w:rPr>
                <w:rFonts w:ascii="Arial" w:cs="Arial" w:eastAsia="Arial" w:hAnsi="Arial"/>
                <w:sz w:val="12"/>
                <w:szCs w:val="12"/>
                <w:color w:val="auto"/>
                <w:w w:val="91"/>
              </w:rPr>
              <w:t>91%</w:t>
            </w:r>
          </w:p>
        </w:tc>
        <w:tc>
          <w:tcPr>
            <w:tcW w:w="3960" w:type="dxa"/>
            <w:vAlign w:val="bottom"/>
            <w:gridSpan w:val="3"/>
          </w:tcPr>
          <w:p>
            <w:pPr>
              <w:jc w:val="center"/>
              <w:ind w:left="1565"/>
              <w:spacing w:after="0" w:line="129" w:lineRule="exact"/>
              <w:rPr>
                <w:sz w:val="20"/>
                <w:szCs w:val="20"/>
                <w:color w:val="auto"/>
              </w:rPr>
            </w:pPr>
            <w:r>
              <w:rPr>
                <w:rFonts w:ascii="Arial" w:cs="Arial" w:eastAsia="Arial" w:hAnsi="Arial"/>
                <w:sz w:val="12"/>
                <w:szCs w:val="12"/>
                <w:color w:val="auto"/>
                <w:w w:val="91"/>
              </w:rPr>
              <w:t>70%</w:t>
            </w:r>
          </w:p>
        </w:tc>
      </w:tr>
      <w:tr>
        <w:trPr>
          <w:trHeight w:val="129"/>
        </w:trPr>
        <w:tc>
          <w:tcPr>
            <w:tcW w:w="53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Risk-free interest rate</w:t>
            </w:r>
          </w:p>
        </w:tc>
        <w:tc>
          <w:tcPr>
            <w:tcW w:w="2020" w:type="dxa"/>
            <w:vAlign w:val="bottom"/>
            <w:shd w:val="clear" w:color="auto" w:fill="CCEEFF"/>
          </w:tcPr>
          <w:p>
            <w:pPr>
              <w:jc w:val="center"/>
              <w:ind w:left="1001"/>
              <w:spacing w:after="0" w:line="129" w:lineRule="exact"/>
              <w:rPr>
                <w:sz w:val="20"/>
                <w:szCs w:val="20"/>
                <w:color w:val="auto"/>
              </w:rPr>
            </w:pPr>
            <w:r>
              <w:rPr>
                <w:rFonts w:ascii="Arial" w:cs="Arial" w:eastAsia="Arial" w:hAnsi="Arial"/>
                <w:sz w:val="12"/>
                <w:szCs w:val="12"/>
                <w:color w:val="auto"/>
                <w:w w:val="93"/>
              </w:rPr>
              <w:t>0.07 - 0.08%</w:t>
            </w:r>
          </w:p>
        </w:tc>
        <w:tc>
          <w:tcPr>
            <w:tcW w:w="3960" w:type="dxa"/>
            <w:vAlign w:val="bottom"/>
            <w:gridSpan w:val="3"/>
            <w:shd w:val="clear" w:color="auto" w:fill="CCEEFF"/>
          </w:tcPr>
          <w:p>
            <w:pPr>
              <w:jc w:val="center"/>
              <w:ind w:left="1585"/>
              <w:spacing w:after="0" w:line="129" w:lineRule="exact"/>
              <w:rPr>
                <w:sz w:val="20"/>
                <w:szCs w:val="20"/>
                <w:color w:val="auto"/>
              </w:rPr>
            </w:pPr>
            <w:r>
              <w:rPr>
                <w:rFonts w:ascii="Arial" w:cs="Arial" w:eastAsia="Arial" w:hAnsi="Arial"/>
                <w:sz w:val="12"/>
                <w:szCs w:val="12"/>
                <w:color w:val="auto"/>
                <w:w w:val="94"/>
              </w:rPr>
              <w:t>0.9 - 1.0%</w:t>
            </w:r>
          </w:p>
        </w:tc>
      </w:tr>
      <w:tr>
        <w:trPr>
          <w:trHeight w:val="156"/>
        </w:trPr>
        <w:tc>
          <w:tcPr>
            <w:tcW w:w="5320" w:type="dxa"/>
            <w:vAlign w:val="bottom"/>
          </w:tcPr>
          <w:p>
            <w:pPr>
              <w:spacing w:after="0"/>
              <w:rPr>
                <w:sz w:val="20"/>
                <w:szCs w:val="20"/>
                <w:color w:val="auto"/>
              </w:rPr>
            </w:pPr>
            <w:r>
              <w:rPr>
                <w:rFonts w:ascii="Arial" w:cs="Arial" w:eastAsia="Arial" w:hAnsi="Arial"/>
                <w:sz w:val="12"/>
                <w:szCs w:val="12"/>
                <w:color w:val="auto"/>
              </w:rPr>
              <w:t>Dividend yield</w:t>
            </w:r>
          </w:p>
        </w:tc>
        <w:tc>
          <w:tcPr>
            <w:tcW w:w="2020" w:type="dxa"/>
            <w:vAlign w:val="bottom"/>
          </w:tcPr>
          <w:p>
            <w:pPr>
              <w:jc w:val="center"/>
              <w:ind w:left="1001"/>
              <w:spacing w:after="0"/>
              <w:rPr>
                <w:sz w:val="20"/>
                <w:szCs w:val="20"/>
                <w:color w:val="auto"/>
              </w:rPr>
            </w:pPr>
            <w:r>
              <w:rPr>
                <w:rFonts w:ascii="Arial" w:cs="Arial" w:eastAsia="Arial" w:hAnsi="Arial"/>
                <w:sz w:val="12"/>
                <w:szCs w:val="12"/>
                <w:color w:val="auto"/>
                <w:w w:val="99"/>
              </w:rPr>
              <w:t>—</w:t>
            </w: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Arial" w:cs="Arial" w:eastAsia="Arial" w:hAnsi="Arial"/>
                <w:sz w:val="12"/>
                <w:szCs w:val="12"/>
                <w:color w:val="auto"/>
                <w:w w:val="99"/>
              </w:rPr>
              <w:t>—</w:t>
            </w:r>
          </w:p>
        </w:tc>
      </w:tr>
    </w:tbl>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Research Grants and Agreements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Sponsored Research Agreement</w:t>
      </w:r>
    </w:p>
    <w:p>
      <w:pPr>
        <w:spacing w:after="0" w:line="111"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Annually, the Company may sponsor research activities (SRAs) performed by Old Dominion University’s Frank Reidy Center (ODURF). ODURF is compensated by the Company for its conduct of each study in accordance with the budget and payment terms set forth in the applicable task order. In March 2021, the Company renewed the SRAs and agreed to sponsor $0.3 million in research during the subsequent 12-month period funded through periodic payments made upon ODURF certifying, to the Company’s reasonable satisfaction, that ODURF has met its obligations pursuant to the specified task order and statement of work. The principal investigator may transfer funds with the budget as needed without the Company’s approval so long as the obligations of ODURF under the task order and statement of work remain unchanged and unimpaired. During the three-month periods ended March 31, 2021 and 2020, the Company incurred costs relating to the SRAs equal to $0.0 million and $0.2 million, respectively.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4" w:name="page15"/>
    <w:bookmarkEnd w:id="14"/>
    <w:p>
      <w:pPr>
        <w:ind w:left="6"/>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3" w:lineRule="exact"/>
        <w:rPr>
          <w:sz w:val="20"/>
          <w:szCs w:val="20"/>
          <w:color w:val="auto"/>
        </w:rPr>
      </w:pPr>
    </w:p>
    <w:p>
      <w:pPr>
        <w:ind w:left="306" w:right="9420" w:hanging="306"/>
        <w:spacing w:after="0" w:line="533" w:lineRule="auto"/>
        <w:tabs>
          <w:tab w:leader="none" w:pos="159" w:val="left"/>
        </w:tabs>
        <w:numPr>
          <w:ilvl w:val="0"/>
          <w:numId w:val="3"/>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Commitments and Contingencies </w:t>
      </w:r>
      <w:r>
        <w:rPr>
          <w:rFonts w:ascii="Arial" w:cs="Arial" w:eastAsia="Arial" w:hAnsi="Arial"/>
          <w:sz w:val="10"/>
          <w:szCs w:val="10"/>
          <w:b w:val="1"/>
          <w:bCs w:val="1"/>
          <w:i w:val="1"/>
          <w:iCs w:val="1"/>
          <w:color w:val="auto"/>
        </w:rPr>
        <w:t>Loan Agreement</w:t>
      </w:r>
    </w:p>
    <w:p>
      <w:pPr>
        <w:spacing w:after="0" w:line="1" w:lineRule="exact"/>
        <w:rPr>
          <w:sz w:val="20"/>
          <w:szCs w:val="20"/>
          <w:color w:val="auto"/>
        </w:rPr>
      </w:pPr>
    </w:p>
    <w:p>
      <w:pPr>
        <w:ind w:left="6" w:right="60" w:firstLine="274"/>
        <w:spacing w:after="0" w:line="230" w:lineRule="auto"/>
        <w:rPr>
          <w:sz w:val="20"/>
          <w:szCs w:val="20"/>
          <w:color w:val="auto"/>
        </w:rPr>
      </w:pPr>
      <w:r>
        <w:rPr>
          <w:rFonts w:ascii="Arial" w:cs="Arial" w:eastAsia="Arial" w:hAnsi="Arial"/>
          <w:sz w:val="12"/>
          <w:szCs w:val="12"/>
          <w:color w:val="auto"/>
        </w:rPr>
        <w:t>On March 11, 2021, the Company and Robert W. Duggan entered into a Loan Agreement in connection with Mr. Duggan lending the principal sum of $41.0 million to the Company. The Loan Agreement bears interest at a rate per annum equal to 5.0%, payable quarterly commencing on July 1, 2021. The interest rate payable under the Loan Agreement increases to 7.0% upon the occurrence of an Event of Default or a Material Adverse Effect, each as defined in the Loan Agreement. All unpaid principal amount of the Loan Agreement, together with any then unpaid and accrued interest, shall be payable at the earlier of (i) June 11, 2022 or (ii) when, upon the occurrence and during the continuance of an Event of Default, such amounts are declared due and payable by Mr. Duggan or made automatically due and payable, in each case, in accordance with the terms thereof, including any applicable cure periods as set forth in the Loan Agreement. A late payment fee equal to 2.0% will be applied to any payments received later than one (1) business day after the expiration of the applicable cure period. Upon five business days prior written notice to Mr. Duggan, the Company may prepay all or any portion of the amounts borrowed under the Loan Agreement, without premium or penalty. The Loan Agreement subjects the Company to certain affirmative and negative covenants. In addition, the Loan Agreement contains certain Events of Default. During the three-month period ended March 31, 2021, the Company accrued $0.1 million of interest which is recorded as current portion of related party note payable.</w:t>
      </w:r>
    </w:p>
    <w:p>
      <w:pPr>
        <w:spacing w:after="0" w:line="104" w:lineRule="exact"/>
        <w:rPr>
          <w:sz w:val="20"/>
          <w:szCs w:val="20"/>
          <w:color w:val="auto"/>
        </w:rPr>
      </w:pPr>
    </w:p>
    <w:p>
      <w:pPr>
        <w:ind w:left="266"/>
        <w:spacing w:after="0"/>
        <w:rPr>
          <w:sz w:val="20"/>
          <w:szCs w:val="20"/>
          <w:color w:val="auto"/>
        </w:rPr>
      </w:pPr>
      <w:r>
        <w:rPr>
          <w:rFonts w:ascii="Arial" w:cs="Arial" w:eastAsia="Arial" w:hAnsi="Arial"/>
          <w:sz w:val="12"/>
          <w:szCs w:val="12"/>
          <w:b w:val="1"/>
          <w:bCs w:val="1"/>
          <w:i w:val="1"/>
          <w:iCs w:val="1"/>
          <w:color w:val="auto"/>
        </w:rPr>
        <w:t>Operating Leases</w:t>
      </w:r>
    </w:p>
    <w:p>
      <w:pPr>
        <w:spacing w:after="0" w:line="120" w:lineRule="exact"/>
        <w:rPr>
          <w:sz w:val="20"/>
          <w:szCs w:val="20"/>
          <w:color w:val="auto"/>
        </w:rPr>
      </w:pPr>
    </w:p>
    <w:p>
      <w:pPr>
        <w:ind w:left="306"/>
        <w:spacing w:after="0"/>
        <w:rPr>
          <w:sz w:val="20"/>
          <w:szCs w:val="20"/>
          <w:color w:val="auto"/>
        </w:rPr>
      </w:pPr>
      <w:r>
        <w:rPr>
          <w:rFonts w:ascii="Arial" w:cs="Arial" w:eastAsia="Arial" w:hAnsi="Arial"/>
          <w:sz w:val="11"/>
          <w:szCs w:val="11"/>
          <w:color w:val="auto"/>
        </w:rPr>
        <w:t>During January 2017, the Company entered into a five-year lease (Existing Lease) for approximately 15,700 square feet for its corporate headquarters located in Hayward, California. The lease commenced during July 2017.</w:t>
      </w:r>
    </w:p>
    <w:p>
      <w:pPr>
        <w:spacing w:after="0" w:line="132" w:lineRule="exact"/>
        <w:rPr>
          <w:sz w:val="20"/>
          <w:szCs w:val="20"/>
          <w:color w:val="auto"/>
        </w:rPr>
      </w:pPr>
    </w:p>
    <w:p>
      <w:pPr>
        <w:jc w:val="both"/>
        <w:ind w:left="6" w:right="20" w:firstLine="301"/>
        <w:spacing w:after="0" w:line="300" w:lineRule="auto"/>
        <w:rPr>
          <w:sz w:val="20"/>
          <w:szCs w:val="20"/>
          <w:color w:val="auto"/>
        </w:rPr>
      </w:pPr>
      <w:r>
        <w:rPr>
          <w:rFonts w:ascii="Arial" w:cs="Arial" w:eastAsia="Arial" w:hAnsi="Arial"/>
          <w:sz w:val="11"/>
          <w:szCs w:val="11"/>
          <w:color w:val="auto"/>
        </w:rPr>
        <w:t>During May 2019, the Company entered into Lease Amendment 1 (Amendment) in relation to the Existing Lease and added the lease of new premises of approximately 13,300 square feet and 21,300 square feet, (Expansion Premises 1 and Expansion Premises 2, respectively). Additionally, the term of the Existing Lease was extended to be coterminous with Expansion Premises 1 and Expansion Premises 2, effective October 2029.</w:t>
      </w:r>
    </w:p>
    <w:p>
      <w:pPr>
        <w:spacing w:after="0" w:line="71" w:lineRule="exact"/>
        <w:rPr>
          <w:sz w:val="20"/>
          <w:szCs w:val="20"/>
          <w:color w:val="auto"/>
        </w:rPr>
      </w:pPr>
    </w:p>
    <w:p>
      <w:pPr>
        <w:jc w:val="both"/>
        <w:ind w:left="6" w:firstLine="301"/>
        <w:spacing w:after="0" w:line="236" w:lineRule="auto"/>
        <w:rPr>
          <w:sz w:val="20"/>
          <w:szCs w:val="20"/>
          <w:color w:val="auto"/>
        </w:rPr>
      </w:pPr>
      <w:r>
        <w:rPr>
          <w:rFonts w:ascii="Arial" w:cs="Arial" w:eastAsia="Arial" w:hAnsi="Arial"/>
          <w:sz w:val="12"/>
          <w:szCs w:val="12"/>
          <w:color w:val="auto"/>
        </w:rPr>
        <w:t>The Company evaluated the lease amendment under the provisions of ASC 842. It concluded that the Amendment would be accounted for as a single contract with the Existing Lease because the additional lease payments due to the Amendment was not commensurate with the right-of-use (ROU) asset granted to the Company. Though the Amendment was accounted for as a single contract, the Existing Premises, Expansion Premises 1 (occupied in November 2019) and Expansion Premises 2 (occupied in May 2020) are accounted for as separate lease components. Accordingly, the Company measured and allocated consideration to each lease component as of the modification date.</w:t>
      </w:r>
    </w:p>
    <w:p>
      <w:pPr>
        <w:spacing w:after="0" w:line="94" w:lineRule="exact"/>
        <w:rPr>
          <w:sz w:val="20"/>
          <w:szCs w:val="20"/>
          <w:color w:val="auto"/>
        </w:rPr>
      </w:pPr>
    </w:p>
    <w:p>
      <w:pPr>
        <w:ind w:left="306"/>
        <w:spacing w:after="0"/>
        <w:rPr>
          <w:sz w:val="20"/>
          <w:szCs w:val="20"/>
          <w:color w:val="auto"/>
        </w:rPr>
      </w:pPr>
      <w:r>
        <w:rPr>
          <w:rFonts w:ascii="Arial" w:cs="Arial" w:eastAsia="Arial" w:hAnsi="Arial"/>
          <w:sz w:val="12"/>
          <w:szCs w:val="12"/>
          <w:color w:val="auto"/>
        </w:rPr>
        <w:t>Information related to the Company’s ROU assets and related lease liabilities are as follows (in thousands, except for remaining lease term and discount rate):</w:t>
      </w:r>
    </w:p>
    <w:p>
      <w:pPr>
        <w:spacing w:after="0" w:line="139" w:lineRule="exact"/>
        <w:rPr>
          <w:sz w:val="20"/>
          <w:szCs w:val="20"/>
          <w:color w:val="auto"/>
        </w:rPr>
      </w:pPr>
    </w:p>
    <w:tbl>
      <w:tblPr>
        <w:tblLayout w:type="fixed"/>
        <w:tblInd w:w="6" w:type="dxa"/>
        <w:tblCellMar>
          <w:top w:w="0" w:type="dxa"/>
          <w:left w:w="0" w:type="dxa"/>
          <w:bottom w:w="0" w:type="dxa"/>
          <w:right w:w="0" w:type="dxa"/>
        </w:tblCellMar>
      </w:tblPr>
      <w:tr>
        <w:trPr>
          <w:trHeight w:val="147"/>
        </w:trPr>
        <w:tc>
          <w:tcPr>
            <w:tcW w:w="3460" w:type="dxa"/>
            <w:vAlign w:val="bottom"/>
          </w:tcPr>
          <w:p>
            <w:pPr>
              <w:spacing w:after="0"/>
              <w:rPr>
                <w:sz w:val="20"/>
                <w:szCs w:val="20"/>
                <w:color w:val="auto"/>
              </w:rPr>
            </w:pPr>
            <w:r>
              <w:rPr>
                <w:rFonts w:ascii="Arial" w:cs="Arial" w:eastAsia="Arial" w:hAnsi="Arial"/>
                <w:sz w:val="12"/>
                <w:szCs w:val="12"/>
                <w:color w:val="auto"/>
              </w:rPr>
              <w:t>Year Ending December 31:</w:t>
            </w:r>
          </w:p>
        </w:tc>
        <w:tc>
          <w:tcPr>
            <w:tcW w:w="5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29"/>
        </w:trPr>
        <w:tc>
          <w:tcPr>
            <w:tcW w:w="3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2021 (remaining 9 months)</w:t>
            </w:r>
          </w:p>
        </w:tc>
        <w:tc>
          <w:tcPr>
            <w:tcW w:w="6700" w:type="dxa"/>
            <w:vAlign w:val="bottom"/>
            <w:gridSpan w:val="2"/>
            <w:shd w:val="clear" w:color="auto" w:fill="CCEEFF"/>
          </w:tcPr>
          <w:p>
            <w:pPr>
              <w:ind w:left="5900"/>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1,268</w:t>
            </w:r>
          </w:p>
        </w:tc>
      </w:tr>
      <w:tr>
        <w:trPr>
          <w:trHeight w:val="129"/>
        </w:trPr>
        <w:tc>
          <w:tcPr>
            <w:tcW w:w="3460" w:type="dxa"/>
            <w:vAlign w:val="bottom"/>
          </w:tcPr>
          <w:p>
            <w:pPr>
              <w:spacing w:after="0" w:line="129" w:lineRule="exact"/>
              <w:rPr>
                <w:sz w:val="20"/>
                <w:szCs w:val="20"/>
                <w:color w:val="auto"/>
              </w:rPr>
            </w:pPr>
            <w:r>
              <w:rPr>
                <w:rFonts w:ascii="Arial" w:cs="Arial" w:eastAsia="Arial" w:hAnsi="Arial"/>
                <w:sz w:val="12"/>
                <w:szCs w:val="12"/>
                <w:color w:val="auto"/>
              </w:rPr>
              <w:t>2022</w:t>
            </w:r>
          </w:p>
        </w:tc>
        <w:tc>
          <w:tcPr>
            <w:tcW w:w="5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1,806</w:t>
            </w:r>
          </w:p>
        </w:tc>
      </w:tr>
      <w:tr>
        <w:trPr>
          <w:trHeight w:val="129"/>
        </w:trPr>
        <w:tc>
          <w:tcPr>
            <w:tcW w:w="3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2023</w:t>
            </w:r>
          </w:p>
        </w:tc>
        <w:tc>
          <w:tcPr>
            <w:tcW w:w="5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1,845</w:t>
            </w:r>
          </w:p>
        </w:tc>
      </w:tr>
      <w:tr>
        <w:trPr>
          <w:trHeight w:val="129"/>
        </w:trPr>
        <w:tc>
          <w:tcPr>
            <w:tcW w:w="3460" w:type="dxa"/>
            <w:vAlign w:val="bottom"/>
          </w:tcPr>
          <w:p>
            <w:pPr>
              <w:spacing w:after="0" w:line="129" w:lineRule="exact"/>
              <w:rPr>
                <w:sz w:val="20"/>
                <w:szCs w:val="20"/>
                <w:color w:val="auto"/>
              </w:rPr>
            </w:pPr>
            <w:r>
              <w:rPr>
                <w:rFonts w:ascii="Arial" w:cs="Arial" w:eastAsia="Arial" w:hAnsi="Arial"/>
                <w:sz w:val="12"/>
                <w:szCs w:val="12"/>
                <w:color w:val="auto"/>
              </w:rPr>
              <w:t>2024</w:t>
            </w:r>
          </w:p>
        </w:tc>
        <w:tc>
          <w:tcPr>
            <w:tcW w:w="5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1,910</w:t>
            </w:r>
          </w:p>
        </w:tc>
      </w:tr>
      <w:tr>
        <w:trPr>
          <w:trHeight w:val="129"/>
        </w:trPr>
        <w:tc>
          <w:tcPr>
            <w:tcW w:w="3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2025</w:t>
            </w:r>
          </w:p>
        </w:tc>
        <w:tc>
          <w:tcPr>
            <w:tcW w:w="5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1,977</w:t>
            </w:r>
          </w:p>
        </w:tc>
      </w:tr>
      <w:tr>
        <w:trPr>
          <w:trHeight w:val="129"/>
        </w:trPr>
        <w:tc>
          <w:tcPr>
            <w:tcW w:w="3460" w:type="dxa"/>
            <w:vAlign w:val="bottom"/>
          </w:tcPr>
          <w:p>
            <w:pPr>
              <w:spacing w:after="0" w:line="129" w:lineRule="exact"/>
              <w:rPr>
                <w:sz w:val="20"/>
                <w:szCs w:val="20"/>
                <w:color w:val="auto"/>
              </w:rPr>
            </w:pPr>
            <w:r>
              <w:rPr>
                <w:rFonts w:ascii="Arial" w:cs="Arial" w:eastAsia="Arial" w:hAnsi="Arial"/>
                <w:sz w:val="12"/>
                <w:szCs w:val="12"/>
                <w:color w:val="auto"/>
              </w:rPr>
              <w:t>2026</w:t>
            </w:r>
          </w:p>
        </w:tc>
        <w:tc>
          <w:tcPr>
            <w:tcW w:w="5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2,046</w:t>
            </w:r>
          </w:p>
        </w:tc>
      </w:tr>
      <w:tr>
        <w:trPr>
          <w:trHeight w:val="129"/>
        </w:trPr>
        <w:tc>
          <w:tcPr>
            <w:tcW w:w="3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Thereafter</w:t>
            </w:r>
          </w:p>
        </w:tc>
        <w:tc>
          <w:tcPr>
            <w:tcW w:w="590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6,191</w:t>
            </w:r>
          </w:p>
        </w:tc>
      </w:tr>
      <w:tr>
        <w:trPr>
          <w:trHeight w:val="118"/>
        </w:trPr>
        <w:tc>
          <w:tcPr>
            <w:tcW w:w="3460" w:type="dxa"/>
            <w:vAlign w:val="bottom"/>
          </w:tcPr>
          <w:p>
            <w:pPr>
              <w:spacing w:after="0" w:line="118" w:lineRule="exact"/>
              <w:rPr>
                <w:sz w:val="20"/>
                <w:szCs w:val="20"/>
                <w:color w:val="auto"/>
              </w:rPr>
            </w:pPr>
            <w:r>
              <w:rPr>
                <w:rFonts w:ascii="Arial" w:cs="Arial" w:eastAsia="Arial" w:hAnsi="Arial"/>
                <w:sz w:val="12"/>
                <w:szCs w:val="12"/>
                <w:color w:val="auto"/>
              </w:rPr>
              <w:t>Total lease payments</w:t>
            </w:r>
          </w:p>
        </w:tc>
        <w:tc>
          <w:tcPr>
            <w:tcW w:w="5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40" w:type="dxa"/>
            <w:vAlign w:val="bottom"/>
          </w:tcPr>
          <w:p>
            <w:pPr>
              <w:jc w:val="right"/>
              <w:spacing w:after="0" w:line="118" w:lineRule="exact"/>
              <w:rPr>
                <w:sz w:val="20"/>
                <w:szCs w:val="20"/>
                <w:color w:val="auto"/>
              </w:rPr>
            </w:pPr>
            <w:r>
              <w:rPr>
                <w:rFonts w:ascii="Arial" w:cs="Arial" w:eastAsia="Arial" w:hAnsi="Arial"/>
                <w:sz w:val="12"/>
                <w:szCs w:val="12"/>
                <w:color w:val="auto"/>
              </w:rPr>
              <w:t>17,043</w:t>
            </w:r>
          </w:p>
        </w:tc>
      </w:tr>
      <w:tr>
        <w:trPr>
          <w:trHeight w:val="129"/>
        </w:trPr>
        <w:tc>
          <w:tcPr>
            <w:tcW w:w="3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Less imputed interest</w:t>
            </w:r>
          </w:p>
        </w:tc>
        <w:tc>
          <w:tcPr>
            <w:tcW w:w="590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(5,782)</w:t>
            </w:r>
          </w:p>
        </w:tc>
      </w:tr>
      <w:tr>
        <w:trPr>
          <w:trHeight w:val="126"/>
        </w:trPr>
        <w:tc>
          <w:tcPr>
            <w:tcW w:w="3460" w:type="dxa"/>
            <w:vAlign w:val="bottom"/>
          </w:tcPr>
          <w:p>
            <w:pPr>
              <w:spacing w:after="0" w:line="118" w:lineRule="exact"/>
              <w:rPr>
                <w:sz w:val="20"/>
                <w:szCs w:val="20"/>
                <w:color w:val="auto"/>
              </w:rPr>
            </w:pPr>
            <w:r>
              <w:rPr>
                <w:rFonts w:ascii="Arial" w:cs="Arial" w:eastAsia="Arial" w:hAnsi="Arial"/>
                <w:sz w:val="12"/>
                <w:szCs w:val="12"/>
                <w:color w:val="auto"/>
              </w:rPr>
              <w:t>Total lease liabilities</w:t>
            </w:r>
          </w:p>
        </w:tc>
        <w:tc>
          <w:tcPr>
            <w:tcW w:w="5900" w:type="dxa"/>
            <w:vAlign w:val="bottom"/>
          </w:tcPr>
          <w:p>
            <w:pPr>
              <w:spacing w:after="0"/>
              <w:rPr>
                <w:sz w:val="10"/>
                <w:szCs w:val="10"/>
                <w:color w:val="auto"/>
              </w:rPr>
            </w:pPr>
          </w:p>
        </w:tc>
        <w:tc>
          <w:tcPr>
            <w:tcW w:w="800" w:type="dxa"/>
            <w:vAlign w:val="bottom"/>
            <w:tcBorders>
              <w:bottom w:val="single" w:sz="8" w:color="auto"/>
            </w:tcBorders>
          </w:tcPr>
          <w:p>
            <w:pPr>
              <w:spacing w:after="0" w:line="118" w:lineRule="exact"/>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11,261</w:t>
            </w:r>
          </w:p>
        </w:tc>
      </w:tr>
      <w:tr>
        <w:trPr>
          <w:trHeight w:val="414"/>
        </w:trPr>
        <w:tc>
          <w:tcPr>
            <w:tcW w:w="3460" w:type="dxa"/>
            <w:vAlign w:val="bottom"/>
          </w:tcPr>
          <w:p>
            <w:pPr>
              <w:spacing w:after="0"/>
              <w:rPr>
                <w:sz w:val="24"/>
                <w:szCs w:val="24"/>
                <w:color w:val="auto"/>
              </w:rPr>
            </w:pPr>
          </w:p>
        </w:tc>
        <w:tc>
          <w:tcPr>
            <w:tcW w:w="5900" w:type="dxa"/>
            <w:vAlign w:val="bottom"/>
          </w:tcPr>
          <w:p>
            <w:pPr>
              <w:jc w:val="right"/>
              <w:ind w:right="3605"/>
              <w:spacing w:after="0"/>
              <w:rPr>
                <w:sz w:val="20"/>
                <w:szCs w:val="20"/>
                <w:color w:val="auto"/>
              </w:rPr>
            </w:pPr>
            <w:r>
              <w:rPr>
                <w:rFonts w:ascii="Arial" w:cs="Arial" w:eastAsia="Arial" w:hAnsi="Arial"/>
                <w:sz w:val="12"/>
                <w:szCs w:val="12"/>
                <w:color w:val="auto"/>
              </w:rPr>
              <w:t>15</w:t>
            </w: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3"/>
        </w:trPr>
        <w:tc>
          <w:tcPr>
            <w:tcW w:w="3460" w:type="dxa"/>
            <w:vAlign w:val="bottom"/>
            <w:tcBorders>
              <w:bottom w:val="single" w:sz="8" w:color="9A9A9A"/>
            </w:tcBorders>
          </w:tcPr>
          <w:p>
            <w:pPr>
              <w:spacing w:after="0"/>
              <w:rPr>
                <w:sz w:val="18"/>
                <w:szCs w:val="18"/>
                <w:color w:val="auto"/>
              </w:rPr>
            </w:pPr>
          </w:p>
        </w:tc>
        <w:tc>
          <w:tcPr>
            <w:tcW w:w="590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7157085</wp:posOffset>
            </wp:positionH>
            <wp:positionV relativeFrom="paragraph">
              <wp:posOffset>-23495</wp:posOffset>
            </wp:positionV>
            <wp:extent cx="311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6"/>
          </w:cols>
          <w:pgMar w:left="294" w:top="118" w:right="299" w:bottom="1440" w:gutter="0" w:footer="0" w:header="0"/>
        </w:sectPr>
      </w:pPr>
    </w:p>
    <w:bookmarkStart w:id="15" w:name="page16"/>
    <w:bookmarkEnd w:id="15"/>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supplemental information:</w:t>
      </w:r>
    </w:p>
    <w:p>
      <w:pPr>
        <w:spacing w:after="0" w:line="233" w:lineRule="auto"/>
        <w:rPr>
          <w:sz w:val="20"/>
          <w:szCs w:val="20"/>
          <w:color w:val="auto"/>
        </w:rPr>
      </w:pPr>
      <w:r>
        <w:rPr>
          <w:rFonts w:ascii="Arial" w:cs="Arial" w:eastAsia="Arial" w:hAnsi="Arial"/>
          <w:sz w:val="12"/>
          <w:szCs w:val="12"/>
          <w:color w:val="auto"/>
        </w:rPr>
        <w:t>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75500" cy="819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75500" cy="93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5500" cy="9398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2"/>
          <w:szCs w:val="12"/>
          <w:color w:val="auto"/>
        </w:rPr>
        <w:t>Total lease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Cash paid for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75500" cy="819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Weighted 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75500" cy="819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Weighted average discount rate</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1"/>
          <w:szCs w:val="11"/>
          <w:color w:val="auto"/>
        </w:rPr>
        <w:t>Rent expense, including common area maintenance charges, was $0.5 million and $0.2 million during the three-month periods ended March 31, 2021 and 2020, respectively.</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Legal Proceedings</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00" w:type="dxa"/>
            <w:vAlign w:val="bottom"/>
            <w:gridSpan w:val="2"/>
          </w:tcPr>
          <w:p>
            <w:pPr>
              <w:jc w:val="right"/>
              <w:ind w:right="714"/>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629</w:t>
            </w:r>
          </w:p>
        </w:tc>
      </w:tr>
      <w:tr>
        <w:trPr>
          <w:trHeight w:val="147"/>
        </w:trPr>
        <w:tc>
          <w:tcPr>
            <w:tcW w:w="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10,632</w:t>
            </w:r>
          </w:p>
        </w:tc>
      </w:tr>
      <w:tr>
        <w:trPr>
          <w:trHeight w:val="126"/>
        </w:trPr>
        <w:tc>
          <w:tcPr>
            <w:tcW w:w="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714"/>
              <w:spacing w:after="0"/>
              <w:rPr>
                <w:sz w:val="20"/>
                <w:szCs w:val="20"/>
                <w:color w:val="auto"/>
              </w:rPr>
            </w:pPr>
            <w:r>
              <w:rPr>
                <w:rFonts w:ascii="Arial" w:cs="Arial" w:eastAsia="Arial" w:hAnsi="Arial"/>
                <w:sz w:val="5"/>
                <w:szCs w:val="5"/>
                <w:color w:val="auto"/>
                <w:w w:val="70"/>
              </w:rPr>
              <w:t>$</w:t>
            </w:r>
          </w:p>
        </w:tc>
        <w:tc>
          <w:tcPr>
            <w:tcW w:w="11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11,261</w:t>
            </w:r>
          </w:p>
        </w:tc>
      </w:tr>
      <w:tr>
        <w:trPr>
          <w:trHeight w:val="267"/>
        </w:trPr>
        <w:tc>
          <w:tcPr>
            <w:tcW w:w="800" w:type="dxa"/>
            <w:vAlign w:val="bottom"/>
            <w:gridSpan w:val="2"/>
          </w:tcPr>
          <w:p>
            <w:pPr>
              <w:jc w:val="right"/>
              <w:ind w:right="714"/>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375</w:t>
            </w:r>
          </w:p>
        </w:tc>
      </w:tr>
      <w:tr>
        <w:trPr>
          <w:trHeight w:val="232"/>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8.59</w:t>
            </w:r>
          </w:p>
        </w:tc>
      </w:tr>
      <w:tr>
        <w:trPr>
          <w:trHeight w:val="156"/>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10%</w:t>
            </w:r>
          </w:p>
        </w:tc>
      </w:tr>
    </w:tbl>
    <w:p>
      <w:pPr>
        <w:spacing w:after="0" w:line="609" w:lineRule="exact"/>
        <w:rPr>
          <w:sz w:val="20"/>
          <w:szCs w:val="20"/>
          <w:color w:val="auto"/>
        </w:rPr>
      </w:pPr>
    </w:p>
    <w:p>
      <w:pPr>
        <w:sectPr>
          <w:pgSz w:w="11900" w:h="16838" w:orient="portrait"/>
          <w:cols w:equalWidth="0" w:num="2">
            <w:col w:w="8820" w:space="540"/>
            <w:col w:w="1940"/>
          </w:cols>
          <w:pgMar w:left="300" w:top="118" w:right="299" w:bottom="1440" w:gutter="0" w:footer="0" w:header="0"/>
        </w:sectPr>
      </w:pPr>
    </w:p>
    <w:p>
      <w:pPr>
        <w:jc w:val="both"/>
        <w:ind w:firstLine="301"/>
        <w:spacing w:after="0" w:line="255" w:lineRule="auto"/>
        <w:rPr>
          <w:sz w:val="20"/>
          <w:szCs w:val="20"/>
          <w:color w:val="auto"/>
        </w:rPr>
      </w:pPr>
      <w:r>
        <w:rPr>
          <w:rFonts w:ascii="Arial" w:cs="Arial" w:eastAsia="Arial" w:hAnsi="Arial"/>
          <w:sz w:val="12"/>
          <w:szCs w:val="12"/>
          <w:color w:val="auto"/>
        </w:rPr>
        <w:t>The Company maintains indemnification agreements with its directors and officers that may require the Company to indemnify them against liabilities that arise by reason of their status or service as directors or officers, except as prohibited by applicable law.</w:t>
      </w:r>
    </w:p>
    <w:p>
      <w:pPr>
        <w:spacing w:after="0" w:line="94"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From time to time, the Company may be involved in a variety of claims, lawsuits, investigations and proceedings relating to securities laws, product liability, patent infringement, contract disputes and other matters relating to various claims that arise in the normal course of the Company’s business. The Company currently believes that these ordinary course matters are not material to the condensed consolidated financial statements of the business; however, the results of litigation and claims are inherently unpredictable.</w:t>
      </w: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Controlled Launch</w:t>
      </w:r>
    </w:p>
    <w:p>
      <w:pPr>
        <w:spacing w:after="0" w:line="124"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In February 2021, the Company received 510(k) clearance from the U.S. FDA for the CellFX System with initial clearance for a general dermatologic indication. Additionally, in January 2021, the Company received CE marking approval for the CellFX System, which allows for marketing of the system in the EU for treatment of general dermatologic conditions, including SH, SK, and cutaneous non-genital warts. Having obtained FDA clearance and CE marking approval, in February 2021 the Company commenced a controlled launch of the CellFX System in both the U.S. and the EU via their CellFX Expectations Excelled Program (Program).</w:t>
      </w:r>
    </w:p>
    <w:p>
      <w:pPr>
        <w:spacing w:after="0" w:line="87"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The Company selected a total of 75 KOLs in dermatology across the U.S. and the EU to be the first physicians (consultants) to launch the CellFX System and the associated CellFX commercial procedures into their respective markets and geographies. The Company executes consulting agreements to retain these KOLs to participate in the Program. According to the Program plan, the Company provides and sets-up the CellFX System at each consultant’s site and provides the consultant with the necessary related products and components, free of charge, to complete the requirements of the Program. The CellFX System and any un-used component products remain the property of the Company throughout the Program. The consultant identifies and recruits up to 40 patients for participation in the Program, performing the CellFX procedure on each of the appropriately selected patients. Following the procedure, both the consultant and the patient complete evaluation surveys. Upon completion of the procedure and both surveys, the consultant will earn a credit which can be used towards the future purchase of the CellFX System. Credits earned are limited to a maximum of 40 patients. Upon completion of all 40 patients, the consultant may choose to either enter into a purchase agreement with the Company, where they use the credits earned towards purchase of the CellFX System, or they shall return the CellFX System to the Company.</w:t>
      </w:r>
    </w:p>
    <w:p>
      <w:pPr>
        <w:spacing w:after="0" w:line="103"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As the consultant completes patient treatments and both the consultant and patient complete their surveys, the Company will accrue for the value of the credit, which is recorded in accrued expenses, with a corresponding charge to marketing expense. During the three-month period ended March 31, 2021, the Company recorded $0.1 million of sales and marketing expense in relation to the Program.</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type w:val="continuous"/>
        </w:sectPr>
      </w:pPr>
    </w:p>
    <w:bookmarkStart w:id="16" w:name="page17"/>
    <w:bookmarkEnd w:id="16"/>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Related Party Transactions</w:t>
      </w:r>
    </w:p>
    <w:p>
      <w:pPr>
        <w:spacing w:after="0" w:line="124"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Kenneth A. Clark, a director of the Company since November 2017, is a member of the law firm of Wilson Sonsini Goodrich and Rosati (WSGR), which also serves as the outside corporate counsel to the Company. During the three-month period ended March 31, 2021, the Company incurred expenses reported in general and administrative in the consolidated statement of operations for legal services rendered by WSGR totaling approximately $0.2 million. Additionally, in June 2020, the Company incurred approximately $0.4 million of legal expenses in connection with the rights offering which was offset against the gross proceeds, and during the three-month period ended March 31, 2021, the Company incurred an additional $0.2 million of legal expenses in connection with the at-the-market equity offering which was offset against the gross proceeds (Note 6). During the three-month period ended March 31, 2020, the Company incurred expenses for legal services rendered by WSGR totaling approximately $0.1 million.</w:t>
      </w:r>
    </w:p>
    <w:p>
      <w:pPr>
        <w:spacing w:after="0" w:line="96"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During June 2020, the Company completed the Rights Offering. See Note 6 for details about the Rights Offering. Robert W. Duggan, the Company’s Chairman of the Board of Directors and the beneficial owner of approximately 43% of the Company’s outstanding common stock prior to the Rights Offering, participated in the Rights Offering and purchased an aggregate of 2,561,873 Units. After giving effect to the Rights Offering, including exercise of the Rights Offering Warrants, Mr. Duggan was the beneficial owner of approximately 47% of the Company’s outstanding stock as of March 31, 2021.</w:t>
      </w:r>
    </w:p>
    <w:p>
      <w:pPr>
        <w:spacing w:after="0" w:line="95" w:lineRule="exact"/>
        <w:rPr>
          <w:sz w:val="20"/>
          <w:szCs w:val="20"/>
          <w:color w:val="auto"/>
        </w:rPr>
      </w:pPr>
    </w:p>
    <w:p>
      <w:pPr>
        <w:jc w:val="both"/>
        <w:ind w:right="20" w:firstLine="301"/>
        <w:spacing w:after="0" w:line="233" w:lineRule="auto"/>
        <w:rPr>
          <w:sz w:val="20"/>
          <w:szCs w:val="20"/>
          <w:color w:val="auto"/>
        </w:rPr>
      </w:pPr>
      <w:r>
        <w:rPr>
          <w:rFonts w:ascii="Arial" w:cs="Arial" w:eastAsia="Arial" w:hAnsi="Arial"/>
          <w:sz w:val="12"/>
          <w:szCs w:val="12"/>
          <w:color w:val="auto"/>
        </w:rPr>
        <w:t>The Company determined not to renew its director and officer liability insurance policies due to disproportionately high premiums quoted by insurance companies. Instead, Robert W. Duggan and the Company entered into a letter agreement, dated May 12, 2020 (Letter Agreement), pursuant to which Mr. Duggan agreed with the Company to personally provide indemnity coverage on substantially the same terms as the Company’s prior coverage program for a one-year period, and has deposited security for such obligations. The Company will pay a fee of $2.5 million to Mr. Duggan that shall be due on May 13, 2021, the last day of the one-year period, in consideration of the obligations set forth in the Letter Agreement. The other members of the Board are third-party beneficiaries under the Agreement. As of March 31, 2021, the amount owed to Mr. Duggan under the Letter Agreement was $2.2 million, recorded in the balance sheet under Accrued Liabilities.</w:t>
      </w:r>
    </w:p>
    <w:p>
      <w:pPr>
        <w:spacing w:after="0" w:line="105"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On March 11, 2021, the Company and Robert W. Duggan entered into a Loan Agreement in connection with Mr. Duggan lending the principal sum of $41.0 million to the Company. See Note 8 for details of the Loan Agreement.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7" w:name="page18"/>
    <w:bookmarkEnd w:id="17"/>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5" w:lineRule="exact"/>
        <w:rPr>
          <w:sz w:val="20"/>
          <w:szCs w:val="20"/>
          <w:color w:val="auto"/>
        </w:rPr>
      </w:pPr>
    </w:p>
    <w:p>
      <w:pPr>
        <w:jc w:val="both"/>
        <w:spacing w:after="0" w:line="238" w:lineRule="auto"/>
        <w:rPr>
          <w:sz w:val="20"/>
          <w:szCs w:val="20"/>
          <w:color w:val="auto"/>
        </w:rPr>
      </w:pPr>
      <w:r>
        <w:rPr>
          <w:rFonts w:ascii="Arial" w:cs="Arial" w:eastAsia="Arial" w:hAnsi="Arial"/>
          <w:sz w:val="12"/>
          <w:szCs w:val="12"/>
          <w:i w:val="1"/>
          <w:iCs w:val="1"/>
          <w:color w:val="auto"/>
        </w:rPr>
        <w:t>You should read the following discussion and analysis of our financial condition and results of operations together with our condensed consolidated financial statements and the related notes included in this Quarterly Report on Form 10-Q (the “Quarterly Report”) and those in our Annual Report on Form 10-K.</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1"/>
          <w:szCs w:val="11"/>
          <w:i w:val="1"/>
          <w:iCs w:val="1"/>
          <w:color w:val="auto"/>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revenues, the anticipated mix of our revenues between procedure and system revenues, our financing plans and future capital requirements, anticipated costs of revenue, anticipated expenses, the effect of recent accounting pronouncements, our investments, anticipated cash flows, our ability to finance operations from cash flows and similar matters, the impact of the recent COVID-19 coronavirus pandemic and related public health measures on our business, and statements based on current expectations, estimates, forecasts and projections about the economies and markets in which we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Quarterly Report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100" w:lineRule="exact"/>
        <w:rPr>
          <w:sz w:val="20"/>
          <w:szCs w:val="20"/>
          <w:color w:val="auto"/>
        </w:rPr>
      </w:pPr>
    </w:p>
    <w:p>
      <w:pPr>
        <w:jc w:val="both"/>
        <w:ind w:right="20"/>
        <w:spacing w:after="0" w:line="255" w:lineRule="auto"/>
        <w:rPr>
          <w:sz w:val="20"/>
          <w:szCs w:val="20"/>
          <w:color w:val="auto"/>
        </w:rPr>
      </w:pPr>
      <w:r>
        <w:rPr>
          <w:rFonts w:ascii="Arial" w:cs="Arial" w:eastAsia="Arial" w:hAnsi="Arial"/>
          <w:sz w:val="12"/>
          <w:szCs w:val="12"/>
          <w:color w:val="auto"/>
        </w:rPr>
        <w:t>Pulse Biosciences, CellFX, CellFX CloudConnect, CellFX Marketplace, Nano-Pulse Stimulation, NPS, and the stylized logos are among the trademarks and/or registered trademarks of Pulse Biosciences, Inc. in the U.S. and other countries.</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24" w:lineRule="exact"/>
        <w:rPr>
          <w:sz w:val="20"/>
          <w:szCs w:val="20"/>
          <w:color w:val="auto"/>
        </w:rPr>
      </w:pPr>
    </w:p>
    <w:p>
      <w:pPr>
        <w:jc w:val="both"/>
        <w:ind w:firstLine="301"/>
        <w:spacing w:after="0" w:line="300" w:lineRule="auto"/>
        <w:rPr>
          <w:sz w:val="20"/>
          <w:szCs w:val="20"/>
          <w:color w:val="auto"/>
        </w:rPr>
      </w:pPr>
      <w:r>
        <w:rPr>
          <w:rFonts w:ascii="Arial" w:cs="Arial" w:eastAsia="Arial" w:hAnsi="Arial"/>
          <w:sz w:val="11"/>
          <w:szCs w:val="11"/>
          <w:color w:val="auto"/>
        </w:rPr>
        <w:t>We are a novel bioelectric medicine company committed to health innovation that has the potential to improve the lives of patients. The CellFX System is the first commercial product to harness the distinctive advantages of the Company’s proprietary NPS technology, such as the ability to non-thermally clear cells while sparing non-cellular tissue, to treat a variety of applications for which an optimal solution remains unfulfilled.</w:t>
      </w:r>
    </w:p>
    <w:p>
      <w:pPr>
        <w:spacing w:after="0" w:line="71"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In February 2021, we received 510(k) clearance from the FDA for the CellFX System with initial clearance for a general dermatologic indication. With FDA clearance, in February 2021 we commenced a controlled launch in the U.S. with KOLs in dermatology. Following this general dermatologic indication, we plan to pursue specific indications for the CellFX System, starting with an indication for the treatment of SH lesions. This will require an additional 510(k) submission, as will each subsequent indication, and will likely be based on comparative clinical data.</w:t>
      </w:r>
    </w:p>
    <w:p>
      <w:pPr>
        <w:spacing w:after="0" w:line="104"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In January 2021, we received CE marking approval for the CellFX System, which allows us to market the system in the EU. With CE mark approval, in February 2021 we initiated a controlled launch to medical practices within the EU for the treatment of general dermatologic conditions, including SH, SK, and cutaneous non-genital warts.</w:t>
      </w:r>
    </w:p>
    <w:p>
      <w:pPr>
        <w:spacing w:after="0" w:line="9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We have also submitted a Medical Device License application to Health Canada for the distribution of our CellFX System after receiving the MSAP certification. We have responded to what we believe is the final question from Health Canada and anticipate completion of their review by the end of the second quarter 2021.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8" w:name="page19"/>
    <w:bookmarkEnd w:id="18"/>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Plan of Operation</w:t>
      </w:r>
    </w:p>
    <w:p>
      <w:pPr>
        <w:spacing w:after="0" w:line="12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We plan to establish ourselves as a medical therapy company with a local, non-thermal, and drug-free treatment platform that initiates cell death in targeted tissue by a process of cell signaling and also induces an adaptive immune response to the targeted tissue. In order to accomplish this, we plan to:</w:t>
      </w:r>
    </w:p>
    <w:p>
      <w:pPr>
        <w:spacing w:after="0" w:line="94" w:lineRule="exact"/>
        <w:rPr>
          <w:sz w:val="20"/>
          <w:szCs w:val="20"/>
          <w:color w:val="auto"/>
        </w:rPr>
      </w:pPr>
    </w:p>
    <w:p>
      <w:pPr>
        <w:ind w:left="440"/>
        <w:spacing w:after="0" w:line="255" w:lineRule="auto"/>
        <w:rPr>
          <w:sz w:val="20"/>
          <w:szCs w:val="20"/>
          <w:color w:val="auto"/>
        </w:rPr>
      </w:pPr>
      <w:r>
        <w:rPr>
          <w:rFonts w:ascii="Arial" w:cs="Arial" w:eastAsia="Arial" w:hAnsi="Arial"/>
          <w:sz w:val="12"/>
          <w:szCs w:val="12"/>
          <w:color w:val="auto"/>
        </w:rPr>
        <w:t>Improve our technology by continuing our research and product development efforts. We expect to develop interchangeable tissue applicators to target different tissue types that will leverage the novel characteristics of our technology platform.</w:t>
      </w:r>
    </w:p>
    <w:p>
      <w:pPr>
        <w:spacing w:after="0" w:line="94"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Further explore and understand the benefits of NPS technology platform with the objectives of broadening the currently planned cosmetic and therapeutic applications and identifying new applications. We anticipate that results of our clinical studies will enable us to recognize certain unmet medical needs that may be addressed by our technology.</w:t>
      </w:r>
    </w:p>
    <w:p>
      <w:pPr>
        <w:spacing w:after="0" w:line="94"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Continue to protect and expand our intellectual property portfolio with respect to NPS technology, which we expect will increase our ability to deter competitors and position our company for favorable licensing and partnering opportunities.</w:t>
      </w:r>
    </w:p>
    <w:p>
      <w:pPr>
        <w:spacing w:after="0" w:line="94" w:lineRule="exact"/>
        <w:rPr>
          <w:sz w:val="20"/>
          <w:szCs w:val="20"/>
          <w:color w:val="auto"/>
        </w:rPr>
      </w:pPr>
    </w:p>
    <w:p>
      <w:pPr>
        <w:ind w:left="440"/>
        <w:spacing w:after="0" w:line="255" w:lineRule="auto"/>
        <w:rPr>
          <w:sz w:val="20"/>
          <w:szCs w:val="20"/>
          <w:color w:val="auto"/>
        </w:rPr>
      </w:pPr>
      <w:r>
        <w:rPr>
          <w:rFonts w:ascii="Arial" w:cs="Arial" w:eastAsia="Arial" w:hAnsi="Arial"/>
          <w:sz w:val="12"/>
          <w:szCs w:val="12"/>
          <w:color w:val="auto"/>
        </w:rPr>
        <w:t>Partner with medical or biomedical device companies for certain applications which we anticipate may accelerate product development and acceptance into target market areas and allow us to gain the sales and marketing advantages of the distribution infrastructure.</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 Pandemic</w:t>
      </w:r>
    </w:p>
    <w:p>
      <w:pPr>
        <w:spacing w:after="0" w:line="124"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The COVID-19 pandemic has resulted in government authorities implementing numerous measures to try to contain the virus, such as travel bans and restrictions, quarantines, shelter-in-place or stay-at-home orders, and business shutdowns. In accordance with these measures, we are requiring all of our employees to work remotely unless they cannot perform their essential functions remotely, and have also suspended all non-essential travel for our employees. While many of our employees are accustomed to working remotely, much of our workforce has not historically been remote. Although we continue to monitor the situation and may adjust our current policies as more information and public health guidance becomes available, temporarily suspending travel and restricting the ability to do business in person may create operational or other challenges, any of which could harm our business, financial condition and results of operations.</w:t>
      </w:r>
    </w:p>
    <w:p>
      <w:pPr>
        <w:spacing w:after="0" w:line="105"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In addition, our clinical trials may be affected by the COVID-19 pandemic. Site initiation and patient enrollment may be delayed, for example, due to prioritization of hospital resources toward the COVID-19 pandemic, travel restrictions imposed by governments, and the inability to access sites for initiation and monitoring. Also, it is possible that delivery from some of our suppliers of certain materials used in the production of our product candidates could be delayed due to COVID-19 which could affect our ability to obtain sufficient materials for our product candidates. COVID-19 has and will continue to adversely affect global economies and financial markets, resulting in an economic downturn that could affect demand for our product candidates and impact our operating results. Even after the COVID-19 pandemic has subsided, we may continue to experience an adverse impact to our business as a result of the continued global economic impact of the pandemic. We cannot anticipate all of the ways in which health epidemics such as COVID-19 could adversely impact our business. Although we are continuing to monitor and assess the effects of the COVID-19 pandemic on our business, the ultimate impact of the COVID-19 pandemic or a similar health epidemic is highly uncertain and subject to change. See the Risk Factors section for further discussion of the possible impact of the COVID-19 pandemic on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24"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The discussion and analysis of our financial condition and results of operations are based upon our unaudited condensed consolidated financial statements, which have been prepared in accordance with the rules and regulations of SEC. The preparation of these condensed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9" w:name="page20"/>
    <w:bookmarkEnd w:id="19"/>
    <w:p>
      <w:pPr>
        <w:ind w:left="6"/>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left="6" w:right="20" w:firstLine="301"/>
        <w:spacing w:after="0" w:line="239" w:lineRule="auto"/>
        <w:rPr>
          <w:sz w:val="20"/>
          <w:szCs w:val="20"/>
          <w:color w:val="auto"/>
        </w:rPr>
      </w:pPr>
      <w:r>
        <w:rPr>
          <w:rFonts w:ascii="Arial" w:cs="Arial" w:eastAsia="Arial" w:hAnsi="Arial"/>
          <w:sz w:val="12"/>
          <w:szCs w:val="12"/>
          <w:color w:val="auto"/>
        </w:rPr>
        <w:t>Our significant accounting policies and estimates are described in our Annual Report on Form 10-K for the year ended December 31, 2020. We continually evaluate the accounting policies and estimates used in preparing the consolidated financial statements. During the three-month period ended March 31, 2021, we received 510(k) clearance and CE marking approval for the CellFX System upon which we began to capitalize inventory in preparation of commercialization.</w:t>
      </w:r>
    </w:p>
    <w:p>
      <w:pPr>
        <w:spacing w:after="0" w:line="104" w:lineRule="exact"/>
        <w:rPr>
          <w:sz w:val="20"/>
          <w:szCs w:val="20"/>
          <w:color w:val="auto"/>
        </w:rPr>
      </w:pPr>
    </w:p>
    <w:p>
      <w:pPr>
        <w:ind w:left="306"/>
        <w:spacing w:after="0"/>
        <w:rPr>
          <w:sz w:val="20"/>
          <w:szCs w:val="20"/>
          <w:color w:val="auto"/>
        </w:rPr>
      </w:pPr>
      <w:r>
        <w:rPr>
          <w:rFonts w:ascii="Arial" w:cs="Arial" w:eastAsia="Arial" w:hAnsi="Arial"/>
          <w:sz w:val="12"/>
          <w:szCs w:val="12"/>
          <w:b w:val="1"/>
          <w:bCs w:val="1"/>
          <w:i w:val="1"/>
          <w:iCs w:val="1"/>
          <w:color w:val="auto"/>
        </w:rPr>
        <w:t>Valuation of Inventory</w:t>
      </w:r>
    </w:p>
    <w:p>
      <w:pPr>
        <w:spacing w:after="0" w:line="120" w:lineRule="exact"/>
        <w:rPr>
          <w:sz w:val="20"/>
          <w:szCs w:val="20"/>
          <w:color w:val="auto"/>
        </w:rPr>
      </w:pPr>
    </w:p>
    <w:p>
      <w:pPr>
        <w:jc w:val="both"/>
        <w:ind w:left="6" w:firstLine="301"/>
        <w:spacing w:after="0" w:line="272" w:lineRule="auto"/>
        <w:rPr>
          <w:sz w:val="20"/>
          <w:szCs w:val="20"/>
          <w:color w:val="auto"/>
        </w:rPr>
      </w:pPr>
      <w:r>
        <w:rPr>
          <w:rFonts w:ascii="Arial" w:cs="Arial" w:eastAsia="Arial" w:hAnsi="Arial"/>
          <w:sz w:val="11"/>
          <w:szCs w:val="11"/>
          <w:color w:val="auto"/>
        </w:rPr>
        <w:t>Inventory is stated at lower of cost or net realizable value. We established the inventory basis by determining the cost based on standard costs approximating the purchase costs on a first-in, first-out basis. Net realizable value is the estimated selling price in the ordinary course of our business, less reasonably predictable costs of completion, disposal, and transportation. The cost basis of our inventory will be reduced for any products that are considered excessive or obsolete based upon assumptions about future demand and market conditions. At March 31, 2021 there is no reduction to the balance of inventory for excessive and obsolete inventory.</w:t>
      </w:r>
    </w:p>
    <w:p>
      <w:pPr>
        <w:spacing w:after="0" w:line="110"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Recent Accounting Pronouncements</w:t>
      </w:r>
    </w:p>
    <w:p>
      <w:pPr>
        <w:spacing w:after="0" w:line="124" w:lineRule="exact"/>
        <w:rPr>
          <w:sz w:val="20"/>
          <w:szCs w:val="20"/>
          <w:color w:val="auto"/>
        </w:rPr>
      </w:pPr>
    </w:p>
    <w:p>
      <w:pPr>
        <w:ind w:left="306"/>
        <w:spacing w:after="0"/>
        <w:rPr>
          <w:sz w:val="20"/>
          <w:szCs w:val="20"/>
          <w:color w:val="auto"/>
        </w:rPr>
      </w:pPr>
      <w:r>
        <w:rPr>
          <w:rFonts w:ascii="Arial" w:cs="Arial" w:eastAsia="Arial" w:hAnsi="Arial"/>
          <w:sz w:val="12"/>
          <w:szCs w:val="12"/>
          <w:color w:val="auto"/>
        </w:rPr>
        <w:t>Refer to “Recent Accounting Pronouncements” in Note 2 of Notes to Condensed Consolidated Financial Statements of this Quarterly Report.</w:t>
      </w:r>
    </w:p>
    <w:p>
      <w:pPr>
        <w:spacing w:after="0" w:line="116"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Segment and Geographical Information</w:t>
      </w:r>
    </w:p>
    <w:p>
      <w:pPr>
        <w:spacing w:after="0" w:line="115" w:lineRule="exact"/>
        <w:rPr>
          <w:sz w:val="20"/>
          <w:szCs w:val="20"/>
          <w:color w:val="auto"/>
        </w:rPr>
      </w:pPr>
    </w:p>
    <w:p>
      <w:pPr>
        <w:jc w:val="both"/>
        <w:ind w:left="6" w:firstLine="301"/>
        <w:spacing w:after="0" w:line="255" w:lineRule="auto"/>
        <w:rPr>
          <w:sz w:val="20"/>
          <w:szCs w:val="20"/>
          <w:color w:val="auto"/>
        </w:rPr>
      </w:pPr>
      <w:r>
        <w:rPr>
          <w:rFonts w:ascii="Arial" w:cs="Arial" w:eastAsia="Arial" w:hAnsi="Arial"/>
          <w:sz w:val="12"/>
          <w:szCs w:val="12"/>
          <w:color w:val="auto"/>
        </w:rPr>
        <w:t>We operate and manage our business as one reportable and operating segment. Our Chief Executive Officer, who is the chief operating decision maker, reviews financial information on an aggregate basis for purposes of allocating resources and evaluating financial performance. All of our long-lived assets are based in the United States.</w:t>
      </w:r>
    </w:p>
    <w:p>
      <w:pPr>
        <w:spacing w:after="0" w:line="219"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Results of Operations</w:t>
      </w:r>
    </w:p>
    <w:p>
      <w:pPr>
        <w:spacing w:after="0" w:line="134" w:lineRule="exact"/>
        <w:rPr>
          <w:sz w:val="20"/>
          <w:szCs w:val="20"/>
          <w:color w:val="auto"/>
        </w:rPr>
      </w:pPr>
    </w:p>
    <w:p>
      <w:pPr>
        <w:ind w:left="6"/>
        <w:spacing w:after="0"/>
        <w:rPr>
          <w:sz w:val="20"/>
          <w:szCs w:val="20"/>
          <w:color w:val="auto"/>
        </w:rPr>
      </w:pPr>
      <w:r>
        <w:rPr>
          <w:rFonts w:ascii="Arial" w:cs="Arial" w:eastAsia="Arial" w:hAnsi="Arial"/>
          <w:sz w:val="12"/>
          <w:szCs w:val="12"/>
          <w:b w:val="1"/>
          <w:bCs w:val="1"/>
          <w:i w:val="1"/>
          <w:iCs w:val="1"/>
          <w:color w:val="auto"/>
        </w:rPr>
        <w:t>Comparison of the three-month periods ended March 31, 2021 and 2020</w:t>
      </w:r>
    </w:p>
    <w:p>
      <w:pPr>
        <w:spacing w:after="0" w:line="111" w:lineRule="exact"/>
        <w:rPr>
          <w:sz w:val="20"/>
          <w:szCs w:val="20"/>
          <w:color w:val="auto"/>
        </w:rPr>
      </w:pPr>
    </w:p>
    <w:p>
      <w:pPr>
        <w:ind w:left="306"/>
        <w:spacing w:after="0"/>
        <w:rPr>
          <w:sz w:val="20"/>
          <w:szCs w:val="20"/>
          <w:color w:val="auto"/>
        </w:rPr>
      </w:pPr>
      <w:r>
        <w:rPr>
          <w:rFonts w:ascii="Arial" w:cs="Arial" w:eastAsia="Arial" w:hAnsi="Arial"/>
          <w:sz w:val="12"/>
          <w:szCs w:val="12"/>
          <w:color w:val="auto"/>
        </w:rPr>
        <w:t>Our condensed consolidated statements of operations as discussed herein are presented below:</w:t>
      </w:r>
    </w:p>
    <w:p>
      <w:pPr>
        <w:spacing w:after="0" w:line="147" w:lineRule="exact"/>
        <w:rPr>
          <w:sz w:val="20"/>
          <w:szCs w:val="20"/>
          <w:color w:val="auto"/>
        </w:rPr>
      </w:pPr>
    </w:p>
    <w:tbl>
      <w:tblPr>
        <w:tblLayout w:type="fixed"/>
        <w:tblInd w:w="6"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20" w:type="dxa"/>
            <w:vAlign w:val="bottom"/>
            <w:gridSpan w:val="4"/>
          </w:tcPr>
          <w:p>
            <w:pPr>
              <w:jc w:val="right"/>
              <w:spacing w:after="0"/>
              <w:rPr>
                <w:sz w:val="20"/>
                <w:szCs w:val="20"/>
                <w:color w:val="auto"/>
              </w:rPr>
            </w:pPr>
            <w:r>
              <w:rPr>
                <w:rFonts w:ascii="Arial" w:cs="Arial" w:eastAsia="Arial" w:hAnsi="Arial"/>
                <w:sz w:val="10"/>
                <w:szCs w:val="10"/>
                <w:b w:val="1"/>
                <w:bCs w:val="1"/>
                <w:color w:val="auto"/>
              </w:rPr>
              <w:t>Three-Month Periods Ended</w:t>
            </w: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00" w:type="dxa"/>
            <w:vAlign w:val="bottom"/>
            <w:vMerge w:val="restart"/>
          </w:tcPr>
          <w:p>
            <w:pPr>
              <w:spacing w:after="0"/>
              <w:rPr>
                <w:sz w:val="20"/>
                <w:szCs w:val="20"/>
                <w:color w:val="auto"/>
              </w:rPr>
            </w:pPr>
            <w:r>
              <w:rPr>
                <w:rFonts w:ascii="Arial" w:cs="Arial" w:eastAsia="Arial" w:hAnsi="Arial"/>
                <w:sz w:val="10"/>
                <w:szCs w:val="10"/>
                <w:b w:val="1"/>
                <w:bCs w:val="1"/>
                <w:color w:val="auto"/>
                <w:w w:val="84"/>
              </w:rPr>
              <w:t>(in thousands)</w:t>
            </w:r>
          </w:p>
        </w:tc>
        <w:tc>
          <w:tcPr>
            <w:tcW w:w="3480" w:type="dxa"/>
            <w:vAlign w:val="bottom"/>
            <w:vMerge w:val="restart"/>
          </w:tcPr>
          <w:p>
            <w:pPr>
              <w:spacing w:after="0"/>
              <w:rPr>
                <w:sz w:val="10"/>
                <w:szCs w:val="10"/>
                <w:color w:val="auto"/>
              </w:rPr>
            </w:pPr>
          </w:p>
        </w:tc>
        <w:tc>
          <w:tcPr>
            <w:tcW w:w="24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4"/>
          </w:tcPr>
          <w:p>
            <w:pPr>
              <w:jc w:val="right"/>
              <w:ind w:right="389"/>
              <w:spacing w:after="0"/>
              <w:rPr>
                <w:sz w:val="20"/>
                <w:szCs w:val="20"/>
                <w:color w:val="auto"/>
              </w:rPr>
            </w:pPr>
            <w:r>
              <w:rPr>
                <w:rFonts w:ascii="Arial" w:cs="Arial" w:eastAsia="Arial" w:hAnsi="Arial"/>
                <w:sz w:val="10"/>
                <w:szCs w:val="10"/>
                <w:b w:val="1"/>
                <w:bCs w:val="1"/>
                <w:color w:val="auto"/>
              </w:rPr>
              <w:t>March 31,</w:t>
            </w:r>
          </w:p>
        </w:tc>
        <w:tc>
          <w:tcPr>
            <w:tcW w:w="9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vMerge w:val="restart"/>
          </w:tcPr>
          <w:p>
            <w:pPr>
              <w:jc w:val="right"/>
              <w:ind w:right="48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01"/>
        </w:trPr>
        <w:tc>
          <w:tcPr>
            <w:tcW w:w="600" w:type="dxa"/>
            <w:vAlign w:val="bottom"/>
            <w:tcBorders>
              <w:bottom w:val="single" w:sz="8" w:color="auto"/>
            </w:tcBorders>
            <w:vMerge w:val="continue"/>
          </w:tcPr>
          <w:p>
            <w:pPr>
              <w:spacing w:after="0"/>
              <w:rPr>
                <w:sz w:val="8"/>
                <w:szCs w:val="8"/>
                <w:color w:val="auto"/>
              </w:rPr>
            </w:pPr>
          </w:p>
        </w:tc>
        <w:tc>
          <w:tcPr>
            <w:tcW w:w="3480" w:type="dxa"/>
            <w:vAlign w:val="bottom"/>
            <w:vMerge w:val="continue"/>
          </w:tcPr>
          <w:p>
            <w:pPr>
              <w:spacing w:after="0"/>
              <w:rPr>
                <w:sz w:val="8"/>
                <w:szCs w:val="8"/>
                <w:color w:val="auto"/>
              </w:rPr>
            </w:pPr>
          </w:p>
        </w:tc>
        <w:tc>
          <w:tcPr>
            <w:tcW w:w="2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jc w:val="right"/>
              <w:ind w:right="562"/>
              <w:spacing w:after="0" w:line="82" w:lineRule="exact"/>
              <w:rPr>
                <w:sz w:val="20"/>
                <w:szCs w:val="20"/>
                <w:color w:val="auto"/>
              </w:rPr>
            </w:pPr>
            <w:r>
              <w:rPr>
                <w:rFonts w:ascii="Arial" w:cs="Arial" w:eastAsia="Arial" w:hAnsi="Arial"/>
                <w:sz w:val="9"/>
                <w:szCs w:val="9"/>
                <w:b w:val="1"/>
                <w:bCs w:val="1"/>
                <w:color w:val="auto"/>
              </w:rPr>
              <w:t>2021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jc w:val="right"/>
              <w:ind w:right="541"/>
              <w:spacing w:after="0" w:line="82" w:lineRule="exact"/>
              <w:rPr>
                <w:sz w:val="20"/>
                <w:szCs w:val="20"/>
                <w:color w:val="auto"/>
              </w:rPr>
            </w:pPr>
            <w:r>
              <w:rPr>
                <w:rFonts w:ascii="Arial" w:cs="Arial" w:eastAsia="Arial" w:hAnsi="Arial"/>
                <w:sz w:val="9"/>
                <w:szCs w:val="9"/>
                <w:b w:val="1"/>
                <w:bCs w:val="1"/>
                <w:color w:val="auto"/>
              </w:rPr>
              <w:t>2020*</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80" w:type="dxa"/>
            <w:vAlign w:val="bottom"/>
            <w:tcBorders>
              <w:top w:val="single" w:sz="8" w:color="CCEEFF"/>
            </w:tcBorders>
            <w:gridSpan w:val="2"/>
            <w:shd w:val="clear" w:color="auto" w:fill="CCEEFF"/>
          </w:tcPr>
          <w:p>
            <w:pPr>
              <w:spacing w:after="0" w:line="108" w:lineRule="exact"/>
              <w:rPr>
                <w:sz w:val="20"/>
                <w:szCs w:val="20"/>
                <w:color w:val="auto"/>
              </w:rPr>
            </w:pPr>
            <w:r>
              <w:rPr>
                <w:rFonts w:ascii="Arial" w:cs="Arial" w:eastAsia="Arial" w:hAnsi="Arial"/>
                <w:sz w:val="12"/>
                <w:szCs w:val="12"/>
                <w:color w:val="auto"/>
              </w:rPr>
              <w:t>Revenue</w:t>
            </w:r>
          </w:p>
        </w:tc>
        <w:tc>
          <w:tcPr>
            <w:tcW w:w="24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bottom w:val="single" w:sz="8" w:color="auto"/>
            </w:tcBorders>
            <w:shd w:val="clear" w:color="auto" w:fill="CCEEFF"/>
          </w:tcPr>
          <w:p>
            <w:pPr>
              <w:jc w:val="right"/>
              <w:ind w:right="69"/>
              <w:spacing w:after="0" w:line="108" w:lineRule="exact"/>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auto"/>
            </w:tcBorders>
            <w:shd w:val="clear" w:color="auto" w:fill="CCEEFF"/>
          </w:tcPr>
          <w:p>
            <w:pPr>
              <w:jc w:val="right"/>
              <w:ind w:right="449"/>
              <w:spacing w:after="0" w:line="108" w:lineRule="exact"/>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1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5"/>
                <w:szCs w:val="5"/>
                <w:color w:val="auto"/>
                <w:w w:val="70"/>
              </w:rPr>
              <w:t>$</w:t>
            </w:r>
          </w:p>
        </w:tc>
        <w:tc>
          <w:tcPr>
            <w:tcW w:w="118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080" w:type="dxa"/>
            <w:vAlign w:val="bottom"/>
            <w:gridSpan w:val="2"/>
          </w:tcPr>
          <w:p>
            <w:pPr>
              <w:spacing w:after="0" w:line="128" w:lineRule="exact"/>
              <w:rPr>
                <w:sz w:val="20"/>
                <w:szCs w:val="20"/>
                <w:color w:val="auto"/>
              </w:rPr>
            </w:pPr>
            <w:r>
              <w:rPr>
                <w:rFonts w:ascii="Arial" w:cs="Arial" w:eastAsia="Arial" w:hAnsi="Arial"/>
                <w:sz w:val="12"/>
                <w:szCs w:val="12"/>
                <w:color w:val="auto"/>
              </w:rPr>
              <w:t>Operating expenses:</w:t>
            </w:r>
          </w:p>
        </w:tc>
        <w:tc>
          <w:tcPr>
            <w:tcW w:w="2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80" w:type="dxa"/>
            <w:vAlign w:val="bottom"/>
            <w:gridSpan w:val="2"/>
            <w:shd w:val="clear" w:color="auto" w:fill="CCEEFF"/>
          </w:tcPr>
          <w:p>
            <w:pPr>
              <w:ind w:left="140"/>
              <w:spacing w:after="0" w:line="129" w:lineRule="exact"/>
              <w:rPr>
                <w:sz w:val="20"/>
                <w:szCs w:val="20"/>
                <w:color w:val="auto"/>
              </w:rPr>
            </w:pPr>
            <w:r>
              <w:rPr>
                <w:rFonts w:ascii="Arial" w:cs="Arial" w:eastAsia="Arial" w:hAnsi="Arial"/>
                <w:sz w:val="12"/>
                <w:szCs w:val="12"/>
                <w:color w:val="auto"/>
              </w:rPr>
              <w:t>Research and development</w:t>
            </w:r>
          </w:p>
        </w:tc>
        <w:tc>
          <w:tcPr>
            <w:tcW w:w="2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9,063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6,181</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2,882</w:t>
            </w:r>
          </w:p>
        </w:tc>
        <w:tc>
          <w:tcPr>
            <w:tcW w:w="0" w:type="dxa"/>
            <w:vAlign w:val="bottom"/>
          </w:tcPr>
          <w:p>
            <w:pPr>
              <w:spacing w:after="0"/>
              <w:rPr>
                <w:sz w:val="1"/>
                <w:szCs w:val="1"/>
                <w:color w:val="auto"/>
              </w:rPr>
            </w:pPr>
          </w:p>
        </w:tc>
      </w:tr>
      <w:tr>
        <w:trPr>
          <w:trHeight w:val="129"/>
        </w:trPr>
        <w:tc>
          <w:tcPr>
            <w:tcW w:w="4080" w:type="dxa"/>
            <w:vAlign w:val="bottom"/>
            <w:gridSpan w:val="2"/>
          </w:tcPr>
          <w:p>
            <w:pPr>
              <w:ind w:left="140"/>
              <w:spacing w:after="0" w:line="129" w:lineRule="exact"/>
              <w:rPr>
                <w:sz w:val="20"/>
                <w:szCs w:val="20"/>
                <w:color w:val="auto"/>
              </w:rPr>
            </w:pPr>
            <w:r>
              <w:rPr>
                <w:rFonts w:ascii="Arial" w:cs="Arial" w:eastAsia="Arial" w:hAnsi="Arial"/>
                <w:sz w:val="12"/>
                <w:szCs w:val="12"/>
                <w:color w:val="auto"/>
              </w:rPr>
              <w:t>Sales and marketing</w:t>
            </w:r>
          </w:p>
        </w:tc>
        <w:tc>
          <w:tcPr>
            <w:tcW w:w="2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spacing w:after="0" w:line="129" w:lineRule="exact"/>
              <w:rPr>
                <w:sz w:val="20"/>
                <w:szCs w:val="20"/>
                <w:color w:val="auto"/>
              </w:rPr>
            </w:pPr>
            <w:r>
              <w:rPr>
                <w:rFonts w:ascii="Arial" w:cs="Arial" w:eastAsia="Arial" w:hAnsi="Arial"/>
                <w:sz w:val="12"/>
                <w:szCs w:val="12"/>
                <w:color w:val="auto"/>
              </w:rPr>
              <w:t>4,146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2"/>
                <w:szCs w:val="12"/>
                <w:color w:val="auto"/>
              </w:rPr>
              <w:t>1,695</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Arial" w:cs="Arial" w:eastAsia="Arial" w:hAnsi="Arial"/>
                <w:sz w:val="12"/>
                <w:szCs w:val="12"/>
                <w:color w:val="auto"/>
              </w:rPr>
              <w:t>2,451</w:t>
            </w:r>
          </w:p>
        </w:tc>
        <w:tc>
          <w:tcPr>
            <w:tcW w:w="0" w:type="dxa"/>
            <w:vAlign w:val="bottom"/>
          </w:tcPr>
          <w:p>
            <w:pPr>
              <w:spacing w:after="0"/>
              <w:rPr>
                <w:sz w:val="1"/>
                <w:szCs w:val="1"/>
                <w:color w:val="auto"/>
              </w:rPr>
            </w:pPr>
          </w:p>
        </w:tc>
      </w:tr>
      <w:tr>
        <w:trPr>
          <w:trHeight w:val="129"/>
        </w:trPr>
        <w:tc>
          <w:tcPr>
            <w:tcW w:w="4080" w:type="dxa"/>
            <w:vAlign w:val="bottom"/>
            <w:gridSpan w:val="2"/>
            <w:shd w:val="clear" w:color="auto" w:fill="CCEEFF"/>
          </w:tcPr>
          <w:p>
            <w:pPr>
              <w:ind w:left="140"/>
              <w:spacing w:after="0" w:line="129" w:lineRule="exact"/>
              <w:rPr>
                <w:sz w:val="20"/>
                <w:szCs w:val="20"/>
                <w:color w:val="auto"/>
              </w:rPr>
            </w:pPr>
            <w:r>
              <w:rPr>
                <w:rFonts w:ascii="Arial" w:cs="Arial" w:eastAsia="Arial" w:hAnsi="Arial"/>
                <w:sz w:val="12"/>
                <w:szCs w:val="12"/>
                <w:color w:val="auto"/>
              </w:rPr>
              <w:t>General and administrative</w:t>
            </w:r>
          </w:p>
        </w:tc>
        <w:tc>
          <w:tcPr>
            <w:tcW w:w="24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5,316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4,074</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1,242</w:t>
            </w:r>
          </w:p>
        </w:tc>
        <w:tc>
          <w:tcPr>
            <w:tcW w:w="0" w:type="dxa"/>
            <w:vAlign w:val="bottom"/>
          </w:tcPr>
          <w:p>
            <w:pPr>
              <w:spacing w:after="0"/>
              <w:rPr>
                <w:sz w:val="1"/>
                <w:szCs w:val="1"/>
                <w:color w:val="auto"/>
              </w:rPr>
            </w:pPr>
          </w:p>
        </w:tc>
      </w:tr>
      <w:tr>
        <w:trPr>
          <w:trHeight w:val="118"/>
        </w:trPr>
        <w:tc>
          <w:tcPr>
            <w:tcW w:w="4080" w:type="dxa"/>
            <w:vAlign w:val="bottom"/>
            <w:tcBorders>
              <w:bottom w:val="single" w:sz="8" w:color="CCEEFF"/>
            </w:tcBorders>
            <w:gridSpan w:val="2"/>
          </w:tcPr>
          <w:p>
            <w:pPr>
              <w:ind w:left="280"/>
              <w:spacing w:after="0" w:line="118" w:lineRule="exact"/>
              <w:rPr>
                <w:sz w:val="20"/>
                <w:szCs w:val="20"/>
                <w:color w:val="auto"/>
              </w:rPr>
            </w:pPr>
            <w:r>
              <w:rPr>
                <w:rFonts w:ascii="Arial" w:cs="Arial" w:eastAsia="Arial" w:hAnsi="Arial"/>
                <w:sz w:val="12"/>
                <w:szCs w:val="12"/>
                <w:color w:val="auto"/>
              </w:rPr>
              <w:t>Total operating expenses</w:t>
            </w:r>
          </w:p>
        </w:tc>
        <w:tc>
          <w:tcPr>
            <w:tcW w:w="24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18,525</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11,950</w:t>
            </w:r>
          </w:p>
        </w:tc>
        <w:tc>
          <w:tcPr>
            <w:tcW w:w="1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6,575</w:t>
            </w:r>
          </w:p>
        </w:tc>
        <w:tc>
          <w:tcPr>
            <w:tcW w:w="0" w:type="dxa"/>
            <w:vAlign w:val="bottom"/>
          </w:tcPr>
          <w:p>
            <w:pPr>
              <w:spacing w:after="0"/>
              <w:rPr>
                <w:sz w:val="1"/>
                <w:szCs w:val="1"/>
                <w:color w:val="auto"/>
              </w:rPr>
            </w:pPr>
          </w:p>
        </w:tc>
      </w:tr>
      <w:tr>
        <w:trPr>
          <w:trHeight w:val="118"/>
        </w:trPr>
        <w:tc>
          <w:tcPr>
            <w:tcW w:w="4080" w:type="dxa"/>
            <w:vAlign w:val="bottom"/>
            <w:gridSpan w:val="2"/>
            <w:shd w:val="clear" w:color="auto" w:fill="CCEEFF"/>
          </w:tcPr>
          <w:p>
            <w:pPr>
              <w:spacing w:after="0" w:line="118" w:lineRule="exact"/>
              <w:rPr>
                <w:sz w:val="20"/>
                <w:szCs w:val="20"/>
                <w:color w:val="auto"/>
              </w:rPr>
            </w:pPr>
            <w:r>
              <w:rPr>
                <w:rFonts w:ascii="Arial" w:cs="Arial" w:eastAsia="Arial" w:hAnsi="Arial"/>
                <w:sz w:val="12"/>
                <w:szCs w:val="12"/>
                <w:color w:val="auto"/>
              </w:rPr>
              <w:t>Other income (expense):</w:t>
            </w:r>
          </w:p>
        </w:tc>
        <w:tc>
          <w:tcPr>
            <w:tcW w:w="2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80" w:type="dxa"/>
            <w:vAlign w:val="bottom"/>
            <w:gridSpan w:val="2"/>
          </w:tcPr>
          <w:p>
            <w:pPr>
              <w:ind w:left="140"/>
              <w:spacing w:after="0" w:line="129" w:lineRule="exact"/>
              <w:rPr>
                <w:sz w:val="20"/>
                <w:szCs w:val="20"/>
                <w:color w:val="auto"/>
              </w:rPr>
            </w:pPr>
            <w:r>
              <w:rPr>
                <w:rFonts w:ascii="Arial" w:cs="Arial" w:eastAsia="Arial" w:hAnsi="Arial"/>
                <w:sz w:val="12"/>
                <w:szCs w:val="12"/>
                <w:color w:val="auto"/>
              </w:rPr>
              <w:t>Interest income (expense), net</w:t>
            </w:r>
          </w:p>
        </w:tc>
        <w:tc>
          <w:tcPr>
            <w:tcW w:w="2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(114)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2"/>
                <w:szCs w:val="12"/>
                <w:color w:val="auto"/>
              </w:rPr>
              <w:t>78</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Arial" w:cs="Arial" w:eastAsia="Arial" w:hAnsi="Arial"/>
                <w:sz w:val="12"/>
                <w:szCs w:val="12"/>
                <w:color w:val="auto"/>
              </w:rPr>
              <w:t>(192)</w:t>
            </w:r>
          </w:p>
        </w:tc>
        <w:tc>
          <w:tcPr>
            <w:tcW w:w="0" w:type="dxa"/>
            <w:vAlign w:val="bottom"/>
          </w:tcPr>
          <w:p>
            <w:pPr>
              <w:spacing w:after="0"/>
              <w:rPr>
                <w:sz w:val="1"/>
                <w:szCs w:val="1"/>
                <w:color w:val="auto"/>
              </w:rPr>
            </w:pPr>
          </w:p>
        </w:tc>
      </w:tr>
      <w:tr>
        <w:trPr>
          <w:trHeight w:val="118"/>
        </w:trPr>
        <w:tc>
          <w:tcPr>
            <w:tcW w:w="4080" w:type="dxa"/>
            <w:vAlign w:val="bottom"/>
            <w:tcBorders>
              <w:top w:val="single" w:sz="8" w:color="CCEEFF"/>
            </w:tcBorders>
            <w:gridSpan w:val="2"/>
            <w:shd w:val="clear" w:color="auto" w:fill="CCEEFF"/>
          </w:tcPr>
          <w:p>
            <w:pPr>
              <w:spacing w:after="0" w:line="118" w:lineRule="exact"/>
              <w:rPr>
                <w:sz w:val="20"/>
                <w:szCs w:val="20"/>
                <w:color w:val="auto"/>
              </w:rPr>
            </w:pPr>
            <w:r>
              <w:rPr>
                <w:rFonts w:ascii="Arial" w:cs="Arial" w:eastAsia="Arial" w:hAnsi="Arial"/>
                <w:sz w:val="12"/>
                <w:szCs w:val="12"/>
                <w:color w:val="auto"/>
              </w:rPr>
              <w:t>Total other income (expense)</w:t>
            </w:r>
          </w:p>
        </w:tc>
        <w:tc>
          <w:tcPr>
            <w:tcW w:w="24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auto"/>
            </w:tcBorders>
            <w:shd w:val="clear" w:color="auto" w:fill="CCEEFF"/>
          </w:tcPr>
          <w:p>
            <w:pPr>
              <w:spacing w:after="0"/>
              <w:rPr>
                <w:sz w:val="10"/>
                <w:szCs w:val="10"/>
                <w:color w:val="auto"/>
              </w:rPr>
            </w:pPr>
          </w:p>
        </w:tc>
        <w:tc>
          <w:tcPr>
            <w:tcW w:w="128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(114)</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78</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spacing w:after="0"/>
              <w:rPr>
                <w:sz w:val="10"/>
                <w:szCs w:val="10"/>
                <w:color w:val="auto"/>
              </w:rPr>
            </w:pPr>
          </w:p>
        </w:tc>
        <w:tc>
          <w:tcPr>
            <w:tcW w:w="118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(192)</w:t>
            </w:r>
          </w:p>
        </w:tc>
        <w:tc>
          <w:tcPr>
            <w:tcW w:w="0" w:type="dxa"/>
            <w:vAlign w:val="bottom"/>
          </w:tcPr>
          <w:p>
            <w:pPr>
              <w:spacing w:after="0"/>
              <w:rPr>
                <w:sz w:val="1"/>
                <w:szCs w:val="1"/>
                <w:color w:val="auto"/>
              </w:rPr>
            </w:pPr>
          </w:p>
        </w:tc>
      </w:tr>
      <w:tr>
        <w:trPr>
          <w:trHeight w:val="118"/>
        </w:trPr>
        <w:tc>
          <w:tcPr>
            <w:tcW w:w="4080" w:type="dxa"/>
            <w:vAlign w:val="bottom"/>
            <w:gridSpan w:val="2"/>
          </w:tcPr>
          <w:p>
            <w:pPr>
              <w:spacing w:after="0" w:line="118" w:lineRule="exact"/>
              <w:rPr>
                <w:sz w:val="20"/>
                <w:szCs w:val="20"/>
                <w:color w:val="auto"/>
              </w:rPr>
            </w:pPr>
            <w:r>
              <w:rPr>
                <w:rFonts w:ascii="Arial" w:cs="Arial" w:eastAsia="Arial" w:hAnsi="Arial"/>
                <w:sz w:val="12"/>
                <w:szCs w:val="12"/>
                <w:color w:val="auto"/>
              </w:rPr>
              <w:t>Net loss</w:t>
            </w:r>
          </w:p>
        </w:tc>
        <w:tc>
          <w:tcPr>
            <w:tcW w:w="2460" w:type="dxa"/>
            <w:vAlign w:val="bottom"/>
          </w:tcPr>
          <w:p>
            <w:pPr>
              <w:spacing w:after="0"/>
              <w:rPr>
                <w:sz w:val="10"/>
                <w:szCs w:val="10"/>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(18,639)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auto"/>
            </w:tcBorders>
          </w:tcPr>
          <w:p>
            <w:pPr>
              <w:jc w:val="right"/>
              <w:ind w:right="4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(11,872)</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214"/>
              <w:spacing w:after="0"/>
              <w:rPr>
                <w:sz w:val="20"/>
                <w:szCs w:val="20"/>
                <w:color w:val="auto"/>
              </w:rPr>
            </w:pPr>
            <w:r>
              <w:rPr>
                <w:rFonts w:ascii="Arial" w:cs="Arial" w:eastAsia="Arial" w:hAnsi="Arial"/>
                <w:sz w:val="5"/>
                <w:szCs w:val="5"/>
                <w:color w:val="auto"/>
                <w:w w:val="70"/>
              </w:rPr>
              <w:t>$</w:t>
            </w:r>
          </w:p>
        </w:tc>
        <w:tc>
          <w:tcPr>
            <w:tcW w:w="11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(6,767)</w:t>
            </w:r>
          </w:p>
        </w:tc>
        <w:tc>
          <w:tcPr>
            <w:tcW w:w="0" w:type="dxa"/>
            <w:vAlign w:val="bottom"/>
          </w:tcPr>
          <w:p>
            <w:pPr>
              <w:spacing w:after="0"/>
              <w:rPr>
                <w:sz w:val="1"/>
                <w:szCs w:val="1"/>
                <w:color w:val="auto"/>
              </w:rPr>
            </w:pPr>
          </w:p>
        </w:tc>
      </w:tr>
    </w:tbl>
    <w:p>
      <w:pPr>
        <w:ind w:left="6" w:right="20" w:hanging="6"/>
        <w:spacing w:after="0" w:line="255" w:lineRule="auto"/>
        <w:tabs>
          <w:tab w:leader="none" w:pos="117" w:val="left"/>
        </w:tabs>
        <w:numPr>
          <w:ilvl w:val="0"/>
          <w:numId w:val="4"/>
        </w:numPr>
        <w:rPr>
          <w:rFonts w:ascii="Arial" w:cs="Arial" w:eastAsia="Arial" w:hAnsi="Arial"/>
          <w:sz w:val="12"/>
          <w:szCs w:val="12"/>
          <w:color w:val="auto"/>
        </w:rPr>
      </w:pPr>
      <w:r>
        <w:rPr>
          <w:rFonts w:ascii="Arial" w:cs="Arial" w:eastAsia="Arial" w:hAnsi="Arial"/>
          <w:sz w:val="12"/>
          <w:szCs w:val="12"/>
          <w:color w:val="auto"/>
        </w:rPr>
        <w:t>Certain 2020 amounts have been reclassified to conform to the current period presentation. Sales and marketing expenses have been reclassified out of general and administrative and presented as a separate line item. Amortization of intangible assets have been reclassified to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-179705</wp:posOffset>
            </wp:positionV>
            <wp:extent cx="301688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16885" cy="5715"/>
                    </a:xfrm>
                    <a:prstGeom prst="rect">
                      <a:avLst/>
                    </a:prstGeom>
                    <a:noFill/>
                  </pic:spPr>
                </pic:pic>
              </a:graphicData>
            </a:graphic>
          </wp:anchor>
        </w:drawing>
      </w:r>
    </w:p>
    <w:p>
      <w:pPr>
        <w:spacing w:after="0" w:line="203"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133985</wp:posOffset>
            </wp:positionV>
            <wp:extent cx="720090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6"/>
          </w:cols>
          <w:pgMar w:left="294" w:top="118" w:right="299" w:bottom="1440" w:gutter="0" w:footer="0" w:header="0"/>
        </w:sectPr>
      </w:pPr>
    </w:p>
    <w:bookmarkStart w:id="20" w:name="page21"/>
    <w:bookmarkEnd w:id="20"/>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115" w:lineRule="exact"/>
        <w:rPr>
          <w:sz w:val="20"/>
          <w:szCs w:val="20"/>
          <w:color w:val="auto"/>
        </w:rPr>
      </w:pPr>
    </w:p>
    <w:p>
      <w:pPr>
        <w:jc w:val="both"/>
        <w:ind w:firstLine="301"/>
        <w:spacing w:after="0" w:line="256" w:lineRule="auto"/>
        <w:rPr>
          <w:sz w:val="20"/>
          <w:szCs w:val="20"/>
          <w:color w:val="auto"/>
        </w:rPr>
      </w:pPr>
      <w:r>
        <w:rPr>
          <w:rFonts w:ascii="Arial" w:cs="Arial" w:eastAsia="Arial" w:hAnsi="Arial"/>
          <w:sz w:val="11"/>
          <w:szCs w:val="11"/>
          <w:color w:val="auto"/>
        </w:rPr>
        <w:t>Research and development expenses consist of compensation and other related employee expenses for research and development personnel, clinical trials and consulting costs related to the design, development and enhancement of our potential future products, prototype material and devices. Research and development expenses increased by $2.9 million to $9.1 million for the three-month period ended March 31, 2021, from $6.2 million during the same period in 2020 primarily due to $2.3 million of increased stock-based compensation, $0.7 million of increased compensation and other employee related expenses and $0.6 million of increased consulting and outside services. These increases were partially offset by decreases of $0.4 million in clinical trial and other outside research costs due to the timing and stage of active studies, $0.4 million in prototype material and devices related to the initial CellFX builds in the prior year and $0.1 million in employee travel. Compensation costs increased primarily due to headcount growth, while consulting and outside services increased primarily due to new application development and medical research and studies. Additionally, research and development expenses were reduced by approximately $0.3 million of manufacturing absorption related to inventory production.</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and Marketing</w:t>
      </w:r>
    </w:p>
    <w:p>
      <w:pPr>
        <w:spacing w:after="0" w:line="124"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Sales and marketing expenses consists of compensation and other related employee expenses for sales and marketing personnel, expenses associated with advertising and training, and marketing studies including our controlled launch program. Sales and marketing expenses increased by $2.5 million to $4.1 million for the three-month period ended March 31, 2021, from $1.7 million during the same period in 2020 primarily due to $1.5 million of increased stock-based compensation, $0.5 million of increased compensation and other employee related expenses related to increased headcount, $0.3 million of increased paid services primarily related to market research studies and commercial preparations, and $0.1 million of increased controlled launch expenses. The increases in sales and marketing activity are attributable to our FDA clearance and CE marking approval as we commercialize our CellFX System.</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and Administrative</w:t>
      </w:r>
    </w:p>
    <w:p>
      <w:pPr>
        <w:spacing w:after="0" w:line="115"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General and administrative expenses consist of compensation and other related employee expenses for executives, finance, legal, human resources, information technology and administrative personnel, professional fees, patent fees and costs, insurance costs and other general corporate expenses. General and administrative expenses increased by $1.2 million to $5.3 million for the three-month period ended March 31, 2021, from $4.1 million during the same period in 2020 primarily due to $0.6 million of increased stock-based compensation, $0.6 million of increased compensation costs related to headcount growth and $0.2 million of increased business insurance costs. These increases were offset by $0.1 million of reduced employee-related costs such as recruitment and travel expenses.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Income (Expense)</w:t>
      </w:r>
    </w:p>
    <w:p>
      <w:pPr>
        <w:spacing w:after="0" w:line="12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Interest income decreased by $0.1 million to $4,000 for the three-month period ended March 31, 2021, from $0.1 million during the same period in 2020 due to lower investment balances. Interest expense increased by $0.1 million to $0.1 million for the three-month period ended March 31, 2021, from zero during the same period in 2020 due to the Loan Agreement entered into in March 2021.</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24"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To date, we have not generated any revenues from product sales. Since inception, we have funded our business primarily through the issuance of equity securities and debt. Over the next few years, we intend to invest in research and development to develop new applications for existing products and additional commercially viable products and to assess the feasibility of potential future products. Additionally, we expect that our general and administrative expenses will increase as we continue to incur substantial incremental costs associated with being a public company and our sales and marketing expenses will increase as we commercialize our CellFX System.</w:t>
      </w:r>
    </w:p>
    <w:p>
      <w:pPr>
        <w:spacing w:after="0" w:line="77"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During June 2020, we completed a rights offering pursuant to which we sold an aggregate of 4,279,600 shares of our common stock, par value $0.001 per share, and 641,571 warrants, for net proceeds of $29.4 million. On December 31, 2020, the Company met the requirements for redemption of these warrants. Pursuant to the redemption, the Company redeemed 5,139 warrants at a redemption price of $0.01 per warrant. 636,432 warrants were exercised, generating approximately $4.5 million of additional net proceeds to the Company.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1" w:name="page22"/>
    <w:bookmarkEnd w:id="21"/>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On February 4, 2021, we entered into a Sales Agreement with Stifel as sales agent, pursuant to which we may offer and sell, from time to time, through Stifel, up to $60.0 million in shares of our common stock, by any method permitted by law deemed to be an “at-the-market” offering as defined in Rule 415 promulgated under the Securities Act of 1933, as amended. We have no obligation to make any sales of our common stock pursuant to such Sales Agreement. During the three-month period ended March 31, 2021, we issued and sold 157,742 shares of our common stock under the Sales Agreement. The shares were sold at a weighted average price of $34.29 per share for aggregate net proceeds to us of approximately $5.0 million, after deducting sales commissions and offering costs payable by us.</w:t>
      </w:r>
    </w:p>
    <w:p>
      <w:pPr>
        <w:spacing w:after="0" w:line="103"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Additionally, in March 2021 we entered into a Loan Agreement with Mr. Duggan. The Loan Agreement matures on June 11, 2022. Under the Loan Agreement, Mr. Duggan has provided us, subject to certain conditions, an unsecured term loan facility in an original aggregate principal amount of $41.0 million. The Loan Agreement will bear interest at a rate per annum equal to 5.0%, payable quarterly commencing on July 1, 2021. The interest rate payable under the Loan Agreement increases to 7.0% upon the occurrence of an Event of Default or a Material Adverse Effect, each as defined in the Loan Agreement. The Loan Agreement contains certain covenants and Events of Default.</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Our condensed consolidated statements of cash flows as discussed herein are presented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80" w:type="dxa"/>
            <w:vAlign w:val="bottom"/>
            <w:gridSpan w:val="4"/>
          </w:tcPr>
          <w:p>
            <w:pPr>
              <w:jc w:val="right"/>
              <w:ind w:right="34"/>
              <w:spacing w:after="0"/>
              <w:rPr>
                <w:sz w:val="20"/>
                <w:szCs w:val="20"/>
                <w:color w:val="auto"/>
              </w:rPr>
            </w:pPr>
            <w:r>
              <w:rPr>
                <w:rFonts w:ascii="Arial" w:cs="Arial" w:eastAsia="Arial" w:hAnsi="Arial"/>
                <w:sz w:val="10"/>
                <w:szCs w:val="10"/>
                <w:b w:val="1"/>
                <w:bCs w:val="1"/>
                <w:color w:val="auto"/>
              </w:rPr>
              <w:t>Three-Month Periods Ended</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00" w:type="dxa"/>
            <w:vAlign w:val="bottom"/>
            <w:vMerge w:val="restart"/>
          </w:tcPr>
          <w:p>
            <w:pPr>
              <w:spacing w:after="0"/>
              <w:rPr>
                <w:sz w:val="20"/>
                <w:szCs w:val="20"/>
                <w:color w:val="auto"/>
              </w:rPr>
            </w:pPr>
            <w:r>
              <w:rPr>
                <w:rFonts w:ascii="Arial" w:cs="Arial" w:eastAsia="Arial" w:hAnsi="Arial"/>
                <w:sz w:val="10"/>
                <w:szCs w:val="10"/>
                <w:b w:val="1"/>
                <w:bCs w:val="1"/>
                <w:color w:val="auto"/>
                <w:w w:val="84"/>
              </w:rPr>
              <w:t>(in thousands)</w:t>
            </w:r>
          </w:p>
        </w:tc>
        <w:tc>
          <w:tcPr>
            <w:tcW w:w="4500" w:type="dxa"/>
            <w:vAlign w:val="bottom"/>
            <w:vMerge w:val="restart"/>
          </w:tcPr>
          <w:p>
            <w:pPr>
              <w:spacing w:after="0"/>
              <w:rPr>
                <w:sz w:val="10"/>
                <w:szCs w:val="10"/>
                <w:color w:val="auto"/>
              </w:rPr>
            </w:pPr>
          </w:p>
        </w:tc>
        <w:tc>
          <w:tcPr>
            <w:tcW w:w="30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0"/>
                <w:szCs w:val="10"/>
                <w:b w:val="1"/>
                <w:bCs w:val="1"/>
                <w:color w:val="auto"/>
              </w:rPr>
              <w:t>March 31,</w:t>
            </w: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600" w:type="dxa"/>
            <w:vAlign w:val="bottom"/>
            <w:tcBorders>
              <w:bottom w:val="single" w:sz="8" w:color="auto"/>
            </w:tcBorders>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3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jc w:val="right"/>
              <w:ind w:right="585"/>
              <w:spacing w:after="0" w:line="82" w:lineRule="exact"/>
              <w:rPr>
                <w:sz w:val="20"/>
                <w:szCs w:val="20"/>
                <w:color w:val="auto"/>
              </w:rPr>
            </w:pPr>
            <w:r>
              <w:rPr>
                <w:rFonts w:ascii="Arial" w:cs="Arial" w:eastAsia="Arial" w:hAnsi="Arial"/>
                <w:sz w:val="9"/>
                <w:szCs w:val="9"/>
                <w:b w:val="1"/>
                <w:bCs w:val="1"/>
                <w:color w:val="auto"/>
              </w:rPr>
              <w:t>2021</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jc w:val="right"/>
              <w:ind w:right="582"/>
              <w:spacing w:after="0" w:line="82" w:lineRule="exact"/>
              <w:rPr>
                <w:sz w:val="20"/>
                <w:szCs w:val="20"/>
                <w:color w:val="auto"/>
              </w:rPr>
            </w:pPr>
            <w:r>
              <w:rPr>
                <w:rFonts w:ascii="Arial" w:cs="Arial" w:eastAsia="Arial" w:hAnsi="Arial"/>
                <w:sz w:val="9"/>
                <w:szCs w:val="9"/>
                <w:b w:val="1"/>
                <w:bCs w:val="1"/>
                <w:color w:val="auto"/>
              </w:rPr>
              <w:t>2020</w:t>
            </w:r>
          </w:p>
        </w:tc>
        <w:tc>
          <w:tcPr>
            <w:tcW w:w="0" w:type="dxa"/>
            <w:vAlign w:val="bottom"/>
          </w:tcPr>
          <w:p>
            <w:pPr>
              <w:spacing w:after="0"/>
              <w:rPr>
                <w:sz w:val="1"/>
                <w:szCs w:val="1"/>
                <w:color w:val="auto"/>
              </w:rPr>
            </w:pPr>
          </w:p>
        </w:tc>
      </w:tr>
      <w:tr>
        <w:trPr>
          <w:trHeight w:val="108"/>
        </w:trPr>
        <w:tc>
          <w:tcPr>
            <w:tcW w:w="5100" w:type="dxa"/>
            <w:vAlign w:val="bottom"/>
            <w:tcBorders>
              <w:top w:val="single" w:sz="8" w:color="CCEEFF"/>
            </w:tcBorders>
            <w:gridSpan w:val="2"/>
            <w:shd w:val="clear" w:color="auto" w:fill="CCEEFF"/>
          </w:tcPr>
          <w:p>
            <w:pPr>
              <w:spacing w:after="0" w:line="108" w:lineRule="exact"/>
              <w:rPr>
                <w:sz w:val="20"/>
                <w:szCs w:val="20"/>
                <w:color w:val="auto"/>
              </w:rPr>
            </w:pPr>
            <w:r>
              <w:rPr>
                <w:rFonts w:ascii="Arial" w:cs="Arial" w:eastAsia="Arial" w:hAnsi="Arial"/>
                <w:sz w:val="12"/>
                <w:szCs w:val="12"/>
                <w:color w:val="auto"/>
              </w:rPr>
              <w:t>Net cash used in operating activities</w:t>
            </w:r>
          </w:p>
        </w:tc>
        <w:tc>
          <w:tcPr>
            <w:tcW w:w="308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ind w:right="229"/>
              <w:spacing w:after="0" w:line="108" w:lineRule="exact"/>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(11,687)</w:t>
            </w:r>
          </w:p>
        </w:tc>
        <w:tc>
          <w:tcPr>
            <w:tcW w:w="1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ind w:right="494"/>
              <w:spacing w:after="0"/>
              <w:rPr>
                <w:sz w:val="20"/>
                <w:szCs w:val="20"/>
                <w:color w:val="auto"/>
              </w:rPr>
            </w:pPr>
            <w:r>
              <w:rPr>
                <w:rFonts w:ascii="Arial" w:cs="Arial" w:eastAsia="Arial" w:hAnsi="Arial"/>
                <w:sz w:val="5"/>
                <w:szCs w:val="5"/>
                <w:color w:val="auto"/>
                <w:w w:val="70"/>
              </w:rPr>
              <w:t>$</w:t>
            </w:r>
          </w:p>
        </w:tc>
        <w:tc>
          <w:tcPr>
            <w:tcW w:w="900" w:type="dxa"/>
            <w:vAlign w:val="bottom"/>
            <w:tcBorders>
              <w:top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(9,622)</w:t>
            </w:r>
          </w:p>
        </w:tc>
        <w:tc>
          <w:tcPr>
            <w:tcW w:w="0" w:type="dxa"/>
            <w:vAlign w:val="bottom"/>
          </w:tcPr>
          <w:p>
            <w:pPr>
              <w:spacing w:after="0"/>
              <w:rPr>
                <w:sz w:val="1"/>
                <w:szCs w:val="1"/>
                <w:color w:val="auto"/>
              </w:rPr>
            </w:pPr>
          </w:p>
        </w:tc>
      </w:tr>
      <w:tr>
        <w:trPr>
          <w:trHeight w:val="129"/>
        </w:trPr>
        <w:tc>
          <w:tcPr>
            <w:tcW w:w="5100" w:type="dxa"/>
            <w:vAlign w:val="bottom"/>
            <w:gridSpan w:val="2"/>
          </w:tcPr>
          <w:p>
            <w:pPr>
              <w:spacing w:after="0" w:line="129" w:lineRule="exact"/>
              <w:rPr>
                <w:sz w:val="20"/>
                <w:szCs w:val="20"/>
                <w:color w:val="auto"/>
              </w:rPr>
            </w:pPr>
            <w:r>
              <w:rPr>
                <w:rFonts w:ascii="Arial" w:cs="Arial" w:eastAsia="Arial" w:hAnsi="Arial"/>
                <w:sz w:val="12"/>
                <w:szCs w:val="12"/>
                <w:color w:val="auto"/>
              </w:rPr>
              <w:t>Net cash provided by investing activities</w:t>
            </w:r>
          </w:p>
        </w:tc>
        <w:tc>
          <w:tcPr>
            <w:tcW w:w="3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Arial" w:cs="Arial" w:eastAsia="Arial" w:hAnsi="Arial"/>
                <w:sz w:val="12"/>
                <w:szCs w:val="12"/>
                <w:color w:val="auto"/>
              </w:rPr>
              <w:t>7,949</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2"/>
                <w:szCs w:val="12"/>
                <w:color w:val="auto"/>
              </w:rPr>
              <w:t>10,323</w:t>
            </w:r>
          </w:p>
        </w:tc>
        <w:tc>
          <w:tcPr>
            <w:tcW w:w="0" w:type="dxa"/>
            <w:vAlign w:val="bottom"/>
          </w:tcPr>
          <w:p>
            <w:pPr>
              <w:spacing w:after="0"/>
              <w:rPr>
                <w:sz w:val="1"/>
                <w:szCs w:val="1"/>
                <w:color w:val="auto"/>
              </w:rPr>
            </w:pPr>
          </w:p>
        </w:tc>
      </w:tr>
      <w:tr>
        <w:trPr>
          <w:trHeight w:val="129"/>
        </w:trPr>
        <w:tc>
          <w:tcPr>
            <w:tcW w:w="510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Net cash provided by financing activities</w:t>
            </w:r>
          </w:p>
        </w:tc>
        <w:tc>
          <w:tcPr>
            <w:tcW w:w="30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51,158</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264</w:t>
            </w:r>
          </w:p>
        </w:tc>
        <w:tc>
          <w:tcPr>
            <w:tcW w:w="0" w:type="dxa"/>
            <w:vAlign w:val="bottom"/>
          </w:tcPr>
          <w:p>
            <w:pPr>
              <w:spacing w:after="0"/>
              <w:rPr>
                <w:sz w:val="1"/>
                <w:szCs w:val="1"/>
                <w:color w:val="auto"/>
              </w:rPr>
            </w:pPr>
          </w:p>
        </w:tc>
      </w:tr>
      <w:tr>
        <w:trPr>
          <w:trHeight w:val="126"/>
        </w:trPr>
        <w:tc>
          <w:tcPr>
            <w:tcW w:w="5100" w:type="dxa"/>
            <w:vAlign w:val="bottom"/>
            <w:gridSpan w:val="2"/>
          </w:tcPr>
          <w:p>
            <w:pPr>
              <w:ind w:left="140"/>
              <w:spacing w:after="0" w:line="118" w:lineRule="exact"/>
              <w:rPr>
                <w:sz w:val="20"/>
                <w:szCs w:val="20"/>
                <w:color w:val="auto"/>
              </w:rPr>
            </w:pPr>
            <w:r>
              <w:rPr>
                <w:rFonts w:ascii="Arial" w:cs="Arial" w:eastAsia="Arial" w:hAnsi="Arial"/>
                <w:sz w:val="12"/>
                <w:szCs w:val="12"/>
                <w:color w:val="auto"/>
              </w:rPr>
              <w:t>Net increase in cash</w:t>
            </w:r>
          </w:p>
        </w:tc>
        <w:tc>
          <w:tcPr>
            <w:tcW w:w="3080" w:type="dxa"/>
            <w:vAlign w:val="bottom"/>
          </w:tcPr>
          <w:p>
            <w:pPr>
              <w:spacing w:after="0"/>
              <w:rPr>
                <w:sz w:val="10"/>
                <w:szCs w:val="10"/>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47,420</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494"/>
              <w:spacing w:after="0"/>
              <w:rPr>
                <w:sz w:val="20"/>
                <w:szCs w:val="20"/>
                <w:color w:val="auto"/>
              </w:rPr>
            </w:pPr>
            <w:r>
              <w:rPr>
                <w:rFonts w:ascii="Arial" w:cs="Arial" w:eastAsia="Arial" w:hAnsi="Arial"/>
                <w:sz w:val="5"/>
                <w:szCs w:val="5"/>
                <w:color w:val="auto"/>
                <w:w w:val="70"/>
              </w:rPr>
              <w:t>$</w:t>
            </w:r>
          </w:p>
        </w:tc>
        <w:tc>
          <w:tcPr>
            <w:tcW w:w="90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965</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At March 31, 2021, we had cash and cash equivalents of $59.9 million. We believe that our existing cash and cash equivalents will be sufficient to fund our projected operating requirements for at least the next twelve months from the filing date of this Quarterly Report on Form 10-Q. However, we plan to raise additional capital in the future. There is no assurance that the at-the-market equity offering will be successful. There is no assurance that additional financing will be available when needed or that management will be able to obtain financing on terms acceptable to us.</w:t>
      </w:r>
    </w:p>
    <w:p>
      <w:pPr>
        <w:spacing w:after="0" w:line="104" w:lineRule="exact"/>
        <w:rPr>
          <w:sz w:val="20"/>
          <w:szCs w:val="20"/>
          <w:color w:val="auto"/>
        </w:rPr>
      </w:pPr>
    </w:p>
    <w:p>
      <w:pPr>
        <w:jc w:val="both"/>
        <w:ind w:right="20" w:firstLine="301"/>
        <w:spacing w:after="0" w:line="233" w:lineRule="auto"/>
        <w:rPr>
          <w:sz w:val="20"/>
          <w:szCs w:val="20"/>
          <w:color w:val="auto"/>
        </w:rPr>
      </w:pPr>
      <w:r>
        <w:rPr>
          <w:rFonts w:ascii="Arial" w:cs="Arial" w:eastAsia="Arial" w:hAnsi="Arial"/>
          <w:sz w:val="12"/>
          <w:szCs w:val="12"/>
          <w:color w:val="auto"/>
        </w:rPr>
        <w:t>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our at-the-market equity offering program, licensing fees for our technology, joint ventures with capital partners and project type financing. Such additional funds may not be available on terms acceptable to us or at all. If we raise funds by issuing equity or equity-linked securities, the ownership of some or all of our stockholders will be diluted and the holders of new equity securities may have priority rights over our existing stockholders. If adequate funds are not available, we may be required to curtail operations significantly or to obtain funds by entering into agreements on unattractive terms. Our inability to raise capital could have a material adverse effect on our business, financial condition and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2"/>
          <w:szCs w:val="12"/>
          <w:color w:val="auto"/>
        </w:rPr>
        <w:t>Our primary uses of cash in operating activities are for ongoing product development.</w:t>
      </w:r>
    </w:p>
    <w:p>
      <w:pPr>
        <w:spacing w:after="0" w:line="111" w:lineRule="exact"/>
        <w:rPr>
          <w:sz w:val="20"/>
          <w:szCs w:val="20"/>
          <w:color w:val="auto"/>
        </w:rPr>
      </w:pPr>
    </w:p>
    <w:p>
      <w:pPr>
        <w:ind w:right="580" w:firstLine="301"/>
        <w:spacing w:after="0" w:line="255" w:lineRule="auto"/>
        <w:rPr>
          <w:sz w:val="20"/>
          <w:szCs w:val="20"/>
          <w:color w:val="auto"/>
        </w:rPr>
      </w:pPr>
      <w:r>
        <w:rPr>
          <w:rFonts w:ascii="Arial" w:cs="Arial" w:eastAsia="Arial" w:hAnsi="Arial"/>
          <w:sz w:val="12"/>
          <w:szCs w:val="12"/>
          <w:color w:val="auto"/>
        </w:rPr>
        <w:t>During the three-month period ended March 31, 2021, we used cash of $11.7 million in operating activities. The difference between cash used in operating activities and net loss consisted primarily of stock-based compensation, depreciation and amortization, as well as increases in inventory, accounts payable and accrued liabilities.</w:t>
      </w:r>
    </w:p>
    <w:p>
      <w:pPr>
        <w:spacing w:after="0" w:line="94" w:lineRule="exact"/>
        <w:rPr>
          <w:sz w:val="20"/>
          <w:szCs w:val="20"/>
          <w:color w:val="auto"/>
        </w:rPr>
      </w:pPr>
    </w:p>
    <w:p>
      <w:pPr>
        <w:ind w:right="20" w:firstLine="301"/>
        <w:spacing w:after="0" w:line="255" w:lineRule="auto"/>
        <w:rPr>
          <w:sz w:val="20"/>
          <w:szCs w:val="20"/>
          <w:color w:val="auto"/>
        </w:rPr>
      </w:pPr>
      <w:r>
        <w:rPr>
          <w:rFonts w:ascii="Arial" w:cs="Arial" w:eastAsia="Arial" w:hAnsi="Arial"/>
          <w:sz w:val="12"/>
          <w:szCs w:val="12"/>
          <w:color w:val="auto"/>
        </w:rPr>
        <w:t>During the three-month period ended March 31, 2020, we used cash of $9.6 million in operating activities. The difference between cash used in operating activities and net loss consisted primarily of stock-based compensation and depreciation and amortization, as well as decreases in prepaid expenses and other current assets, accounts payable and accrued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2"/>
          <w:szCs w:val="12"/>
          <w:color w:val="auto"/>
        </w:rPr>
        <w:t>Our investing activities consist primarily of investment purchases, sales and maturities and capital expenditures.</w:t>
      </w:r>
    </w:p>
    <w:p>
      <w:pPr>
        <w:spacing w:after="0" w:line="111" w:lineRule="exact"/>
        <w:rPr>
          <w:sz w:val="20"/>
          <w:szCs w:val="20"/>
          <w:color w:val="auto"/>
        </w:rPr>
      </w:pPr>
    </w:p>
    <w:p>
      <w:pPr>
        <w:ind w:firstLine="301"/>
        <w:spacing w:after="0" w:line="255" w:lineRule="auto"/>
        <w:rPr>
          <w:sz w:val="20"/>
          <w:szCs w:val="20"/>
          <w:color w:val="auto"/>
        </w:rPr>
      </w:pPr>
      <w:r>
        <w:rPr>
          <w:rFonts w:ascii="Arial" w:cs="Arial" w:eastAsia="Arial" w:hAnsi="Arial"/>
          <w:sz w:val="12"/>
          <w:szCs w:val="12"/>
          <w:color w:val="auto"/>
        </w:rPr>
        <w:t>During the three-month period ended March 31, 2021, $7.9 million of cash provided by investing activities was primarily from $8.0 million of cash proceeds from the maturities of investments, partially offset by the purchase of property and equipment.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2" w:name="page23"/>
    <w:bookmarkEnd w:id="22"/>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46"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During the three-month period ended March 31, 2020, $10.3 million of cash provided by investing activities was primarily from $13.5 million of cash proceeds from the maturities of investments, partially offset by the purchase of available-for-sale securities of $3.0 million.</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111"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During the three-month period ended March 31, 2021, cash provided from financing activities was $51.2 million, primarily due to $41.0 million net cash received from our Loan Agreement, $4.9 million net cash received from our at-the-market equity offering, $4.8 million received from stock option and warrant exercises, and $0.4 million received from the sale of stock under our employee stock purchase plan.</w:t>
      </w:r>
    </w:p>
    <w:p>
      <w:pPr>
        <w:spacing w:after="0" w:line="85"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During the three-month period ended March 31, 2020 cash provided from financing activities was $0.3 million primarily due to cash received from stock option exercises and the sale of stock under our employee stock purchase plan.</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Contractual Obligations</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There have been no material changes outside the ordinary course of our business to the contractual obligations disclosed in our Annual Report on Form 10-K for the year ended December 31, 2020.</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At March 31, 2021, we did not have any transactions, obligations or relationships that constitute off-balance sheet arrangements.</w:t>
      </w:r>
    </w:p>
    <w:p>
      <w:pPr>
        <w:spacing w:after="0" w:line="111"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103" w:lineRule="exact"/>
        <w:rPr>
          <w:sz w:val="20"/>
          <w:szCs w:val="20"/>
          <w:color w:val="auto"/>
        </w:rPr>
      </w:pPr>
    </w:p>
    <w:p>
      <w:pPr>
        <w:jc w:val="both"/>
        <w:ind w:right="20" w:firstLine="301"/>
        <w:spacing w:after="0" w:line="236" w:lineRule="auto"/>
        <w:rPr>
          <w:sz w:val="20"/>
          <w:szCs w:val="20"/>
          <w:color w:val="auto"/>
        </w:rPr>
      </w:pPr>
      <w:r>
        <w:rPr>
          <w:rFonts w:ascii="Arial" w:cs="Arial" w:eastAsia="Arial" w:hAnsi="Arial"/>
          <w:sz w:val="12"/>
          <w:szCs w:val="12"/>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March 31, 2021.</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JOBS Act Accounting Election</w:t>
      </w:r>
    </w:p>
    <w:p>
      <w:pPr>
        <w:spacing w:after="0" w:line="115"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Trends, Events and Uncertainties</w:t>
      </w:r>
    </w:p>
    <w:p>
      <w:pPr>
        <w:spacing w:after="0" w:line="12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the commercialization of our CellFX System, including, but not limited to, additional financing through follow-on stock offerings, debt financings, or co-development agreements and /or other alternatives.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3" w:name="page24"/>
    <w:bookmarkEnd w:id="23"/>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cash resources are insufficient to satisfy our ongoing cash needs, we would be required to scale back or discontinue our technology and product development programs, or obtain funds, if available, although there can be no assurances, through the sale, licensing or strategic alliances that could require us to relinquish rights to our technology and intellectual property, or to curtail, suspend or discontinue our operations entirely.</w:t>
      </w:r>
    </w:p>
    <w:p>
      <w:pPr>
        <w:spacing w:after="0" w:line="91"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See the section entitled “COVID-19 Pandemic” above and elsewhere in this Management’s Discussion and Analysis of Financial Condition and Results of Operations for a discussion of the current and potential future impact of COVID-19 on our business, financial condition and results of operation.</w:t>
      </w:r>
    </w:p>
    <w:p>
      <w:pPr>
        <w:spacing w:after="0" w:line="94"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4" w:name="page25"/>
    <w:bookmarkEnd w:id="24"/>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2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Except for the broad effects of COVID-19 as a result of its negative impact on the global economy and financial markets, there have been no material changes in market risk from the information provided in our Annual Report on Form 10-K for the year ended December 31, 2020. 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5" w:name="page26"/>
    <w:bookmarkEnd w:id="25"/>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115"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Quarterly Report. Based on this evaluation, our Chief Executive Officer and our Chief Financial Officer have concluded that, as of March 31, 2021,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15"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There have been no changes in our internal control over financial reporting identified in connection with the evaluation required by Rule 13a-15(d) and 15d-15(d) of the Exchange Act, as amended, that occurred during the quarter ended March 31, 2021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GAAP.</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Inherent Limitations on Effectiveness of Controls</w:t>
      </w:r>
    </w:p>
    <w:p>
      <w:pPr>
        <w:spacing w:after="0" w:line="124"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6" w:name="page27"/>
    <w:bookmarkEnd w:id="26"/>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 OTHER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12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From time to time, we may be involved in a variety of legal proceedings and claims relating to securities laws, product liability, patent infringement, contract disputes, employment matters and other matters relating to the normal course of our business in addition to governmental and other regulatory investigations and proceedings. In addition, third parties may, from time to time, assert claims against us in the form of letters and other communications.</w:t>
      </w:r>
    </w:p>
    <w:p>
      <w:pPr>
        <w:spacing w:after="0" w:line="104"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The results of legal proceedings and claims are inherently unpredictable. We do not believe any currently pending matters will have a material adverse effect on our business based on our current understanding of such matters. Regardless of the outcome, litigation can have an adverse impact on us because of defense and settlement costs, diversion of management resources and other factors.</w:t>
      </w: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24"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i w:val="1"/>
          <w:iCs w:val="1"/>
          <w:color w:val="auto"/>
        </w:rPr>
        <w:t>Investing in our common stock involves a high degree of risk. You should consider carefully the risks and uncertainties described below, together with all of the other information in this Quarterly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the impact of COVID-19 and any worsening of the economic environment may exacerbate the risks described below, any of which could have a material impact on us. This situation is changing rapidly and additional impacts may arise that we are not aware of currently.</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Summary</w:t>
      </w:r>
    </w:p>
    <w:p>
      <w:pPr>
        <w:spacing w:after="0" w:line="12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Our business is subject to numerous risks and uncertainties that you should consider before investing in our common stock. These risks are described more fully below and include, but are not limited to, risks relating to the following:</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Limited operating history and lack of revenue producing operations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Lack of product revenue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Our ability to obtain sufficient funding</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Our ability to comply with covenants under our indebtedness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Fluctuation of our operating results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Competition within our industry</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Health epidemics, including the coronavirus pandemic</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Reliance on third parties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Loss of key management personnel</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Security breaches, loss of data, and other disruptions to us or our third-party service providers that could compromise sensitive information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Potential product liability lawsuits and other litigation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Timing, unpredictability, and expense of clinical development process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Trial results and changes in trial data</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7" w:name="page28"/>
    <w:bookmarkEnd w:id="27"/>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Failure to obtain and maintain necessary regulatory clearances or approvals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Determination and validation of the mechanism of action of our NPS technology platform</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Safety and effectiveness of our product candidates, and potential adverse side effects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Failure to obtain broad adoption of our CellFX System and NPS technology</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Enrollment of patients in our clinical trials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Ability to obtain an adequate level of reimbursement by Medicare and other third-party payers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Protection of intellectual property, potential litigation related to intellectual property, and obligations under intellectual property agreements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Stringent domestic and foreign regulation in respect of any potential devices and products, including healthcare laws and regulations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Healthcare policy changes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Volatility of the price of our common stock</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Concentration of ownership by our principal stockholder and Chairman of our board of directors, Robert W. Duggan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Unfavorable global economic or political conditions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Material weaknesses and maintenance of an effective system of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Our Business, Industry and Financial Condition</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Since we have a limited operating history and have not commenced any revenue producing operations, it is difficult to evaluate the future of our business</w:t>
      </w:r>
      <w:r>
        <w:rPr>
          <w:rFonts w:ascii="Arial" w:cs="Arial" w:eastAsia="Arial" w:hAnsi="Arial"/>
          <w:sz w:val="12"/>
          <w:szCs w:val="12"/>
          <w:color w:val="auto"/>
        </w:rPr>
        <w:t>.</w:t>
      </w:r>
    </w:p>
    <w:p>
      <w:pPr>
        <w:spacing w:after="0" w:line="120"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We are a bioelectric medicine technology company and have not yet commenced revenue-producing operations. To date, our operations on a consolidated basis have consisted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or prospective operations and business prospects.</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currently have no product revenue and may never become profitable.</w:t>
      </w:r>
    </w:p>
    <w:p>
      <w:pPr>
        <w:spacing w:after="0" w:line="120"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To date, we have not generated revenue and have historically relied on financing from the sale of equity securities to fund our operations. We expect that our future financial results will depend primarily on our success in launching, selling, and supporting our therapies and treatments utilizing our CellFX System or other products based on our NPS technology. We expect to expend significant resources on hiring of personnel, continued scientific and product research and development, potential product testing and pre-clinical and clinical investigation, intellectual property development and prosecution, marketing and promotion, capital expenditures, working capital,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substantial revenue or be profitable in the future. There are no assurances that our future products will be cleared or approved or become commercially viable or accepted for use. Even with commercially viable applications of our technology, which may include licensing, we may never recover our research and development expenses.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8" w:name="page29"/>
    <w:bookmarkEnd w:id="28"/>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jc w:val="both"/>
        <w:ind w:right="20" w:firstLine="301"/>
        <w:spacing w:after="0" w:line="263" w:lineRule="auto"/>
        <w:rPr>
          <w:sz w:val="20"/>
          <w:szCs w:val="20"/>
          <w:color w:val="auto"/>
        </w:rPr>
      </w:pPr>
      <w:r>
        <w:rPr>
          <w:rFonts w:ascii="Arial" w:cs="Arial" w:eastAsia="Arial" w:hAnsi="Arial"/>
          <w:sz w:val="11"/>
          <w:szCs w:val="11"/>
          <w:color w:val="auto"/>
        </w:rPr>
        <w:t>Investment in medical technology is highly speculative because it entails substantial upfront capital expenditures and significant risk that any potential product will fail to demonstrate adequate efficacy or clinical utility. Investors should evaluate an investment in us in light of the uncertainties encountered by developing medical technology companies in a competitive environment. There can be no assurance that our efforts will be successful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91"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If we are unable to obtain sufficient funding, we may be unable to execute our business plan and fund operations. We may not be able to obtain additional financing on commercially reasonable terms, or at all. Our existing indebtedness, as well as any future indebtedness, has resulted in and may result in increased fixed payment obligations and certain covenants.</w:t>
      </w:r>
    </w:p>
    <w:p>
      <w:pPr>
        <w:spacing w:after="0" w:line="9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We have experienced operating losses, and we may continue to incur operating losses for the next several years as we implement our business plan. Currently, we have no revenue and, although we have received funding in the form of a loan from Robert W. Duggan, Chairman of our board of directors, and also implemented an at-the-market equity offering program,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w:t>
      </w:r>
    </w:p>
    <w:p>
      <w:pPr>
        <w:spacing w:after="0" w:line="103"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We will need to raise additional capital in order to continue to execute our business plan. There is no assurance that additional financing will be available when needed or that management will be able to obtain financing on terms acceptable to us. If we are unable to raise sufficient additional funds, we will have to scale back our operations. The ongoing COVID-19 pandemic and resulting negative impact on the global macroeconomic environment and capital markets may make it more difficult for us to raise additional funds. We have incurred and may further incur additional debt, including the debt recently incurred through the entry into a term loan agreement (Loan Agreement) with Mr. Duggan, for a loan from Mr. Duggan to us of an aggregate principal amount of $41 million. We may not have sufficient cash to make required payments under the terms of this debt, and, should this occur, debt holders have rights senior to common stockholders to make claims on our assets.</w:t>
      </w:r>
    </w:p>
    <w:p>
      <w:pPr>
        <w:spacing w:after="0" w:line="105"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We cannot give any assurance that we will be able to obtain all the necessary funding that we may need. In addition, we believe that we will require additional capital in the future to fully develop our technologies and planned products, or other future products to commercial launch. We have pursued and may pursue additional funding through various financing sources, including the private sale of our equity securities, debt financings, our an at-the-market equity offering program, licensing fees for our technology, joint ventures with capital partners, and project type financing. If we raise funds by issuing equity or equity-linked securities, dilution to some or all our stockholders will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funds will be available on commercially reasonable terms, if at all.</w:t>
      </w:r>
    </w:p>
    <w:p>
      <w:pPr>
        <w:spacing w:after="0" w:line="104"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Our existing indebtedness has resulted in increased fixed payment obligations, and has imposed certain covenants, such as limitations on our ability to incur additional debt. Any future indebtedness could further increase our fixed payment obligations and could impose additional covenants, including, further limitations on our ability to incur additional debt, limitations on our ability to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03"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If we are unable to obtain adequate financing or financing on terms satisfactory to us when we require it, we may terminate or delay the development of one or more of our products, delay clinical trials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or we may be unable to continue operations, in which case you could lose your entire investment.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9" w:name="page30"/>
    <w:bookmarkEnd w:id="29"/>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Our outstanding Loan Agreement contains covenants that may limit our operating flexibility.</w:t>
      </w:r>
    </w:p>
    <w:p>
      <w:pPr>
        <w:spacing w:after="0" w:line="120" w:lineRule="exact"/>
        <w:rPr>
          <w:sz w:val="20"/>
          <w:szCs w:val="20"/>
          <w:color w:val="auto"/>
        </w:rPr>
      </w:pPr>
    </w:p>
    <w:p>
      <w:pPr>
        <w:ind w:right="60" w:firstLine="301"/>
        <w:spacing w:after="0" w:line="258" w:lineRule="auto"/>
        <w:rPr>
          <w:sz w:val="20"/>
          <w:szCs w:val="20"/>
          <w:color w:val="auto"/>
        </w:rPr>
      </w:pPr>
      <w:r>
        <w:rPr>
          <w:rFonts w:ascii="Arial" w:cs="Arial" w:eastAsia="Arial" w:hAnsi="Arial"/>
          <w:sz w:val="11"/>
          <w:szCs w:val="11"/>
          <w:color w:val="auto"/>
        </w:rPr>
        <w:t>Our Loan Agreement with Mr. Duggan subjects us to certain affirmative and negative covenants, including limitations on our ability to transfer or dispose of assets, merge with or acquire other companies, and incur additional indebtedness and liens. As a result of these covenants, we have certain limitations on the manner in which we can conduct our business, and we may be restricted from engaging in favorable business activities or financing future operations or capital needs until our current debt obligations are paid in full or we obtain the consent of Mr. Duggan, which we may not be able to obtain. We may not be able to generate sufficient cash flow or revenue to pay the principal and interest on our debt. In addition, upon the occurrence of an event of default under the Loan Agreement, Mr. Duggan, among other things, can declare all indebtedness due and payable immediately, which would adversely impact our liquidity and reduce the availability of our cash flows to fund working capital needs, capital expenditures and other general corporate purposes.</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Our operating results may fluctuate significantly, which makes our future operating results difficult to predict and could cause our operating results to fall below expectations.</w:t>
      </w:r>
    </w:p>
    <w:p>
      <w:pPr>
        <w:spacing w:after="0" w:line="120"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94" w:lineRule="exact"/>
        <w:rPr>
          <w:sz w:val="20"/>
          <w:szCs w:val="20"/>
          <w:color w:val="auto"/>
        </w:rPr>
      </w:pPr>
    </w:p>
    <w:p>
      <w:pPr>
        <w:ind w:left="440" w:right="1420"/>
        <w:spacing w:after="0" w:line="449" w:lineRule="auto"/>
        <w:rPr>
          <w:sz w:val="20"/>
          <w:szCs w:val="20"/>
          <w:color w:val="auto"/>
        </w:rPr>
      </w:pPr>
      <w:r>
        <w:rPr>
          <w:rFonts w:ascii="Arial" w:cs="Arial" w:eastAsia="Arial" w:hAnsi="Arial"/>
          <w:sz w:val="12"/>
          <w:szCs w:val="12"/>
          <w:color w:val="auto"/>
        </w:rPr>
        <w:t>the timing and cost of, and level of investment in, research, development, and commercialization activities relating to our product and product candidates, which may change from time to time; the timing of receipt of approvals or clearances for our product candidates from regulatory authorities in the U.S. or internationally; the timing and status of enrollment for our clinical trials;</w:t>
      </w:r>
    </w:p>
    <w:p>
      <w:pPr>
        <w:ind w:left="440" w:right="20"/>
        <w:spacing w:after="0" w:line="255" w:lineRule="auto"/>
        <w:rPr>
          <w:sz w:val="20"/>
          <w:szCs w:val="20"/>
          <w:color w:val="auto"/>
        </w:rPr>
      </w:pPr>
      <w:r>
        <w:rPr>
          <w:rFonts w:ascii="Arial" w:cs="Arial" w:eastAsia="Arial" w:hAnsi="Arial"/>
          <w:sz w:val="12"/>
          <w:szCs w:val="12"/>
          <w:color w:val="auto"/>
        </w:rPr>
        <w:t>coverage and reimbursement policies with respect to our product and product candidates, including the degree to which treatments using our products are covered and receive adequate reimbursement from third-party payors, and potential future drugs or devices that compete with our products;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cost of manufacturing our product, as well as building out our supply chain, which may vary depending on the quantity of production and the terms of our agreements with manufacturers;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expenditures that we may incur to acquire, develop or commercialize additional product candidates and technologies;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level of demand for our product and any product candidates, if approved or cleared, which may vary significantly over time;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litigation, including patent, employment, securities class action, stockholder derivative, general commercial, and other lawsuits;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future accounting pronouncements or changes in our accounting policies; and</w:t>
      </w:r>
    </w:p>
    <w:p>
      <w:pPr>
        <w:spacing w:after="0" w:line="120" w:lineRule="exact"/>
        <w:rPr>
          <w:sz w:val="20"/>
          <w:szCs w:val="20"/>
          <w:color w:val="auto"/>
        </w:rPr>
      </w:pPr>
    </w:p>
    <w:p>
      <w:pPr>
        <w:ind w:left="440"/>
        <w:spacing w:after="0" w:line="255" w:lineRule="auto"/>
        <w:rPr>
          <w:sz w:val="20"/>
          <w:szCs w:val="20"/>
          <w:color w:val="auto"/>
        </w:rPr>
      </w:pPr>
      <w:r>
        <w:rPr>
          <w:rFonts w:ascii="Arial" w:cs="Arial" w:eastAsia="Arial" w:hAnsi="Arial"/>
          <w:sz w:val="12"/>
          <w:szCs w:val="12"/>
          <w:color w:val="auto"/>
        </w:rPr>
        <w:t>the timing and success or failure of nonclinical studies and clinical trials for our product candidates or competing product candidates, or any other change in the competitive landscape of our industry, including consolidation among our competitors or partners.</w:t>
      </w:r>
    </w:p>
    <w:p>
      <w:pPr>
        <w:spacing w:after="0" w:line="9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9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0" w:name="page31"/>
    <w:bookmarkEnd w:id="30"/>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We expect to operate in a highly competitive market, we may face competition from large, well-established medical technology, device and product manufacturers with significant resources, and we may not be able to compete effectively.</w:t>
      </w:r>
    </w:p>
    <w:p>
      <w:pPr>
        <w:spacing w:after="0" w:line="9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We may find ourselves in competition with companies that have competitive advantages over us, such as: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significantly greater name recognition;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established relations with healthcare professionals, customers, and third-party payers;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greater efficacy or better safety profiles;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established distribution networks;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additional lines of products, and the ability to offer rebates, higher discounts, or incentives to gain a competitive advantage;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greater experience in obtaining patents and regulatory approvals for product candidates and other resources;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greater experience in conducting research and development, manufacturing, clinical trials, obtaining regulatory approval for products, and marketing approved products;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greater financial and human resources for product development, sales and marketing, and patent litigation.</w:t>
      </w:r>
    </w:p>
    <w:p>
      <w:pPr>
        <w:spacing w:after="0" w:line="120"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We may also face increased competition in the future as new companies enter our markets and as scientific developments surrounding electro-signaling therapeutics continue to accelerate. While we will seek to expand our technological capabilities to remain competitive, research and development by others may render our technology or product candidates obsolete or noncompetitive or result in treatments or cures superior to any therapy developed by us. In addition, certain of our product candidates may compete with other dermatological products, including over the counter (OTC) treatments, for a share of some patients’ discretionary budgets and for physicians’ attention within their clinical practices. Even if a generic product or an OTC product is less effective than our product candidates, a less effective generic or OTC product may be more quickly adopted by physicians and patients than our competing product candidates based upon cost or convenience. As a result, we may not be able to compete effectively against current and potential future competitors or their devices and products.</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may rely on third parties for our sales, marketing, manufacturing and/or distribution, and these third parties may not perform satisfactorily.</w:t>
      </w:r>
    </w:p>
    <w:p>
      <w:pPr>
        <w:spacing w:after="0" w:line="120"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To be able to commercialize our planned products, we may elect to internally develop aspects of sales, marketing, large-scale manufacturing, or distribution, or we may elect to utilize third parties with respect to one or more of these items. Our reliance on these third parties may reduce our control over these activities; however, reliance on third parties does not relieve us of our responsibility to ensure compliance with all required legal, regulatory, and scientific standards. These third parties may be adversely impacted by COVID-19 which could affect their ability to perform satisfactorily. Any failure of these third parties to perform satisfactorily and in compliance with relevant laws and regulations could lead to delays in the development of our planned products, including delays in our clinical trials, or failure to obtain regulatory approval for our planned products, or failure to successfully commercialize our planned products or other future products. Some of these events could be the basis for FDA or other regulatory action, including injunction, recall, seizure, or total or partial suspension of production.</w:t>
      </w:r>
    </w:p>
    <w:p>
      <w:pPr>
        <w:spacing w:after="0" w:line="95"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We have not yet commenced revenue-producing operations and may be unsuccessful in earning significant revenues. We believe that developing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1" w:name="page32"/>
    <w:bookmarkEnd w:id="31"/>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94" w:lineRule="exact"/>
        <w:rPr>
          <w:sz w:val="20"/>
          <w:szCs w:val="20"/>
          <w:color w:val="auto"/>
        </w:rPr>
      </w:pPr>
    </w:p>
    <w:p>
      <w:pPr>
        <w:jc w:val="both"/>
        <w:ind w:firstLine="301"/>
        <w:spacing w:after="0" w:line="252" w:lineRule="auto"/>
        <w:rPr>
          <w:sz w:val="20"/>
          <w:szCs w:val="20"/>
          <w:color w:val="auto"/>
        </w:rPr>
      </w:pPr>
      <w:r>
        <w:rPr>
          <w:rFonts w:ascii="Arial" w:cs="Arial" w:eastAsia="Arial" w:hAnsi="Arial"/>
          <w:sz w:val="11"/>
          <w:szCs w:val="11"/>
          <w:color w:val="auto"/>
        </w:rPr>
        <w:t>We are highly dependent upon the principal members of our management team, including our Chief Executive Officer, Darrin Uecker, and members of our finance, sales, marketing, scientific, and engineering teams. These persons have significant experience and knowledge with sub-microsecond pulsed electric fields and more broadly in aesthetics, dermatology,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and may be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100"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94"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life science businesses, we may not succeed in attracting or retaining the personnel we require to continue and grow our operations.</w:t>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Rapidly changing technology in life sciences could make the products we are developing obsolete.</w:t>
      </w:r>
    </w:p>
    <w:p>
      <w:pPr>
        <w:spacing w:after="0" w:line="120"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We also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If we are unable to manage the anticipated growth of our business, our future revenue and operating results may be harmed.</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1"/>
          <w:szCs w:val="11"/>
          <w:color w:val="auto"/>
        </w:rPr>
        <w:t>We have experienced rapid growth in our business. Recent and future growth imposes significant added responsibilities on management, including the need to identify, recruit, train, and integrate additional employees. Rapid</w:t>
      </w:r>
    </w:p>
    <w:p>
      <w:pPr>
        <w:spacing w:after="0" w:line="30" w:lineRule="exact"/>
        <w:rPr>
          <w:sz w:val="20"/>
          <w:szCs w:val="20"/>
          <w:color w:val="auto"/>
        </w:rPr>
      </w:pPr>
    </w:p>
    <w:p>
      <w:pPr>
        <w:jc w:val="both"/>
        <w:spacing w:after="0" w:line="263" w:lineRule="auto"/>
        <w:rPr>
          <w:sz w:val="20"/>
          <w:szCs w:val="20"/>
          <w:color w:val="auto"/>
        </w:rPr>
      </w:pPr>
      <w:r>
        <w:rPr>
          <w:rFonts w:ascii="Arial" w:cs="Arial" w:eastAsia="Arial" w:hAnsi="Arial"/>
          <w:sz w:val="11"/>
          <w:szCs w:val="11"/>
          <w:color w:val="auto"/>
        </w:rPr>
        <w:t>expansion in personnel could mean that less experienced people carry out our research and development activities, manufacture, market, and sell CellFX System and NPS therapies and treatments,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unexpected expansion difficulties could have a material adverse effect on our business, financial condition and results of operations and our ability to timely execute our business plan. If we are unable to manage our growth effectively, it may be difficult for us to execute our business strategy and our business could be harmed.</w:t>
      </w:r>
    </w:p>
    <w:p>
      <w:pPr>
        <w:spacing w:after="0" w:line="91" w:lineRule="exact"/>
        <w:rPr>
          <w:sz w:val="20"/>
          <w:szCs w:val="20"/>
          <w:color w:val="auto"/>
        </w:rPr>
      </w:pPr>
    </w:p>
    <w:p>
      <w:pPr>
        <w:jc w:val="both"/>
        <w:ind w:right="20" w:firstLine="301"/>
        <w:spacing w:after="0" w:line="354" w:lineRule="auto"/>
        <w:rPr>
          <w:sz w:val="20"/>
          <w:szCs w:val="20"/>
          <w:color w:val="auto"/>
        </w:rPr>
      </w:pPr>
      <w:r>
        <w:rPr>
          <w:rFonts w:ascii="Arial" w:cs="Arial" w:eastAsia="Arial" w:hAnsi="Arial"/>
          <w:sz w:val="10"/>
          <w:szCs w:val="10"/>
          <w:b w:val="1"/>
          <w:bCs w:val="1"/>
          <w:i w:val="1"/>
          <w:iCs w:val="1"/>
          <w:color w:val="auto"/>
        </w:rPr>
        <w:t>We are subject to laws and regulations relating to personally identifiable information, and maintain other sensitive information. 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2" w:name="page33"/>
    <w:bookmarkEnd w:id="32"/>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In the ordinary course of our business, we, and our third-party service providers may collect and store sensitive data, including legally protected health information, personally identifiable information about our patients, information related to our trials, intellectual property, and our proprietary business and financial information. We manage and maintain our applications and data utilizing a combination of on-site and vendor-owned systems. We face a number of risks related to our protection of, and our service providers’ protection of, this critical information, including loss of access, data, unauthorized disclosure and unauthorized access, as well as risks associated with our ability to identify and audit such events.</w:t>
      </w:r>
    </w:p>
    <w:p>
      <w:pPr>
        <w:spacing w:after="0" w:line="103" w:lineRule="exact"/>
        <w:rPr>
          <w:sz w:val="20"/>
          <w:szCs w:val="20"/>
          <w:color w:val="auto"/>
        </w:rPr>
      </w:pPr>
    </w:p>
    <w:p>
      <w:pPr>
        <w:jc w:val="both"/>
        <w:ind w:firstLine="301"/>
        <w:spacing w:after="0" w:line="250" w:lineRule="auto"/>
        <w:rPr>
          <w:sz w:val="20"/>
          <w:szCs w:val="20"/>
          <w:color w:val="auto"/>
        </w:rPr>
      </w:pPr>
      <w:r>
        <w:rPr>
          <w:rFonts w:ascii="Arial" w:cs="Arial" w:eastAsia="Arial" w:hAnsi="Arial"/>
          <w:sz w:val="11"/>
          <w:szCs w:val="11"/>
          <w:color w:val="auto"/>
        </w:rPr>
        <w:t>Although we take measures to protect sensitive information from unauthorized access or disclosure, our information technology and infrastructure, or those of our vendors, may be vulnerable to attacks by hackers or viruses or otherwise breached due to employee error, malfeasance or other activities. While we believe we have not experienced any such attack or breach, we, and our vendors may be unable to anticipate attacks, to implement adequate preventative or mitigation measures, to identify any attacks or incidents on a timely basis, or to remediate or otherwise address any attacks or incidents in a timely manner. If any such attack or other incident were to occur, our systems and networks would be compromised and the information we store on those systems and networks could be accessed by unauthorized parties, publicly disclosed, lost or stolen. Any such access, disclosure or other loss of information could result in a loss of intellectual property protection, legal claims or proceedings, liability under laws that protect the privacy of personal information, such as the federal Health Insurance Portability and Accountability Act of 1996 (HIPAA), as amended by the Health Information Technology for Economic and Clinical Health Act of 2009 (HITECH), and the California Consumer Privacy Act of 2018 (CCPA), which was enacted in June 2018 and became operative on January 1, 2020, or regulatory penalties, and could require substantial efforts to remediate and otherwise respond to the incident. The CCPA requires covered companies to, among other things, make certain enhanced disclosures related to California residents regarding our use or disclosure of their personal information, allow California residents to opt-out of certain uses and disclosures of their personal information without penalty, provide Californians with other choices related to personal data in our possession, and obtain opt-in consent before engaging in certain uses of personal information relating to Californians under the age of 16. The California Attorney General may seek substantial monetary penalties and injunctive relief in the event of our non-compliance with the CCPA. The CCPA also allows for private lawsuits from Californians in the event of certain data breaches. Certain aspects of the CCPA and its interpretation remain uncertain, and we may need to modify our policies or practices in an effort to comply with it. Moreover, a new privacy law, the California Privacy Rights Act (CPRA) was recently approved by California voters, which significantly modifies the CCPA, resulting in further uncertainty and requiring us to incur additional costs and expenses in an effort to comply.</w:t>
      </w:r>
    </w:p>
    <w:p>
      <w:pPr>
        <w:spacing w:after="0" w:line="98"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Unauthorized access, loss or dissemination could also disrupt our operations, including our ability to process tests, provide test results, provide services, conduct research and development activities, collect, process and prepare company financial information, provide information about our product candidates and manage the administrative aspects of our business and could damage our reputation, any of which could adversely affect our business. We cannot be certain that our insurance coverage will be adequate for data handling or data security liabilities actually incurred, that insurance will continue to be available to us on economically reasonable terms, or at all, or that any future claim will not be excluded or otherwise be denied coverage by any insurer.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0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In addition, the interpretation and application of federal and state consumer, health-related and data protection laws in the U.S. are often uncertain, contradictory and in flux. It is possible that these laws may be interpreted and applied in a manner that is, or alleged to be, inconsistent with our practices. If so, this could result in regulatory investigations and enforcement actions, private litigation, claims for damages, and government-imposed fines or orders requiring that we change our practices, any of which could adversely affect our business. Complying with these various laws could cause us to incur substantial costs or require us to change our business practices, systems and compliance procedures in a manner adverse to our business.</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Product liability lawsuits against us could cause us to incur substantial liabilities and to limit commercialization of our product or any future products that we may develop.</w:t>
      </w:r>
    </w:p>
    <w:p>
      <w:pPr>
        <w:spacing w:after="0" w:line="120"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We face an inherent risk of product liability exposure related to the sale of our product and the future sale of planned products and the use of these in human clinical studies. For example, we may be sued if our product or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We may also be subject to liability for a misunderstanding of, or inappropriate reliance upon, the information we provide. If we cannot successfully defend ourselves against claims that our product or planned products caused injuries, we may incur substantial liabilities. Regardless of merit or eventual outcome, liability claims may result 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3" w:name="page34"/>
    <w:bookmarkEnd w:id="33"/>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decreased demand for our product or any planned products that we may develop;</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injury to our reputation and significant negative media attention;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withdrawal of patients from clinical studies or cancellation of studies;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significant costs to defend the related litigation and distraction to our management team;</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substantial monetary awards to patients;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loss of revenue;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inability to commercialize any future products that we may develop.</w:t>
      </w:r>
    </w:p>
    <w:p>
      <w:pPr>
        <w:spacing w:after="0" w:line="120" w:lineRule="exact"/>
        <w:rPr>
          <w:sz w:val="20"/>
          <w:szCs w:val="20"/>
          <w:color w:val="auto"/>
        </w:rPr>
      </w:pPr>
    </w:p>
    <w:p>
      <w:pPr>
        <w:jc w:val="both"/>
        <w:ind w:firstLine="301"/>
        <w:spacing w:after="0" w:line="256" w:lineRule="auto"/>
        <w:rPr>
          <w:sz w:val="20"/>
          <w:szCs w:val="20"/>
          <w:color w:val="auto"/>
        </w:rPr>
      </w:pPr>
      <w:r>
        <w:rPr>
          <w:rFonts w:ascii="Arial" w:cs="Arial" w:eastAsia="Arial" w:hAnsi="Arial"/>
          <w:sz w:val="11"/>
          <w:szCs w:val="11"/>
          <w:color w:val="auto"/>
        </w:rPr>
        <w:t>For example, for our clinical trials in the field of oncology, patients with the types and stages of cancer targeted by our NPS technology may already be in severe and advanced stages of disease, may have worsened conditions despite traditional therapies, may not be surgical candidates, and/or may have both known and unknown significant pre-existing and potentially life-threatening conditions. During the course of treatment, patients may suffer adverse events, including death, for reasons that may be related to our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95"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Our ability to utilize our net operating loss carryforwards and certain other tax attributes may be limited.</w:t>
      </w:r>
    </w:p>
    <w:p>
      <w:pPr>
        <w:spacing w:after="0" w:line="120"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We have incurred net losses since our inception and anticipate that we may continue to incur significant losses for the foreseeable future. If not utilized, some of our federal and state net operating losses (NOLs)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spacing w:after="0" w:line="87"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In addition, under Section 382 of the Code, a corporation that undergoes an “ownership change” is subject to limitations on its ability to utilize its pre-change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spacing w:after="0" w:line="10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Coronavirus Aid, Relief, and Economic Security Act, or the CARES Act, was enacted on March 27, 2020 in the U.S. and provides economic relief, helping to generate liquidity for companies negatively affected by the COVID-19 pandemic. Key provisions of the act include delaying certain payroll tax payments, Section 163(j)limitation increases and Section 172(b)(1) NOL carrybacks and carryforwards. The CARES Act modifies the NOL rule to allow for a five-year carryback period for NOLs incurred for tax years beginning after Dec. 31, 2017, but before Jan. 1, 2021. There has been no material impact to the Company's financial statements as a result of this legislation.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4" w:name="page35"/>
    <w:bookmarkEnd w:id="34"/>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ind w:left="300"/>
        <w:spacing w:after="0"/>
        <w:rPr>
          <w:sz w:val="20"/>
          <w:szCs w:val="20"/>
          <w:color w:val="auto"/>
        </w:rPr>
      </w:pPr>
      <w:r>
        <w:rPr>
          <w:rFonts w:ascii="Arial" w:cs="Arial" w:eastAsia="Arial" w:hAnsi="Arial"/>
          <w:sz w:val="10"/>
          <w:szCs w:val="10"/>
          <w:b w:val="1"/>
          <w:bCs w:val="1"/>
          <w:i w:val="1"/>
          <w:iCs w:val="1"/>
          <w:color w:val="auto"/>
        </w:rPr>
        <w:t>We have a substantial amount of goodwill and intangible assets which over time may have to be written down as we make the required periodic assessments as to their value as reflected in our financial statements.</w:t>
      </w:r>
    </w:p>
    <w:p>
      <w:pPr>
        <w:spacing w:after="0" w:line="143"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Product Development</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Clinical development involves a lengthy and expensive process with an uncertain outcome, and results of earlier studies and trials may not be predictive of future trial results.</w:t>
      </w:r>
    </w:p>
    <w:p>
      <w:pPr>
        <w:spacing w:after="0" w:line="120" w:lineRule="exact"/>
        <w:rPr>
          <w:sz w:val="20"/>
          <w:szCs w:val="20"/>
          <w:color w:val="auto"/>
        </w:rPr>
      </w:pPr>
    </w:p>
    <w:p>
      <w:pPr>
        <w:jc w:val="both"/>
        <w:ind w:right="20" w:firstLine="301"/>
        <w:spacing w:after="0" w:line="236" w:lineRule="auto"/>
        <w:rPr>
          <w:sz w:val="20"/>
          <w:szCs w:val="20"/>
          <w:color w:val="auto"/>
        </w:rPr>
      </w:pPr>
      <w:r>
        <w:rPr>
          <w:rFonts w:ascii="Arial" w:cs="Arial" w:eastAsia="Arial" w:hAnsi="Arial"/>
          <w:sz w:val="12"/>
          <w:szCs w:val="12"/>
          <w:color w:val="auto"/>
        </w:rPr>
        <w:t>Clinical testing is expensive and can take many years to complete, and its outcome is inherently uncertain. Failure or delay can occur at any time during the clinical trial process. Success in nonclinical studies and early feasibility clinical studies does not ensure that expanded clinical trials that will be used to support regulatory submissions will be successful. These setbacks have been caused by, among other things, nonclinical findings made while clinical trials were underway, and safety or efficacy observations made in clinical trials, including previously unreported adverse events. Even if our clinical trials are completed, the results may not be sufficient to obtain regulatory approval or clearance for our product candidates.</w:t>
      </w:r>
    </w:p>
    <w:p>
      <w:pPr>
        <w:spacing w:after="0" w:line="103"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9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1"/>
          <w:szCs w:val="11"/>
          <w:b w:val="1"/>
          <w:bCs w:val="1"/>
          <w:i w:val="1"/>
          <w:iCs w:val="1"/>
          <w:color w:val="auto"/>
        </w:rPr>
        <w:t>If we fail to maintain necessary regulatory clearance for our product, or if clearances or approvals for future devices and indications are delayed or not issued, our commercial operations would be harmed.</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Additionally, changes in methods of product candidate manufacturing may result in additional costs or delay.</w:t>
      </w:r>
    </w:p>
    <w:p>
      <w:pPr>
        <w:spacing w:after="0" w:line="110"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Our product candidates under development are medical devices that are subject to extensive regulation by FDA in the U.S. and by regulatory agencies in other countries where we plan to do business. Government regulations specific to medical devices are wide-ranging and govern, among other things: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device design, development and manufacture;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laboratory, pre-clinical and clinical testing, labeling, packaging, storage and distribution;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premarketing clearance or approval;</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record keeping;</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device marketing, promotion and advertising, sales and distribution;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post-marketing surveillance, including reporting of deaths and serious injuries and recalls and correction and removals.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5" w:name="page36"/>
    <w:bookmarkEnd w:id="35"/>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Before a new medical device or a new intended use for, an existing device can be marketed in the U.S., a company must first submit and receive either 510(k) clearance or PMA from the FDA, unless an exemption applies. In the 510(k) 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w:t>
      </w:r>
    </w:p>
    <w:p>
      <w:pPr>
        <w:spacing w:after="0" w:line="10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In February 2021, we received a 510(k) clearance from the U.S. FDA for our CellFX System for dermatologic procedures requiring ablation and resurfacing of the skin. Following this general dermatologic indication, we plan to pursue specific indications for the CellFX System, starting with an indication for the treatment of SH lesions. This will require an additional 510(k) submission, as will each subsequent indication, and will likely be based on comparative clinical data.</w:t>
      </w:r>
    </w:p>
    <w:p>
      <w:pPr>
        <w:spacing w:after="0" w:line="10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However, the failure to obtain further 510(k) clearances may add significant time and expense to our regulatory clearance process, may delay our ability to generate revenue, and may have a negative impact on our stock price. We may not be able to obtain the necessary clearances or approvals necessary to market our CellFX System for specific indications or such approvals or clearances may be unduly delayed, which could harm our business. If the FDA rejects our 510(k) submissions for specific indications, we may be required to obtain FDA approval through the de novo pathway, which will require additional time and resources, including the need to conduct more clinical studies to demonstrate safety and effectiveness of our candidate device.</w:t>
      </w:r>
    </w:p>
    <w:p>
      <w:pPr>
        <w:spacing w:after="0" w:line="103"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The FDA may not approve or clear, or may delay approval or clearance of,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actions which may prevent or delay approval or clearance of our products under development. Any of these actions could have a material adverse effect on our business operations and financial condition.</w:t>
      </w:r>
    </w:p>
    <w:p>
      <w:pPr>
        <w:spacing w:after="0" w:line="10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FDA and the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103"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FDA and state authorities have broad enforcement powers. Our failure to comply with applicable regulatory requirements could result in enforcement action by the FDA or state agencies, which may include any of the following sanctions: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adverse publicity, warning letters, fines, injunctions, consent decrees, and civil penalties;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repair, replacement, refunds, recall, or seizure of our devices;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operating restrictions, partial suspension, or total shutdown of production;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refusing our requests for 510(k) clearance or premarket approval of new devices, new intended uses or modifications to existing devices;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withdrawing 510(k) clearance or premarket approvals that have already been granted;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criminal prosecution.</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color w:val="auto"/>
        </w:rPr>
        <w:t>If any of these events were to occur, our business and financial condition would be harmed.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6" w:name="page37"/>
    <w:bookmarkEnd w:id="36"/>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Our efforts may never demonstrate the feasibility of our technology</w:t>
      </w:r>
      <w:r>
        <w:rPr>
          <w:rFonts w:ascii="Arial" w:cs="Arial" w:eastAsia="Arial" w:hAnsi="Arial"/>
          <w:sz w:val="12"/>
          <w:szCs w:val="12"/>
          <w:color w:val="auto"/>
        </w:rPr>
        <w:t>.</w:t>
      </w:r>
    </w:p>
    <w:p>
      <w:pPr>
        <w:spacing w:after="0" w:line="120"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Our research and development efforts remain subject to all of the risks associated with the development of new technology. Development of the underlying technology, including the development of our CellFX System, may be affected by unanticipated technical or other problems, among other development and research issues, and the possible insufficiency of funds needed in order to complete development of these products or devices. Regulatory and clinical hurdles or challenges also may result in delays and cause us to incur additional expenses that may increase our need for capital and result in additional losses. In addition, the potential indications for our NPS technology are numerous, and we may fail to pursue the most optimal indications. If we cannot complete, or if we experience significant delays in developing our technology, applications or products for use in potential commercial applications, particularly after incurring significant expenditures, our business may fail and investors may lose the entirety of their investment.</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The mechanism of action of NPS technology platform has not been fully determined or validated.</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exact mechanism(s) of action(s) of the NPS technology platform is not fully understood, and data is still being gathered regarding its use. Furthermore, there are only a relatively small number of scientists and researchers who can be considered experts in the use of this emerging technology. A full understanding of our product’s, and any future product’s, mechanism of action and a large scale of scientific experts are typically believed to make product development less risky. The FDA or similar foreign regulatory authorities may view this as increasing the potential risks, and diminishing the potential benefits, of products based on NPS technology. In addition, potential partners may view this as a limitation of the program, and it may be more challenging for us to obtain a partnership on favorable terms as a result.</w:t>
      </w:r>
    </w:p>
    <w:p>
      <w:pPr>
        <w:spacing w:after="0" w:line="103"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Our product and any product candidates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9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 xml:space="preserve">The risk of failure of clinical development is high. For example, the vast majority of our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data has been a result of animal testing, and we have only completed a limited number of feasibility studies in humans. It is difficult to predict when or if any planned future products will prove safe enough to receive regulatory approval or clearance. Undesirable side effects caused by our CellFX System, NPS pulses, or any of our planned future products could cause us or regulatory authorities to interrupt, delay or halt clinical trials. They could result in a more restrictive label or the delay or denial of regulatory approval of planned future products by the FDA or other comparable foreign regulatory authority.</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Additionally, if we or others identify undesirable side effects caused by such product, a number of potentially significant negative consequences could result, including:</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may be forced to recall such product and suspend the marketing of such product;</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regulatory authorities may withdraw their approvals of such product;</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regulatory authorities may require additional warnings on the label and/or narrow the indication that could diminish the usage or otherwise limit the commercial success of such products;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FDA or other regulatory authorities may issue safety alerts, Dear Healthcare Provider letters, press releases, or other communications containing warnings about such product;</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FDA may restrict distribution of our products and impose burdensome implementation requirements on us;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may be required to change the way the product is administered or conduct additional clinical trials;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could be sued and held liable for harm caused to subjects or patients;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may be subject to litigation or product liability claims;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our reputation may suffer.</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Any of these events could prevent us from achieving or maintaining market acceptance of the particular planned product, if approved.</w:t>
      </w:r>
    </w:p>
    <w:p>
      <w:pPr>
        <w:spacing w:after="0" w:line="12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7" w:name="page38"/>
    <w:bookmarkEnd w:id="37"/>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Our business is dependent upon physicians adopting our CellFX System and NPS technology, and if we fail to obtain broad adoption, our business would be adversely affected.</w:t>
      </w:r>
    </w:p>
    <w:p>
      <w:pPr>
        <w:spacing w:after="0" w:line="120"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Our success depends on our ability to educate physicians regarding the benefits of CellFX procedures over existing treatment modalities and to persuade them to prescribe CellFX procedures for their patients. We do not know if the CellFX System or NPS technology will be successful over the long term, and market acceptance may be hindered if physicians are not presented with compelling data demonstrating the efficacy and safety of our products compared to alternative treatments. Any studies we, or third parties, may conduct comparing our CellFX System or NPS technology with alternative treatments may be expensive, time consuming or may not yield positive results. Additionally, adoption will be directly influenced by a number of financial factors, including the ability of providers to attract cash payments from patients or to obtain sufficient reimbursement from third-party</w:t>
      </w:r>
    </w:p>
    <w:p>
      <w:pPr>
        <w:jc w:val="both"/>
        <w:spacing w:after="0" w:line="239" w:lineRule="auto"/>
        <w:rPr>
          <w:sz w:val="20"/>
          <w:szCs w:val="20"/>
          <w:color w:val="auto"/>
        </w:rPr>
      </w:pPr>
      <w:r>
        <w:rPr>
          <w:rFonts w:ascii="Arial" w:cs="Arial" w:eastAsia="Arial" w:hAnsi="Arial"/>
          <w:sz w:val="12"/>
          <w:szCs w:val="12"/>
          <w:color w:val="auto"/>
        </w:rPr>
        <w:t>commercial payors, and the Centers for Medicare &amp; Medicaid Services (CMS) for the professional services they provide in administering CellFX procedures. The efficacy, safety, performance and cost-effectiveness of our CellFX System, NPS technology, or other potential products based on NPS technology, on a stand-alone basis and relative to competing services, will determine the availability and level of reimbursement received by us and providers. If physicians do not adopt and prescribe our future products, we may never become profitable.</w:t>
      </w:r>
    </w:p>
    <w:p>
      <w:pPr>
        <w:spacing w:after="0" w:line="10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We may find it difficult to enroll patients in our clinical trials. If we cannot enroll a sufficient number of eligible patients to participate in the clinical trials, we may not be able to initiate or continue clinical trials, which could delay or prevent development of our product candidates.</w:t>
      </w:r>
    </w:p>
    <w:p>
      <w:pPr>
        <w:spacing w:after="0" w:line="94" w:lineRule="exact"/>
        <w:rPr>
          <w:sz w:val="20"/>
          <w:szCs w:val="20"/>
          <w:color w:val="auto"/>
        </w:rPr>
      </w:pPr>
    </w:p>
    <w:p>
      <w:pPr>
        <w:jc w:val="both"/>
        <w:ind w:firstLine="301"/>
        <w:spacing w:after="0" w:line="229" w:lineRule="auto"/>
        <w:rPr>
          <w:sz w:val="20"/>
          <w:szCs w:val="20"/>
          <w:color w:val="auto"/>
        </w:rPr>
      </w:pPr>
      <w:r>
        <w:rPr>
          <w:rFonts w:ascii="Arial" w:cs="Arial" w:eastAsia="Arial" w:hAnsi="Arial"/>
          <w:sz w:val="12"/>
          <w:szCs w:val="12"/>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 Our clinical trials may be affected by the COVID-19 pandemic. Site initiation and patient enrollment may be delayed, for example, due to prioritization of hospital resources toward the COVID-19 pandemic, travel restrictions imposed by governments, and the inability to access sites for initiation and monitoring.</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Laboratory conditions differ from commercial conditions and field conditions, and the safety and effectiveness of our product candidates may depend on the technique of the user.</w:t>
      </w:r>
    </w:p>
    <w:p>
      <w:pPr>
        <w:spacing w:after="0" w:line="120"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Observations and developments that may be achievable under laboratory circumstances may not be able to be replicated in broader research and development phases, in commercial settings, or in the use of any of the product candidates in the field. Furthermore, CellFX procedures will be administered by healthcare professionals and will require a degree of training and practice to administer correctly. Treatment results achieved during the laboratory or in clinical trials conducted by us or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In addition, there may be a selection bias in the patients and/or sites of administration chosen for any clinical trials that would positively affect treatment results that may not be representative or predictive of real-world experience with our products.</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Issues with our firmware and software may negatively affect the function of our devices.</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safety and effectiveness of CellFX procedures and therapies may depend, in part, on the function of firmware run by the microprocessors embedded in the device and associated software. This firmware and software is proprietary to us. While we have made efforts to test the firmware and software extensively, it is potentially subject to malfunction which in turn may harm a patient. Further, it may be vulnerable to physical break-ins, hackers, improper employee or contractor access, computer viruses, programming errors, data breaches, or similar problems. Any of these might result in harm to a patient or the unauthorized release of confidential medical, business or other information of other persons or of ours.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8" w:name="page39"/>
    <w:bookmarkEnd w:id="38"/>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b w:val="1"/>
          <w:bCs w:val="1"/>
          <w:i w:val="1"/>
          <w:iCs w:val="1"/>
          <w:color w:val="auto"/>
        </w:rPr>
        <w:t>We may encounter manufacturing problems or delays that could result in lost revenue. Additionally, we currently rely on third-party suppliers for critical materials needed to manufacture our CellFX System and related applicators. Any problems experienced by these suppliers could result in a delay or interruption of their supply to us, and as a result, we may face delays in the development and commercialization of planned products.</w:t>
      </w:r>
    </w:p>
    <w:p>
      <w:pPr>
        <w:spacing w:after="0" w:line="104"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We perform final assembly of our devices at our facility in California. We believe we have an adequate inventory of materials and manufacturing capacity to support all our commercial launch activities. However, if demand for our product increases significantly, we will need to either expand our manufacturing capabilities or outsource to other manufacturers. We are in the process of commencing commercial-scale manufacturing of our product, and we currently rely upon third-party suppliers to manufacture and supply components for our CellFX System. The manufacture of these products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FDA requirements, other federal and state regulatory requirements, and foreign regulations.</w:t>
      </w:r>
    </w:p>
    <w:p>
      <w:pPr>
        <w:spacing w:after="0" w:line="95"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We do not control the manufacturing process of, and are completely dependent on, our contract manufacturing partners for compliance with the regulatory requirements, and if our contract manufacturers cannot successfully manufacture our product that conforms to our specifications and the strict regulatory requirements of the FDA or comparable regulatory authorities in foreign jurisdictions, we may not be able to rely on their manufacturing facilities for the manufacture of our product.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product or if such facilities are subject to enforcement action in the future or are otherwise inadequate with respect to complying with applicable regulatory requirements, we may need to find alternative manufacturing facilities, which would significantly impact our ability to develop and market our product or to obtain regulatory approval or clearance for our product candidates.</w:t>
      </w:r>
    </w:p>
    <w:p>
      <w:pPr>
        <w:spacing w:after="0" w:line="10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We currently purchase components for our CellFX System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These suppliers may be adversely impacted by COVID-19 which could affect their ability to perform satisfactorily. Any failure of these suppliers to perform satisfactorily could adversely impact our business and results of operations and we may experience delays in manufacturing of our devices while finding another acceptable supplier.</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1"/>
          <w:szCs w:val="11"/>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32"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We believe that the commercial viability of our device and any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marketplace before coverage and reimbursement are granted, if it is granted at all. In the U.S. and other jurisdictions in Europe and other regions,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spacing w:after="0" w:line="105" w:lineRule="exact"/>
        <w:rPr>
          <w:sz w:val="20"/>
          <w:szCs w:val="20"/>
          <w:color w:val="auto"/>
        </w:rPr>
      </w:pPr>
    </w:p>
    <w:p>
      <w:pPr>
        <w:jc w:val="both"/>
        <w:ind w:firstLine="301"/>
        <w:spacing w:after="0" w:line="256" w:lineRule="auto"/>
        <w:rPr>
          <w:sz w:val="20"/>
          <w:szCs w:val="20"/>
          <w:color w:val="auto"/>
        </w:rPr>
      </w:pPr>
      <w:r>
        <w:rPr>
          <w:rFonts w:ascii="Arial" w:cs="Arial" w:eastAsia="Arial" w:hAnsi="Arial"/>
          <w:sz w:val="11"/>
          <w:szCs w:val="11"/>
          <w:color w:val="auto"/>
        </w:rPr>
        <w:t>Medicare, Medicaid, health maintenance organizations and other third-party payers are increasingly attempting to contain healthcare costs by limiting both the scope of coverage and the level of reimbursement of new medical technologies and products, and as a result, they may not cover or provide adequate payment for the use of our planned products. In order to obtain satisfactory reimbursement arrangements, we may have to agree to reduce the fee or sales price than initially planned.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treatments involving our proposed devices and products, we cannot be certain that the reimbursement levels will be adequate. Accordingly, even if our planned products are approved for commercial sale, unless government and other third-party payers provide adequate coverage and reimbursement for our devices and products, some physicians may be discouraged from using them, and our sales would suffer.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9" w:name="page40"/>
    <w:bookmarkEnd w:id="39"/>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56" w:lineRule="auto"/>
        <w:rPr>
          <w:sz w:val="20"/>
          <w:szCs w:val="20"/>
          <w:color w:val="auto"/>
        </w:rPr>
      </w:pPr>
      <w:r>
        <w:rPr>
          <w:rFonts w:ascii="Arial" w:cs="Arial" w:eastAsia="Arial" w:hAnsi="Arial"/>
          <w:sz w:val="11"/>
          <w:szCs w:val="11"/>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any of our proposed devices and products, as they are still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95"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state-by-state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spacing w:after="0" w:line="105"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We work with outside scientists and their institutions in developing our product and product candidates. These scientists may have other commitments or conflicts of interest, which could limit our access to their expertise, harm our ability to leverage our discovery platforms, or negatively impact our clinical trials.</w:t>
      </w:r>
    </w:p>
    <w:p>
      <w:pPr>
        <w:spacing w:after="0" w:line="94"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We work with scientific advisors and collaborators at academic research institutions in connection with our product development. These scientists and collaborators are not our employees, but they serve as either independent contractors or researchers under research agreements that we have with their sponsoring clinic, academic institution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 To the extent these scientists and collaborators may receive cash or equity compensation in connection with such services from time to time, these relationships and any related compensation may result in perceived or actual conflicts of interest, or a regulatory authority to conclude that the financial relationship may have affected the interpretation of the trial, such that the integrity of the data generated at the applicable clinical trial site may be questioned and the utility of the clinical trial itself may be jeopardized, which could result in the delay or rejection of the marketing application we submit.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Intellectual Property</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1"/>
          <w:szCs w:val="11"/>
          <w:b w:val="1"/>
          <w:bCs w:val="1"/>
          <w:i w:val="1"/>
          <w:iCs w:val="1"/>
          <w:color w:val="auto"/>
        </w:rPr>
        <w:t>If we or our licensors are unable to protect our/their intellectual property, then our financial condition, results of operations and the value of our technology and products could be adversely affected.</w:t>
      </w:r>
    </w:p>
    <w:p>
      <w:pPr>
        <w:spacing w:after="0" w:line="132" w:lineRule="exact"/>
        <w:rPr>
          <w:sz w:val="20"/>
          <w:szCs w:val="20"/>
          <w:color w:val="auto"/>
        </w:rPr>
      </w:pPr>
    </w:p>
    <w:p>
      <w:pPr>
        <w:jc w:val="both"/>
        <w:ind w:firstLine="301"/>
        <w:spacing w:after="0" w:line="230" w:lineRule="auto"/>
        <w:rPr>
          <w:sz w:val="20"/>
          <w:szCs w:val="20"/>
          <w:color w:val="auto"/>
        </w:rPr>
      </w:pPr>
      <w:r>
        <w:rPr>
          <w:rFonts w:ascii="Arial" w:cs="Arial" w:eastAsia="Arial" w:hAnsi="Arial"/>
          <w:sz w:val="12"/>
          <w:szCs w:val="12"/>
          <w:color w:val="auto"/>
        </w:rPr>
        <w:t>Patents and other proprietary rights are essential to our business, and our ability to compete effectively with other companies is dependent upon the proprietary nature of our technologies.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and our licensors, may not successfully prosecute or continue to prosecute the patent applications which we have licensed. Even if patents are issued in respect of these patent applications, we or our licensors may fail to maintain these patents, may determine not to pursue litigation against entities that are infringing upon these patents, or may pursue such enforcement less aggressively than we ordinarily would for our own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0" w:name="page41"/>
    <w:bookmarkEnd w:id="40"/>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9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If we are the target of claims by third parties asserting that our products or intellectual property infringe upon the rights of others, we may be forced to incur substantial expenses or divert substantial employee resources from our business. If successful, those claims could result in our having to pay substantial damages or could prevent us from developing one or more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04"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If we, or our collaborators, experience patent infringement claims, or if we elect to avoid potential claims others may be able to assert, we or our collaborators may choose to seek, or be required to seek, a license from the third 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96"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If we fail to comply with our obligations in the agreements under which we license development or commercialization rights to products or technology from third parties, we could lose license rights that are important to our business.</w:t>
      </w:r>
    </w:p>
    <w:p>
      <w:pPr>
        <w:spacing w:after="0" w:line="94" w:lineRule="exact"/>
        <w:rPr>
          <w:sz w:val="20"/>
          <w:szCs w:val="20"/>
          <w:color w:val="auto"/>
        </w:rPr>
      </w:pPr>
    </w:p>
    <w:p>
      <w:pPr>
        <w:jc w:val="both"/>
        <w:ind w:firstLine="301"/>
        <w:spacing w:after="0" w:line="250" w:lineRule="auto"/>
        <w:rPr>
          <w:sz w:val="20"/>
          <w:szCs w:val="20"/>
          <w:color w:val="auto"/>
        </w:rPr>
      </w:pPr>
      <w:r>
        <w:rPr>
          <w:rFonts w:ascii="Arial" w:cs="Arial" w:eastAsia="Arial" w:hAnsi="Arial"/>
          <w:sz w:val="11"/>
          <w:szCs w:val="11"/>
          <w:color w:val="auto"/>
        </w:rPr>
        <w:t>We hold licenses from Old Dominion University Research Foundation (ODURF) and Eastern Virginia Medical School (EVMS) and from Alfred E. Mann Institute for Biomedical Engineering at the University of Southern California to intellectual property relating to the sub-microsecond electric field technology, as well as applicator design and configuration, and pulse generators in addition to the intellectual property that we own for these things. For the continuance of the license with ODURF and EVMS, we must continue to comply with the various obligations set forth in the license. If we fail to meet these obligations, the licensor will have the right to terminate the applicable license or modify certain terms of the license agreement. Generally, the loss of any one of our current licenses, or any other license we may acquire in the future, could harm our business, prospects, financial condition, and results of operation.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assure you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Our intellectual property rights will not necessarily provide us with competitive advantages.</w:t>
      </w:r>
    </w:p>
    <w:p>
      <w:pPr>
        <w:spacing w:after="0" w:line="120"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94" w:lineRule="exact"/>
        <w:rPr>
          <w:sz w:val="20"/>
          <w:szCs w:val="20"/>
          <w:color w:val="auto"/>
        </w:rPr>
      </w:pPr>
    </w:p>
    <w:p>
      <w:pPr>
        <w:ind w:left="440" w:right="2360"/>
        <w:spacing w:after="0" w:line="479" w:lineRule="auto"/>
        <w:rPr>
          <w:sz w:val="20"/>
          <w:szCs w:val="20"/>
          <w:color w:val="auto"/>
        </w:rPr>
      </w:pPr>
      <w:r>
        <w:rPr>
          <w:rFonts w:ascii="Arial" w:cs="Arial" w:eastAsia="Arial" w:hAnsi="Arial"/>
          <w:sz w:val="12"/>
          <w:szCs w:val="12"/>
          <w:color w:val="auto"/>
        </w:rPr>
        <w:t>others may be able to make products that are similar to our product candidates but that are not covered by the claims of the patents that we own or have exclusively licensed; others may independently develop similar or alternative technologies without infringing on our intellectual property rights;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1" w:name="page42"/>
    <w:bookmarkEnd w:id="41"/>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issued patents that we own or have exclusively licensed may not provide us with any competitive advantages, or may be held invalid or unenforceable, as a result of legal challenges by our competitors;</w:t>
      </w:r>
    </w:p>
    <w:p>
      <w:pPr>
        <w:spacing w:after="0" w:line="120"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94" w:lineRule="exact"/>
        <w:rPr>
          <w:sz w:val="20"/>
          <w:szCs w:val="20"/>
          <w:color w:val="auto"/>
        </w:rPr>
      </w:pPr>
    </w:p>
    <w:p>
      <w:pPr>
        <w:ind w:left="440"/>
        <w:spacing w:after="0" w:line="255" w:lineRule="auto"/>
        <w:rPr>
          <w:sz w:val="20"/>
          <w:szCs w:val="20"/>
          <w:color w:val="auto"/>
        </w:rPr>
      </w:pPr>
      <w:r>
        <w:rPr>
          <w:rFonts w:ascii="Arial" w:cs="Arial" w:eastAsia="Arial" w:hAnsi="Arial"/>
          <w:sz w:val="12"/>
          <w:szCs w:val="12"/>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may fail to develop additional proprietary technologies that are patentable;</w:t>
      </w:r>
    </w:p>
    <w:p>
      <w:pPr>
        <w:spacing w:after="0" w:line="120"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the laws of certain foreign countries may not protect our intellectual property rights to the same extent as the laws of the U.S., or we may fail to apply for or obtain adequate intellectual property protection in all the jurisdictions in which we operate; and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patents of others may have an adverse effect on our business, for example by preventing us from marketing one or more of our product candidates for one or more indications.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Any of the aforementioned threats to our competitive advantage could harm our business.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If we are unable to protect the confidentiality of our proprietary information and know-how, the value of our technology and products could be adversely affected.</w:t>
      </w:r>
    </w:p>
    <w:p>
      <w:pPr>
        <w:spacing w:after="0" w:line="120"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In addition to patented technology, we rely upon, among other things, unpatented proprietary technology, processes, trade secrets and know-how. Any involuntary disclosure to or misappropriation by third parties of our confidential or proprietary information could enable competitors to duplicate or surpass our technological achievements, potentially eroding our competitive position in our market. We seek to protect confidential or proprietary information in part by confidentiality agreements with our employees, consultants and third parties. While we require all of our employees, consultants, advisors and any third parties who have access to our proprietary know-how, information and technology to enter into confidentiality agreements, we cannot be certain that this know-how, information and technology will not be disclosed or that competitors will not otherwise gain access to our trade secrets or independently develop substantially equivalent information and techniques. These agreements may be terminated or breached, and we may not have adequate remedies for any such termination or breach. Furthermore, these agreements may not provide meaningful protection for our trade secrets and know-how in the event of unauthorized use or disclosure. To the extent that any of our staff were previously employed by other pharmaceutical, medical technology or biotechnology companies, those employers may allege violations of trade secrets and other similar claims in relation to their medical device development activities for us.</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strength of our patents involves complex legal and scientific questions and can be uncertain. Our patents or patent applications may be challenged or our patent applications may fail to result in issued patents and our existing or future patents may be too narrow to prevent third-parties from developing or designing around our intellectual property and in that event we may lose competitive advantage and our business may suffer. Further, the patent applications that we license or have filed may fail to result in issued patents. The claims may need to be amended. Even after amendment, a patent may not issue and in that event we may not obtain the use of the intellectual property that we seek and may lose competitive advantage which could result in harm to our business.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2" w:name="page43"/>
    <w:bookmarkEnd w:id="42"/>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may become involved in future lawsuits to protect or enforce our patents or the patents of our licensors, which could be expensive, time consuming and unsuccessful.</w:t>
      </w:r>
    </w:p>
    <w:p>
      <w:pPr>
        <w:spacing w:after="0" w:line="120" w:lineRule="exact"/>
        <w:rPr>
          <w:sz w:val="20"/>
          <w:szCs w:val="20"/>
          <w:color w:val="auto"/>
        </w:rPr>
      </w:pPr>
    </w:p>
    <w:p>
      <w:pPr>
        <w:jc w:val="both"/>
        <w:ind w:firstLine="301"/>
        <w:spacing w:after="0" w:line="256" w:lineRule="auto"/>
        <w:rPr>
          <w:sz w:val="20"/>
          <w:szCs w:val="20"/>
          <w:color w:val="auto"/>
        </w:rPr>
      </w:pPr>
      <w:r>
        <w:rPr>
          <w:rFonts w:ascii="Arial" w:cs="Arial" w:eastAsia="Arial" w:hAnsi="Arial"/>
          <w:sz w:val="11"/>
          <w:szCs w:val="11"/>
          <w:color w:val="auto"/>
        </w:rPr>
        <w:t>Competitors may infringe our patents or the patents of our licensors. To counter infringement or unauthorized use, we or our licensors may file infringement claims, which can be expensive and time consuming. In addition, in an infringement proceeding, a court may decide that a patent of ours, or of our licensors, is not valid or is unenforceable or may refuse to stop the other party from using the technology at issue on the grounds that our patents do not cover the technology in question. If we or any current licensors or future licensees or licensors with rights to prosecute, assert or defend patents related to our product candidates fail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 An adverse result in any litigation or defense proceedings could put one or more of our patents at risk of being invalidated or interpreted narrowly and could put our patent applications at risk of not issuing.</w:t>
      </w:r>
    </w:p>
    <w:p>
      <w:pPr>
        <w:spacing w:after="0" w:line="95" w:lineRule="exact"/>
        <w:rPr>
          <w:sz w:val="20"/>
          <w:szCs w:val="20"/>
          <w:color w:val="auto"/>
        </w:rPr>
      </w:pPr>
    </w:p>
    <w:p>
      <w:pPr>
        <w:jc w:val="both"/>
        <w:ind w:firstLine="301"/>
        <w:spacing w:after="0" w:line="228" w:lineRule="auto"/>
        <w:rPr>
          <w:sz w:val="20"/>
          <w:szCs w:val="20"/>
          <w:color w:val="auto"/>
        </w:rPr>
      </w:pPr>
      <w:r>
        <w:rPr>
          <w:rFonts w:ascii="Arial" w:cs="Arial" w:eastAsia="Arial" w:hAnsi="Arial"/>
          <w:sz w:val="12"/>
          <w:szCs w:val="12"/>
          <w:color w:val="auto"/>
        </w:rPr>
        <w:t>The U.S. Patent and Trademark Office (USPTO) may initiate interference proceedings to determine the priority of inventions described in or otherwise affecting our patents and patent applications or those of our collaborators or licensors. An unfavorable outcome could require us to cease using the technology or to attempt to license rights to it from the prevailing party. Our business could be harmed if a prevailing party does not offer us a license on terms that are acceptable to us. Litigation or interference proceedings may fail and, even if successful, may result in substantial costs and distraction of our management and other employees. We may not be able to prevent, alone or with our licensors, misappropriation of our proprietary rights, particularly in countries where the laws may not protect those rights as fully as in the U.S.</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11"/>
          <w:szCs w:val="11"/>
          <w:b w:val="1"/>
          <w:bCs w:val="1"/>
          <w:i w:val="1"/>
          <w:iCs w:val="1"/>
          <w:color w:val="auto"/>
        </w:rPr>
        <w:t>Confidentiality agreements with employees and third parties may not prevent unauthorized disclosure of trade secrets and other proprietary information, which would harm our competitive position.</w:t>
      </w:r>
    </w:p>
    <w:p>
      <w:pPr>
        <w:spacing w:after="0" w:line="122" w:lineRule="exact"/>
        <w:rPr>
          <w:sz w:val="20"/>
          <w:szCs w:val="20"/>
          <w:color w:val="auto"/>
        </w:rPr>
      </w:pPr>
    </w:p>
    <w:p>
      <w:pPr>
        <w:jc w:val="both"/>
        <w:ind w:firstLine="301"/>
        <w:spacing w:after="0" w:line="228" w:lineRule="auto"/>
        <w:rPr>
          <w:sz w:val="20"/>
          <w:szCs w:val="20"/>
          <w:color w:val="auto"/>
        </w:rPr>
      </w:pPr>
      <w:r>
        <w:rPr>
          <w:rFonts w:ascii="Arial" w:cs="Arial" w:eastAsia="Arial" w:hAnsi="Arial"/>
          <w:sz w:val="12"/>
          <w:szCs w:val="12"/>
          <w:color w:val="auto"/>
        </w:rPr>
        <w:t>In addition to patents, we rely on trade secrets, technical know-how and proprietary information concerning our business strategy and product candidates in order to protect our competitive position, which are difficult to protect. As we collaborate with various third parties on the research and development of our planned products, we must, at times, share trade secrets with them. In the course of our research and development activities and our business activities, we rely on confidentiality agreements to protect our proprietary information. Such confidentiality agreements are used, for example, when we talk to vendors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 party illegally obtained and is using any of our trade secrets is expensive and time consuming, and the outcome is unpredictable. In addition, courts outside the U.S. sometimes are less willing than U.S. courts to protect trade secrets. Moreover, our competitors may independently develop equivalent knowledge, methods and know-how, and our trade secrets cannot be enforced against such independently developed knowledge. If we cannot maintain the confidentiality of our proprietary technology and other confidential information, then our ability to obtain patent protection or to protect our trade secret information would be jeopardized, which would adversely affect our competitive position.</w:t>
      </w:r>
    </w:p>
    <w:p>
      <w:pPr>
        <w:spacing w:after="0" w:line="108"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94"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Although we seek to protect our ownership of intellectual property rights by ensuring that our agreements with our independent contractors, collaborators and other third parties with whom we do business include provisions requiring such parties to assign rights in inventions to us,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harm our business. Even if we are successful in defending against such claims, litigation could result in substantial costs and be a distraction to management and other employees.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3" w:name="page44"/>
    <w:bookmarkEnd w:id="43"/>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may not be able to protect our intellectual property rights throughout the world.</w:t>
      </w:r>
    </w:p>
    <w:p>
      <w:pPr>
        <w:spacing w:after="0" w:line="120" w:lineRule="exact"/>
        <w:rPr>
          <w:sz w:val="20"/>
          <w:szCs w:val="20"/>
          <w:color w:val="auto"/>
        </w:rPr>
      </w:pPr>
    </w:p>
    <w:p>
      <w:pPr>
        <w:jc w:val="both"/>
        <w:ind w:firstLine="301"/>
        <w:spacing w:after="0" w:line="248" w:lineRule="auto"/>
        <w:rPr>
          <w:sz w:val="20"/>
          <w:szCs w:val="20"/>
          <w:color w:val="auto"/>
        </w:rPr>
      </w:pPr>
      <w:r>
        <w:rPr>
          <w:rFonts w:ascii="Arial" w:cs="Arial" w:eastAsia="Arial" w:hAnsi="Arial"/>
          <w:sz w:val="11"/>
          <w:szCs w:val="11"/>
          <w:color w:val="auto"/>
        </w:rPr>
        <w:t>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current or future product candidates, if any, and our patents or other intellectual property rights may not be effective or sufficient to prevent them from competing.</w:t>
      </w:r>
    </w:p>
    <w:p>
      <w:pPr>
        <w:spacing w:after="0" w:line="2" w:lineRule="exact"/>
        <w:rPr>
          <w:sz w:val="20"/>
          <w:szCs w:val="20"/>
          <w:color w:val="auto"/>
        </w:rPr>
      </w:pPr>
    </w:p>
    <w:p>
      <w:pPr>
        <w:jc w:val="both"/>
        <w:ind w:firstLine="301"/>
        <w:spacing w:after="0" w:line="228" w:lineRule="auto"/>
        <w:rPr>
          <w:sz w:val="20"/>
          <w:szCs w:val="20"/>
          <w:color w:val="auto"/>
        </w:rPr>
      </w:pPr>
      <w:r>
        <w:rPr>
          <w:rFonts w:ascii="Arial" w:cs="Arial" w:eastAsia="Arial" w:hAnsi="Arial"/>
          <w:sz w:val="12"/>
          <w:szCs w:val="12"/>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We believe this is caused by both the technical nature of the subject matter and a general enthusiasm for generic competition in developing countries and is not a concern that is specific to any particular foreign jurisdiction.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06"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We have not yet registered some of our trademarks in all of our potential markets, and failure to secure those registrations could adversely affect our business. If our trademarks and trade names are not adequately protected, then we may not be able to build name recognition in our markets of interest and our business may be adversely affected.</w:t>
      </w:r>
    </w:p>
    <w:p>
      <w:pPr>
        <w:spacing w:after="0" w:line="94"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Our registered or unregistered trademarks or trade names may be challenged, infringed, circumvented, declared generic or conflict with third-party rights. We may not be able to protect our rights to these trademarks and trade names, which we need to build name recognition by potential partners or customers in our markets of interest. Additionally, if we apply to register our trademarks in all of our potential markets, our applications may not be allowed for registration, and our registered trademarks may not be maintained or enforced.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 In such cases, over the long term, if we are unable to establish name recognition based on our trademarks and trade names, then our marketing abilities may be impacted.</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Changes in patent law could diminish the value of patents in general, thereby impairing our ability to protect our existing and future products.</w:t>
      </w:r>
    </w:p>
    <w:p>
      <w:pPr>
        <w:spacing w:after="0" w:line="120" w:lineRule="exact"/>
        <w:rPr>
          <w:sz w:val="20"/>
          <w:szCs w:val="20"/>
          <w:color w:val="auto"/>
        </w:rPr>
      </w:pPr>
    </w:p>
    <w:p>
      <w:pPr>
        <w:jc w:val="both"/>
        <w:ind w:firstLine="301"/>
        <w:spacing w:after="0" w:line="252" w:lineRule="auto"/>
        <w:rPr>
          <w:sz w:val="20"/>
          <w:szCs w:val="20"/>
          <w:color w:val="auto"/>
        </w:rPr>
      </w:pPr>
      <w:r>
        <w:rPr>
          <w:rFonts w:ascii="Arial" w:cs="Arial" w:eastAsia="Arial" w:hAnsi="Arial"/>
          <w:sz w:val="11"/>
          <w:szCs w:val="11"/>
          <w:color w:val="auto"/>
        </w:rPr>
        <w:t>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4" w:name="page45"/>
    <w:bookmarkEnd w:id="44"/>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Government Regulation</w:t>
      </w:r>
    </w:p>
    <w:p>
      <w:pPr>
        <w:spacing w:after="0" w:line="12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We will be subject to stringent domestic and foreign regulation in respect of our device any potential devices and products. Any unfavorable regulatory action may materially and adversely affect our future financial condition and business operations and prospects.</w:t>
      </w:r>
    </w:p>
    <w:p>
      <w:pPr>
        <w:spacing w:after="0" w:line="9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Our device and any potential devices and products, further development activities and manufacturing and distribution, once developed and determined, will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take a significant, indeterminate amount of time;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require the expenditure of substantial resources;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involve rigorous pre-clinical and clinical testing, and possibly post-market surveillance;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involve modifications, repairs or replacements of our products;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require design changes of our products;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result in limitations on the indicated uses of our products;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result in our never being granted the regulatory approval or clearance we seek.</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auto"/>
        </w:rPr>
        <w:t>If we experience any of these occurrences, our operations may suffer, we might experience harm to our competitive standing and result in further losses that adversely affect our financial condition.</w:t>
      </w:r>
    </w:p>
    <w:p>
      <w:pPr>
        <w:spacing w:after="0" w:line="120" w:lineRule="exact"/>
        <w:rPr>
          <w:sz w:val="20"/>
          <w:szCs w:val="20"/>
          <w:color w:val="auto"/>
        </w:rPr>
      </w:pPr>
    </w:p>
    <w:p>
      <w:pPr>
        <w:jc w:val="both"/>
        <w:ind w:firstLine="301"/>
        <w:spacing w:after="0" w:line="252" w:lineRule="auto"/>
        <w:rPr>
          <w:sz w:val="20"/>
          <w:szCs w:val="20"/>
          <w:color w:val="auto"/>
        </w:rPr>
      </w:pPr>
      <w:r>
        <w:rPr>
          <w:rFonts w:ascii="Arial" w:cs="Arial" w:eastAsia="Arial" w:hAnsi="Arial"/>
          <w:sz w:val="11"/>
          <w:szCs w:val="11"/>
          <w:color w:val="auto"/>
        </w:rPr>
        <w:t>We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and assess civil or criminal penalties against our officers, employees, or us. The FDA and similar foreign regulatory authorities have been increasing its scrutiny of the industry and the government is expected to continue to scrutinize the industry closely with inspections and possibly enforcement actions. Any adverse regulatory action, depending on its magnitude, may restrict us from effectively manufacturing, marketing and selling our devices and products. In addition, negative publicity and product liability claims resulting from any adverse regulatory action could have a material adverse effect on our financial condition and results of operations.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5" w:name="page46"/>
    <w:bookmarkEnd w:id="45"/>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The continuing development of our CellFX System and other products depends upon maintaining strong working relationships with physicians.</w:t>
      </w:r>
    </w:p>
    <w:p>
      <w:pPr>
        <w:spacing w:after="0" w:line="120" w:lineRule="exact"/>
        <w:rPr>
          <w:sz w:val="20"/>
          <w:szCs w:val="20"/>
          <w:color w:val="auto"/>
        </w:rPr>
      </w:pPr>
    </w:p>
    <w:p>
      <w:pPr>
        <w:jc w:val="both"/>
        <w:ind w:firstLine="274"/>
        <w:spacing w:after="0" w:line="256" w:lineRule="auto"/>
        <w:rPr>
          <w:sz w:val="20"/>
          <w:szCs w:val="20"/>
          <w:color w:val="auto"/>
        </w:rPr>
      </w:pPr>
      <w:r>
        <w:rPr>
          <w:rFonts w:ascii="Arial" w:cs="Arial" w:eastAsia="Arial" w:hAnsi="Arial"/>
          <w:sz w:val="11"/>
          <w:szCs w:val="11"/>
          <w:color w:val="auto"/>
        </w:rPr>
        <w:t>The development, marketing, and sale of our product, and any future products in development,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spacing w:after="0" w:line="95"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We are subject to healthcare and other laws and regulations relating to our business and could face substantial penalties if we are determined not to have fully complied with such laws, which would have an adverse impact on our business.</w:t>
      </w:r>
    </w:p>
    <w:p>
      <w:pPr>
        <w:spacing w:after="0" w:line="94" w:lineRule="exact"/>
        <w:rPr>
          <w:sz w:val="20"/>
          <w:szCs w:val="20"/>
          <w:color w:val="auto"/>
        </w:rPr>
      </w:pPr>
    </w:p>
    <w:p>
      <w:pPr>
        <w:jc w:val="both"/>
        <w:ind w:right="20" w:firstLine="301"/>
        <w:spacing w:after="0" w:line="263" w:lineRule="auto"/>
        <w:rPr>
          <w:sz w:val="20"/>
          <w:szCs w:val="20"/>
          <w:color w:val="auto"/>
        </w:rPr>
      </w:pPr>
      <w:r>
        <w:rPr>
          <w:rFonts w:ascii="Arial" w:cs="Arial" w:eastAsia="Arial" w:hAnsi="Arial"/>
          <w:sz w:val="11"/>
          <w:szCs w:val="11"/>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spacing w:after="0" w:line="91" w:lineRule="exact"/>
        <w:rPr>
          <w:sz w:val="20"/>
          <w:szCs w:val="20"/>
          <w:color w:val="auto"/>
        </w:rPr>
      </w:pPr>
    </w:p>
    <w:p>
      <w:pPr>
        <w:jc w:val="both"/>
        <w:ind w:left="440"/>
        <w:spacing w:after="0" w:line="233" w:lineRule="auto"/>
        <w:rPr>
          <w:sz w:val="20"/>
          <w:szCs w:val="20"/>
          <w:color w:val="auto"/>
        </w:rPr>
      </w:pPr>
      <w:r>
        <w:rPr>
          <w:rFonts w:ascii="Arial" w:cs="Arial" w:eastAsia="Arial" w:hAnsi="Arial"/>
          <w:sz w:val="12"/>
          <w:szCs w:val="12"/>
          <w:color w:val="auto"/>
        </w:rPr>
        <w:t>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and the government can find a violation of the Anti-Kickback Statute without proving that a person or entity had actual knowledge of the law or a specific intent to violate. In addition, the government may assert that a claim including items or services resulting from a violation of the U.S. federal Anti-Kickback Statute constitutes a false or fraudulent claim for purposes of the civil False Claims Act;</w:t>
      </w:r>
    </w:p>
    <w:p>
      <w:pPr>
        <w:spacing w:after="0" w:line="105" w:lineRule="exact"/>
        <w:rPr>
          <w:sz w:val="20"/>
          <w:szCs w:val="20"/>
          <w:color w:val="auto"/>
        </w:rPr>
      </w:pPr>
    </w:p>
    <w:p>
      <w:pPr>
        <w:jc w:val="both"/>
        <w:ind w:left="440" w:right="20"/>
        <w:spacing w:after="0" w:line="236" w:lineRule="auto"/>
        <w:rPr>
          <w:sz w:val="20"/>
          <w:szCs w:val="20"/>
          <w:color w:val="auto"/>
        </w:rPr>
      </w:pPr>
      <w:r>
        <w:rPr>
          <w:rFonts w:ascii="Arial" w:cs="Arial" w:eastAsia="Arial" w:hAnsi="Arial"/>
          <w:sz w:val="12"/>
          <w:szCs w:val="12"/>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103" w:lineRule="exact"/>
        <w:rPr>
          <w:sz w:val="20"/>
          <w:szCs w:val="20"/>
          <w:color w:val="auto"/>
        </w:rPr>
      </w:pPr>
    </w:p>
    <w:p>
      <w:pPr>
        <w:jc w:val="both"/>
        <w:ind w:left="440"/>
        <w:spacing w:after="0" w:line="239" w:lineRule="auto"/>
        <w:rPr>
          <w:sz w:val="20"/>
          <w:szCs w:val="20"/>
          <w:color w:val="auto"/>
        </w:rPr>
      </w:pPr>
      <w:r>
        <w:rPr>
          <w:rFonts w:ascii="Arial" w:cs="Arial" w:eastAsia="Arial" w:hAnsi="Arial"/>
          <w:sz w:val="12"/>
          <w:szCs w:val="12"/>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104" w:lineRule="exact"/>
        <w:rPr>
          <w:sz w:val="20"/>
          <w:szCs w:val="20"/>
          <w:color w:val="auto"/>
        </w:rPr>
      </w:pPr>
    </w:p>
    <w:p>
      <w:pPr>
        <w:jc w:val="both"/>
        <w:ind w:left="440"/>
        <w:spacing w:after="0" w:line="239" w:lineRule="auto"/>
        <w:rPr>
          <w:sz w:val="20"/>
          <w:szCs w:val="20"/>
          <w:color w:val="auto"/>
        </w:rPr>
      </w:pPr>
      <w:r>
        <w:rPr>
          <w:rFonts w:ascii="Arial" w:cs="Arial" w:eastAsia="Arial" w:hAnsi="Arial"/>
          <w:sz w:val="12"/>
          <w:szCs w:val="12"/>
          <w:color w:val="auto"/>
        </w:rPr>
        <w:t>HIPAA, as amended by HITECH, and its implementing regulations, which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6" w:name="page47"/>
    <w:bookmarkEnd w:id="46"/>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jc w:val="both"/>
        <w:ind w:left="440" w:right="20"/>
        <w:spacing w:after="0" w:line="236" w:lineRule="auto"/>
        <w:rPr>
          <w:sz w:val="20"/>
          <w:szCs w:val="20"/>
          <w:color w:val="auto"/>
        </w:rPr>
      </w:pPr>
      <w:r>
        <w:rPr>
          <w:rFonts w:ascii="Arial" w:cs="Arial" w:eastAsia="Arial" w:hAnsi="Arial"/>
          <w:sz w:val="12"/>
          <w:szCs w:val="12"/>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 physicians described above and their immediate family members;</w:t>
      </w:r>
    </w:p>
    <w:p>
      <w:pPr>
        <w:spacing w:after="0" w:line="103" w:lineRule="exact"/>
        <w:rPr>
          <w:sz w:val="20"/>
          <w:szCs w:val="20"/>
          <w:color w:val="auto"/>
        </w:rPr>
      </w:pPr>
    </w:p>
    <w:p>
      <w:pPr>
        <w:jc w:val="both"/>
        <w:ind w:left="440"/>
        <w:spacing w:after="0" w:line="239" w:lineRule="auto"/>
        <w:rPr>
          <w:sz w:val="20"/>
          <w:szCs w:val="20"/>
          <w:color w:val="auto"/>
        </w:rPr>
      </w:pPr>
      <w:r>
        <w:rPr>
          <w:rFonts w:ascii="Arial" w:cs="Arial" w:eastAsia="Arial" w:hAnsi="Arial"/>
          <w:sz w:val="12"/>
          <w:szCs w:val="12"/>
          <w:color w:val="auto"/>
        </w:rPr>
        <w:t>the CCPA, which went into effect in January 2020, requires covered companies to, among other things provide new disclosures to California consumers and afford such consumers new abilities to opt-out of certain sales of personal information. We cannot yet predict the impact of the CCPA or the recently approved CPRA on our business or operations, but it may require us to modify our data processing practices and policies to incur substantial costs and expenses in an effort to comply;</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federal consumer protection and unfair competition laws, which broadly regulate marketplace activities and activities that potentially harm consumers; and</w:t>
      </w:r>
    </w:p>
    <w:p>
      <w:pPr>
        <w:spacing w:after="0" w:line="120" w:lineRule="exact"/>
        <w:rPr>
          <w:sz w:val="20"/>
          <w:szCs w:val="20"/>
          <w:color w:val="auto"/>
        </w:rPr>
      </w:pPr>
    </w:p>
    <w:p>
      <w:pPr>
        <w:jc w:val="both"/>
        <w:ind w:left="440"/>
        <w:spacing w:after="0" w:line="232" w:lineRule="auto"/>
        <w:rPr>
          <w:sz w:val="20"/>
          <w:szCs w:val="20"/>
          <w:color w:val="auto"/>
        </w:rPr>
      </w:pPr>
      <w:r>
        <w:rPr>
          <w:rFonts w:ascii="Arial" w:cs="Arial" w:eastAsia="Arial" w:hAnsi="Arial"/>
          <w:sz w:val="12"/>
          <w:szCs w:val="12"/>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p>
      <w:pPr>
        <w:spacing w:after="0" w:line="104" w:lineRule="exact"/>
        <w:rPr>
          <w:sz w:val="20"/>
          <w:szCs w:val="20"/>
          <w:color w:val="auto"/>
        </w:rPr>
      </w:pPr>
    </w:p>
    <w:p>
      <w:pPr>
        <w:jc w:val="both"/>
        <w:ind w:firstLine="301"/>
        <w:spacing w:after="0" w:line="230" w:lineRule="auto"/>
        <w:rPr>
          <w:sz w:val="20"/>
          <w:szCs w:val="20"/>
          <w:color w:val="auto"/>
        </w:rPr>
      </w:pPr>
      <w:r>
        <w:rPr>
          <w:rFonts w:ascii="Arial" w:cs="Arial" w:eastAsia="Arial" w:hAnsi="Arial"/>
          <w:sz w:val="12"/>
          <w:szCs w:val="12"/>
          <w:color w:val="auto"/>
        </w:rPr>
        <w:t>We have implemented a compliance program to help identify and deter healthcare and other violations by employees and other third parties that perform services for us. Notwithstanding our efforts, it is possible that governmental authorities may conclude that our business practices do not comply with current or future statutes, regulations, agency guidance or case law involving applicable healthcare and other laws. In addition, we are subject to the risk that a person or government could allege violations of such laws, regulations and other obligations, or that fraud or other misconduct has taken place, even if none occurred. If any such actions are instituted against us,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individual imprisonment, other sanctions, contractual damages, reputational harm, diminished profits and future earnings and curtailment of our operations if we are not successful in defending ourselves or asserting our rights.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have a material adverse effect on our liquidity and financial condition.</w:t>
      </w:r>
    </w:p>
    <w:p>
      <w:pPr>
        <w:spacing w:after="0" w:line="104"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To obtain the necessary device approvals or clearances from regulatory authorities for our future product candidates, we will have to conduct various pre-clinical and clinical tests, which may be costly and time consuming, and may not provide results that will allow us to seek regulatory approval or clearance.</w:t>
      </w:r>
    </w:p>
    <w:p>
      <w:pPr>
        <w:spacing w:after="0" w:line="94"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U.S., Canada, Europe and other countries where medical devices and products are regulated, can delay, limit or deny approval of a product for many reasons. For example, regulatory agencies: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may not deem a technology or device to be reasonably safe or effective for any intended use or indication;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may interpret data from pre-clinical and clinical testing differently than we do;</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may determine our manufacturing facility or processes do not comply with Quality System regulations;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7" w:name="page48"/>
    <w:bookmarkEnd w:id="47"/>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ind w:left="440" w:right="2520"/>
        <w:spacing w:after="0" w:line="449" w:lineRule="auto"/>
        <w:rPr>
          <w:sz w:val="20"/>
          <w:szCs w:val="20"/>
          <w:color w:val="auto"/>
        </w:rPr>
      </w:pPr>
      <w:r>
        <w:rPr>
          <w:rFonts w:ascii="Arial" w:cs="Arial" w:eastAsia="Arial" w:hAnsi="Arial"/>
          <w:sz w:val="12"/>
          <w:szCs w:val="12"/>
          <w:color w:val="auto"/>
        </w:rPr>
        <w:t>may conclude that our device does not meet quality standards for durability, long-term reliability, biocompatibility, electromagnetic compatibility, or electrical safety; and may change their approval or clearance policies or adopt new regulations.</w:t>
      </w:r>
    </w:p>
    <w:p>
      <w:pPr>
        <w:jc w:val="both"/>
        <w:ind w:firstLine="301"/>
        <w:spacing w:after="0" w:line="255" w:lineRule="auto"/>
        <w:rPr>
          <w:sz w:val="20"/>
          <w:szCs w:val="20"/>
          <w:color w:val="auto"/>
        </w:rPr>
      </w:pPr>
      <w:r>
        <w:rPr>
          <w:rFonts w:ascii="Arial" w:cs="Arial" w:eastAsia="Arial" w:hAnsi="Arial"/>
          <w:sz w:val="12"/>
          <w:szCs w:val="12"/>
          <w:color w:val="auto"/>
        </w:rPr>
        <w:t>The FDA may make requests or disagree with us regarding the design or conduct of our clinical trials, resulting in an increased risk of difficulties or delays in obtaining regulatory approval or clearance on future product candidates in the U.S. and increased costs.</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0"/>
          <w:szCs w:val="10"/>
          <w:b w:val="1"/>
          <w:bCs w:val="1"/>
          <w:i w:val="1"/>
          <w:iCs w:val="1"/>
          <w:color w:val="auto"/>
        </w:rPr>
        <w:t>Even if a potential device or product ultimately is cleared or approved by the different regulatory authorities, it may be cleared or approved only for narrow indications which may render it commercially less viable.</w:t>
      </w:r>
    </w:p>
    <w:p>
      <w:pPr>
        <w:spacing w:after="0" w:line="143" w:lineRule="exact"/>
        <w:rPr>
          <w:sz w:val="20"/>
          <w:szCs w:val="20"/>
          <w:color w:val="auto"/>
        </w:rPr>
      </w:pPr>
    </w:p>
    <w:p>
      <w:pPr>
        <w:jc w:val="both"/>
        <w:ind w:right="20" w:firstLine="301"/>
        <w:spacing w:after="0" w:line="258" w:lineRule="auto"/>
        <w:rPr>
          <w:sz w:val="20"/>
          <w:szCs w:val="20"/>
          <w:color w:val="auto"/>
        </w:rPr>
      </w:pPr>
      <w:r>
        <w:rPr>
          <w:rFonts w:ascii="Arial" w:cs="Arial" w:eastAsia="Arial" w:hAnsi="Arial"/>
          <w:sz w:val="11"/>
          <w:szCs w:val="11"/>
          <w:color w:val="auto"/>
        </w:rPr>
        <w:t>Even if we complete clinical testing and a potential device or product of ours is cleared or approved, it may not be cleared or approved for the indications that are necessary or desirable for a successful commercialization. The FDA may grant marketing authorization contingent on the performance of costly additional clinical trials which may be required after approval or clearance. The FDA also may approve or clear our lead product candidates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The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will be subject to ongoing requirements and inspections that could lead to the restriction, suspension or revocation of our clearance.</w:t>
      </w:r>
    </w:p>
    <w:p>
      <w:pPr>
        <w:spacing w:after="0" w:line="120"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We, as well as any potential third-party manufacturer, will be required to adhere to FDA Quality System, which include testing, control, and documentation requirements. We will be subject to similar regulations in foreign countries. Even when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will limit our ability to operate and could increase our costs.</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Any failure or delay in completing clinical trials or studies for our devices and products and the expense of those trials may adversely affect our business.</w:t>
      </w:r>
    </w:p>
    <w:p>
      <w:pPr>
        <w:spacing w:after="0" w:line="120" w:lineRule="exact"/>
        <w:rPr>
          <w:sz w:val="20"/>
          <w:szCs w:val="20"/>
          <w:color w:val="auto"/>
        </w:rPr>
      </w:pPr>
    </w:p>
    <w:p>
      <w:pPr>
        <w:jc w:val="both"/>
        <w:ind w:firstLine="301"/>
        <w:spacing w:after="0" w:line="229" w:lineRule="auto"/>
        <w:rPr>
          <w:sz w:val="20"/>
          <w:szCs w:val="20"/>
          <w:color w:val="auto"/>
        </w:rPr>
      </w:pPr>
      <w:r>
        <w:rPr>
          <w:rFonts w:ascii="Arial" w:cs="Arial" w:eastAsia="Arial" w:hAnsi="Arial"/>
          <w:sz w:val="12"/>
          <w:szCs w:val="12"/>
          <w:color w:val="auto"/>
        </w:rPr>
        <w:t>Pre-clinical studies, clinical trials and post-clinical monitoring and trials required to demonstrate the reasonable safety and efficacy of our potential devices and products are and will be time consuming and expensive. If we must conduct additional clinical trials or other studies with respect to any of our proposed product candidates to those that are initially contemplated, if we are unable to successfully complete any clinical trials or other studies, or if the results of these trials or studies are not positive or are only modestly positive, we may be delayed in obtaining marketing approval for the planned products, we may not be able to obtain marketing approval, or we may obtain approval for indications that are not as broad as we seek. Our research and product development costs also will increase if we experience delays in testing or approvals. The completion of clinical trials for our proposed therapies, devices and products could be delayed because of our inability to manufacture or obtain from third-parties materials sufficient for use in pre-clinical studies and clinical trials; delays in patient enrollment and variability in the number and types of patients available for clinical trials; difficulty in maintaining contact with patients after treatment, resulting in incomplete data; poor effectiveness of proposed devices and products during clinical trials; unforeseen safety issues or side effects; and governmental or regulatory delays and changes in regulatory requirements and guidelines. If we incur significant delays in our clinical trials, our competitors may be able to bring their products to market before we do, which could result in harming our ability to commercialize our planned products. If we experience any of these occurrences our business will be materially harmed. Our clinical trials may be affected by the COVID-19 pandemic. Site initiation and patient enrollment may be delayed, for example, due to prioritization of hospital resources toward the COVID-19 pandemic, travel restrictions imposed by governments, and the inability to access sites for initiation and monitoring.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8" w:name="page49"/>
    <w:bookmarkEnd w:id="48"/>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Because we and one of our licensors have used federal funding in the development of certain aspects of our technology, the federal government retains ‘march-in’ rights in connection with results derived from these grants.</w:t>
      </w:r>
    </w:p>
    <w:p>
      <w:pPr>
        <w:spacing w:after="0" w:line="94"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March-in rights give the federal government the right to grant to other entities, which may include competitors, licenses or to take a license for itself if the government funded the development of a patent. The march-in right applies to patents that have been issued. The march-in right is intended to be used only if there is a threat to public health and safety that the owner of the patent is not equipped to handle. The march-in right may also be used to remove the exclusive rights belonging to a patent holder if the patent for which the government provided funding is not suitable for public use. If march-in rights are used by the government, the entities using the patent are required to pay royalties to the patent holder, which amount would be subject to negotiation. Because federal funding was used for some aspects of the company’s technology that will be the subject of some of our patents, the company could be subject to the march-in right and lose its exclusivity of those patents, and may suffer direct competition if any license is granted by the government under the march-in right to a competitor.</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1"/>
          <w:szCs w:val="11"/>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32"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We are exposed to the risk of fraud or other misconduct by or employees, collaborators and other personnel, which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or (iii) healthcare fraud and abuse laws in the U.S.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04"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We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Healthcare policy changes, including recent federal legislation to reform the U.S. healthcare system, may have a material adverse effect on us.</w:t>
      </w:r>
    </w:p>
    <w:p>
      <w:pPr>
        <w:spacing w:after="0" w:line="120"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Proposals by the federal government, state governments, regulators, and third-party payors to control or manage the increased costs of healthcare and to reform the U.S. healthcare system may impact our business significantly. Certain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and financial condition. We cannot predict the initiatives that may be adopted in the future or their full impact on our business. The continuing efforts of the government, insurance companies, managed care organizations and other payors of healthcare services to contain or reduce costs of healthcare may negatively impact our ability to set a price that we believe is fair for our products, our ability to generate revenue and achieve profitability, and the availability of capital.</w:t>
      </w:r>
    </w:p>
    <w:p>
      <w:pPr>
        <w:spacing w:after="0" w:line="105"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Our operations may be impacted by the Patient Protection and Affordable Care Act (PPACA). For example, the PPACA imposed, among other things, a 2.3% federal excise tax, with limited exceptions, on any entity that manufactures or imports Class I, II and III medical devices offered for sale in the U.S. that began on January 1, 2013. The excise tax was suspended for a two year period beginning January 1, 2016 and was further suspended through December 31, 2019. In December 2019, this excise tax was permanently repealed, effective after December 31, 2019.</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9" w:name="page50"/>
    <w:bookmarkEnd w:id="49"/>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On January 2, 2013, the American Taxpayer Relief Act of 2012, came into effect, which, among other things, further reduced Medicare payments to several providers, including hospitals, and increased the statute of limitations period for the government to recover overpayments to providers from three to five years. We expect that additional state and federal healthcare reform measures will be adopted in the future, any of which could limit the amounts that federal and state governments will pay for healthcare devices and services, which could result in reduced demand for our devices or additional pricing pressures.</w:t>
      </w:r>
    </w:p>
    <w:p>
      <w:pPr>
        <w:spacing w:after="0" w:line="104" w:lineRule="exact"/>
        <w:rPr>
          <w:sz w:val="20"/>
          <w:szCs w:val="20"/>
          <w:color w:val="auto"/>
        </w:rPr>
      </w:pPr>
    </w:p>
    <w:p>
      <w:pPr>
        <w:jc w:val="both"/>
        <w:ind w:right="20" w:firstLine="301"/>
        <w:spacing w:after="0" w:line="272" w:lineRule="auto"/>
        <w:rPr>
          <w:sz w:val="20"/>
          <w:szCs w:val="20"/>
          <w:color w:val="auto"/>
        </w:rPr>
      </w:pPr>
      <w:r>
        <w:rPr>
          <w:rFonts w:ascii="Arial" w:cs="Arial" w:eastAsia="Arial" w:hAnsi="Arial"/>
          <w:sz w:val="11"/>
          <w:szCs w:val="11"/>
          <w:color w:val="auto"/>
        </w:rPr>
        <w:t>We face uncertainties that might result from modification or repeal of any of the provisions of the PPACA, including as a result of current and future executive orders and legislative actions. The impact of those changes on us and potential effect on the medical device industry as a whole is currently unknown. Any changes to the PPACA are likely to have an impact on our results of operations, and may have a material adverse effect on our results of operations. We cannot predict what other healthcare programs and regulations will ultimately be implemented at the federal or state level or the effect of any future legislation or regulation in the U.S. may have on our business.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Owning Our Common Stock</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20"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results of clinical trials of our planned products or those of our competitors;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actions by regulatory bodies, such as the FDA, that affect our business or have the effect of delaying or rejecting approval or clearance of our planned products;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actual or anticipated fluctuations in our financial condition and operating results;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announcements by our customers, partners or suppliers relating directly or indirectly to our products, services or technologies;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announcements of technological innovations by us or our competitors;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changes in laws or regulations applicable to our planned products;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announcements by us or our competitors of significant acquisitions, strategic partnerships, joint ventures, capital commitments or achievement of significant milestones;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additions or departures of key personnel;</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competition from existing products or new products that may emerge;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fluctuations in the valuation of companies perceived by investors to be comparable to us;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disputes or other developments related to proprietary rights, including patents, litigation matters or our ability to obtain intellectual property protection for our technologies;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actual or alleged security breaches;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announcements or expectations of additional financing efforts;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sales of our common stock by us or our stockholders;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stock price and volume fluctuations attributable to inconsistent trading volume levels of our shares;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reports, guidance and ratings issued by securities or industry analysts;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0" w:name="page51"/>
    <w:bookmarkEnd w:id="50"/>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ind w:left="440" w:right="4420"/>
        <w:spacing w:after="0" w:line="449" w:lineRule="auto"/>
        <w:rPr>
          <w:sz w:val="20"/>
          <w:szCs w:val="20"/>
          <w:color w:val="auto"/>
        </w:rPr>
      </w:pPr>
      <w:r>
        <w:rPr>
          <w:rFonts w:ascii="Arial" w:cs="Arial" w:eastAsia="Arial" w:hAnsi="Arial"/>
          <w:sz w:val="12"/>
          <w:szCs w:val="12"/>
          <w:color w:val="auto"/>
        </w:rPr>
        <w:t>overall conditions in our industry and market including the negative impact of COVID-19 on the global economy and markets; and general economic and market conditions.</w:t>
      </w:r>
    </w:p>
    <w:p>
      <w:pPr>
        <w:jc w:val="both"/>
        <w:ind w:firstLine="301"/>
        <w:spacing w:after="0" w:line="232" w:lineRule="auto"/>
        <w:rPr>
          <w:sz w:val="20"/>
          <w:szCs w:val="20"/>
          <w:color w:val="auto"/>
        </w:rPr>
      </w:pPr>
      <w:r>
        <w:rPr>
          <w:rFonts w:ascii="Arial" w:cs="Arial" w:eastAsia="Arial" w:hAnsi="Arial"/>
          <w:sz w:val="12"/>
          <w:szCs w:val="12"/>
          <w:color w:val="auto"/>
        </w:rPr>
        <w:t>If any of the foregoing occurs, it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Securities litigation against us could result in substantial costs and divert our management’s attention from other business concerns and adversely impact our ability to raise capital to fund our operations, which could seriously harm our business.</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Sales or purchases of shares of our common stock may adversely affect the market for our common stock.</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is not subject to any contractual restrictions with us on his ability to sell or transfer our common stock, and these sales or transfers could create substantial declines in the price of our securities or, if these sales or transfers were made to a single buyer or group of buyers, could contribute to a transfer of control of our company to a third party. Sales by Mr. Duggan of a substantial number of shares, or the expectation of such sales, could cause a significant reduction in the market price of our common stock.</w:t>
      </w:r>
    </w:p>
    <w:p>
      <w:pPr>
        <w:spacing w:after="0" w:line="103"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We may issue shares of common stock or securities convertible into, exchangeable or exercisable for our common stock from time to time in connection with financings, acquisitions, investments or otherwise. Any such issuances would result in dilution to some or all of our existing stockholders and could cause our stock price to fall. We may also sell shares or other securities at a price per share that is less than the price per share paid by existing investors, and investors purchasing shares or other securities in the future could have rights superior to existing stockholders.</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do not know whether an active, liquid and orderly trading market will be maintained for our common stock and as a result it may be difficult for you to sell your common stock.</w:t>
      </w:r>
    </w:p>
    <w:p>
      <w:pPr>
        <w:spacing w:after="0" w:line="120"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or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87"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Concentration of ownership by our principal stockholder may limit your ability to influence the outcome of director elections and other transactions requiring stockholder approval, and our Loan Agreement with our principal stockholder contains certain covenants</w:t>
      </w:r>
      <w:r>
        <w:rPr>
          <w:rFonts w:ascii="Arial" w:cs="Arial" w:eastAsia="Arial" w:hAnsi="Arial"/>
          <w:sz w:val="12"/>
          <w:szCs w:val="12"/>
          <w:color w:val="auto"/>
        </w:rPr>
        <w:t>.</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1"/>
          <w:szCs w:val="11"/>
          <w:color w:val="auto"/>
        </w:rPr>
        <w:t>A significant percentage of our outstanding stock is held by Robert W. Duggan, Chairman of our board of directors, who beneficially owns approximately 47% of our common stock outstanding as of the date of this</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Quarterly Report. As a result, Mr. Duggan has significant influence over corporate actions requiring stockholder approval, including the following actions:</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 elect or defeat the election of our directors;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 amend or prevent amendment of our certificate of incorporation or bylaws;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 effect or prevent a merger, sale of assets or other corporate transaction;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 control the outcome of any other matter submitted to our stockholders for vote.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1" w:name="page52"/>
    <w:bookmarkEnd w:id="51"/>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Mr. Duggan’s stock ownership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If this were to occur, we would be considered a “controlled” company under the Nasdaq rules and would be exempt from the obligation to comply with certain Nasdaq corporate governance requirements.</w:t>
      </w:r>
    </w:p>
    <w:p>
      <w:pPr>
        <w:spacing w:after="0" w:line="91" w:lineRule="exact"/>
        <w:rPr>
          <w:sz w:val="20"/>
          <w:szCs w:val="20"/>
          <w:color w:val="auto"/>
        </w:rPr>
      </w:pPr>
    </w:p>
    <w:p>
      <w:pPr>
        <w:ind w:left="20" w:firstLine="270"/>
        <w:spacing w:after="0" w:line="255" w:lineRule="auto"/>
        <w:rPr>
          <w:sz w:val="20"/>
          <w:szCs w:val="20"/>
          <w:color w:val="auto"/>
        </w:rPr>
      </w:pPr>
      <w:r>
        <w:rPr>
          <w:rFonts w:ascii="Arial" w:cs="Arial" w:eastAsia="Arial" w:hAnsi="Arial"/>
          <w:sz w:val="12"/>
          <w:szCs w:val="12"/>
          <w:color w:val="auto"/>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Mr. Duggan is the lender to us under our Loan Agreement, which contains certain covenants.</w:t>
      </w:r>
    </w:p>
    <w:p>
      <w:pPr>
        <w:spacing w:after="0" w:line="120"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Robert W. Duggan’s significant ownership position may impact our stock price and may deter or prevent efforts by other companies to acquire us, which could prevent our stockholders from realizing a control premium.</w:t>
      </w:r>
    </w:p>
    <w:p>
      <w:pPr>
        <w:spacing w:after="0" w:line="94"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Robert W. Duggan is the Chairman of our board of directors, and beneficially owns approximately 47% of our common stock outstanding as of the date of this Quarterly Report.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Robert W. Duggan’s significant ownership and position as Chairman of the board of directors, other companies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0"/>
          <w:szCs w:val="10"/>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43"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As a public company, listed in the U.S.,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Nasdaq. The SEC and other regulators have continued to adopt new rules and regulations and make additional changes to existing regulations that require our compliance.</w:t>
      </w:r>
    </w:p>
    <w:p>
      <w:pPr>
        <w:spacing w:after="0" w:line="104"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103"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For example, we determined not to renew our director and officer liability insurance this year due to disproportionately high premiums quoted by insurance companies. Instead, we and Robert W. Duggan, Chairman of our board of directors, have entered into a letter agreement pursuant to which Mr. Duggan has agreed with us to personally provide indemnity coverage on substantially the same terms as our prior coverage program for a one-year period. The impact of these requirements could also make it more difficult for us to attract and retain qualified persons to serve on our board of directors, our board committees or as our executive officers.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2" w:name="page53"/>
    <w:bookmarkEnd w:id="52"/>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If securities or industry analysts do not publish research or publish inaccurate or unfavorable research about our business, our market price and trading volume could decline.</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trading market for our common stock will depend on the research and reports that securities or industry analysts publish about us or our business. We do not have any control over these analysts. We currently have only limited analyst coverage of us and there can be no assurance that analysts will continue to cover us or provide favorable coverage. If one or more of the analysts who cover us downgrade our stock or change their opinion of our stock, our market price would likely decline. If analysts cease coverage of our company or fail to regularly publish reports on us, we could lose visibility in the financial markets, which could cause our share price or trading volume to decline.</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have not paid dividends in the past and have no plans to pay dividends</w:t>
      </w:r>
      <w:r>
        <w:rPr>
          <w:rFonts w:ascii="Arial" w:cs="Arial" w:eastAsia="Arial" w:hAnsi="Arial"/>
          <w:sz w:val="12"/>
          <w:szCs w:val="12"/>
          <w:color w:val="auto"/>
        </w:rPr>
        <w:t>.</w:t>
      </w:r>
    </w:p>
    <w:p>
      <w:pPr>
        <w:spacing w:after="0" w:line="120"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We plan to reinvest all of our earnings, to the extent we have earnings, into our product research and development. We do not plan to pay any cash dividends with respect to our securities in the foreseeable future.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10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9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104"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authorize our board of directors to issue, without further action by the stockholders, up to 50,000,000 shares of preferred stock and up to approximately 500,000,000 shares of authorized but unissued shares of common stock;</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require that any action to be taken by our stockholders be effected at a duly called annual or special meeting and not by written consent;</w:t>
      </w:r>
    </w:p>
    <w:p>
      <w:pPr>
        <w:spacing w:after="0" w:line="120"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1"/>
          <w:szCs w:val="11"/>
          <w:color w:val="auto"/>
        </w:rPr>
        <w:t>establish an advance notice procedure for stockholder approvals to be brought before an annual meeting of our stockholders, including proposed nominations of persons for election to our board of directors;</w:t>
      </w:r>
    </w:p>
    <w:p>
      <w:pPr>
        <w:spacing w:after="0" w:line="132"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the requirement for the affirmative vote of holders of at least 66 2/3% of the voting power of all the then outstanding shares of our voting stock, voting together as a single class, to amend provisions of our certificate of incorporation or our bylaws;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ability of our board of directors by majority vote, to amend the bylaws;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provide that vacancies on our board of directors may be filled only by a majority of directors then in office, even though less than a quorum.</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3" w:name="page54"/>
    <w:bookmarkEnd w:id="53"/>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29" w:lineRule="auto"/>
        <w:rPr>
          <w:sz w:val="20"/>
          <w:szCs w:val="20"/>
          <w:color w:val="auto"/>
        </w:rPr>
      </w:pPr>
      <w:r>
        <w:rPr>
          <w:rFonts w:ascii="Arial" w:cs="Arial" w:eastAsia="Arial" w:hAnsi="Arial"/>
          <w:sz w:val="12"/>
          <w:szCs w:val="12"/>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General Risk Factors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Unfavorable global economic or political conditions could adversely affect our business, financial condition or results of operations.</w:t>
      </w:r>
    </w:p>
    <w:p>
      <w:pPr>
        <w:spacing w:after="0" w:line="120"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Our results of operations could be adversely affected by general conditions in the global economy and in the global financial markets including the negative impact of COVID-19 on the global economy and markets. Furthermore, the market for aesthetic medical treatments may be particularly vulnerable to unfavorable economic conditions. A global financial crisis or a global or regional political disruption could cause extreme volatility in the capital and credit markets as has recently been the case due to COVID-19. A severe or prolonged economic downturn or political disruption could result in a variety of risks to our business, including weakened demand for our lead product candidates or any future product candidates, if approved,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services. Any of the foregoing could harm our business and we cannot anticipate all of the ways in which the political or economic climate and financial market conditions could adversely impact our business.</w:t>
      </w:r>
    </w:p>
    <w:p>
      <w:pPr>
        <w:spacing w:after="0" w:line="10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94" w:lineRule="exact"/>
        <w:rPr>
          <w:sz w:val="20"/>
          <w:szCs w:val="20"/>
          <w:color w:val="auto"/>
        </w:rPr>
      </w:pPr>
    </w:p>
    <w:p>
      <w:pPr>
        <w:jc w:val="both"/>
        <w:ind w:firstLine="301"/>
        <w:spacing w:after="0" w:line="252" w:lineRule="auto"/>
        <w:rPr>
          <w:sz w:val="20"/>
          <w:szCs w:val="20"/>
          <w:color w:val="auto"/>
        </w:rPr>
      </w:pPr>
      <w:r>
        <w:rPr>
          <w:rFonts w:ascii="Arial" w:cs="Arial" w:eastAsia="Arial" w:hAnsi="Arial"/>
          <w:sz w:val="11"/>
          <w:szCs w:val="11"/>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Generally Accepted Accounting Principles.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4" w:name="page55"/>
    <w:bookmarkEnd w:id="54"/>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an “emerging growth company” as defined in the Jumpstart Our Business Startups Act (JOBS Act), which will occur at the end of 2021, or a “small reporting company”.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investigations by the stock exchange on which our securities are listed, the SEC, or other regulatory authorities, which could require additional financial and management resources.</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may become involved in litigation that may materially adversely affect us.</w:t>
      </w:r>
    </w:p>
    <w:p>
      <w:pPr>
        <w:spacing w:after="0" w:line="120"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in the form of letters and other communications.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Our business may be adversely affected by health epidemics including the coronavirus pandemic.</w:t>
      </w:r>
    </w:p>
    <w:p>
      <w:pPr>
        <w:spacing w:after="0" w:line="120"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The COVID-19 pandemic has resulted in government authorities implementing numerous measures to try to contain the virus, such as travel bans and restrictions, quarantines, shelter-in-place or stay-at-home orders, and business shutdowns.</w:t>
      </w:r>
    </w:p>
    <w:p>
      <w:pPr>
        <w:spacing w:after="0" w:line="94" w:lineRule="exact"/>
        <w:rPr>
          <w:sz w:val="20"/>
          <w:szCs w:val="20"/>
          <w:color w:val="auto"/>
        </w:rPr>
      </w:pPr>
    </w:p>
    <w:p>
      <w:pPr>
        <w:jc w:val="both"/>
        <w:ind w:right="20" w:firstLine="301"/>
        <w:spacing w:after="0" w:line="236" w:lineRule="auto"/>
        <w:rPr>
          <w:sz w:val="20"/>
          <w:szCs w:val="20"/>
          <w:color w:val="auto"/>
        </w:rPr>
      </w:pPr>
      <w:r>
        <w:rPr>
          <w:rFonts w:ascii="Arial" w:cs="Arial" w:eastAsia="Arial" w:hAnsi="Arial"/>
          <w:sz w:val="12"/>
          <w:szCs w:val="12"/>
          <w:color w:val="auto"/>
        </w:rPr>
        <w:t>In accordance with local and state guidelines regarding the COVID-19 pandemic, we are requiring all of our employees to work remotely unless they cannot perform their essential functions remotely and have also suspended all non-essential travel for our employees. While many of our employees are accustomed to working remotely or working with other remote employees, much of our workforce has not historically been remote. Although we continue to monitor the situation and may adjust our current policies as more information and public health guidance becomes available, temporarily suspending travel and restricting the ability to do business in person may create operational or other challenges, any of which could harm our business, financial condition and results of operations.</w:t>
      </w:r>
    </w:p>
    <w:p>
      <w:pPr>
        <w:spacing w:after="0" w:line="103"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In addition, our clinical trials may be affected by the COVID-19 pandemic. Site initiation and patient enrollment may be delayed, for example, due to prioritization of hospital resources toward the COVID-19 pandemic, travel restrictions imposed by governments, and the inability to access sites for initiation and monitoring. Also, some of our suppliers of certain materials used in the production of our product candidates are located in areas impacted by COVID-19 which could limit our ability to obtain sufficient materials for our product candidates. COVID-19 has and will continue to adversely affect global economies and financial markets of many countries, resulting in an economic downturn that could affect demand for our product candidates, if approved, and impact our operating results. Even after the COVID-19 pandemic has subsided, we may continue to experience an adverse impact to our business as a result of the continued global economic impact of the pandemic. We could harm our business and we cannot anticipate all of the ways in which health epidemics such as COVID-19 could adversely impact our business. Although we are continuing to monitor and assess the effects of the COVID-19 pandemic on our business, the ultimate impact of the COVID-19 pandemic or a similar health epidemic is highly uncertain and subject to change.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5" w:name="page56"/>
    <w:bookmarkEnd w:id="55"/>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9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03"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We are an “emerging growth company” under the JOBS Act as well as a “smaller reporting company”; as a result, we cannot be certain if the applicable reduced disclosure requirements will make our common stock less attractive to investors.</w:t>
      </w:r>
    </w:p>
    <w:p>
      <w:pPr>
        <w:spacing w:after="0" w:line="94"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We are an “emerging growth company,” as defined in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also qualify as a “smaller reporting company,” as defined in the Exchange Act, and so long as we remain a smaller reporting company, we benefit from and may take advantage of scaled disclosure requirements.</w:t>
      </w:r>
    </w:p>
    <w:p>
      <w:pPr>
        <w:spacing w:after="0" w:line="105"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 We will remain an “emerging growth company” until the end of 2021.</w:t>
      </w:r>
    </w:p>
    <w:p>
      <w:pPr>
        <w:spacing w:after="0" w:line="3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None.</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Default Upon Senior Securities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None.</w:t>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Other Information</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None.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6" w:name="page57"/>
    <w:bookmarkEnd w:id="56"/>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Exhibits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200" w:type="dxa"/>
            <w:vAlign w:val="bottom"/>
            <w:gridSpan w:val="3"/>
          </w:tcPr>
          <w:p>
            <w:pPr>
              <w:spacing w:after="0"/>
              <w:rPr>
                <w:sz w:val="20"/>
                <w:szCs w:val="20"/>
                <w:color w:val="auto"/>
              </w:rPr>
            </w:pPr>
            <w:r>
              <w:rPr>
                <w:rFonts w:ascii="Arial" w:cs="Arial" w:eastAsia="Arial" w:hAnsi="Arial"/>
                <w:sz w:val="9"/>
                <w:szCs w:val="9"/>
                <w:b w:val="1"/>
                <w:bCs w:val="1"/>
                <w:color w:val="auto"/>
              </w:rPr>
              <w:t>Exhibit</w:t>
            </w:r>
          </w:p>
        </w:tc>
        <w:tc>
          <w:tcPr>
            <w:tcW w:w="10100" w:type="dxa"/>
            <w:vAlign w:val="bottom"/>
            <w:gridSpan w:val="5"/>
            <w:vMerge w:val="restart"/>
          </w:tcPr>
          <w:p>
            <w:pPr>
              <w:spacing w:after="0"/>
              <w:rPr>
                <w:sz w:val="20"/>
                <w:szCs w:val="20"/>
                <w:color w:val="auto"/>
              </w:rPr>
            </w:pPr>
            <w:r>
              <w:rPr>
                <w:rFonts w:ascii="Arial" w:cs="Arial" w:eastAsia="Arial" w:hAnsi="Arial"/>
                <w:sz w:val="9"/>
                <w:szCs w:val="9"/>
                <w:b w:val="1"/>
                <w:bCs w:val="1"/>
                <w:color w:val="auto"/>
              </w:rPr>
              <w:t>Exhibit Description</w:t>
            </w:r>
          </w:p>
        </w:tc>
        <w:tc>
          <w:tcPr>
            <w:tcW w:w="0" w:type="dxa"/>
            <w:vAlign w:val="bottom"/>
          </w:tcPr>
          <w:p>
            <w:pPr>
              <w:spacing w:after="0"/>
              <w:rPr>
                <w:sz w:val="1"/>
                <w:szCs w:val="1"/>
                <w:color w:val="auto"/>
              </w:rPr>
            </w:pPr>
          </w:p>
        </w:tc>
      </w:tr>
      <w:tr>
        <w:trPr>
          <w:trHeight w:val="111"/>
        </w:trPr>
        <w:tc>
          <w:tcPr>
            <w:tcW w:w="1200" w:type="dxa"/>
            <w:vAlign w:val="bottom"/>
            <w:gridSpan w:val="3"/>
          </w:tcPr>
          <w:p>
            <w:pPr>
              <w:spacing w:after="0"/>
              <w:rPr>
                <w:sz w:val="20"/>
                <w:szCs w:val="20"/>
                <w:color w:val="auto"/>
              </w:rPr>
            </w:pPr>
            <w:r>
              <w:rPr>
                <w:rFonts w:ascii="Arial" w:cs="Arial" w:eastAsia="Arial" w:hAnsi="Arial"/>
                <w:sz w:val="9"/>
                <w:szCs w:val="9"/>
                <w:b w:val="1"/>
                <w:bCs w:val="1"/>
                <w:color w:val="auto"/>
              </w:rPr>
              <w:t>Number</w:t>
            </w:r>
          </w:p>
        </w:tc>
        <w:tc>
          <w:tcPr>
            <w:tcW w:w="10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000" w:type="dxa"/>
            <w:vAlign w:val="bottom"/>
            <w:tcBorders>
              <w:top w:val="single" w:sz="8" w:color="auto"/>
            </w:tcBorders>
            <w:gridSpan w:val="2"/>
            <w:shd w:val="clear" w:color="auto" w:fill="CCEEFF"/>
          </w:tcPr>
          <w:p>
            <w:pPr>
              <w:spacing w:after="0" w:line="100" w:lineRule="exact"/>
              <w:rPr>
                <w:rFonts w:ascii="Arial" w:cs="Arial" w:eastAsia="Arial" w:hAnsi="Arial"/>
                <w:sz w:val="11"/>
                <w:szCs w:val="11"/>
                <w:color w:val="0563C1"/>
              </w:rPr>
            </w:pPr>
            <w:hyperlink r:id="rId89">
              <w:r>
                <w:rPr>
                  <w:rFonts w:ascii="Arial" w:cs="Arial" w:eastAsia="Arial" w:hAnsi="Arial"/>
                  <w:sz w:val="11"/>
                  <w:szCs w:val="11"/>
                  <w:color w:val="0563C1"/>
                </w:rPr>
                <w:t>10.</w:t>
              </w:r>
              <w:r>
                <w:rPr>
                  <w:rFonts w:ascii="Arial" w:cs="Arial" w:eastAsia="Arial" w:hAnsi="Arial"/>
                  <w:sz w:val="11"/>
                  <w:szCs w:val="11"/>
                  <w:u w:val="single" w:color="auto"/>
                  <w:color w:val="0563C1"/>
                </w:rPr>
                <w:t>1</w:t>
              </w:r>
            </w:hyperlink>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10100" w:type="dxa"/>
            <w:vAlign w:val="bottom"/>
            <w:tcBorders>
              <w:top w:val="single" w:sz="8" w:color="auto"/>
            </w:tcBorders>
            <w:gridSpan w:val="5"/>
            <w:shd w:val="clear" w:color="auto" w:fill="CCEEFF"/>
          </w:tcPr>
          <w:p>
            <w:pPr>
              <w:spacing w:after="0" w:line="100" w:lineRule="exact"/>
              <w:rPr>
                <w:rFonts w:ascii="Arial" w:cs="Arial" w:eastAsia="Arial" w:hAnsi="Arial"/>
                <w:sz w:val="11"/>
                <w:szCs w:val="11"/>
                <w:color w:val="0563C1"/>
              </w:rPr>
            </w:pPr>
            <w:hyperlink r:id="rId89">
              <w:r>
                <w:rPr>
                  <w:rFonts w:ascii="Arial" w:cs="Arial" w:eastAsia="Arial" w:hAnsi="Arial"/>
                  <w:sz w:val="11"/>
                  <w:szCs w:val="11"/>
                  <w:color w:val="0563C1"/>
                </w:rPr>
                <w:t>Loan Agreement, dated March 11, 2021, by and between Pulse Biosciences, Inc. and Robert W. Duggan (incorporated herein by reference to Exhibit 10.1 to the Registrant’s Current Report on Form 8-K,</w:t>
              </w:r>
            </w:hyperlink>
          </w:p>
        </w:tc>
        <w:tc>
          <w:tcPr>
            <w:tcW w:w="0" w:type="dxa"/>
            <w:vAlign w:val="bottom"/>
          </w:tcPr>
          <w:p>
            <w:pPr>
              <w:spacing w:after="0"/>
              <w:rPr>
                <w:sz w:val="1"/>
                <w:szCs w:val="1"/>
                <w:color w:val="auto"/>
              </w:rPr>
            </w:pPr>
          </w:p>
        </w:tc>
      </w:tr>
      <w:tr>
        <w:trPr>
          <w:trHeight w:val="109"/>
        </w:trPr>
        <w:tc>
          <w:tcPr>
            <w:tcW w:w="220" w:type="dxa"/>
            <w:vAlign w:val="bottom"/>
            <w:tcBorders>
              <w:top w:val="single" w:sz="8" w:color="0563C1"/>
            </w:tcBorders>
            <w:shd w:val="clear" w:color="auto" w:fill="CCEEFF"/>
          </w:tcPr>
          <w:p>
            <w:pPr>
              <w:spacing w:after="0"/>
              <w:rPr>
                <w:sz w:val="9"/>
                <w:szCs w:val="9"/>
                <w:color w:val="auto"/>
              </w:rPr>
            </w:pPr>
          </w:p>
        </w:tc>
        <w:tc>
          <w:tcPr>
            <w:tcW w:w="7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right w:val="single" w:sz="8" w:color="CCEEFF"/>
            </w:tcBorders>
            <w:shd w:val="clear" w:color="auto" w:fill="CCEEFF"/>
          </w:tcPr>
          <w:p>
            <w:pPr>
              <w:spacing w:after="0"/>
              <w:rPr>
                <w:sz w:val="9"/>
                <w:szCs w:val="9"/>
                <w:color w:val="auto"/>
              </w:rPr>
            </w:pPr>
          </w:p>
        </w:tc>
        <w:tc>
          <w:tcPr>
            <w:tcW w:w="9980" w:type="dxa"/>
            <w:vAlign w:val="bottom"/>
            <w:tcBorders>
              <w:top w:val="single" w:sz="8" w:color="0563C1"/>
            </w:tcBorders>
            <w:gridSpan w:val="4"/>
            <w:shd w:val="clear" w:color="auto" w:fill="CCEEFF"/>
          </w:tcPr>
          <w:p>
            <w:pPr>
              <w:spacing w:after="0" w:line="109" w:lineRule="exact"/>
              <w:rPr>
                <w:rFonts w:ascii="Arial" w:cs="Arial" w:eastAsia="Arial" w:hAnsi="Arial"/>
                <w:sz w:val="12"/>
                <w:szCs w:val="12"/>
                <w:color w:val="0563C1"/>
              </w:rPr>
            </w:pPr>
            <w:hyperlink r:id="rId89">
              <w:r>
                <w:rPr>
                  <w:rFonts w:ascii="Arial" w:cs="Arial" w:eastAsia="Arial" w:hAnsi="Arial"/>
                  <w:sz w:val="12"/>
                  <w:szCs w:val="12"/>
                  <w:color w:val="0563C1"/>
                </w:rPr>
                <w:t>Commission File No. 001-37744, filed on March 11, 2021).</w:t>
              </w:r>
            </w:hyperlink>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920" w:type="dxa"/>
            <w:vAlign w:val="bottom"/>
            <w:shd w:val="clear" w:color="auto" w:fill="0563C1"/>
          </w:tcPr>
          <w:p>
            <w:pPr>
              <w:spacing w:after="0" w:line="20" w:lineRule="exact"/>
              <w:rPr>
                <w:sz w:val="1"/>
                <w:szCs w:val="1"/>
                <w:color w:val="auto"/>
              </w:rPr>
            </w:pPr>
          </w:p>
        </w:tc>
        <w:tc>
          <w:tcPr>
            <w:tcW w:w="2000" w:type="dxa"/>
            <w:vAlign w:val="bottom"/>
            <w:tcBorders>
              <w:right w:val="single" w:sz="8" w:color="CCEEFF"/>
            </w:tcBorders>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20" w:type="dxa"/>
            <w:vAlign w:val="bottom"/>
          </w:tcPr>
          <w:p>
            <w:pPr>
              <w:spacing w:after="0" w:line="109" w:lineRule="exact"/>
              <w:rPr>
                <w:rFonts w:ascii="Arial" w:cs="Arial" w:eastAsia="Arial" w:hAnsi="Arial"/>
                <w:sz w:val="12"/>
                <w:szCs w:val="12"/>
                <w:color w:val="0563C1"/>
                <w:w w:val="85"/>
              </w:rPr>
            </w:pPr>
            <w:hyperlink w:anchor="page59">
              <w:r>
                <w:rPr>
                  <w:rFonts w:ascii="Arial" w:cs="Arial" w:eastAsia="Arial" w:hAnsi="Arial"/>
                  <w:sz w:val="12"/>
                  <w:szCs w:val="12"/>
                  <w:color w:val="0563C1"/>
                  <w:w w:val="85"/>
                </w:rPr>
                <w:t>31.</w:t>
              </w:r>
              <w:r>
                <w:rPr>
                  <w:rFonts w:ascii="Arial" w:cs="Arial" w:eastAsia="Arial" w:hAnsi="Arial"/>
                  <w:sz w:val="12"/>
                  <w:szCs w:val="12"/>
                  <w:u w:val="single" w:color="auto"/>
                  <w:color w:val="0563C1"/>
                  <w:w w:val="85"/>
                </w:rPr>
                <w:t>1</w:t>
              </w:r>
            </w:hyperlink>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100" w:type="dxa"/>
            <w:vAlign w:val="bottom"/>
            <w:gridSpan w:val="5"/>
          </w:tcPr>
          <w:p>
            <w:pPr>
              <w:spacing w:after="0" w:line="109" w:lineRule="exact"/>
              <w:rPr>
                <w:rFonts w:ascii="Arial" w:cs="Arial" w:eastAsia="Arial" w:hAnsi="Arial"/>
                <w:sz w:val="12"/>
                <w:szCs w:val="12"/>
                <w:color w:val="0563C1"/>
              </w:rPr>
            </w:pPr>
            <w:hyperlink w:anchor="page59">
              <w:r>
                <w:rPr>
                  <w:rFonts w:ascii="Arial" w:cs="Arial" w:eastAsia="Arial" w:hAnsi="Arial"/>
                  <w:sz w:val="12"/>
                  <w:szCs w:val="12"/>
                  <w:color w:val="0563C1"/>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109"/>
        </w:trPr>
        <w:tc>
          <w:tcPr>
            <w:tcW w:w="220" w:type="dxa"/>
            <w:vAlign w:val="bottom"/>
            <w:tcBorders>
              <w:top w:val="single" w:sz="8" w:color="0563C1"/>
            </w:tcBorders>
            <w:shd w:val="clear" w:color="auto" w:fill="CCEEFF"/>
          </w:tcPr>
          <w:p>
            <w:pPr>
              <w:spacing w:after="0" w:line="109" w:lineRule="exact"/>
              <w:rPr>
                <w:rFonts w:ascii="Arial" w:cs="Arial" w:eastAsia="Arial" w:hAnsi="Arial"/>
                <w:sz w:val="12"/>
                <w:szCs w:val="12"/>
                <w:color w:val="0563C1"/>
                <w:w w:val="85"/>
              </w:rPr>
            </w:pPr>
            <w:hyperlink w:anchor="page60">
              <w:r>
                <w:rPr>
                  <w:rFonts w:ascii="Arial" w:cs="Arial" w:eastAsia="Arial" w:hAnsi="Arial"/>
                  <w:sz w:val="12"/>
                  <w:szCs w:val="12"/>
                  <w:color w:val="0563C1"/>
                  <w:w w:val="85"/>
                </w:rPr>
                <w:t>31.</w:t>
              </w:r>
              <w:r>
                <w:rPr>
                  <w:rFonts w:ascii="Arial" w:cs="Arial" w:eastAsia="Arial" w:hAnsi="Arial"/>
                  <w:sz w:val="12"/>
                  <w:szCs w:val="12"/>
                  <w:u w:val="single" w:color="auto"/>
                  <w:color w:val="0563C1"/>
                  <w:w w:val="85"/>
                </w:rPr>
                <w:t>2</w:t>
              </w:r>
            </w:hyperlink>
          </w:p>
        </w:tc>
        <w:tc>
          <w:tcPr>
            <w:tcW w:w="78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4920" w:type="dxa"/>
            <w:vAlign w:val="bottom"/>
            <w:tcBorders>
              <w:top w:val="single" w:sz="8" w:color="0563C1"/>
              <w:right w:val="single" w:sz="8" w:color="CCEEFF"/>
            </w:tcBorders>
            <w:gridSpan w:val="2"/>
            <w:shd w:val="clear" w:color="auto" w:fill="CCEEFF"/>
          </w:tcPr>
          <w:p>
            <w:pPr>
              <w:spacing w:after="0" w:line="109" w:lineRule="exact"/>
              <w:rPr>
                <w:rFonts w:ascii="Arial" w:cs="Arial" w:eastAsia="Arial" w:hAnsi="Arial"/>
                <w:sz w:val="12"/>
                <w:szCs w:val="12"/>
                <w:color w:val="0563C1"/>
                <w:w w:val="94"/>
              </w:rPr>
            </w:pPr>
            <w:hyperlink w:anchor="page60">
              <w:r>
                <w:rPr>
                  <w:rFonts w:ascii="Arial" w:cs="Arial" w:eastAsia="Arial" w:hAnsi="Arial"/>
                  <w:sz w:val="12"/>
                  <w:szCs w:val="12"/>
                  <w:color w:val="0563C1"/>
                  <w:w w:val="94"/>
                </w:rPr>
                <w:t>Certification of Chief Financial Officer pursuant to Section 302 of the Sarbanes-Oxley Act of 2002.</w:t>
              </w:r>
            </w:hyperlink>
          </w:p>
        </w:tc>
        <w:tc>
          <w:tcPr>
            <w:tcW w:w="5180" w:type="dxa"/>
            <w:vAlign w:val="bottom"/>
            <w:gridSpan w:val="3"/>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563C1"/>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920" w:type="dxa"/>
            <w:vAlign w:val="bottom"/>
            <w:shd w:val="clear" w:color="auto" w:fill="0563C1"/>
          </w:tcPr>
          <w:p>
            <w:pPr>
              <w:spacing w:after="0" w:line="20" w:lineRule="exact"/>
              <w:rPr>
                <w:sz w:val="1"/>
                <w:szCs w:val="1"/>
                <w:color w:val="auto"/>
              </w:rPr>
            </w:pPr>
          </w:p>
        </w:tc>
        <w:tc>
          <w:tcPr>
            <w:tcW w:w="2000" w:type="dxa"/>
            <w:vAlign w:val="bottom"/>
            <w:tcBorders>
              <w:right w:val="single" w:sz="8" w:color="CCEEFF"/>
            </w:tcBorders>
            <w:shd w:val="clear" w:color="auto" w:fill="0563C1"/>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000" w:type="dxa"/>
            <w:vAlign w:val="bottom"/>
            <w:gridSpan w:val="2"/>
          </w:tcPr>
          <w:p>
            <w:pPr>
              <w:spacing w:after="0" w:line="109" w:lineRule="exact"/>
              <w:rPr>
                <w:rFonts w:ascii="Arial" w:cs="Arial" w:eastAsia="Arial" w:hAnsi="Arial"/>
                <w:sz w:val="12"/>
                <w:szCs w:val="12"/>
                <w:color w:val="0563C1"/>
              </w:rPr>
            </w:pPr>
            <w:hyperlink w:anchor="page61">
              <w:r>
                <w:rPr>
                  <w:rFonts w:ascii="Arial" w:cs="Arial" w:eastAsia="Arial" w:hAnsi="Arial"/>
                  <w:sz w:val="12"/>
                  <w:szCs w:val="12"/>
                  <w:color w:val="0563C1"/>
                </w:rPr>
                <w:t>32.</w:t>
              </w:r>
              <w:r>
                <w:rPr>
                  <w:rFonts w:ascii="Arial" w:cs="Arial" w:eastAsia="Arial" w:hAnsi="Arial"/>
                  <w:sz w:val="12"/>
                  <w:szCs w:val="12"/>
                  <w:u w:val="single" w:color="auto"/>
                  <w:color w:val="0563C1"/>
                </w:rPr>
                <w:t>1</w:t>
              </w:r>
            </w:hyperlink>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10100" w:type="dxa"/>
            <w:vAlign w:val="bottom"/>
            <w:gridSpan w:val="5"/>
          </w:tcPr>
          <w:p>
            <w:pPr>
              <w:spacing w:after="0" w:line="109" w:lineRule="exact"/>
              <w:rPr>
                <w:rFonts w:ascii="Arial" w:cs="Arial" w:eastAsia="Arial" w:hAnsi="Arial"/>
                <w:sz w:val="12"/>
                <w:szCs w:val="12"/>
                <w:color w:val="0563C1"/>
              </w:rPr>
            </w:pPr>
            <w:hyperlink w:anchor="page61">
              <w:r>
                <w:rPr>
                  <w:rFonts w:ascii="Arial" w:cs="Arial" w:eastAsia="Arial" w:hAnsi="Arial"/>
                  <w:sz w:val="12"/>
                  <w:szCs w:val="12"/>
                  <w:color w:val="0563C1"/>
                </w:rPr>
                <w:t>Certification of the Chief Executive and Chief Financial Officers pursuant to Section 906 of the Sarbanes-Oxley Act of 2002 (18 U.S.C. Section 1350).</w:t>
              </w:r>
            </w:hyperlink>
          </w:p>
        </w:tc>
        <w:tc>
          <w:tcPr>
            <w:tcW w:w="0" w:type="dxa"/>
            <w:vAlign w:val="bottom"/>
          </w:tcPr>
          <w:p>
            <w:pPr>
              <w:spacing w:after="0"/>
              <w:rPr>
                <w:sz w:val="1"/>
                <w:szCs w:val="1"/>
                <w:color w:val="auto"/>
              </w:rPr>
            </w:pPr>
          </w:p>
        </w:tc>
      </w:tr>
      <w:tr>
        <w:trPr>
          <w:trHeight w:val="20"/>
        </w:trPr>
        <w:tc>
          <w:tcPr>
            <w:tcW w:w="220" w:type="dxa"/>
            <w:vAlign w:val="bottom"/>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shd w:val="clear" w:color="auto" w:fill="0563C1"/>
          </w:tcPr>
          <w:p>
            <w:pPr>
              <w:spacing w:after="0" w:line="20" w:lineRule="exact"/>
              <w:rPr>
                <w:sz w:val="1"/>
                <w:szCs w:val="1"/>
                <w:color w:val="auto"/>
              </w:rPr>
            </w:pPr>
          </w:p>
        </w:tc>
        <w:tc>
          <w:tcPr>
            <w:tcW w:w="2000" w:type="dxa"/>
            <w:vAlign w:val="bottom"/>
            <w:tcBorders>
              <w:right w:val="single" w:sz="8" w:color="0563C1"/>
            </w:tcBorders>
            <w:shd w:val="clear" w:color="auto" w:fill="0563C1"/>
          </w:tcPr>
          <w:p>
            <w:pPr>
              <w:spacing w:after="0" w:line="20" w:lineRule="exact"/>
              <w:rPr>
                <w:sz w:val="1"/>
                <w:szCs w:val="1"/>
                <w:color w:val="auto"/>
              </w:rPr>
            </w:pPr>
          </w:p>
        </w:tc>
        <w:tc>
          <w:tcPr>
            <w:tcW w:w="2500" w:type="dxa"/>
            <w:vAlign w:val="bottom"/>
            <w:shd w:val="clear" w:color="auto" w:fill="0563C1"/>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200" w:type="dxa"/>
            <w:vAlign w:val="bottom"/>
            <w:tcBorders>
              <w:right w:val="single" w:sz="8" w:color="CCEEFF"/>
            </w:tcBorders>
            <w:gridSpan w:val="3"/>
            <w:shd w:val="clear" w:color="auto" w:fill="CCEEFF"/>
          </w:tcPr>
          <w:p>
            <w:pPr>
              <w:spacing w:after="0" w:line="128" w:lineRule="exact"/>
              <w:rPr>
                <w:sz w:val="20"/>
                <w:szCs w:val="20"/>
                <w:color w:val="auto"/>
              </w:rPr>
            </w:pPr>
            <w:r>
              <w:rPr>
                <w:rFonts w:ascii="Arial" w:cs="Arial" w:eastAsia="Arial" w:hAnsi="Arial"/>
                <w:sz w:val="12"/>
                <w:szCs w:val="12"/>
                <w:color w:val="auto"/>
              </w:rPr>
              <w:t>101.INS</w:t>
            </w:r>
          </w:p>
        </w:tc>
        <w:tc>
          <w:tcPr>
            <w:tcW w:w="10100" w:type="dxa"/>
            <w:vAlign w:val="bottom"/>
            <w:gridSpan w:val="5"/>
            <w:shd w:val="clear" w:color="auto" w:fill="CCEEFF"/>
          </w:tcPr>
          <w:p>
            <w:pPr>
              <w:spacing w:after="0" w:line="128" w:lineRule="exact"/>
              <w:rPr>
                <w:sz w:val="20"/>
                <w:szCs w:val="20"/>
                <w:color w:val="auto"/>
              </w:rPr>
            </w:pPr>
            <w:r>
              <w:rPr>
                <w:rFonts w:ascii="Arial" w:cs="Arial" w:eastAsia="Arial" w:hAnsi="Arial"/>
                <w:sz w:val="12"/>
                <w:szCs w:val="12"/>
                <w:color w:val="auto"/>
              </w:rPr>
              <w:t>XBRL Instance Document</w:t>
            </w:r>
          </w:p>
        </w:tc>
        <w:tc>
          <w:tcPr>
            <w:tcW w:w="0" w:type="dxa"/>
            <w:vAlign w:val="bottom"/>
          </w:tcPr>
          <w:p>
            <w:pPr>
              <w:spacing w:after="0"/>
              <w:rPr>
                <w:sz w:val="1"/>
                <w:szCs w:val="1"/>
                <w:color w:val="auto"/>
              </w:rPr>
            </w:pPr>
          </w:p>
        </w:tc>
      </w:tr>
      <w:tr>
        <w:trPr>
          <w:trHeight w:val="129"/>
        </w:trPr>
        <w:tc>
          <w:tcPr>
            <w:tcW w:w="1200" w:type="dxa"/>
            <w:vAlign w:val="bottom"/>
            <w:gridSpan w:val="3"/>
          </w:tcPr>
          <w:p>
            <w:pPr>
              <w:spacing w:after="0" w:line="129" w:lineRule="exact"/>
              <w:rPr>
                <w:sz w:val="20"/>
                <w:szCs w:val="20"/>
                <w:color w:val="auto"/>
              </w:rPr>
            </w:pPr>
            <w:r>
              <w:rPr>
                <w:rFonts w:ascii="Arial" w:cs="Arial" w:eastAsia="Arial" w:hAnsi="Arial"/>
                <w:sz w:val="12"/>
                <w:szCs w:val="12"/>
                <w:color w:val="auto"/>
              </w:rPr>
              <w:t>101.SCH</w:t>
            </w:r>
          </w:p>
        </w:tc>
        <w:tc>
          <w:tcPr>
            <w:tcW w:w="10100" w:type="dxa"/>
            <w:vAlign w:val="bottom"/>
            <w:gridSpan w:val="5"/>
          </w:tcPr>
          <w:p>
            <w:pPr>
              <w:spacing w:after="0" w:line="129" w:lineRule="exact"/>
              <w:rPr>
                <w:sz w:val="20"/>
                <w:szCs w:val="20"/>
                <w:color w:val="auto"/>
              </w:rPr>
            </w:pPr>
            <w:r>
              <w:rPr>
                <w:rFonts w:ascii="Arial" w:cs="Arial" w:eastAsia="Arial" w:hAnsi="Arial"/>
                <w:sz w:val="12"/>
                <w:szCs w:val="12"/>
                <w:color w:val="auto"/>
              </w:rPr>
              <w:t>XBRL Taxonomy Extension Schema Document</w:t>
            </w:r>
          </w:p>
        </w:tc>
        <w:tc>
          <w:tcPr>
            <w:tcW w:w="0" w:type="dxa"/>
            <w:vAlign w:val="bottom"/>
          </w:tcPr>
          <w:p>
            <w:pPr>
              <w:spacing w:after="0"/>
              <w:rPr>
                <w:sz w:val="1"/>
                <w:szCs w:val="1"/>
                <w:color w:val="auto"/>
              </w:rPr>
            </w:pPr>
          </w:p>
        </w:tc>
      </w:tr>
      <w:tr>
        <w:trPr>
          <w:trHeight w:val="129"/>
        </w:trPr>
        <w:tc>
          <w:tcPr>
            <w:tcW w:w="1200" w:type="dxa"/>
            <w:vAlign w:val="bottom"/>
            <w:tcBorders>
              <w:right w:val="single" w:sz="8" w:color="CCEEFF"/>
            </w:tcBorders>
            <w:gridSpan w:val="3"/>
            <w:shd w:val="clear" w:color="auto" w:fill="CCEEFF"/>
          </w:tcPr>
          <w:p>
            <w:pPr>
              <w:spacing w:after="0" w:line="129" w:lineRule="exact"/>
              <w:rPr>
                <w:sz w:val="20"/>
                <w:szCs w:val="20"/>
                <w:color w:val="auto"/>
              </w:rPr>
            </w:pPr>
            <w:r>
              <w:rPr>
                <w:rFonts w:ascii="Arial" w:cs="Arial" w:eastAsia="Arial" w:hAnsi="Arial"/>
                <w:sz w:val="12"/>
                <w:szCs w:val="12"/>
                <w:color w:val="auto"/>
              </w:rPr>
              <w:t>101.CAL</w:t>
            </w:r>
          </w:p>
        </w:tc>
        <w:tc>
          <w:tcPr>
            <w:tcW w:w="10100" w:type="dxa"/>
            <w:vAlign w:val="bottom"/>
            <w:gridSpan w:val="5"/>
            <w:shd w:val="clear" w:color="auto" w:fill="CCEEFF"/>
          </w:tcPr>
          <w:p>
            <w:pPr>
              <w:spacing w:after="0" w:line="129" w:lineRule="exact"/>
              <w:rPr>
                <w:sz w:val="20"/>
                <w:szCs w:val="20"/>
                <w:color w:val="auto"/>
              </w:rPr>
            </w:pPr>
            <w:r>
              <w:rPr>
                <w:rFonts w:ascii="Arial" w:cs="Arial" w:eastAsia="Arial" w:hAnsi="Arial"/>
                <w:sz w:val="12"/>
                <w:szCs w:val="12"/>
                <w:color w:val="auto"/>
              </w:rPr>
              <w:t>XBRL Taxonomy Extension Calculation Linkbase Document</w:t>
            </w:r>
          </w:p>
        </w:tc>
        <w:tc>
          <w:tcPr>
            <w:tcW w:w="0" w:type="dxa"/>
            <w:vAlign w:val="bottom"/>
          </w:tcPr>
          <w:p>
            <w:pPr>
              <w:spacing w:after="0"/>
              <w:rPr>
                <w:sz w:val="1"/>
                <w:szCs w:val="1"/>
                <w:color w:val="auto"/>
              </w:rPr>
            </w:pPr>
          </w:p>
        </w:tc>
      </w:tr>
      <w:tr>
        <w:trPr>
          <w:trHeight w:val="129"/>
        </w:trPr>
        <w:tc>
          <w:tcPr>
            <w:tcW w:w="1200" w:type="dxa"/>
            <w:vAlign w:val="bottom"/>
            <w:gridSpan w:val="3"/>
          </w:tcPr>
          <w:p>
            <w:pPr>
              <w:spacing w:after="0" w:line="129" w:lineRule="exact"/>
              <w:rPr>
                <w:sz w:val="20"/>
                <w:szCs w:val="20"/>
                <w:color w:val="auto"/>
              </w:rPr>
            </w:pPr>
            <w:r>
              <w:rPr>
                <w:rFonts w:ascii="Arial" w:cs="Arial" w:eastAsia="Arial" w:hAnsi="Arial"/>
                <w:sz w:val="12"/>
                <w:szCs w:val="12"/>
                <w:color w:val="auto"/>
              </w:rPr>
              <w:t>101.DEF</w:t>
            </w:r>
          </w:p>
        </w:tc>
        <w:tc>
          <w:tcPr>
            <w:tcW w:w="10100" w:type="dxa"/>
            <w:vAlign w:val="bottom"/>
            <w:gridSpan w:val="5"/>
          </w:tcPr>
          <w:p>
            <w:pPr>
              <w:spacing w:after="0" w:line="129" w:lineRule="exact"/>
              <w:rPr>
                <w:sz w:val="20"/>
                <w:szCs w:val="20"/>
                <w:color w:val="auto"/>
              </w:rPr>
            </w:pPr>
            <w:r>
              <w:rPr>
                <w:rFonts w:ascii="Arial" w:cs="Arial" w:eastAsia="Arial" w:hAnsi="Arial"/>
                <w:sz w:val="12"/>
                <w:szCs w:val="12"/>
                <w:color w:val="auto"/>
              </w:rPr>
              <w:t>XBRL Taxonomy Extension Definition Linkbase Document</w:t>
            </w:r>
          </w:p>
        </w:tc>
        <w:tc>
          <w:tcPr>
            <w:tcW w:w="0" w:type="dxa"/>
            <w:vAlign w:val="bottom"/>
          </w:tcPr>
          <w:p>
            <w:pPr>
              <w:spacing w:after="0"/>
              <w:rPr>
                <w:sz w:val="1"/>
                <w:szCs w:val="1"/>
                <w:color w:val="auto"/>
              </w:rPr>
            </w:pPr>
          </w:p>
        </w:tc>
      </w:tr>
      <w:tr>
        <w:trPr>
          <w:trHeight w:val="129"/>
        </w:trPr>
        <w:tc>
          <w:tcPr>
            <w:tcW w:w="1200" w:type="dxa"/>
            <w:vAlign w:val="bottom"/>
            <w:tcBorders>
              <w:right w:val="single" w:sz="8" w:color="CCEEFF"/>
            </w:tcBorders>
            <w:gridSpan w:val="3"/>
            <w:shd w:val="clear" w:color="auto" w:fill="CCEEFF"/>
          </w:tcPr>
          <w:p>
            <w:pPr>
              <w:spacing w:after="0" w:line="129" w:lineRule="exact"/>
              <w:rPr>
                <w:sz w:val="20"/>
                <w:szCs w:val="20"/>
                <w:color w:val="auto"/>
              </w:rPr>
            </w:pPr>
            <w:r>
              <w:rPr>
                <w:rFonts w:ascii="Arial" w:cs="Arial" w:eastAsia="Arial" w:hAnsi="Arial"/>
                <w:sz w:val="12"/>
                <w:szCs w:val="12"/>
                <w:color w:val="auto"/>
              </w:rPr>
              <w:t>101.LAB</w:t>
            </w:r>
          </w:p>
        </w:tc>
        <w:tc>
          <w:tcPr>
            <w:tcW w:w="10100" w:type="dxa"/>
            <w:vAlign w:val="bottom"/>
            <w:gridSpan w:val="5"/>
            <w:shd w:val="clear" w:color="auto" w:fill="CCEEFF"/>
          </w:tcPr>
          <w:p>
            <w:pPr>
              <w:spacing w:after="0" w:line="129" w:lineRule="exact"/>
              <w:rPr>
                <w:sz w:val="20"/>
                <w:szCs w:val="20"/>
                <w:color w:val="auto"/>
              </w:rPr>
            </w:pPr>
            <w:r>
              <w:rPr>
                <w:rFonts w:ascii="Arial" w:cs="Arial" w:eastAsia="Arial" w:hAnsi="Arial"/>
                <w:sz w:val="12"/>
                <w:szCs w:val="12"/>
                <w:color w:val="auto"/>
              </w:rPr>
              <w:t>XBRL Taxonomy Extension Label Linkbase Document</w:t>
            </w:r>
          </w:p>
        </w:tc>
        <w:tc>
          <w:tcPr>
            <w:tcW w:w="0" w:type="dxa"/>
            <w:vAlign w:val="bottom"/>
          </w:tcPr>
          <w:p>
            <w:pPr>
              <w:spacing w:after="0"/>
              <w:rPr>
                <w:sz w:val="1"/>
                <w:szCs w:val="1"/>
                <w:color w:val="auto"/>
              </w:rPr>
            </w:pPr>
          </w:p>
        </w:tc>
      </w:tr>
      <w:tr>
        <w:trPr>
          <w:trHeight w:val="121"/>
        </w:trPr>
        <w:tc>
          <w:tcPr>
            <w:tcW w:w="1200" w:type="dxa"/>
            <w:vAlign w:val="bottom"/>
            <w:gridSpan w:val="3"/>
          </w:tcPr>
          <w:p>
            <w:pPr>
              <w:spacing w:after="0" w:line="121" w:lineRule="exact"/>
              <w:rPr>
                <w:sz w:val="20"/>
                <w:szCs w:val="20"/>
                <w:color w:val="auto"/>
              </w:rPr>
            </w:pPr>
            <w:r>
              <w:rPr>
                <w:rFonts w:ascii="Arial" w:cs="Arial" w:eastAsia="Arial" w:hAnsi="Arial"/>
                <w:sz w:val="12"/>
                <w:szCs w:val="12"/>
                <w:color w:val="auto"/>
              </w:rPr>
              <w:t>101.PRE</w:t>
            </w:r>
          </w:p>
        </w:tc>
        <w:tc>
          <w:tcPr>
            <w:tcW w:w="10100" w:type="dxa"/>
            <w:vAlign w:val="bottom"/>
            <w:gridSpan w:val="5"/>
          </w:tcPr>
          <w:p>
            <w:pPr>
              <w:spacing w:after="0" w:line="121" w:lineRule="exact"/>
              <w:rPr>
                <w:sz w:val="20"/>
                <w:szCs w:val="20"/>
                <w:color w:val="auto"/>
              </w:rPr>
            </w:pPr>
            <w:r>
              <w:rPr>
                <w:rFonts w:ascii="Arial" w:cs="Arial" w:eastAsia="Arial" w:hAnsi="Arial"/>
                <w:sz w:val="12"/>
                <w:szCs w:val="12"/>
                <w:color w:val="auto"/>
              </w:rPr>
              <w:t>XBRL Taxonomy Extension Presentation Linkbase Document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2"/>
          <w:szCs w:val="12"/>
          <w:color w:val="auto"/>
        </w:rPr>
        <w:t>104</w:t>
      </w:r>
      <w:r>
        <w:rPr>
          <w:rFonts w:ascii="Arial" w:cs="Arial" w:eastAsia="Arial" w:hAnsi="Arial"/>
          <w:sz w:val="11"/>
          <w:szCs w:val="11"/>
          <w:color w:val="auto"/>
        </w:rPr>
        <w:t>Cover Page Interactive Data File (formatted as Inline XBRL and contained in Exhibit 101)</w:t>
      </w:r>
    </w:p>
    <w:p>
      <w:pPr>
        <w:spacing w:after="0" w:line="110" w:lineRule="exact"/>
        <w:rPr>
          <w:sz w:val="20"/>
          <w:szCs w:val="20"/>
          <w:color w:val="auto"/>
        </w:rPr>
      </w:pPr>
    </w:p>
    <w:p>
      <w:pPr>
        <w:ind w:right="100"/>
        <w:spacing w:after="0" w:line="239" w:lineRule="auto"/>
        <w:rPr>
          <w:sz w:val="20"/>
          <w:szCs w:val="20"/>
          <w:color w:val="auto"/>
        </w:rPr>
      </w:pPr>
      <w:r>
        <w:rPr>
          <w:rFonts w:ascii="Arial" w:cs="Arial" w:eastAsia="Arial" w:hAnsi="Arial"/>
          <w:sz w:val="12"/>
          <w:szCs w:val="12"/>
          <w:color w:val="auto"/>
        </w:rPr>
        <w:t>* The certification attached as Exhibit 32.1 that accompanies this Quarterly Report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Quarterly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-413385</wp:posOffset>
            </wp:positionV>
            <wp:extent cx="7175500" cy="819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7" w:name="page58"/>
    <w:bookmarkEnd w:id="57"/>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Signatures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Pursuant to the requirements of the Securities Act of 1934, the registrant has duly caused this report to be signed on its behalf by the undersigned thereunto duly authorized.</w:t>
      </w:r>
    </w:p>
    <w:p>
      <w:pPr>
        <w:spacing w:after="0" w:line="255" w:lineRule="exact"/>
        <w:rPr>
          <w:sz w:val="20"/>
          <w:szCs w:val="20"/>
          <w:color w:val="auto"/>
        </w:rPr>
      </w:pPr>
    </w:p>
    <w:p>
      <w:pPr>
        <w:ind w:left="5760"/>
        <w:spacing w:after="0"/>
        <w:rPr>
          <w:sz w:val="20"/>
          <w:szCs w:val="20"/>
          <w:color w:val="auto"/>
        </w:rPr>
      </w:pPr>
      <w:r>
        <w:rPr>
          <w:rFonts w:ascii="Arial" w:cs="Arial" w:eastAsia="Arial" w:hAnsi="Arial"/>
          <w:sz w:val="12"/>
          <w:szCs w:val="12"/>
          <w:b w:val="1"/>
          <w:bCs w:val="1"/>
          <w:color w:val="auto"/>
        </w:rPr>
        <w:t>PULSE BIOSCIENCES, INC.</w:t>
      </w:r>
    </w:p>
    <w:p>
      <w:pPr>
        <w:spacing w:after="0" w:line="124" w:lineRule="exact"/>
        <w:rPr>
          <w:sz w:val="20"/>
          <w:szCs w:val="20"/>
          <w:color w:val="auto"/>
        </w:rPr>
      </w:pPr>
    </w:p>
    <w:p>
      <w:pPr>
        <w:spacing w:after="0"/>
        <w:tabs>
          <w:tab w:leader="none" w:pos="5740" w:val="left"/>
          <w:tab w:leader="none" w:pos="6240" w:val="left"/>
        </w:tabs>
        <w:rPr>
          <w:sz w:val="20"/>
          <w:szCs w:val="20"/>
          <w:color w:val="auto"/>
        </w:rPr>
      </w:pPr>
      <w:r>
        <w:rPr>
          <w:rFonts w:ascii="Arial" w:cs="Arial" w:eastAsia="Arial" w:hAnsi="Arial"/>
          <w:sz w:val="12"/>
          <w:szCs w:val="12"/>
          <w:color w:val="auto"/>
        </w:rPr>
        <w:t>Date: May 10,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3979545</wp:posOffset>
            </wp:positionH>
            <wp:positionV relativeFrom="paragraph">
              <wp:posOffset>5715</wp:posOffset>
            </wp:positionV>
            <wp:extent cx="288226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882265" cy="5715"/>
                    </a:xfrm>
                    <a:prstGeom prst="rect">
                      <a:avLst/>
                    </a:prstGeom>
                    <a:noFill/>
                  </pic:spPr>
                </pic:pic>
              </a:graphicData>
            </a:graphic>
          </wp:anchor>
        </w:drawing>
      </w:r>
    </w:p>
    <w:p>
      <w:pPr>
        <w:ind w:left="6260"/>
        <w:spacing w:after="0"/>
        <w:rPr>
          <w:sz w:val="20"/>
          <w:szCs w:val="20"/>
          <w:color w:val="auto"/>
        </w:rPr>
      </w:pPr>
      <w:r>
        <w:rPr>
          <w:rFonts w:ascii="Arial" w:cs="Arial" w:eastAsia="Arial" w:hAnsi="Arial"/>
          <w:sz w:val="11"/>
          <w:szCs w:val="11"/>
          <w:b w:val="1"/>
          <w:bCs w:val="1"/>
          <w:color w:val="auto"/>
        </w:rPr>
        <w:t>Sandra A. Gardiner</w:t>
      </w:r>
    </w:p>
    <w:p>
      <w:pPr>
        <w:ind w:left="6260"/>
        <w:spacing w:after="0" w:line="231" w:lineRule="auto"/>
        <w:rPr>
          <w:sz w:val="20"/>
          <w:szCs w:val="20"/>
          <w:color w:val="auto"/>
        </w:rPr>
      </w:pPr>
      <w:r>
        <w:rPr>
          <w:rFonts w:ascii="Arial" w:cs="Arial" w:eastAsia="Arial" w:hAnsi="Arial"/>
          <w:sz w:val="10"/>
          <w:szCs w:val="10"/>
          <w:b w:val="1"/>
          <w:bCs w:val="1"/>
          <w:color w:val="auto"/>
        </w:rPr>
        <w:t>Chief Financial Officer, Executive Vice President of Finance and Administration, Secretary and</w:t>
      </w:r>
    </w:p>
    <w:p>
      <w:pPr>
        <w:ind w:left="6260"/>
        <w:spacing w:after="0" w:line="210" w:lineRule="auto"/>
        <w:rPr>
          <w:sz w:val="20"/>
          <w:szCs w:val="20"/>
          <w:color w:val="auto"/>
        </w:rPr>
      </w:pPr>
      <w:r>
        <w:rPr>
          <w:rFonts w:ascii="Arial" w:cs="Arial" w:eastAsia="Arial" w:hAnsi="Arial"/>
          <w:sz w:val="11"/>
          <w:szCs w:val="11"/>
          <w:b w:val="1"/>
          <w:bCs w:val="1"/>
          <w:color w:val="auto"/>
        </w:rPr>
        <w:t>Treasurer</w:t>
      </w:r>
    </w:p>
    <w:p>
      <w:pPr>
        <w:ind w:left="6260"/>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Principal Financial and Accounting Officer</w:t>
      </w:r>
      <w:r>
        <w:rPr>
          <w:rFonts w:ascii="Arial" w:cs="Arial" w:eastAsia="Arial" w:hAnsi="Arial"/>
          <w:sz w:val="11"/>
          <w:szCs w:val="11"/>
          <w:b w:val="1"/>
          <w:bCs w:val="1"/>
          <w:color w:val="auto"/>
        </w:rPr>
        <w:t>)</w:t>
      </w:r>
    </w:p>
    <w:p>
      <w:pPr>
        <w:spacing w:after="0" w:line="231" w:lineRule="exact"/>
        <w:rPr>
          <w:sz w:val="20"/>
          <w:szCs w:val="20"/>
          <w:color w:val="auto"/>
        </w:rPr>
      </w:pPr>
    </w:p>
    <w:p>
      <w:pPr>
        <w:jc w:val="center"/>
        <w:ind w:right="-519"/>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0780"/>
          </w:cols>
          <w:pgMar w:left="300" w:top="118" w:right="819" w:bottom="1440" w:gutter="0" w:footer="0" w:header="0"/>
        </w:sectPr>
      </w:pPr>
    </w:p>
    <w:bookmarkStart w:id="58" w:name="page59"/>
    <w:bookmarkEnd w:id="58"/>
    <w:p>
      <w:pPr>
        <w:jc w:val="right"/>
        <w:spacing w:after="0"/>
        <w:rPr>
          <w:sz w:val="20"/>
          <w:szCs w:val="20"/>
          <w:color w:val="auto"/>
        </w:rPr>
      </w:pPr>
      <w:r>
        <w:rPr>
          <w:rFonts w:ascii="Arial" w:cs="Arial" w:eastAsia="Arial" w:hAnsi="Arial"/>
          <w:sz w:val="12"/>
          <w:szCs w:val="12"/>
          <w:b w:val="1"/>
          <w:bCs w:val="1"/>
          <w:color w:val="auto"/>
        </w:rPr>
        <w:t>Exhibit 31.1</w:t>
      </w:r>
    </w:p>
    <w:p>
      <w:pPr>
        <w:spacing w:after="0" w:line="93" w:lineRule="exact"/>
        <w:rPr>
          <w:sz w:val="20"/>
          <w:szCs w:val="20"/>
          <w:color w:val="auto"/>
        </w:rPr>
      </w:pPr>
    </w:p>
    <w:p>
      <w:pPr>
        <w:jc w:val="center"/>
        <w:ind w:right="18"/>
        <w:spacing w:after="0" w:line="231" w:lineRule="auto"/>
        <w:rPr>
          <w:sz w:val="20"/>
          <w:szCs w:val="20"/>
          <w:color w:val="auto"/>
        </w:rPr>
      </w:pPr>
      <w:r>
        <w:rPr>
          <w:rFonts w:ascii="Arial" w:cs="Arial" w:eastAsia="Arial" w:hAnsi="Arial"/>
          <w:sz w:val="12"/>
          <w:szCs w:val="12"/>
          <w:b w:val="1"/>
          <w:bCs w:val="1"/>
          <w:color w:val="auto"/>
        </w:rPr>
        <w:t>CERTIFICATION OF CHIEF EXECUTIVE OFFICER PURSUANT TO SECURITIES EXCHANGE ACT RULES 13a-14(a) and 15d-14(a), AS ADOPTED PURSUANT TO SECTION 302 OF THE SARBANES-OXLEY ACT OF 2002</w:t>
      </w:r>
    </w:p>
    <w:p>
      <w:pPr>
        <w:spacing w:after="0" w:line="76" w:lineRule="exact"/>
        <w:rPr>
          <w:sz w:val="20"/>
          <w:szCs w:val="20"/>
          <w:color w:val="auto"/>
        </w:rPr>
      </w:pPr>
    </w:p>
    <w:p>
      <w:pPr>
        <w:ind w:left="2"/>
        <w:spacing w:after="0"/>
        <w:rPr>
          <w:sz w:val="20"/>
          <w:szCs w:val="20"/>
          <w:color w:val="auto"/>
        </w:rPr>
      </w:pPr>
      <w:r>
        <w:rPr>
          <w:rFonts w:ascii="Arial" w:cs="Arial" w:eastAsia="Arial" w:hAnsi="Arial"/>
          <w:sz w:val="12"/>
          <w:szCs w:val="12"/>
          <w:color w:val="auto"/>
        </w:rPr>
        <w:t>I, Darrin R. Uecker, certify that:</w:t>
      </w:r>
    </w:p>
    <w:p>
      <w:pPr>
        <w:spacing w:after="0" w:line="83" w:lineRule="exact"/>
        <w:rPr>
          <w:sz w:val="20"/>
          <w:szCs w:val="20"/>
          <w:color w:val="auto"/>
        </w:rPr>
      </w:pPr>
    </w:p>
    <w:p>
      <w:pPr>
        <w:ind w:left="222" w:hanging="222"/>
        <w:spacing w:after="0"/>
        <w:tabs>
          <w:tab w:leader="none" w:pos="222" w:val="left"/>
        </w:tabs>
        <w:numPr>
          <w:ilvl w:val="0"/>
          <w:numId w:val="6"/>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for the quarter ended March 31, 2021 of Pulse Biosciences, Inc.;</w:t>
      </w:r>
    </w:p>
    <w:p>
      <w:pPr>
        <w:spacing w:after="0" w:line="83"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2"/>
          <w:szCs w:val="12"/>
          <w:color w:val="auto"/>
        </w:rPr>
      </w:pPr>
    </w:p>
    <w:p>
      <w:pPr>
        <w:ind w:left="442" w:right="20" w:hanging="221"/>
        <w:spacing w:after="0" w:line="282" w:lineRule="auto"/>
        <w:tabs>
          <w:tab w:leader="none" w:pos="442" w:val="left"/>
        </w:tabs>
        <w:numPr>
          <w:ilvl w:val="1"/>
          <w:numId w:val="6"/>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Arial" w:cs="Arial" w:eastAsia="Arial" w:hAnsi="Arial"/>
          <w:sz w:val="11"/>
          <w:szCs w:val="11"/>
          <w:color w:val="auto"/>
        </w:rPr>
      </w:pPr>
    </w:p>
    <w:p>
      <w:pPr>
        <w:ind w:left="442" w:right="100" w:hanging="221"/>
        <w:spacing w:after="0" w:line="282" w:lineRule="auto"/>
        <w:tabs>
          <w:tab w:leader="none" w:pos="442" w:val="left"/>
        </w:tabs>
        <w:numPr>
          <w:ilvl w:val="1"/>
          <w:numId w:val="6"/>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1"/>
          <w:szCs w:val="11"/>
          <w:color w:val="auto"/>
        </w:rPr>
      </w:pPr>
    </w:p>
    <w:p>
      <w:pPr>
        <w:ind w:left="442" w:hanging="221"/>
        <w:spacing w:after="0" w:line="239" w:lineRule="auto"/>
        <w:tabs>
          <w:tab w:leader="none" w:pos="442" w:val="left"/>
        </w:tabs>
        <w:numPr>
          <w:ilvl w:val="1"/>
          <w:numId w:val="6"/>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2"/>
          <w:szCs w:val="12"/>
          <w:color w:val="auto"/>
        </w:rPr>
      </w:pPr>
    </w:p>
    <w:p>
      <w:pPr>
        <w:ind w:left="442" w:right="20" w:hanging="221"/>
        <w:spacing w:after="0" w:line="239" w:lineRule="auto"/>
        <w:tabs>
          <w:tab w:leader="none" w:pos="442" w:val="left"/>
        </w:tabs>
        <w:numPr>
          <w:ilvl w:val="1"/>
          <w:numId w:val="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2"/>
          <w:szCs w:val="12"/>
          <w:color w:val="auto"/>
        </w:rPr>
      </w:pPr>
    </w:p>
    <w:p>
      <w:pPr>
        <w:ind w:left="442" w:right="20" w:hanging="221"/>
        <w:spacing w:after="0" w:line="239" w:lineRule="auto"/>
        <w:tabs>
          <w:tab w:leader="none" w:pos="442" w:val="left"/>
        </w:tabs>
        <w:numPr>
          <w:ilvl w:val="1"/>
          <w:numId w:val="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2"/>
          <w:szCs w:val="12"/>
          <w:color w:val="auto"/>
        </w:rPr>
      </w:pPr>
    </w:p>
    <w:p>
      <w:pPr>
        <w:ind w:left="442" w:hanging="221"/>
        <w:spacing w:after="0"/>
        <w:tabs>
          <w:tab w:leader="none" w:pos="442" w:val="left"/>
        </w:tabs>
        <w:numPr>
          <w:ilvl w:val="1"/>
          <w:numId w:val="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2"/>
        <w:spacing w:after="0"/>
        <w:tabs>
          <w:tab w:leader="none" w:pos="4882" w:val="left"/>
          <w:tab w:leader="none" w:pos="5362" w:val="left"/>
        </w:tabs>
        <w:rPr>
          <w:sz w:val="20"/>
          <w:szCs w:val="20"/>
          <w:color w:val="auto"/>
        </w:rPr>
      </w:pPr>
      <w:r>
        <w:rPr>
          <w:rFonts w:ascii="Arial" w:cs="Arial" w:eastAsia="Arial" w:hAnsi="Arial"/>
          <w:sz w:val="12"/>
          <w:szCs w:val="12"/>
          <w:color w:val="auto"/>
        </w:rPr>
        <w:t>Date: May 10,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0</wp:posOffset>
            </wp:positionV>
            <wp:extent cx="286448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864485" cy="5715"/>
                    </a:xfrm>
                    <a:prstGeom prst="rect">
                      <a:avLst/>
                    </a:prstGeom>
                    <a:noFill/>
                  </pic:spPr>
                </pic:pic>
              </a:graphicData>
            </a:graphic>
          </wp:anchor>
        </w:drawing>
      </w:r>
    </w:p>
    <w:p>
      <w:pPr>
        <w:ind w:left="5382"/>
        <w:spacing w:after="0" w:line="210" w:lineRule="auto"/>
        <w:rPr>
          <w:sz w:val="20"/>
          <w:szCs w:val="20"/>
          <w:color w:val="auto"/>
        </w:rPr>
      </w:pPr>
      <w:r>
        <w:rPr>
          <w:rFonts w:ascii="Arial" w:cs="Arial" w:eastAsia="Arial" w:hAnsi="Arial"/>
          <w:sz w:val="12"/>
          <w:szCs w:val="12"/>
          <w:color w:val="auto"/>
        </w:rPr>
        <w:t>Darrin R. Uecker</w:t>
      </w:r>
    </w:p>
    <w:p>
      <w:pPr>
        <w:ind w:left="5382"/>
        <w:spacing w:after="0" w:line="209" w:lineRule="auto"/>
        <w:rPr>
          <w:sz w:val="20"/>
          <w:szCs w:val="20"/>
          <w:color w:val="auto"/>
        </w:rPr>
      </w:pPr>
      <w:r>
        <w:rPr>
          <w:rFonts w:ascii="Arial" w:cs="Arial" w:eastAsia="Arial" w:hAnsi="Arial"/>
          <w:sz w:val="12"/>
          <w:szCs w:val="12"/>
          <w:color w:val="auto"/>
        </w:rPr>
        <w:t>President and Chief Executive Officer</w:t>
      </w:r>
    </w:p>
    <w:p>
      <w:pPr>
        <w:ind w:left="5382"/>
        <w:spacing w:after="0"/>
        <w:rPr>
          <w:sz w:val="20"/>
          <w:szCs w:val="20"/>
          <w:color w:val="auto"/>
        </w:rPr>
      </w:pPr>
      <w:r>
        <w:rPr>
          <w:rFonts w:ascii="Arial" w:cs="Arial" w:eastAsia="Arial" w:hAnsi="Arial"/>
          <w:sz w:val="12"/>
          <w:szCs w:val="12"/>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226695</wp:posOffset>
            </wp:positionV>
            <wp:extent cx="636905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369050" cy="43180"/>
                    </a:xfrm>
                    <a:prstGeom prst="rect">
                      <a:avLst/>
                    </a:prstGeom>
                    <a:noFill/>
                  </pic:spPr>
                </pic:pic>
              </a:graphicData>
            </a:graphic>
          </wp:anchor>
        </w:drawing>
      </w:r>
    </w:p>
    <w:p>
      <w:pPr>
        <w:sectPr>
          <w:pgSz w:w="11900" w:h="16838" w:orient="portrait"/>
          <w:cols w:equalWidth="0" w:num="1">
            <w:col w:w="9982"/>
          </w:cols>
          <w:pgMar w:left="958" w:top="118" w:right="959" w:bottom="1440" w:gutter="0" w:footer="0" w:header="0"/>
        </w:sectPr>
      </w:pPr>
    </w:p>
    <w:bookmarkStart w:id="59" w:name="page60"/>
    <w:bookmarkEnd w:id="59"/>
    <w:p>
      <w:pPr>
        <w:jc w:val="right"/>
        <w:spacing w:after="0"/>
        <w:rPr>
          <w:sz w:val="20"/>
          <w:szCs w:val="20"/>
          <w:color w:val="auto"/>
        </w:rPr>
      </w:pPr>
      <w:r>
        <w:rPr>
          <w:rFonts w:ascii="Arial" w:cs="Arial" w:eastAsia="Arial" w:hAnsi="Arial"/>
          <w:sz w:val="12"/>
          <w:szCs w:val="12"/>
          <w:b w:val="1"/>
          <w:bCs w:val="1"/>
          <w:color w:val="auto"/>
        </w:rPr>
        <w:t>Exhibit 31.2</w:t>
      </w:r>
    </w:p>
    <w:p>
      <w:pPr>
        <w:spacing w:after="0" w:line="93" w:lineRule="exact"/>
        <w:rPr>
          <w:sz w:val="20"/>
          <w:szCs w:val="20"/>
          <w:color w:val="auto"/>
        </w:rPr>
      </w:pPr>
    </w:p>
    <w:p>
      <w:pPr>
        <w:jc w:val="center"/>
        <w:ind w:right="18"/>
        <w:spacing w:after="0" w:line="231" w:lineRule="auto"/>
        <w:rPr>
          <w:sz w:val="20"/>
          <w:szCs w:val="20"/>
          <w:color w:val="auto"/>
        </w:rPr>
      </w:pPr>
      <w:r>
        <w:rPr>
          <w:rFonts w:ascii="Arial" w:cs="Arial" w:eastAsia="Arial" w:hAnsi="Arial"/>
          <w:sz w:val="12"/>
          <w:szCs w:val="12"/>
          <w:b w:val="1"/>
          <w:bCs w:val="1"/>
          <w:color w:val="auto"/>
        </w:rPr>
        <w:t>CERTIFICATION OF CHIEF FINANCIAL OFFICER PURSUANT TO SECURITIES EXCHANGE ACT RULES 13a-14(a) and 15d-14(a), AS ADOPTED PURSUANT TO SECTION 302 OF THE SARBANES-OXLEY ACT OF 2002</w:t>
      </w:r>
    </w:p>
    <w:p>
      <w:pPr>
        <w:spacing w:after="0" w:line="76" w:lineRule="exact"/>
        <w:rPr>
          <w:sz w:val="20"/>
          <w:szCs w:val="20"/>
          <w:color w:val="auto"/>
        </w:rPr>
      </w:pPr>
    </w:p>
    <w:p>
      <w:pPr>
        <w:ind w:left="2"/>
        <w:spacing w:after="0"/>
        <w:rPr>
          <w:sz w:val="20"/>
          <w:szCs w:val="20"/>
          <w:color w:val="auto"/>
        </w:rPr>
      </w:pPr>
      <w:r>
        <w:rPr>
          <w:rFonts w:ascii="Arial" w:cs="Arial" w:eastAsia="Arial" w:hAnsi="Arial"/>
          <w:sz w:val="12"/>
          <w:szCs w:val="12"/>
          <w:color w:val="auto"/>
        </w:rPr>
        <w:t>I, Sandra A. Gardiner, certify that:</w:t>
      </w:r>
    </w:p>
    <w:p>
      <w:pPr>
        <w:spacing w:after="0" w:line="83" w:lineRule="exact"/>
        <w:rPr>
          <w:sz w:val="20"/>
          <w:szCs w:val="20"/>
          <w:color w:val="auto"/>
        </w:rPr>
      </w:pPr>
    </w:p>
    <w:p>
      <w:pPr>
        <w:ind w:left="222" w:hanging="222"/>
        <w:spacing w:after="0"/>
        <w:tabs>
          <w:tab w:leader="none" w:pos="222" w:val="left"/>
        </w:tabs>
        <w:numPr>
          <w:ilvl w:val="0"/>
          <w:numId w:val="7"/>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for the quarter ended March 31, 2021 of Pulse Biosciences, Inc.;</w:t>
      </w:r>
    </w:p>
    <w:p>
      <w:pPr>
        <w:spacing w:after="0" w:line="83"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2"/>
          <w:szCs w:val="12"/>
          <w:color w:val="auto"/>
        </w:rPr>
      </w:pPr>
    </w:p>
    <w:p>
      <w:pPr>
        <w:ind w:left="442" w:right="20" w:hanging="221"/>
        <w:spacing w:after="0" w:line="282" w:lineRule="auto"/>
        <w:tabs>
          <w:tab w:leader="none" w:pos="442" w:val="left"/>
        </w:tabs>
        <w:numPr>
          <w:ilvl w:val="1"/>
          <w:numId w:val="7"/>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Arial" w:cs="Arial" w:eastAsia="Arial" w:hAnsi="Arial"/>
          <w:sz w:val="11"/>
          <w:szCs w:val="11"/>
          <w:color w:val="auto"/>
        </w:rPr>
      </w:pPr>
    </w:p>
    <w:p>
      <w:pPr>
        <w:ind w:left="442" w:right="100" w:hanging="221"/>
        <w:spacing w:after="0" w:line="282" w:lineRule="auto"/>
        <w:tabs>
          <w:tab w:leader="none" w:pos="442" w:val="left"/>
        </w:tabs>
        <w:numPr>
          <w:ilvl w:val="1"/>
          <w:numId w:val="7"/>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1"/>
          <w:szCs w:val="11"/>
          <w:color w:val="auto"/>
        </w:rPr>
      </w:pPr>
    </w:p>
    <w:p>
      <w:pPr>
        <w:ind w:left="442" w:hanging="221"/>
        <w:spacing w:after="0" w:line="239" w:lineRule="auto"/>
        <w:tabs>
          <w:tab w:leader="none" w:pos="442" w:val="left"/>
        </w:tabs>
        <w:numPr>
          <w:ilvl w:val="1"/>
          <w:numId w:val="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2"/>
          <w:szCs w:val="12"/>
          <w:color w:val="auto"/>
        </w:rPr>
      </w:pPr>
    </w:p>
    <w:p>
      <w:pPr>
        <w:ind w:left="442" w:right="20" w:hanging="221"/>
        <w:spacing w:after="0" w:line="239" w:lineRule="auto"/>
        <w:tabs>
          <w:tab w:leader="none" w:pos="442" w:val="left"/>
        </w:tabs>
        <w:numPr>
          <w:ilvl w:val="1"/>
          <w:numId w:val="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2"/>
          <w:szCs w:val="12"/>
          <w:color w:val="auto"/>
        </w:rPr>
      </w:pPr>
    </w:p>
    <w:p>
      <w:pPr>
        <w:ind w:left="442" w:right="20" w:hanging="221"/>
        <w:spacing w:after="0" w:line="239" w:lineRule="auto"/>
        <w:tabs>
          <w:tab w:leader="none" w:pos="442" w:val="left"/>
        </w:tabs>
        <w:numPr>
          <w:ilvl w:val="1"/>
          <w:numId w:val="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2"/>
          <w:szCs w:val="12"/>
          <w:color w:val="auto"/>
        </w:rPr>
      </w:pPr>
    </w:p>
    <w:p>
      <w:pPr>
        <w:ind w:left="442" w:hanging="221"/>
        <w:spacing w:after="0"/>
        <w:tabs>
          <w:tab w:leader="none" w:pos="442" w:val="left"/>
        </w:tabs>
        <w:numPr>
          <w:ilvl w:val="1"/>
          <w:numId w:val="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2"/>
        <w:spacing w:after="0"/>
        <w:tabs>
          <w:tab w:leader="none" w:pos="4882" w:val="left"/>
          <w:tab w:leader="none" w:pos="5362" w:val="left"/>
        </w:tabs>
        <w:rPr>
          <w:sz w:val="20"/>
          <w:szCs w:val="20"/>
          <w:color w:val="auto"/>
        </w:rPr>
      </w:pPr>
      <w:r>
        <w:rPr>
          <w:rFonts w:ascii="Arial" w:cs="Arial" w:eastAsia="Arial" w:hAnsi="Arial"/>
          <w:sz w:val="12"/>
          <w:szCs w:val="12"/>
          <w:color w:val="auto"/>
        </w:rPr>
        <w:t>Date: May 10,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0</wp:posOffset>
            </wp:positionV>
            <wp:extent cx="286448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864485" cy="5715"/>
                    </a:xfrm>
                    <a:prstGeom prst="rect">
                      <a:avLst/>
                    </a:prstGeom>
                    <a:noFill/>
                  </pic:spPr>
                </pic:pic>
              </a:graphicData>
            </a:graphic>
          </wp:anchor>
        </w:drawing>
      </w:r>
    </w:p>
    <w:p>
      <w:pPr>
        <w:ind w:left="5382"/>
        <w:spacing w:after="0" w:line="210" w:lineRule="auto"/>
        <w:rPr>
          <w:sz w:val="20"/>
          <w:szCs w:val="20"/>
          <w:color w:val="auto"/>
        </w:rPr>
      </w:pPr>
      <w:r>
        <w:rPr>
          <w:rFonts w:ascii="Arial" w:cs="Arial" w:eastAsia="Arial" w:hAnsi="Arial"/>
          <w:sz w:val="12"/>
          <w:szCs w:val="12"/>
          <w:color w:val="auto"/>
        </w:rPr>
        <w:t>Sandra A. Gardiner</w:t>
      </w:r>
    </w:p>
    <w:p>
      <w:pPr>
        <w:ind w:left="5382"/>
        <w:spacing w:after="0" w:line="228" w:lineRule="auto"/>
        <w:rPr>
          <w:sz w:val="20"/>
          <w:szCs w:val="20"/>
          <w:color w:val="auto"/>
        </w:rPr>
      </w:pPr>
      <w:r>
        <w:rPr>
          <w:rFonts w:ascii="Arial" w:cs="Arial" w:eastAsia="Arial" w:hAnsi="Arial"/>
          <w:sz w:val="11"/>
          <w:szCs w:val="11"/>
          <w:color w:val="auto"/>
        </w:rPr>
        <w:t>Chief Financial Officer, Executive Vice President of Finance and Administration, Secretary</w:t>
      </w:r>
    </w:p>
    <w:p>
      <w:pPr>
        <w:ind w:left="5382"/>
        <w:spacing w:after="0" w:line="208" w:lineRule="auto"/>
        <w:rPr>
          <w:sz w:val="20"/>
          <w:szCs w:val="20"/>
          <w:color w:val="auto"/>
        </w:rPr>
      </w:pPr>
      <w:r>
        <w:rPr>
          <w:rFonts w:ascii="Arial" w:cs="Arial" w:eastAsia="Arial" w:hAnsi="Arial"/>
          <w:sz w:val="12"/>
          <w:szCs w:val="12"/>
          <w:color w:val="auto"/>
        </w:rPr>
        <w:t>and Treasurer</w:t>
      </w:r>
    </w:p>
    <w:p>
      <w:pPr>
        <w:ind w:left="5382"/>
        <w:spacing w:after="0"/>
        <w:rPr>
          <w:sz w:val="20"/>
          <w:szCs w:val="20"/>
          <w:color w:val="auto"/>
        </w:rPr>
      </w:pPr>
      <w:r>
        <w:rPr>
          <w:rFonts w:ascii="Arial" w:cs="Arial" w:eastAsia="Arial" w:hAnsi="Arial"/>
          <w:sz w:val="12"/>
          <w:szCs w:val="12"/>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226695</wp:posOffset>
            </wp:positionV>
            <wp:extent cx="636905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369050" cy="43180"/>
                    </a:xfrm>
                    <a:prstGeom prst="rect">
                      <a:avLst/>
                    </a:prstGeom>
                    <a:noFill/>
                  </pic:spPr>
                </pic:pic>
              </a:graphicData>
            </a:graphic>
          </wp:anchor>
        </w:drawing>
      </w:r>
    </w:p>
    <w:p>
      <w:pPr>
        <w:sectPr>
          <w:pgSz w:w="11900" w:h="16838" w:orient="portrait"/>
          <w:cols w:equalWidth="0" w:num="1">
            <w:col w:w="9982"/>
          </w:cols>
          <w:pgMar w:left="958" w:top="118" w:right="959" w:bottom="1440" w:gutter="0" w:footer="0" w:header="0"/>
        </w:sectPr>
      </w:pPr>
    </w:p>
    <w:bookmarkStart w:id="60" w:name="page61"/>
    <w:bookmarkEnd w:id="60"/>
    <w:p>
      <w:pPr>
        <w:jc w:val="right"/>
        <w:spacing w:after="0"/>
        <w:rPr>
          <w:sz w:val="20"/>
          <w:szCs w:val="20"/>
          <w:color w:val="auto"/>
        </w:rPr>
      </w:pPr>
      <w:r>
        <w:rPr>
          <w:rFonts w:ascii="Arial" w:cs="Arial" w:eastAsia="Arial" w:hAnsi="Arial"/>
          <w:sz w:val="12"/>
          <w:szCs w:val="12"/>
          <w:b w:val="1"/>
          <w:bCs w:val="1"/>
          <w:color w:val="auto"/>
        </w:rPr>
        <w:t>Exhibit 32.1</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CERTIFICATIONS PURSUANT TO</w:t>
      </w:r>
    </w:p>
    <w:p>
      <w:pPr>
        <w:ind w:left="3420"/>
        <w:spacing w:after="0" w:line="208" w:lineRule="auto"/>
        <w:rPr>
          <w:sz w:val="20"/>
          <w:szCs w:val="20"/>
          <w:color w:val="auto"/>
        </w:rPr>
      </w:pPr>
      <w:r>
        <w:rPr>
          <w:rFonts w:ascii="Arial" w:cs="Arial" w:eastAsia="Arial" w:hAnsi="Arial"/>
          <w:sz w:val="12"/>
          <w:szCs w:val="12"/>
          <w:b w:val="1"/>
          <w:bCs w:val="1"/>
          <w:color w:val="auto"/>
        </w:rPr>
        <w:t>18 U.S.C. SECTION 1350, AS ADOPTED PURSUANT TO</w:t>
      </w:r>
    </w:p>
    <w:p>
      <w:pPr>
        <w:ind w:left="3380"/>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20" w:lineRule="exact"/>
        <w:rPr>
          <w:sz w:val="20"/>
          <w:szCs w:val="20"/>
          <w:color w:val="auto"/>
        </w:rPr>
      </w:pPr>
    </w:p>
    <w:p>
      <w:pPr>
        <w:jc w:val="both"/>
        <w:ind w:right="20" w:firstLine="301"/>
        <w:spacing w:after="0" w:line="229" w:lineRule="auto"/>
        <w:rPr>
          <w:sz w:val="20"/>
          <w:szCs w:val="20"/>
          <w:color w:val="auto"/>
        </w:rPr>
      </w:pPr>
      <w:r>
        <w:rPr>
          <w:rFonts w:ascii="Arial" w:cs="Arial" w:eastAsia="Arial" w:hAnsi="Arial"/>
          <w:sz w:val="12"/>
          <w:szCs w:val="12"/>
          <w:color w:val="auto"/>
        </w:rPr>
        <w:t>In connection with the Quarterly Report of Pulse Biosciences, Inc. (the “Company”) on Form 10-Q for the period ended March 31, 2021 as filed with the Securities and Exchange Commission on the date hereof (the “Report”), each of the undersigned certify, pursuant to 18 U.S.C. Section 1350, as adopted pursuant to Section 906 of the Sarbanes-Oxley Act of 2002, that to the best of his knowledge:</w:t>
      </w:r>
    </w:p>
    <w:p>
      <w:pPr>
        <w:spacing w:after="0" w:line="29" w:lineRule="exact"/>
        <w:rPr>
          <w:sz w:val="20"/>
          <w:szCs w:val="20"/>
          <w:color w:val="auto"/>
        </w:rPr>
      </w:pPr>
    </w:p>
    <w:p>
      <w:pPr>
        <w:ind w:left="560" w:hanging="261"/>
        <w:spacing w:after="0"/>
        <w:tabs>
          <w:tab w:leader="none" w:pos="56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29" w:lineRule="exact"/>
        <w:rPr>
          <w:rFonts w:ascii="Arial" w:cs="Arial" w:eastAsia="Arial" w:hAnsi="Arial"/>
          <w:sz w:val="12"/>
          <w:szCs w:val="12"/>
          <w:color w:val="auto"/>
        </w:rPr>
      </w:pPr>
    </w:p>
    <w:p>
      <w:pPr>
        <w:ind w:left="560" w:hanging="261"/>
        <w:spacing w:after="0"/>
        <w:tabs>
          <w:tab w:leader="none" w:pos="56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color w:val="auto"/>
        </w:rPr>
        <w:t>In Witness Whereof, the undersigned have set their hands hereto as of the 10</w:t>
      </w:r>
      <w:r>
        <w:rPr>
          <w:rFonts w:ascii="Arial" w:cs="Arial" w:eastAsia="Arial" w:hAnsi="Arial"/>
          <w:sz w:val="6"/>
          <w:szCs w:val="6"/>
          <w:color w:val="auto"/>
        </w:rPr>
        <w:t>th</w:t>
      </w:r>
      <w:r>
        <w:rPr>
          <w:rFonts w:ascii="Arial" w:cs="Arial" w:eastAsia="Arial" w:hAnsi="Arial"/>
          <w:sz w:val="12"/>
          <w:szCs w:val="12"/>
          <w:color w:val="auto"/>
        </w:rPr>
        <w:t xml:space="preserve"> day of May 2021.</w:t>
      </w:r>
    </w:p>
    <w:p>
      <w:pPr>
        <w:spacing w:after="0" w:line="111" w:lineRule="exact"/>
        <w:rPr>
          <w:sz w:val="20"/>
          <w:szCs w:val="20"/>
          <w:color w:val="auto"/>
        </w:rPr>
      </w:pPr>
    </w:p>
    <w:p>
      <w:pPr>
        <w:ind w:left="5380"/>
        <w:spacing w:after="0"/>
        <w:rPr>
          <w:sz w:val="20"/>
          <w:szCs w:val="20"/>
          <w:color w:val="auto"/>
        </w:rPr>
      </w:pPr>
      <w:r>
        <w:rPr>
          <w:rFonts w:ascii="Arial" w:cs="Arial" w:eastAsia="Arial" w:hAnsi="Arial"/>
          <w:sz w:val="12"/>
          <w:szCs w:val="12"/>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3413760</wp:posOffset>
            </wp:positionH>
            <wp:positionV relativeFrom="paragraph">
              <wp:posOffset>0</wp:posOffset>
            </wp:positionV>
            <wp:extent cx="286448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864485" cy="5715"/>
                    </a:xfrm>
                    <a:prstGeom prst="rect">
                      <a:avLst/>
                    </a:prstGeom>
                    <a:noFill/>
                  </pic:spPr>
                </pic:pic>
              </a:graphicData>
            </a:graphic>
          </wp:anchor>
        </w:drawing>
      </w:r>
    </w:p>
    <w:p>
      <w:pPr>
        <w:ind w:left="5380"/>
        <w:spacing w:after="0" w:line="210" w:lineRule="auto"/>
        <w:rPr>
          <w:sz w:val="20"/>
          <w:szCs w:val="20"/>
          <w:color w:val="auto"/>
        </w:rPr>
      </w:pPr>
      <w:r>
        <w:rPr>
          <w:rFonts w:ascii="Arial" w:cs="Arial" w:eastAsia="Arial" w:hAnsi="Arial"/>
          <w:sz w:val="12"/>
          <w:szCs w:val="12"/>
          <w:color w:val="auto"/>
        </w:rPr>
        <w:t>Darrin R. Uecker</w:t>
      </w:r>
    </w:p>
    <w:p>
      <w:pPr>
        <w:ind w:left="5380"/>
        <w:spacing w:after="0" w:line="209" w:lineRule="auto"/>
        <w:rPr>
          <w:sz w:val="20"/>
          <w:szCs w:val="20"/>
          <w:color w:val="auto"/>
        </w:rPr>
      </w:pPr>
      <w:r>
        <w:rPr>
          <w:rFonts w:ascii="Arial" w:cs="Arial" w:eastAsia="Arial" w:hAnsi="Arial"/>
          <w:sz w:val="12"/>
          <w:szCs w:val="12"/>
          <w:color w:val="auto"/>
        </w:rPr>
        <w:t>President and Chief Executive Officer</w:t>
      </w:r>
    </w:p>
    <w:p>
      <w:pPr>
        <w:ind w:left="5380"/>
        <w:spacing w:after="0"/>
        <w:rPr>
          <w:sz w:val="20"/>
          <w:szCs w:val="20"/>
          <w:color w:val="auto"/>
        </w:rPr>
      </w:pPr>
      <w:r>
        <w:rPr>
          <w:rFonts w:ascii="Arial" w:cs="Arial" w:eastAsia="Arial" w:hAnsi="Arial"/>
          <w:sz w:val="12"/>
          <w:szCs w:val="12"/>
          <w:color w:val="auto"/>
        </w:rPr>
        <w:t>(Principal Executive Officer)</w:t>
      </w:r>
    </w:p>
    <w:p>
      <w:pPr>
        <w:spacing w:after="0" w:line="101" w:lineRule="exact"/>
        <w:rPr>
          <w:sz w:val="20"/>
          <w:szCs w:val="20"/>
          <w:color w:val="auto"/>
        </w:rPr>
      </w:pPr>
    </w:p>
    <w:p>
      <w:pPr>
        <w:ind w:left="5380"/>
        <w:spacing w:after="0"/>
        <w:rPr>
          <w:sz w:val="20"/>
          <w:szCs w:val="20"/>
          <w:color w:val="auto"/>
        </w:rPr>
      </w:pPr>
      <w:r>
        <w:rPr>
          <w:rFonts w:ascii="Arial" w:cs="Arial" w:eastAsia="Arial" w:hAnsi="Arial"/>
          <w:sz w:val="12"/>
          <w:szCs w:val="12"/>
          <w:color w:val="auto"/>
        </w:rPr>
        <w:t>/s/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3413760</wp:posOffset>
            </wp:positionH>
            <wp:positionV relativeFrom="paragraph">
              <wp:posOffset>0</wp:posOffset>
            </wp:positionV>
            <wp:extent cx="286448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864485" cy="5715"/>
                    </a:xfrm>
                    <a:prstGeom prst="rect">
                      <a:avLst/>
                    </a:prstGeom>
                    <a:noFill/>
                  </pic:spPr>
                </pic:pic>
              </a:graphicData>
            </a:graphic>
          </wp:anchor>
        </w:drawing>
      </w:r>
    </w:p>
    <w:p>
      <w:pPr>
        <w:ind w:left="5380"/>
        <w:spacing w:after="0" w:line="210" w:lineRule="auto"/>
        <w:rPr>
          <w:sz w:val="20"/>
          <w:szCs w:val="20"/>
          <w:color w:val="auto"/>
        </w:rPr>
      </w:pPr>
      <w:r>
        <w:rPr>
          <w:rFonts w:ascii="Arial" w:cs="Arial" w:eastAsia="Arial" w:hAnsi="Arial"/>
          <w:sz w:val="12"/>
          <w:szCs w:val="12"/>
          <w:color w:val="auto"/>
        </w:rPr>
        <w:t>Sandra A. Gardiner</w:t>
      </w:r>
    </w:p>
    <w:p>
      <w:pPr>
        <w:ind w:left="5380"/>
        <w:spacing w:after="0" w:line="228" w:lineRule="auto"/>
        <w:rPr>
          <w:sz w:val="20"/>
          <w:szCs w:val="20"/>
          <w:color w:val="auto"/>
        </w:rPr>
      </w:pPr>
      <w:r>
        <w:rPr>
          <w:rFonts w:ascii="Arial" w:cs="Arial" w:eastAsia="Arial" w:hAnsi="Arial"/>
          <w:sz w:val="11"/>
          <w:szCs w:val="11"/>
          <w:color w:val="auto"/>
        </w:rPr>
        <w:t>Chief Financial Officer, Executive Vice President of Finance and Administration, Secretary</w:t>
      </w:r>
    </w:p>
    <w:p>
      <w:pPr>
        <w:ind w:left="5380"/>
        <w:spacing w:after="0" w:line="208" w:lineRule="auto"/>
        <w:rPr>
          <w:sz w:val="20"/>
          <w:szCs w:val="20"/>
          <w:color w:val="auto"/>
        </w:rPr>
      </w:pPr>
      <w:r>
        <w:rPr>
          <w:rFonts w:ascii="Arial" w:cs="Arial" w:eastAsia="Arial" w:hAnsi="Arial"/>
          <w:sz w:val="12"/>
          <w:szCs w:val="12"/>
          <w:color w:val="auto"/>
        </w:rPr>
        <w:t>and Treasurer</w:t>
      </w:r>
    </w:p>
    <w:p>
      <w:pPr>
        <w:ind w:left="5380"/>
        <w:spacing w:after="0"/>
        <w:rPr>
          <w:sz w:val="20"/>
          <w:szCs w:val="20"/>
          <w:color w:val="auto"/>
        </w:rPr>
      </w:pPr>
      <w:r>
        <w:rPr>
          <w:rFonts w:ascii="Arial" w:cs="Arial" w:eastAsia="Arial" w:hAnsi="Arial"/>
          <w:sz w:val="12"/>
          <w:szCs w:val="12"/>
          <w:color w:val="auto"/>
        </w:rPr>
        <w:t>(Principal Financial and Accounting Officer)</w:t>
      </w:r>
    </w:p>
    <w:p>
      <w:pPr>
        <w:spacing w:after="0" w:line="239" w:lineRule="exact"/>
        <w:rPr>
          <w:sz w:val="20"/>
          <w:szCs w:val="20"/>
          <w:color w:val="auto"/>
        </w:rPr>
      </w:pPr>
    </w:p>
    <w:p>
      <w:pPr>
        <w:jc w:val="both"/>
        <w:ind w:right="20" w:firstLine="301"/>
        <w:spacing w:after="0" w:line="229" w:lineRule="auto"/>
        <w:rPr>
          <w:sz w:val="20"/>
          <w:szCs w:val="20"/>
          <w:color w:val="auto"/>
        </w:rPr>
      </w:pPr>
      <w:r>
        <w:rPr>
          <w:rFonts w:ascii="Arial" w:cs="Arial" w:eastAsia="Arial" w:hAnsi="Arial"/>
          <w:sz w:val="12"/>
          <w:szCs w:val="12"/>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222250</wp:posOffset>
            </wp:positionV>
            <wp:extent cx="636905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369050" cy="43180"/>
                    </a:xfrm>
                    <a:prstGeom prst="rect">
                      <a:avLst/>
                    </a:prstGeom>
                    <a:noFill/>
                  </pic:spPr>
                </pic:pic>
              </a:graphicData>
            </a:graphic>
          </wp:anchor>
        </w:drawing>
      </w:r>
    </w:p>
    <w:sectPr>
      <w:pgSz w:w="11900" w:h="16838" w:orient="portrait"/>
      <w:cols w:equalWidth="0" w:num="1">
        <w:col w:w="9980"/>
      </w:cols>
      <w:pgMar w:left="960" w:top="118"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8"/>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89" Type="http://schemas.openxmlformats.org/officeDocument/2006/relationships/hyperlink" Target="http://www.sec.gov/Archives/edgar/data/1625101/000162510121000012/plse-20210311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2021-05-10T15:57:41Z</dcterms:created>
  <dcterms:modified xsi:type="dcterms:W3CDTF">2021-05-10T15:57:41Z</dcterms:modified>
</cp:coreProperties>
</file>