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820" w:right="1300" w:hanging="3812"/>
        <w:spacing w:after="0" w:line="500" w:lineRule="auto"/>
        <w:tabs>
          <w:tab w:leader="none" w:pos="82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692" w:right="359" w:bottom="349" w:gutter="0" w:footer="0" w:header="0"/>
        </w:sectPr>
      </w:pPr>
    </w:p>
    <w:p>
      <w:pPr>
        <w:spacing w:after="0" w:line="237" w:lineRule="exact"/>
        <w:rPr>
          <w:sz w:val="24"/>
          <w:szCs w:val="24"/>
          <w:color w:val="auto"/>
        </w:rPr>
      </w:pPr>
    </w:p>
    <w:p>
      <w:pPr>
        <w:ind w:left="41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420" w:space="580"/>
            <w:col w:w="4220"/>
          </w:cols>
          <w:pgMar w:left="320" w:top="692" w:right="359" w:bottom="349"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20"/>
          </w:cols>
          <w:pgMar w:left="320" w:top="692" w:right="359" w:bottom="349" w:gutter="0" w:footer="0" w:header="0"/>
          <w:type w:val="continuous"/>
        </w:sectPr>
      </w:pPr>
    </w:p>
    <w:p>
      <w:pPr>
        <w:spacing w:after="0" w:line="200" w:lineRule="exact"/>
        <w:rPr>
          <w:sz w:val="24"/>
          <w:szCs w:val="24"/>
          <w:color w:val="auto"/>
        </w:rPr>
      </w:pPr>
    </w:p>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Pulse Biosciences,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414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2460" w:type="dxa"/>
            <w:vAlign w:val="bottom"/>
          </w:tcPr>
          <w:p>
            <w:pPr>
              <w:spacing w:after="0"/>
              <w:rPr>
                <w:sz w:val="18"/>
                <w:szCs w:val="18"/>
                <w:color w:val="auto"/>
              </w:rPr>
            </w:pPr>
          </w:p>
        </w:tc>
        <w:tc>
          <w:tcPr>
            <w:tcW w:w="3600" w:type="dxa"/>
            <w:vAlign w:val="bottom"/>
          </w:tcPr>
          <w:p>
            <w:pPr>
              <w:jc w:val="right"/>
              <w:ind w:right="1670"/>
              <w:spacing w:after="0"/>
              <w:rPr>
                <w:sz w:val="20"/>
                <w:szCs w:val="20"/>
                <w:color w:val="auto"/>
              </w:rPr>
            </w:pPr>
            <w:r>
              <w:rPr>
                <w:rFonts w:ascii="Arial" w:cs="Arial" w:eastAsia="Arial" w:hAnsi="Arial"/>
                <w:sz w:val="18"/>
                <w:szCs w:val="18"/>
                <w:b w:val="1"/>
                <w:bCs w:val="1"/>
                <w:color w:val="auto"/>
              </w:rPr>
              <w:t>46-5696597</w:t>
            </w:r>
          </w:p>
        </w:tc>
      </w:tr>
      <w:tr>
        <w:trPr>
          <w:trHeight w:val="216"/>
        </w:trPr>
        <w:tc>
          <w:tcPr>
            <w:tcW w:w="414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0"/>
              </w:rPr>
              <w:t>(State or other jurisdiction of</w:t>
            </w:r>
          </w:p>
        </w:tc>
        <w:tc>
          <w:tcPr>
            <w:tcW w:w="2460" w:type="dxa"/>
            <w:vAlign w:val="bottom"/>
          </w:tcPr>
          <w:p>
            <w:pPr>
              <w:spacing w:after="0"/>
              <w:rPr>
                <w:sz w:val="18"/>
                <w:szCs w:val="18"/>
                <w:color w:val="auto"/>
              </w:rPr>
            </w:pPr>
          </w:p>
        </w:tc>
        <w:tc>
          <w:tcPr>
            <w:tcW w:w="3600" w:type="dxa"/>
            <w:vAlign w:val="bottom"/>
          </w:tcPr>
          <w:p>
            <w:pPr>
              <w:jc w:val="center"/>
              <w:ind w:right="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1"/>
              </w:rPr>
              <w:t>incorporation or organization)</w:t>
            </w:r>
          </w:p>
        </w:tc>
        <w:tc>
          <w:tcPr>
            <w:tcW w:w="2460" w:type="dxa"/>
            <w:vAlign w:val="bottom"/>
          </w:tcPr>
          <w:p>
            <w:pPr>
              <w:spacing w:after="0"/>
              <w:rPr>
                <w:sz w:val="20"/>
                <w:szCs w:val="20"/>
                <w:color w:val="auto"/>
              </w:rPr>
            </w:pPr>
          </w:p>
        </w:tc>
        <w:tc>
          <w:tcPr>
            <w:tcW w:w="36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14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0"/>
              </w:rPr>
              <w:t>3957 Point Eden Way</w:t>
            </w:r>
          </w:p>
        </w:tc>
        <w:tc>
          <w:tcPr>
            <w:tcW w:w="24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14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7"/>
              </w:rPr>
              <w:t>Hayward, CA</w:t>
            </w:r>
          </w:p>
        </w:tc>
        <w:tc>
          <w:tcPr>
            <w:tcW w:w="2460" w:type="dxa"/>
            <w:vAlign w:val="bottom"/>
          </w:tcPr>
          <w:p>
            <w:pPr>
              <w:spacing w:after="0"/>
              <w:rPr>
                <w:sz w:val="18"/>
                <w:szCs w:val="18"/>
                <w:color w:val="auto"/>
              </w:rPr>
            </w:pPr>
          </w:p>
        </w:tc>
        <w:tc>
          <w:tcPr>
            <w:tcW w:w="3600" w:type="dxa"/>
            <w:vAlign w:val="bottom"/>
          </w:tcPr>
          <w:p>
            <w:pPr>
              <w:jc w:val="right"/>
              <w:ind w:right="1870"/>
              <w:spacing w:after="0"/>
              <w:rPr>
                <w:sz w:val="20"/>
                <w:szCs w:val="20"/>
                <w:color w:val="auto"/>
              </w:rPr>
            </w:pPr>
            <w:r>
              <w:rPr>
                <w:rFonts w:ascii="Arial" w:cs="Arial" w:eastAsia="Arial" w:hAnsi="Arial"/>
                <w:sz w:val="18"/>
                <w:szCs w:val="18"/>
                <w:b w:val="1"/>
                <w:bCs w:val="1"/>
                <w:color w:val="auto"/>
              </w:rPr>
              <w:t>94545</w:t>
            </w:r>
          </w:p>
        </w:tc>
      </w:tr>
      <w:tr>
        <w:trPr>
          <w:trHeight w:val="234"/>
        </w:trPr>
        <w:tc>
          <w:tcPr>
            <w:tcW w:w="41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460" w:type="dxa"/>
            <w:vAlign w:val="bottom"/>
          </w:tcPr>
          <w:p>
            <w:pPr>
              <w:spacing w:after="0"/>
              <w:rPr>
                <w:sz w:val="20"/>
                <w:szCs w:val="20"/>
                <w:color w:val="auto"/>
              </w:rPr>
            </w:pPr>
          </w:p>
        </w:tc>
        <w:tc>
          <w:tcPr>
            <w:tcW w:w="3600" w:type="dxa"/>
            <w:vAlign w:val="bottom"/>
          </w:tcPr>
          <w:p>
            <w:pPr>
              <w:jc w:val="center"/>
              <w:ind w:right="690"/>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3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(510) 906-4600</w:t>
            </w:r>
          </w:p>
        </w:tc>
        <w:tc>
          <w:tcPr>
            <w:tcW w:w="3600" w:type="dxa"/>
            <w:vAlign w:val="bottom"/>
          </w:tcPr>
          <w:p>
            <w:pPr>
              <w:spacing w:after="0"/>
              <w:rPr>
                <w:sz w:val="24"/>
                <w:szCs w:val="24"/>
                <w:color w:val="auto"/>
              </w:rPr>
            </w:pPr>
          </w:p>
        </w:tc>
      </w:tr>
      <w:tr>
        <w:trPr>
          <w:trHeight w:val="234"/>
        </w:trPr>
        <w:tc>
          <w:tcPr>
            <w:tcW w:w="1020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89"/>
              </w:rPr>
              <w:t>(Registrant</w:t>
            </w:r>
            <w:r>
              <w:rPr>
                <w:rFonts w:ascii="Arial" w:cs="Arial" w:eastAsia="Arial" w:hAnsi="Arial"/>
                <w:sz w:val="18"/>
                <w:szCs w:val="18"/>
                <w:color w:val="auto"/>
                <w:w w:val="89"/>
              </w:rPr>
              <w:t>’</w:t>
            </w:r>
            <w:r>
              <w:rPr>
                <w:rFonts w:ascii="Arial" w:cs="Arial" w:eastAsia="Arial" w:hAnsi="Arial"/>
                <w:sz w:val="18"/>
                <w:szCs w:val="18"/>
                <w:b w:val="1"/>
                <w:bCs w:val="1"/>
                <w:color w:val="auto"/>
                <w:w w:val="89"/>
              </w:rPr>
              <w:t>s telephone number, including area code)</w:t>
            </w:r>
          </w:p>
        </w:tc>
      </w:tr>
      <w:tr>
        <w:trPr>
          <w:trHeight w:val="270"/>
        </w:trPr>
        <w:tc>
          <w:tcPr>
            <w:tcW w:w="3800" w:type="dxa"/>
            <w:vAlign w:val="bottom"/>
          </w:tcPr>
          <w:p>
            <w:pPr>
              <w:spacing w:after="0"/>
              <w:rPr>
                <w:sz w:val="23"/>
                <w:szCs w:val="23"/>
                <w:color w:val="auto"/>
              </w:rPr>
            </w:pPr>
          </w:p>
        </w:tc>
        <w:tc>
          <w:tcPr>
            <w:tcW w:w="2800" w:type="dxa"/>
            <w:vAlign w:val="bottom"/>
            <w:tcBorders>
              <w:bottom w:val="single" w:sz="8" w:color="auto"/>
            </w:tcBorders>
            <w:gridSpan w:val="2"/>
          </w:tcPr>
          <w:p>
            <w:pPr>
              <w:spacing w:after="0"/>
              <w:rPr>
                <w:sz w:val="23"/>
                <w:szCs w:val="23"/>
                <w:color w:val="auto"/>
              </w:rPr>
            </w:pPr>
          </w:p>
        </w:tc>
        <w:tc>
          <w:tcPr>
            <w:tcW w:w="3600" w:type="dxa"/>
            <w:vAlign w:val="bottom"/>
          </w:tcPr>
          <w:p>
            <w:pPr>
              <w:spacing w:after="0"/>
              <w:rPr>
                <w:sz w:val="23"/>
                <w:szCs w:val="23"/>
                <w:color w:val="auto"/>
              </w:rPr>
            </w:pPr>
          </w:p>
        </w:tc>
      </w:tr>
      <w:tr>
        <w:trPr>
          <w:trHeight w:val="263"/>
        </w:trPr>
        <w:tc>
          <w:tcPr>
            <w:tcW w:w="1020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630"/>
        </w:trPr>
        <w:tc>
          <w:tcPr>
            <w:tcW w:w="4140" w:type="dxa"/>
            <w:vAlign w:val="bottom"/>
            <w:gridSpan w:val="2"/>
          </w:tcPr>
          <w:p>
            <w:pPr>
              <w:jc w:val="center"/>
              <w:ind w:right="840"/>
              <w:spacing w:after="0"/>
              <w:rPr>
                <w:sz w:val="20"/>
                <w:szCs w:val="20"/>
                <w:color w:val="auto"/>
              </w:rPr>
            </w:pPr>
            <w:r>
              <w:rPr>
                <w:rFonts w:ascii="Arial" w:cs="Arial" w:eastAsia="Arial" w:hAnsi="Arial"/>
                <w:sz w:val="18"/>
                <w:szCs w:val="18"/>
                <w:color w:val="auto"/>
                <w:w w:val="90"/>
              </w:rPr>
              <w:t>Title of each class</w:t>
            </w:r>
          </w:p>
        </w:tc>
        <w:tc>
          <w:tcPr>
            <w:tcW w:w="2460" w:type="dxa"/>
            <w:vAlign w:val="bottom"/>
          </w:tcPr>
          <w:p>
            <w:pPr>
              <w:jc w:val="center"/>
              <w:ind w:right="53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ind w:left="330"/>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414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46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PLSE</w:t>
            </w:r>
          </w:p>
        </w:tc>
        <w:tc>
          <w:tcPr>
            <w:tcW w:w="3600" w:type="dxa"/>
            <w:vAlign w:val="bottom"/>
          </w:tcPr>
          <w:p>
            <w:pPr>
              <w:jc w:val="center"/>
              <w:ind w:left="330"/>
              <w:spacing w:after="0"/>
              <w:rPr>
                <w:sz w:val="20"/>
                <w:szCs w:val="20"/>
                <w:color w:val="auto"/>
              </w:rPr>
            </w:pPr>
            <w:r>
              <w:rPr>
                <w:rFonts w:ascii="Arial" w:cs="Arial" w:eastAsia="Arial" w:hAnsi="Arial"/>
                <w:sz w:val="18"/>
                <w:szCs w:val="18"/>
                <w:b w:val="1"/>
                <w:bCs w:val="1"/>
                <w:color w:val="auto"/>
                <w:w w:val="92"/>
              </w:rPr>
              <w:t>The Nasdaq Stock Market</w:t>
            </w:r>
          </w:p>
        </w:tc>
      </w:tr>
    </w:tbl>
    <w:p>
      <w:pPr>
        <w:spacing w:after="0" w:line="202" w:lineRule="exact"/>
        <w:rPr>
          <w:sz w:val="24"/>
          <w:szCs w:val="24"/>
          <w:color w:val="auto"/>
        </w:rPr>
      </w:pPr>
    </w:p>
    <w:p>
      <w:pPr>
        <w:ind w:right="4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4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900" w:type="dxa"/>
            <w:vAlign w:val="bottom"/>
          </w:tcPr>
          <w:p>
            <w:pPr>
              <w:ind w:left="218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ind w:firstLine="48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500"/>
        <w:spacing w:after="0" w:line="207" w:lineRule="exact"/>
        <w:tabs>
          <w:tab w:leader="none" w:pos="88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7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number of shares outstanding of the registrant’s common stock as of April 30, 2023: 37,641,892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34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3"/>
          </w:tcPr>
          <w:p>
            <w:pPr>
              <w:spacing w:after="0"/>
              <w:rPr>
                <w:sz w:val="20"/>
                <w:szCs w:val="20"/>
                <w:color w:val="auto"/>
              </w:rPr>
            </w:pPr>
            <w:r>
              <w:rPr>
                <w:rFonts w:ascii="Arial" w:cs="Arial" w:eastAsia="Arial" w:hAnsi="Arial"/>
                <w:sz w:val="18"/>
                <w:szCs w:val="18"/>
                <w:color w:val="0000EE"/>
              </w:rPr>
              <w:t>Table of Contents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80" w:type="dxa"/>
            <w:vAlign w:val="bottom"/>
            <w:gridSpan w:val="13"/>
            <w:vMerge w:val="restart"/>
          </w:tcPr>
          <w:p>
            <w:pPr>
              <w:jc w:val="center"/>
              <w:ind w:right="2220"/>
              <w:spacing w:after="0"/>
              <w:rPr>
                <w:sz w:val="20"/>
                <w:szCs w:val="20"/>
                <w:color w:val="auto"/>
              </w:rPr>
            </w:pPr>
            <w:r>
              <w:rPr>
                <w:rFonts w:ascii="Arial" w:cs="Arial" w:eastAsia="Arial" w:hAnsi="Arial"/>
                <w:sz w:val="18"/>
                <w:szCs w:val="18"/>
                <w:b w:val="1"/>
                <w:bCs w:val="1"/>
                <w:color w:val="0000EE"/>
              </w:rPr>
              <w:t>PART I. FINANCIAL INFORMATION</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13"/>
            <w:vMerge w:val="continue"/>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Item 1. Financial Statements (unaudited):</w:t>
            </w:r>
          </w:p>
        </w:tc>
        <w:tc>
          <w:tcPr>
            <w:tcW w:w="1100" w:type="dxa"/>
            <w:vAlign w:val="bottom"/>
          </w:tcPr>
          <w:p>
            <w:pPr>
              <w:spacing w:after="0"/>
              <w:rPr>
                <w:sz w:val="17"/>
                <w:szCs w:val="17"/>
                <w:color w:val="auto"/>
              </w:rPr>
            </w:pPr>
          </w:p>
        </w:tc>
        <w:tc>
          <w:tcPr>
            <w:tcW w:w="3060" w:type="dxa"/>
            <w:vAlign w:val="bottom"/>
            <w:tcBorders>
              <w:top w:val="single" w:sz="8" w:color="0000EE"/>
            </w:tcBorders>
            <w:gridSpan w:val="8"/>
          </w:tcPr>
          <w:p>
            <w:pPr>
              <w:spacing w:after="0"/>
              <w:rPr>
                <w:sz w:val="17"/>
                <w:szCs w:val="17"/>
                <w:color w:val="auto"/>
              </w:rPr>
            </w:pPr>
          </w:p>
        </w:tc>
        <w:tc>
          <w:tcPr>
            <w:tcW w:w="332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00" w:type="dxa"/>
            <w:vAlign w:val="bottom"/>
            <w:gridSpan w:val="22"/>
          </w:tcPr>
          <w:p>
            <w:pPr>
              <w:spacing w:after="0" w:line="196" w:lineRule="exact"/>
              <w:rPr>
                <w:sz w:val="20"/>
                <w:szCs w:val="20"/>
                <w:color w:val="auto"/>
              </w:rPr>
            </w:pPr>
            <w:r>
              <w:rPr>
                <w:rFonts w:ascii="Arial" w:cs="Arial" w:eastAsia="Arial" w:hAnsi="Arial"/>
                <w:sz w:val="18"/>
                <w:szCs w:val="18"/>
                <w:color w:val="0000EE"/>
              </w:rPr>
              <w:t>Condensed Consolidated Balance Sheets as of March 31, 2023 and December 31, 2023</w:t>
            </w:r>
          </w:p>
        </w:tc>
        <w:tc>
          <w:tcPr>
            <w:tcW w:w="7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00" w:type="dxa"/>
            <w:vAlign w:val="bottom"/>
            <w:gridSpan w:val="22"/>
          </w:tcPr>
          <w:p>
            <w:pPr>
              <w:spacing w:after="0" w:line="196" w:lineRule="exact"/>
              <w:rPr>
                <w:sz w:val="20"/>
                <w:szCs w:val="20"/>
                <w:color w:val="auto"/>
              </w:rPr>
            </w:pPr>
            <w:r>
              <w:rPr>
                <w:rFonts w:ascii="Arial" w:cs="Arial" w:eastAsia="Arial" w:hAnsi="Arial"/>
                <w:sz w:val="18"/>
                <w:szCs w:val="18"/>
                <w:color w:val="0000EE"/>
                <w:w w:val="91"/>
              </w:rPr>
              <w:t>Condensed Consolidated Statements of Operations and Comprehensive Loss for the Three-Month Periods Ended March 31, 2023 and 2022</w:t>
            </w:r>
          </w:p>
        </w:tc>
        <w:tc>
          <w:tcPr>
            <w:tcW w:w="7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Condensed Consolidated Statements of Cash Flows for the Three-Month Periods Ended March 31, 2023 and 2022</w:t>
            </w:r>
          </w:p>
        </w:tc>
        <w:tc>
          <w:tcPr>
            <w:tcW w:w="1800" w:type="dxa"/>
            <w:vAlign w:val="bottom"/>
            <w:tcBorders>
              <w:top w:val="single" w:sz="8" w:color="0000EE"/>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00" w:type="dxa"/>
            <w:vAlign w:val="bottom"/>
            <w:gridSpan w:val="22"/>
          </w:tcPr>
          <w:p>
            <w:pPr>
              <w:spacing w:after="0" w:line="196" w:lineRule="exact"/>
              <w:rPr>
                <w:sz w:val="20"/>
                <w:szCs w:val="20"/>
                <w:color w:val="auto"/>
              </w:rPr>
            </w:pPr>
            <w:r>
              <w:rPr>
                <w:rFonts w:ascii="Arial" w:cs="Arial" w:eastAsia="Arial" w:hAnsi="Arial"/>
                <w:sz w:val="18"/>
                <w:szCs w:val="18"/>
                <w:color w:val="0000EE"/>
              </w:rPr>
              <w:t>Condensed Consolidated Statements of Stockholders’ Equity for the Three-Month Periods Ended March 31, 2023 and 2022</w:t>
            </w:r>
          </w:p>
        </w:tc>
        <w:tc>
          <w:tcPr>
            <w:tcW w:w="7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90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140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346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2"/>
              </w:rPr>
              <w:t>Item 3. Quantitative and Qualitative Disclosures About Market Risk</w:t>
            </w:r>
          </w:p>
        </w:tc>
        <w:tc>
          <w:tcPr>
            <w:tcW w:w="556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196"/>
        </w:trPr>
        <w:tc>
          <w:tcPr>
            <w:tcW w:w="10480" w:type="dxa"/>
            <w:vAlign w:val="bottom"/>
            <w:gridSpan w:val="23"/>
          </w:tcPr>
          <w:p>
            <w:pPr>
              <w:spacing w:after="0" w:line="196" w:lineRule="exact"/>
              <w:rPr>
                <w:sz w:val="20"/>
                <w:szCs w:val="20"/>
                <w:color w:val="auto"/>
              </w:rPr>
            </w:pPr>
            <w:r>
              <w:rPr>
                <w:rFonts w:ascii="Arial" w:cs="Arial" w:eastAsia="Arial" w:hAnsi="Arial"/>
                <w:sz w:val="18"/>
                <w:szCs w:val="18"/>
                <w:color w:val="0000EE"/>
              </w:rPr>
              <w:t>Item 4. Controls and Procedures</w:t>
            </w:r>
          </w:p>
        </w:tc>
        <w:tc>
          <w:tcPr>
            <w:tcW w:w="7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0000EE"/>
              </w:rPr>
              <w:t>PART II. OTHER INFORMATION</w:t>
            </w:r>
          </w:p>
        </w:tc>
        <w:tc>
          <w:tcPr>
            <w:tcW w:w="5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Item 1. Legal Proceedings</w:t>
            </w:r>
          </w:p>
        </w:tc>
        <w:tc>
          <w:tcPr>
            <w:tcW w:w="2340" w:type="dxa"/>
            <w:vAlign w:val="bottom"/>
            <w:gridSpan w:val="6"/>
          </w:tcPr>
          <w:p>
            <w:pPr>
              <w:spacing w:after="0"/>
              <w:rPr>
                <w:sz w:val="17"/>
                <w:szCs w:val="17"/>
                <w:color w:val="auto"/>
              </w:rPr>
            </w:pPr>
          </w:p>
        </w:tc>
        <w:tc>
          <w:tcPr>
            <w:tcW w:w="2760" w:type="dxa"/>
            <w:vAlign w:val="bottom"/>
            <w:tcBorders>
              <w:top w:val="single" w:sz="8" w:color="0000EE"/>
            </w:tcBorders>
            <w:gridSpan w:val="4"/>
          </w:tcPr>
          <w:p>
            <w:pPr>
              <w:spacing w:after="0"/>
              <w:rPr>
                <w:sz w:val="17"/>
                <w:szCs w:val="17"/>
                <w:color w:val="auto"/>
              </w:rPr>
            </w:pPr>
          </w:p>
        </w:tc>
        <w:tc>
          <w:tcPr>
            <w:tcW w:w="348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32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Item 1A. Risk Factors</w:t>
            </w:r>
          </w:p>
        </w:tc>
        <w:tc>
          <w:tcPr>
            <w:tcW w:w="8880" w:type="dxa"/>
            <w:vAlign w:val="bottom"/>
            <w:gridSpan w:val="18"/>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32</w:t>
            </w:r>
          </w:p>
        </w:tc>
        <w:tc>
          <w:tcPr>
            <w:tcW w:w="0" w:type="dxa"/>
            <w:vAlign w:val="bottom"/>
          </w:tcPr>
          <w:p>
            <w:pPr>
              <w:spacing w:after="0"/>
              <w:rPr>
                <w:sz w:val="1"/>
                <w:szCs w:val="1"/>
                <w:color w:val="auto"/>
              </w:rPr>
            </w:pPr>
          </w:p>
        </w:tc>
      </w:tr>
      <w:tr>
        <w:trPr>
          <w:trHeight w:val="196"/>
        </w:trPr>
        <w:tc>
          <w:tcPr>
            <w:tcW w:w="10480" w:type="dxa"/>
            <w:vAlign w:val="bottom"/>
            <w:gridSpan w:val="23"/>
          </w:tcPr>
          <w:p>
            <w:pPr>
              <w:spacing w:after="0" w:line="19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7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61</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Item 3. Default Upon Senior Securities</w:t>
            </w:r>
          </w:p>
        </w:tc>
        <w:tc>
          <w:tcPr>
            <w:tcW w:w="2080" w:type="dxa"/>
            <w:vAlign w:val="bottom"/>
            <w:tcBorders>
              <w:top w:val="single" w:sz="8" w:color="0000EE"/>
            </w:tcBorders>
            <w:gridSpan w:val="5"/>
          </w:tcPr>
          <w:p>
            <w:pPr>
              <w:spacing w:after="0"/>
              <w:rPr>
                <w:sz w:val="17"/>
                <w:szCs w:val="17"/>
                <w:color w:val="auto"/>
              </w:rPr>
            </w:pPr>
          </w:p>
        </w:tc>
        <w:tc>
          <w:tcPr>
            <w:tcW w:w="558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Item 4. Mine Safety Disclosures</w:t>
            </w:r>
          </w:p>
        </w:tc>
        <w:tc>
          <w:tcPr>
            <w:tcW w:w="8140" w:type="dxa"/>
            <w:vAlign w:val="bottom"/>
            <w:gridSpan w:val="15"/>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61</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Item 5. Other Information</w:t>
            </w:r>
          </w:p>
        </w:tc>
        <w:tc>
          <w:tcPr>
            <w:tcW w:w="8600" w:type="dxa"/>
            <w:vAlign w:val="bottom"/>
            <w:gridSpan w:val="17"/>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61</w:t>
            </w:r>
          </w:p>
        </w:tc>
        <w:tc>
          <w:tcPr>
            <w:tcW w:w="0" w:type="dxa"/>
            <w:vAlign w:val="bottom"/>
          </w:tcPr>
          <w:p>
            <w:pPr>
              <w:spacing w:after="0"/>
              <w:rPr>
                <w:sz w:val="1"/>
                <w:szCs w:val="1"/>
                <w:color w:val="auto"/>
              </w:rPr>
            </w:pPr>
          </w:p>
        </w:tc>
      </w:tr>
      <w:tr>
        <w:trPr>
          <w:trHeight w:val="196"/>
        </w:trPr>
        <w:tc>
          <w:tcPr>
            <w:tcW w:w="10480" w:type="dxa"/>
            <w:vAlign w:val="bottom"/>
            <w:gridSpan w:val="23"/>
          </w:tcPr>
          <w:p>
            <w:pPr>
              <w:spacing w:after="0" w:line="196" w:lineRule="exact"/>
              <w:rPr>
                <w:sz w:val="20"/>
                <w:szCs w:val="20"/>
                <w:color w:val="auto"/>
              </w:rPr>
            </w:pPr>
            <w:r>
              <w:rPr>
                <w:rFonts w:ascii="Arial" w:cs="Arial" w:eastAsia="Arial" w:hAnsi="Arial"/>
                <w:sz w:val="18"/>
                <w:szCs w:val="18"/>
                <w:color w:val="0000EE"/>
              </w:rPr>
              <w:t>Item 6. Exhibits</w:t>
            </w:r>
          </w:p>
        </w:tc>
        <w:tc>
          <w:tcPr>
            <w:tcW w:w="7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61</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Signatures</w:t>
            </w:r>
          </w:p>
        </w:tc>
        <w:tc>
          <w:tcPr>
            <w:tcW w:w="9320" w:type="dxa"/>
            <w:vAlign w:val="bottom"/>
            <w:gridSpan w:val="20"/>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62</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00" w:type="dxa"/>
            <w:vAlign w:val="bottom"/>
          </w:tcPr>
          <w:p>
            <w:pPr>
              <w:jc w:val="center"/>
              <w:ind w:left="191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PULSE BIOSCIENCES, INC.</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00" w:type="dxa"/>
            <w:vAlign w:val="bottom"/>
          </w:tcPr>
          <w:p>
            <w:pPr>
              <w:jc w:val="center"/>
              <w:ind w:left="19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r>
      <w:tr>
        <w:trPr>
          <w:trHeight w:val="210"/>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9"/>
                <w:szCs w:val="19"/>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70,221</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77,877</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2,160</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liability, current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Related party note payable, current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r>
      <w:tr>
        <w:trPr>
          <w:trHeight w:val="223"/>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00" w:type="dxa"/>
            <w:vAlign w:val="bottom"/>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less current portion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Related party note payable, less current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Preferred stock, $0.001 par value; authorized – 50,000 shares; no shares issued and outstanding</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79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$0.001 par value; authorized – 500,000 shares; issued and outstanding – 37,593 shares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37,235 shares at March 31, 2023 and December 31, 2022, respectively</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293,801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292,420</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(304,506)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(294,705)</w:t>
            </w:r>
          </w:p>
        </w:tc>
      </w:tr>
      <w:tr>
        <w:trPr>
          <w:trHeight w:val="210"/>
        </w:trPr>
        <w:tc>
          <w:tcPr>
            <w:tcW w:w="7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70,221</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77,877</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6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7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340"/>
              <w:spacing w:after="0"/>
              <w:rPr>
                <w:sz w:val="20"/>
                <w:szCs w:val="20"/>
                <w:color w:val="auto"/>
              </w:rPr>
            </w:pPr>
            <w:r>
              <w:rPr>
                <w:rFonts w:ascii="Arial" w:cs="Arial" w:eastAsia="Arial" w:hAnsi="Arial"/>
                <w:sz w:val="18"/>
                <w:szCs w:val="18"/>
                <w:color w:val="auto"/>
              </w:rPr>
              <w:t>Product revenues</w:t>
            </w:r>
          </w:p>
        </w:tc>
        <w:tc>
          <w:tcPr>
            <w:tcW w:w="17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r>
      <w:tr>
        <w:trPr>
          <w:trHeight w:val="21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color w:val="auto"/>
              </w:rPr>
              <w:t>Cost and expenses: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8"/>
                <w:szCs w:val="18"/>
                <w:color w:val="auto"/>
              </w:rPr>
            </w:pPr>
          </w:p>
        </w:tc>
      </w:tr>
      <w:tr>
        <w:trPr>
          <w:trHeight w:val="209"/>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and expenses</w:t>
            </w:r>
          </w:p>
        </w:tc>
        <w:tc>
          <w:tcPr>
            <w:tcW w:w="7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8"/>
                <w:szCs w:val="18"/>
                <w:color w:val="auto"/>
              </w:rPr>
              <w:t>Loss from operations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(9,562)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(17,273)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7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8"/>
                <w:szCs w:val="18"/>
                <w:color w:val="auto"/>
              </w:rPr>
              <w:t>Loss from operations, before income taxes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(9,801)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(17,273)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(9,801)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(17,273)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(loss):</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 securities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(9,801)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220" w:type="dxa"/>
            <w:vAlign w:val="bottom"/>
          </w:tcPr>
          <w:p>
            <w:pPr>
              <w:spacing w:after="0" w:line="196" w:lineRule="exact"/>
              <w:rPr>
                <w:sz w:val="20"/>
                <w:szCs w:val="20"/>
                <w:color w:val="auto"/>
              </w:rPr>
            </w:pPr>
            <w:r>
              <w:rPr>
                <w:rFonts w:ascii="Arial" w:cs="Arial" w:eastAsia="Arial" w:hAnsi="Arial"/>
                <w:sz w:val="18"/>
                <w:szCs w:val="18"/>
                <w:color w:val="auto"/>
              </w:rPr>
              <w:t>Net loss per share:</w:t>
            </w: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7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(0.58)</w:t>
            </w:r>
          </w:p>
        </w:tc>
      </w:tr>
      <w:tr>
        <w:trPr>
          <w:trHeight w:val="197"/>
        </w:trPr>
        <w:tc>
          <w:tcPr>
            <w:tcW w:w="72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w w:val="98"/>
              </w:rPr>
              <w:t>Weighted average shares used to compute net loss per common share — basic and diluted</w:t>
            </w:r>
          </w:p>
        </w:tc>
        <w:tc>
          <w:tcPr>
            <w:tcW w:w="760" w:type="dxa"/>
            <w:vAlign w:val="bottom"/>
            <w:tcBorders>
              <w:top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37,390</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29,745</w:t>
            </w:r>
          </w:p>
        </w:tc>
        <w:tc>
          <w:tcPr>
            <w:tcW w:w="100" w:type="dxa"/>
            <w:vAlign w:val="bottom"/>
            <w:tcBorders>
              <w:top w:val="single" w:sz="8" w:color="CCEEFF"/>
            </w:tcBorders>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500" w:type="dxa"/>
            <w:vAlign w:val="bottom"/>
          </w:tcPr>
          <w:p>
            <w:pPr>
              <w:jc w:val="center"/>
              <w:ind w:left="2090"/>
              <w:spacing w:after="0"/>
              <w:rPr>
                <w:sz w:val="20"/>
                <w:szCs w:val="20"/>
                <w:color w:val="auto"/>
              </w:rPr>
            </w:pPr>
            <w:r>
              <w:rPr>
                <w:rFonts w:ascii="Arial" w:cs="Arial" w:eastAsia="Arial" w:hAnsi="Arial"/>
                <w:sz w:val="18"/>
                <w:szCs w:val="18"/>
                <w:b w:val="1"/>
                <w:bCs w:val="1"/>
                <w:color w:val="auto"/>
                <w:w w:val="98"/>
              </w:rPr>
              <w:t>PULSE BIOSCIENCES,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500" w:type="dxa"/>
            <w:vAlign w:val="bottom"/>
          </w:tcPr>
          <w:p>
            <w:pPr>
              <w:jc w:val="center"/>
              <w:ind w:left="20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500" w:type="dxa"/>
            <w:vAlign w:val="bottom"/>
          </w:tcPr>
          <w:p>
            <w:pPr>
              <w:jc w:val="center"/>
              <w:ind w:left="209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500" w:type="dxa"/>
            <w:vAlign w:val="bottom"/>
          </w:tcPr>
          <w:p>
            <w:pPr>
              <w:jc w:val="center"/>
              <w:ind w:left="209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(9,801)</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(17,273)</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(1,663)</w:t>
            </w:r>
          </w:p>
        </w:tc>
      </w:tr>
      <w:tr>
        <w:trPr>
          <w:trHeight w:val="216"/>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r>
      <w:tr>
        <w:trPr>
          <w:trHeight w:val="216"/>
        </w:trPr>
        <w:tc>
          <w:tcPr>
            <w:tcW w:w="7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interest on related party note payable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Accrued interest on note payable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09"/>
        </w:trPr>
        <w:tc>
          <w:tcPr>
            <w:tcW w:w="77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(6,570)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r>
      <w:tr>
        <w:trPr>
          <w:trHeight w:val="20"/>
        </w:trPr>
        <w:tc>
          <w:tcPr>
            <w:tcW w:w="1280" w:type="dxa"/>
            <w:vAlign w:val="bottom"/>
            <w:shd w:val="clear" w:color="auto" w:fill="CCEEFF"/>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780" w:type="dxa"/>
            <w:vAlign w:val="bottom"/>
            <w:gridSpan w:val="2"/>
          </w:tcPr>
          <w:p>
            <w:pPr>
              <w:ind w:left="8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exercises of warrants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Payments made on insurance loan agreement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(437)</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made on related party note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gridSpan w:val="2"/>
          </w:tcPr>
          <w:p>
            <w:pPr>
              <w:ind w:left="8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09"/>
        </w:trPr>
        <w:tc>
          <w:tcPr>
            <w:tcW w:w="77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(7,041)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61,139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28,614</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54,098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Equipment purchases included in accounts payable and accrued expenses</w:t>
            </w:r>
          </w:p>
        </w:tc>
        <w:tc>
          <w:tcPr>
            <w:tcW w:w="11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6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98"/>
              </w:rPr>
              <w:t>PULSE BIOSCIENCES,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320" w:type="dxa"/>
            <w:vAlign w:val="bottom"/>
            <w:gridSpan w:val="10"/>
          </w:tcPr>
          <w:p>
            <w:pPr>
              <w:jc w:val="center"/>
              <w:ind w:right="370"/>
              <w:spacing w:after="0"/>
              <w:rPr>
                <w:sz w:val="20"/>
                <w:szCs w:val="20"/>
                <w:color w:val="auto"/>
              </w:rPr>
            </w:pPr>
            <w:r>
              <w:rPr>
                <w:rFonts w:ascii="Arial" w:cs="Arial" w:eastAsia="Arial" w:hAnsi="Arial"/>
                <w:sz w:val="18"/>
                <w:szCs w:val="18"/>
                <w:b w:val="1"/>
                <w:bCs w:val="1"/>
                <w:color w:val="auto"/>
                <w:w w:val="88"/>
              </w:rPr>
              <w:t>Condensed Consolidated Statements of Stockholders</w:t>
            </w:r>
            <w:r>
              <w:rPr>
                <w:rFonts w:ascii="Arial" w:cs="Arial" w:eastAsia="Arial" w:hAnsi="Arial"/>
                <w:sz w:val="18"/>
                <w:szCs w:val="18"/>
                <w:color w:val="auto"/>
                <w:w w:val="88"/>
              </w:rPr>
              <w:t>’</w:t>
            </w:r>
            <w:r>
              <w:rPr>
                <w:rFonts w:ascii="Arial" w:cs="Arial" w:eastAsia="Arial" w:hAnsi="Arial"/>
                <w:sz w:val="18"/>
                <w:szCs w:val="18"/>
                <w:b w:val="1"/>
                <w:bCs w:val="1"/>
                <w:color w:val="auto"/>
                <w:w w:val="88"/>
              </w:rPr>
              <w:t xml:space="preserve">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jc w:val="center"/>
              <w:ind w:right="31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jc w:val="center"/>
              <w:ind w:right="31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gridSpan w:val="3"/>
            <w:vMerge w:val="restart"/>
          </w:tcPr>
          <w:p>
            <w:pPr>
              <w:jc w:val="right"/>
              <w:ind w:right="33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4"/>
              </w:rPr>
              <w:t>Comprehensive</w:t>
            </w:r>
          </w:p>
        </w:tc>
        <w:tc>
          <w:tcPr>
            <w:tcW w:w="120" w:type="dxa"/>
            <w:vAlign w:val="bottom"/>
          </w:tcPr>
          <w:p>
            <w:pPr>
              <w:spacing w:after="0"/>
              <w:rPr>
                <w:sz w:val="19"/>
                <w:szCs w:val="19"/>
                <w:color w:val="auto"/>
              </w:rPr>
            </w:pPr>
          </w:p>
        </w:tc>
        <w:tc>
          <w:tcPr>
            <w:tcW w:w="12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49"/>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37,235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292,420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182"/>
        </w:trPr>
        <w:tc>
          <w:tcPr>
            <w:tcW w:w="3200" w:type="dxa"/>
            <w:vAlign w:val="bottom"/>
            <w:gridSpan w:val="2"/>
          </w:tcPr>
          <w:p>
            <w:pPr>
              <w:spacing w:after="0" w:line="182" w:lineRule="exact"/>
              <w:rPr>
                <w:sz w:val="20"/>
                <w:szCs w:val="20"/>
                <w:color w:val="auto"/>
              </w:rPr>
            </w:pPr>
            <w:r>
              <w:rPr>
                <w:rFonts w:ascii="Arial" w:cs="Arial" w:eastAsia="Arial" w:hAnsi="Arial"/>
                <w:sz w:val="18"/>
                <w:szCs w:val="18"/>
                <w:color w:val="auto"/>
                <w:w w:val="95"/>
              </w:rPr>
              <w:t>Issuance of shares under employee stock</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purchase plan</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shares upon exercise of</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Arial" w:cs="Arial" w:eastAsia="Arial" w:hAnsi="Arial"/>
                <w:sz w:val="18"/>
                <w:szCs w:val="18"/>
                <w:color w:val="auto"/>
              </w:rPr>
              <w:t>Balance, March 31, 2023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37,593</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293,801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(304,506)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gridSpan w:val="3"/>
            <w:vMerge w:val="restart"/>
          </w:tcPr>
          <w:p>
            <w:pPr>
              <w:jc w:val="right"/>
              <w:ind w:right="33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4"/>
              </w:rPr>
              <w:t>Comprehensive</w:t>
            </w:r>
          </w:p>
        </w:tc>
        <w:tc>
          <w:tcPr>
            <w:tcW w:w="120" w:type="dxa"/>
            <w:vAlign w:val="bottom"/>
          </w:tcPr>
          <w:p>
            <w:pPr>
              <w:spacing w:after="0"/>
              <w:rPr>
                <w:sz w:val="19"/>
                <w:szCs w:val="19"/>
                <w:color w:val="auto"/>
              </w:rPr>
            </w:pPr>
          </w:p>
        </w:tc>
        <w:tc>
          <w:tcPr>
            <w:tcW w:w="12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49"/>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29,716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35,690</w:t>
            </w:r>
          </w:p>
        </w:tc>
        <w:tc>
          <w:tcPr>
            <w:tcW w:w="0" w:type="dxa"/>
            <w:vAlign w:val="bottom"/>
          </w:tcPr>
          <w:p>
            <w:pPr>
              <w:spacing w:after="0"/>
              <w:rPr>
                <w:sz w:val="1"/>
                <w:szCs w:val="1"/>
                <w:color w:val="auto"/>
              </w:rPr>
            </w:pPr>
          </w:p>
        </w:tc>
      </w:tr>
      <w:tr>
        <w:trPr>
          <w:trHeight w:val="182"/>
        </w:trPr>
        <w:tc>
          <w:tcPr>
            <w:tcW w:w="3200" w:type="dxa"/>
            <w:vAlign w:val="bottom"/>
            <w:gridSpan w:val="2"/>
          </w:tcPr>
          <w:p>
            <w:pPr>
              <w:spacing w:after="0" w:line="182" w:lineRule="exact"/>
              <w:rPr>
                <w:sz w:val="20"/>
                <w:szCs w:val="20"/>
                <w:color w:val="auto"/>
              </w:rPr>
            </w:pPr>
            <w:r>
              <w:rPr>
                <w:rFonts w:ascii="Arial" w:cs="Arial" w:eastAsia="Arial" w:hAnsi="Arial"/>
                <w:sz w:val="18"/>
                <w:szCs w:val="18"/>
                <w:color w:val="auto"/>
                <w:w w:val="95"/>
              </w:rPr>
              <w:t>Issuance of shares under employee stock</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purchase plan</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49"/>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29,802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PULSE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Pulse Biosciences, Inc. is a novel bioelectric medicine company committed to health innovation using its patented Nano-pulse Stimulation (“NPS”) technology, a revolutionary energy modality that delivers nanosecond-duration pulses of electrical energy, each less than a millionth of a second long, to non-thermally clear targeted cells while sparing adjacent noncellular tissue. NPS technology, also referred to as a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2022 to focus its efforts on the use of nsPFA and the CellFX platform in the treatment of atrial fibrillation (“AF”).</w:t>
      </w:r>
    </w:p>
    <w:p>
      <w:pPr>
        <w:spacing w:after="0" w:line="168" w:lineRule="exact"/>
        <w:rPr>
          <w:sz w:val="20"/>
          <w:szCs w:val="20"/>
          <w:color w:val="auto"/>
        </w:rPr>
      </w:pPr>
    </w:p>
    <w:p>
      <w:pPr>
        <w:ind w:left="20" w:firstLine="486"/>
        <w:spacing w:after="0" w:line="277" w:lineRule="auto"/>
        <w:rPr>
          <w:sz w:val="20"/>
          <w:szCs w:val="20"/>
          <w:color w:val="auto"/>
        </w:rPr>
      </w:pPr>
      <w:r>
        <w:rPr>
          <w:rFonts w:ascii="Arial" w:cs="Arial" w:eastAsia="Arial" w:hAnsi="Arial"/>
          <w:sz w:val="18"/>
          <w:szCs w:val="18"/>
          <w:color w:val="auto"/>
        </w:rPr>
        <w:t>The Company was incorporated in Nevada on May 19, 2014. On June 18, 2018, the Company reincorporated from the State of Nevada to the State of Delaware. The Company is located in Hayward, California.</w:t>
      </w:r>
    </w:p>
    <w:p>
      <w:pPr>
        <w:spacing w:after="0" w:line="170" w:lineRule="exact"/>
        <w:rPr>
          <w:sz w:val="20"/>
          <w:szCs w:val="20"/>
          <w:color w:val="auto"/>
        </w:rPr>
      </w:pPr>
    </w:p>
    <w:p>
      <w:pPr>
        <w:ind w:left="20" w:right="40" w:firstLine="486"/>
        <w:spacing w:after="0" w:line="259" w:lineRule="auto"/>
        <w:rPr>
          <w:sz w:val="20"/>
          <w:szCs w:val="20"/>
          <w:color w:val="auto"/>
        </w:rPr>
      </w:pPr>
      <w:r>
        <w:rPr>
          <w:rFonts w:ascii="Arial" w:cs="Arial" w:eastAsia="Arial" w:hAnsi="Arial"/>
          <w:sz w:val="18"/>
          <w:szCs w:val="18"/>
          <w:color w:val="auto"/>
        </w:rPr>
        <w:t>The Company’s activities are subject to significant risks and uncertainties, including the need for additional capital. The Company does not currently have any material cash flows from operations. It has minimal revenue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20" w:firstLine="486"/>
        <w:spacing w:after="0" w:line="288" w:lineRule="auto"/>
        <w:rPr>
          <w:sz w:val="20"/>
          <w:szCs w:val="20"/>
          <w:color w:val="auto"/>
        </w:rPr>
      </w:pPr>
      <w:r>
        <w:rPr>
          <w:rFonts w:ascii="Arial" w:cs="Arial" w:eastAsia="Arial" w:hAnsi="Arial"/>
          <w:sz w:val="16"/>
          <w:szCs w:val="16"/>
          <w:color w:val="auto"/>
        </w:rPr>
        <w:t>The accompanying unaudited condensed consolidated financial statements have been prepared on a basis consistent with the Company’s December 31, 2022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2022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2022. The results of operations for the three-month period ended March 31, 2023, are not necessarily indicative of the results to be expected for the entire year or any future periods.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20" w:firstLine="486"/>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not limited to, the valuation of cash equivalents, the valuation and recognition of share-based compensation,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significant accounting policies are described in the Company’s Annual Report on Form 10-K for the year ended December 31, 2022. The Company continually evaluates the accounting policies and estimates used in preparing the consolidated financial statements. There have been no material changes to the Company’s significant accounting policies during the three months ended March 31, 2023, as compared to the significant accounting policies described in the Company’s Annual Report on Form 10-K for the year ended December 31, 2022.</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Valuation of Inventory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Inventory is stated at lower of cost or net realizable value. The Company establishes the inventory basis by determining the cost based on standard costs approximating the purchase costs on a first-in, first-out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December 31, 2022, the inventory balance was fully written off due to excessive and obsolete inventory and the Company does not plan to capitalize further inventory in relation to the dermatology market.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 recognized revenue at a point in time when it satisfied performance obligations by transferring control of promised goods to its customers. The amount of revenue recognized was equal to the consideration which the Company was entitled to in exchange for the promised goods, excluding any amounts assessed by government authorities for taxes which might have been collected from a customer. Sales contracts often involved the sale and delivery of multiple products, each of which typically represented a separate performance obligation in the contract. While the Company has sold these products on a stand-alone basis at their respective stand-alone selling prices (“SSP”), initial customer contracts primarily involved the bundling of products which were delivered concurrently to the customer. In such instances, the full consideration of the contract was recognized upon shipment of the products. The Company generally required receipt of full payment prior to shipment, however, from time to time, payment terms were extended to customers upon which the Company performed a necessary credit evaluation to ensure future collectability of the outstanding balance. The accounts receivable balance at March 31, 2023 is zero and the Company has therefore not recorded an allowance against the accounts receivable balance. Refer to Note 10 for further details.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accrued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The warranty reserve is included within accrued expenses on the consolidated balance sheets. Warranty expense was recorded as a component of Cost of Revenues in the consolidated statements of operations and comprehensive loss.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9980" w:type="dxa"/>
            <w:vAlign w:val="bottom"/>
            <w:gridSpan w:val="6"/>
          </w:tcPr>
          <w:p>
            <w:pPr>
              <w:ind w:left="500"/>
              <w:spacing w:after="0"/>
              <w:rPr>
                <w:sz w:val="20"/>
                <w:szCs w:val="20"/>
                <w:color w:val="auto"/>
              </w:rPr>
            </w:pPr>
            <w:r>
              <w:rPr>
                <w:rFonts w:ascii="Arial" w:cs="Arial" w:eastAsia="Arial" w:hAnsi="Arial"/>
                <w:sz w:val="18"/>
                <w:szCs w:val="18"/>
                <w:color w:val="auto"/>
                <w:w w:val="93"/>
              </w:rPr>
              <w:t>Warranty accrual activity consisted of the following for the three-month periods ended March 31, 2023 and 2022 (in thousands):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Add: Accruals for warranties issued during the period</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Adjustment for inventory at cost and excessive and obsolete inventory</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88"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Basic and diluted net loss per common share is the same for all periods presented because all warrants, stock options and restricted stock units outstanding are anti-dilutive.</w:t>
      </w:r>
    </w:p>
    <w:p>
      <w:pPr>
        <w:spacing w:after="0" w:line="17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following outstanding stock options, and warrants were excluded from the computation of diluted net loss per share for the periods presented because including them would have had an anti-dilutive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1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r>
      <w:tr>
        <w:trPr>
          <w:trHeight w:val="209"/>
        </w:trPr>
        <w:tc>
          <w:tcPr>
            <w:tcW w:w="798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7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7,208,193</w:t>
            </w:r>
          </w:p>
        </w:tc>
        <w:tc>
          <w:tcPr>
            <w:tcW w:w="2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Common stock options</w:t>
            </w:r>
          </w:p>
        </w:tc>
        <w:tc>
          <w:tcPr>
            <w:tcW w:w="1460" w:type="dxa"/>
            <w:vAlign w:val="bottom"/>
          </w:tcPr>
          <w:p>
            <w:pPr>
              <w:jc w:val="right"/>
              <w:spacing w:after="0"/>
              <w:rPr>
                <w:sz w:val="20"/>
                <w:szCs w:val="20"/>
                <w:color w:val="auto"/>
              </w:rPr>
            </w:pPr>
            <w:r>
              <w:rPr>
                <w:rFonts w:ascii="Arial" w:cs="Arial" w:eastAsia="Arial" w:hAnsi="Arial"/>
                <w:sz w:val="18"/>
                <w:szCs w:val="18"/>
                <w:color w:val="auto"/>
              </w:rPr>
              <w:t>5,608,210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5,558,884</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12,816,403</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5,558,884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are no recent accounting pronouncements that impact the Company’s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U.S. Treasury Securities, and asset-backed securities.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as of March 31, 2023 and December 31, 2022, respectively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 2023</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0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90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Classification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9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50,700</w:t>
            </w: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50,700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100" w:type="dxa"/>
            <w:vAlign w:val="bottom"/>
            <w:gridSpan w:val="2"/>
          </w:tcPr>
          <w:p>
            <w:pPr>
              <w:jc w:val="right"/>
              <w:ind w:right="718"/>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50,700</w:t>
            </w:r>
          </w:p>
        </w:tc>
        <w:tc>
          <w:tcPr>
            <w:tcW w:w="10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90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Classification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9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57,973</w:t>
            </w: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57,973</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100" w:type="dxa"/>
            <w:vAlign w:val="bottom"/>
            <w:gridSpan w:val="2"/>
          </w:tcPr>
          <w:p>
            <w:pPr>
              <w:jc w:val="right"/>
              <w:ind w:right="718"/>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57,973</w:t>
            </w:r>
          </w:p>
        </w:tc>
        <w:tc>
          <w:tcPr>
            <w:tcW w:w="10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did not have any financial liabilities measured on a recurring basis as of March 31, 2023 or December 31, 2022.</w:t>
      </w:r>
    </w:p>
    <w:p>
      <w:pPr>
        <w:spacing w:after="0" w:line="200" w:lineRule="exact"/>
        <w:rPr>
          <w:sz w:val="20"/>
          <w:szCs w:val="20"/>
          <w:color w:val="auto"/>
        </w:rPr>
      </w:pPr>
    </w:p>
    <w:p>
      <w:pPr>
        <w:spacing w:after="0" w:line="264" w:lineRule="exact"/>
        <w:rPr>
          <w:sz w:val="20"/>
          <w:szCs w:val="20"/>
          <w:color w:val="auto"/>
        </w:rPr>
      </w:pPr>
    </w:p>
    <w:p>
      <w:pPr>
        <w:ind w:left="500" w:right="8460" w:hanging="492"/>
        <w:spacing w:after="0" w:line="566" w:lineRule="auto"/>
        <w:tabs>
          <w:tab w:leader="none" w:pos="19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Components Property and Equipment, Net</w:t>
      </w: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Property and equipment,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Laboratory equipment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1,865</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$0.1 million and $0.2 million for the three-month periods ended March 31, 2023 and 2022, respectively.</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7980" w:type="dxa"/>
            <w:vAlign w:val="bottom"/>
            <w:gridSpan w:val="2"/>
          </w:tcPr>
          <w:p>
            <w:pPr>
              <w:ind w:left="500"/>
              <w:spacing w:after="0"/>
              <w:rPr>
                <w:sz w:val="20"/>
                <w:szCs w:val="20"/>
                <w:color w:val="auto"/>
              </w:rPr>
            </w:pPr>
            <w:r>
              <w:rPr>
                <w:rFonts w:ascii="Arial" w:cs="Arial" w:eastAsia="Arial" w:hAnsi="Arial"/>
                <w:sz w:val="18"/>
                <w:szCs w:val="18"/>
                <w:color w:val="auto"/>
              </w:rPr>
              <w:t>Intangible assets, net consisted of the following (in thousands):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(5,601)</w:t>
            </w: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(5,434)</w:t>
            </w: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schedule of the amortization of intangible assets for the remainder of 2023 and the succeeding [four] fiscal years is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9 months)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r>
      <w:tr>
        <w:trPr>
          <w:trHeight w:val="249"/>
        </w:trPr>
        <w:tc>
          <w:tcPr>
            <w:tcW w:w="7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7980" w:type="dxa"/>
            <w:vAlign w:val="bottom"/>
          </w:tcPr>
          <w:p>
            <w:pPr>
              <w:ind w:left="500"/>
              <w:spacing w:after="0"/>
              <w:rPr>
                <w:sz w:val="20"/>
                <w:szCs w:val="20"/>
                <w:color w:val="auto"/>
              </w:rPr>
            </w:pPr>
            <w:r>
              <w:rPr>
                <w:rFonts w:ascii="Arial" w:cs="Arial" w:eastAsia="Arial" w:hAnsi="Arial"/>
                <w:sz w:val="18"/>
                <w:szCs w:val="18"/>
                <w:b w:val="1"/>
                <w:bCs w:val="1"/>
                <w:color w:val="auto"/>
              </w:rPr>
              <w:t>Accrued Expenses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tcPr>
          <w:p>
            <w:pPr>
              <w:ind w:left="500"/>
              <w:spacing w:after="0"/>
              <w:rPr>
                <w:sz w:val="20"/>
                <w:szCs w:val="20"/>
                <w:color w:val="auto"/>
              </w:rPr>
            </w:pPr>
            <w:r>
              <w:rPr>
                <w:rFonts w:ascii="Arial" w:cs="Arial" w:eastAsia="Arial" w:hAnsi="Arial"/>
                <w:sz w:val="18"/>
                <w:szCs w:val="18"/>
                <w:color w:val="auto"/>
              </w:rPr>
              <w:t>Accrued expenses consisted of the following (in thousands):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Director and officer liability insurance (Note 12)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 fees and costs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In 2014, the Company acquired three companies (the “Acquisitions”) for aggregate consideration of $5.5 million.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recorded goodwill of $2.8 million in connection with the Acquisitions as the consideration paid exceeded the fair value of the net tangible assets and the intangible assets acquired.</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 amended by Accounting Standards Update 2017-04), the Company reviews goodwill for impairment at least annually or whenever any events or circumstances indicate that it is more likely than not that the fair value of a reporting unit is less than its carrying amount. The Company performed an updated goodwill impairment analysis as of March 31, 2023, and it was determined that no impairment of goodwill existed.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and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Offering</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On June 9, 2022, the Company completed a rights offering (the “2022 Rights Offering") resulting in the sale of 7,317,072 units (the “Units”), at a price of $2.05 per Unit, with each Unit consisting of one share of the Company’s common stock, par value $0.001 per share, and one warrant (the “2022 Rights Offering Warrants”) to purchase one share of common stock. The common stock and warrants comprising the Units separated upon the closing of the 2022 Rights Offering and were issued individually. 7,317,072 shares of common stock and warrants to acquire up to an additional 7,317,072 shares of common stock were issued in the 2022 Rights Offering. The Company received aggregate gross proceeds from the 2022 Rights Offering of $15 million. If exercised, additional gross proceeds of up to $15 million may be received through the exercise of the 2022 Rights Offering Warrants. Each 2022 Rights Offering Warrant is exercisable for one share of the Company’s common stock at an exercise price equal to $2.05. See the </w:t>
      </w:r>
      <w:r>
        <w:rPr>
          <w:rFonts w:ascii="Arial" w:cs="Arial" w:eastAsia="Arial" w:hAnsi="Arial"/>
          <w:sz w:val="17"/>
          <w:szCs w:val="17"/>
          <w:i w:val="1"/>
          <w:iCs w:val="1"/>
          <w:color w:val="auto"/>
        </w:rPr>
        <w:t>Common Stock Warrants</w:t>
      </w:r>
      <w:r>
        <w:rPr>
          <w:rFonts w:ascii="Arial" w:cs="Arial" w:eastAsia="Arial" w:hAnsi="Arial"/>
          <w:sz w:val="17"/>
          <w:szCs w:val="17"/>
          <w:color w:val="auto"/>
        </w:rPr>
        <w:t xml:space="preserve"> section below for further details. Robert W. Duggan, the Company’s largest stockholder and Executive Chairman, purchased approximately 56% of the shares offered through the 2022 Rights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Offering</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February 4, 2021, the Company entered into a sales agreement (the “Sales Agreement”) with Stifel, Nicolaus &amp; Company, Inc. (“Stifel”) as sales agent, pursuant to which the Company may offer and sell, from time to time, through Stifel, up to $60.0 million in shares of common stock, by any method permitted by law deemed to be an “at-the-market” offering as defined in Rule 415 promulgated under the Securities Act of 1933, as amended. The Company has no obligation to make any sales of its common stock pursuant to such Sales Agreement. The Company did not issue or sell any shares of common stock under the Sales Agreement during the three months ended March 31, 2023 and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connection with the 2022 Rights Offering, the Company issued 2022 Rights Offering Warrants to purchase a total of 7,317,072 shares of its common stock at an exercise price of $2.05. The 2022 Rights Offering Warrants are exercisable immediately and expire on the fifth anniversary of the closing of the 2022 Rights Offering. The 2022 Rights Offering Warrants are subject to redemption by the Company for $0.01 per underlying share of common stock, on not less than 30 days written notice, if the volume weighted average price of the Company’s common stock equals or exceeds 200% of the exercise price for the warrants, subject to adjustment, per share, for 20 consecutive trading days, provided that the Company may not redeem the warrants prior to the date that is three months after the issuance date. On May 10, 2023, the Company issued a press release announcing that on May 9, 2023 the terms for warrant redemption had been met. The warrants may be exercised for cash in accordance with the terms therein at any time prior to June 16, 2023, the anticipated redemption date for the warrants. In the three months ended March 31, 2023, a total of 95,639 warrants were exercised. As of March 31, 2023, there were 7,208,193 2022 Rights Offering Warrants outstanding.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Board of Directors of the Company (the “Board”) previously adopted, and the Company’s stockholders approved, the Company’s 2017 Equity Incentive Plan (the “2017 Plan”).</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2023, the number of shares of common stock available under the 2017 Plan increased automatically by 1,200,000 shares pursuant to the evergreen provision of the 2017 Plan, which provides that the number of shares available to grant under the 2017 Plan will increase each year by the lesser of (i) 1,200,000 shares, (ii) 4% of the Company’s common stock outstanding at December 31 of the immediately preceding year, or (iii) such number of shares as determined by the Board. As of March 31, 2023, 3,136,838 shares of common stock remained available for issuance under the 2017 Plan.</w:t>
      </w:r>
    </w:p>
    <w:p>
      <w:pPr>
        <w:spacing w:after="0" w:line="17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8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as non-employee directors of the Company prior to the Inducement Plan’s adoption date. In May 2021, the Board approved an amendment to the Inducement Plan to reserve an additional 1,000,000 shares of the Company’s common stock for issuance pursuant to the Inducement Plan. As of March 31, 2023, 1,140,501 shares of common stock remained available for issuance under the Inducement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summary of stock option activity under the 2015 Plan, 2017 Plan and Inducement Plan for the three-months ended March 31, 2023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8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Stock Options Outstanding</w:t>
            </w:r>
          </w:p>
        </w:tc>
        <w:tc>
          <w:tcPr>
            <w:tcW w:w="100" w:type="dxa"/>
            <w:vAlign w:val="bottom"/>
          </w:tcPr>
          <w:p>
            <w:pPr>
              <w:spacing w:after="0"/>
              <w:rPr>
                <w:sz w:val="20"/>
                <w:szCs w:val="20"/>
                <w:color w:val="auto"/>
              </w:rPr>
            </w:pPr>
          </w:p>
        </w:tc>
      </w:tr>
      <w:tr>
        <w:trPr>
          <w:trHeight w:val="191"/>
        </w:trPr>
        <w:tc>
          <w:tcPr>
            <w:tcW w:w="6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6"/>
                <w:szCs w:val="16"/>
                <w:color w:val="auto"/>
              </w:rPr>
            </w:pPr>
          </w:p>
        </w:tc>
      </w:tr>
      <w:tr>
        <w:trPr>
          <w:trHeight w:val="216"/>
        </w:trPr>
        <w:tc>
          <w:tcPr>
            <w:tcW w:w="6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life (in</w:t>
            </w:r>
          </w:p>
        </w:tc>
        <w:tc>
          <w:tcPr>
            <w:tcW w:w="10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Number of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 price</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Balances —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Options 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807,300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Options canceled</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(68,894)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(380,892)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 March 31, 2023</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5,608,210</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11.25</w:t>
            </w:r>
          </w:p>
        </w:tc>
        <w:tc>
          <w:tcPr>
            <w:tcW w:w="17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top w:val="single" w:sz="8" w:color="CCEEFF"/>
            </w:tcBorders>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 March 31, 2023</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3,434,715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14.72</w:t>
            </w:r>
          </w:p>
        </w:tc>
        <w:tc>
          <w:tcPr>
            <w:tcW w:w="17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Time-based Options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summary of the time-based stock option activity under the 2015 Plan, 2017 Plan and Inducement Plan for the three-months ended March 31, 2023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8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Stock Options Outstanding</w:t>
            </w:r>
          </w:p>
        </w:tc>
        <w:tc>
          <w:tcPr>
            <w:tcW w:w="100" w:type="dxa"/>
            <w:vAlign w:val="bottom"/>
          </w:tcPr>
          <w:p>
            <w:pPr>
              <w:spacing w:after="0"/>
              <w:rPr>
                <w:sz w:val="20"/>
                <w:szCs w:val="20"/>
                <w:color w:val="auto"/>
              </w:rPr>
            </w:pPr>
          </w:p>
        </w:tc>
      </w:tr>
      <w:tr>
        <w:trPr>
          <w:trHeight w:val="191"/>
        </w:trPr>
        <w:tc>
          <w:tcPr>
            <w:tcW w:w="6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6"/>
                <w:szCs w:val="16"/>
                <w:color w:val="auto"/>
              </w:rPr>
            </w:pPr>
          </w:p>
        </w:tc>
      </w:tr>
      <w:tr>
        <w:trPr>
          <w:trHeight w:val="216"/>
        </w:trPr>
        <w:tc>
          <w:tcPr>
            <w:tcW w:w="6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life (in</w:t>
            </w:r>
          </w:p>
        </w:tc>
        <w:tc>
          <w:tcPr>
            <w:tcW w:w="10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Number of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 price</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Balances —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4,730,394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Options 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Options canceled</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(68,894)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(302,720)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 March 31, 2023</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4,383,780</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12.91</w:t>
            </w:r>
          </w:p>
        </w:tc>
        <w:tc>
          <w:tcPr>
            <w:tcW w:w="17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CEEFF"/>
            </w:tcBorders>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 March 31, 2023</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3,226,526</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14.98</w:t>
            </w:r>
          </w:p>
        </w:tc>
        <w:tc>
          <w:tcPr>
            <w:tcW w:w="17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fair value of the time-based options granted during the three-months ended March 31, 2023 was $49 thousand.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Performance Options</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Certain stock options awarded by the Company contain performance conditions related to certain financial measures and achievements of strategic/operational milestones. The options will vest and become exercisable once the specific performance condition is fulfilled.</w:t>
      </w:r>
    </w:p>
    <w:p>
      <w:pPr>
        <w:spacing w:after="0" w:line="14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summary of the performance option activity under the 2017 Plan and Inducement Plan for the three-months ended March 31, 2023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8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Stock Options Outstanding</w:t>
            </w:r>
          </w:p>
        </w:tc>
        <w:tc>
          <w:tcPr>
            <w:tcW w:w="100" w:type="dxa"/>
            <w:vAlign w:val="bottom"/>
          </w:tcPr>
          <w:p>
            <w:pPr>
              <w:spacing w:after="0"/>
              <w:rPr>
                <w:sz w:val="20"/>
                <w:szCs w:val="20"/>
                <w:color w:val="auto"/>
              </w:rPr>
            </w:pPr>
          </w:p>
        </w:tc>
      </w:tr>
      <w:tr>
        <w:trPr>
          <w:trHeight w:val="191"/>
        </w:trPr>
        <w:tc>
          <w:tcPr>
            <w:tcW w:w="6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6"/>
                <w:szCs w:val="16"/>
                <w:color w:val="auto"/>
              </w:rPr>
            </w:pPr>
          </w:p>
        </w:tc>
      </w:tr>
      <w:tr>
        <w:trPr>
          <w:trHeight w:val="216"/>
        </w:trPr>
        <w:tc>
          <w:tcPr>
            <w:tcW w:w="6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life (in</w:t>
            </w:r>
          </w:p>
        </w:tc>
        <w:tc>
          <w:tcPr>
            <w:tcW w:w="10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Number of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 price</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Balances —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Options 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782,300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Options canceled</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 March 31, 2023</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1,224,430</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5.33</w:t>
            </w:r>
          </w:p>
        </w:tc>
        <w:tc>
          <w:tcPr>
            <w:tcW w:w="17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tcBorders>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 March 31, 2023</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208,189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10.72</w:t>
            </w:r>
          </w:p>
        </w:tc>
        <w:tc>
          <w:tcPr>
            <w:tcW w:w="17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the performance options granted during the three-months ended March 31, 2023 was $1.8 million.</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estimates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The fair value of employee stock options was estimated using the following weighted-average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1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r>
      <w:tr>
        <w:trPr>
          <w:trHeight w:val="210"/>
        </w:trPr>
        <w:tc>
          <w:tcPr>
            <w:tcW w:w="798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7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5"/>
              </w:rPr>
              <w:t>6.03</w:t>
            </w:r>
          </w:p>
        </w:tc>
        <w:tc>
          <w:tcPr>
            <w:tcW w:w="2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6.3 - 6.8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4"/>
              </w:rPr>
              <w:t>94%</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83%</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3.80%</w:t>
            </w:r>
          </w:p>
        </w:tc>
        <w:tc>
          <w:tcPr>
            <w:tcW w:w="17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1.90%</w:t>
            </w:r>
          </w:p>
        </w:tc>
        <w:tc>
          <w:tcPr>
            <w:tcW w:w="10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Dividend yield</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Board previously adopted, and the Company's stockholders approved, the Company’s 2017 Employee Stock Purchase Plan (the “2017 ESPP”).</w:t>
      </w:r>
    </w:p>
    <w:p>
      <w:pPr>
        <w:spacing w:after="0" w:line="24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The Board waived the evergreen provision for 2022 and 2023 and no additional shares were reserved under the 2017 ESPP. During the three months ended March 31, 2023, the Company issued 262,470 shares of common stock under the 2017 ESPP. As of March 31, 2023, 198,529 shares of common stock remained available for issuance under the 2017 ESPP.</w:t>
      </w:r>
    </w:p>
    <w:p>
      <w:pPr>
        <w:spacing w:after="0" w:line="16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c>
          <w:tcPr>
            <w:tcW w:w="100" w:type="dxa"/>
            <w:vAlign w:val="bottom"/>
          </w:tcPr>
          <w:p>
            <w:pPr>
              <w:spacing w:after="0"/>
              <w:rPr>
                <w:sz w:val="20"/>
                <w:szCs w:val="20"/>
                <w:color w:val="auto"/>
              </w:rPr>
            </w:pPr>
          </w:p>
        </w:tc>
      </w:tr>
      <w:tr>
        <w:trPr>
          <w:trHeight w:val="210"/>
        </w:trPr>
        <w:tc>
          <w:tcPr>
            <w:tcW w:w="7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0.5 - 1.0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0.5 - 1.0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color w:val="auto"/>
                <w:w w:val="94"/>
              </w:rPr>
              <w:t>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4"/>
              </w:rPr>
              <w:t>83%</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5.1% - 5.2%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0.6% - 0.9%</w:t>
            </w:r>
          </w:p>
        </w:tc>
        <w:tc>
          <w:tcPr>
            <w:tcW w:w="10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418"/>
        </w:trPr>
        <w:tc>
          <w:tcPr>
            <w:tcW w:w="7980" w:type="dxa"/>
            <w:vAlign w:val="bottom"/>
          </w:tcPr>
          <w:p>
            <w:pPr>
              <w:spacing w:after="0"/>
              <w:rPr>
                <w:sz w:val="20"/>
                <w:szCs w:val="20"/>
                <w:color w:val="auto"/>
              </w:rPr>
            </w:pPr>
            <w:r>
              <w:rPr>
                <w:rFonts w:ascii="Arial" w:cs="Arial" w:eastAsia="Arial" w:hAnsi="Arial"/>
                <w:sz w:val="18"/>
                <w:szCs w:val="18"/>
                <w:b w:val="1"/>
                <w:bCs w:val="1"/>
                <w:i w:val="1"/>
                <w:iCs w:val="1"/>
                <w:color w:val="auto"/>
              </w:rPr>
              <w:t>Stock-based Compensation</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tcPr>
          <w:p>
            <w:pPr>
              <w:ind w:left="500"/>
              <w:spacing w:after="0"/>
              <w:rPr>
                <w:sz w:val="20"/>
                <w:szCs w:val="20"/>
                <w:color w:val="auto"/>
              </w:rPr>
            </w:pPr>
            <w:r>
              <w:rPr>
                <w:rFonts w:ascii="Arial" w:cs="Arial" w:eastAsia="Arial" w:hAnsi="Arial"/>
                <w:sz w:val="18"/>
                <w:szCs w:val="18"/>
                <w:color w:val="auto"/>
              </w:rPr>
              <w:t>Total stock-based compensation expense consisted of the following (in thousands):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c>
          <w:tcPr>
            <w:tcW w:w="100" w:type="dxa"/>
            <w:vAlign w:val="bottom"/>
          </w:tcPr>
          <w:p>
            <w:pPr>
              <w:spacing w:after="0"/>
              <w:rPr>
                <w:sz w:val="24"/>
                <w:szCs w:val="24"/>
                <w:color w:val="auto"/>
              </w:rPr>
            </w:pPr>
          </w:p>
        </w:tc>
      </w:tr>
      <w:tr>
        <w:trPr>
          <w:trHeight w:val="210"/>
        </w:trPr>
        <w:tc>
          <w:tcPr>
            <w:tcW w:w="7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r>
      <w:tr>
        <w:trPr>
          <w:trHeight w:val="249"/>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31, 2023, not all of the performance conditions of the performance options are probable to be achieved. Compensation expense has only been recognized for those conditions that are assumed to be probable.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stock-based compensation expense by type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Time-based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Performance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ESPP</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stock-based compensation expense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Research Grants and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195"/>
        </w:trPr>
        <w:tc>
          <w:tcPr>
            <w:tcW w:w="2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678</w:t>
            </w:r>
          </w:p>
        </w:tc>
        <w:tc>
          <w:tcPr>
            <w:tcW w:w="24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1,807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9"/>
        </w:trPr>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83" w:lineRule="exact"/>
        <w:rPr>
          <w:sz w:val="20"/>
          <w:szCs w:val="20"/>
          <w:color w:val="auto"/>
        </w:rPr>
      </w:pPr>
    </w:p>
    <w:p>
      <w:pPr>
        <w:sectPr>
          <w:pgSz w:w="11900" w:h="16838" w:orient="portrait"/>
          <w:cols w:equalWidth="0" w:num="2">
            <w:col w:w="7260" w:space="720"/>
            <w:col w:w="3260"/>
          </w:cols>
          <w:pgMar w:left="320" w:top="125" w:right="339" w:bottom="1440" w:gutter="0" w:footer="0" w:header="0"/>
        </w:sectPr>
      </w:pPr>
    </w:p>
    <w:p>
      <w:pPr>
        <w:spacing w:after="0" w:line="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 may sponsor research activities (“SRAs”) performed by ODURF. ODURF is compensated by the Company for its conduct of each study in accordance with the budget and payment terms set forth in the applicable task order. In March 2021, the Company agreed to sponsor a task order in the amount of $0.3 million for research performed during the subsequent 12-month period to be funded through monthly payments to ODURF. In May 2021, the Company agreed to sponsor an additional task order in the amount of $0.3 million for research performed during the subsequent 12-month period. These SRAs are funded through monthly payments to ODURF. Payments will be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During the three-month periods ended March 31, 2023 and 2022, the Company incurred costs relating to the SRAs equal to zero and $0.1 million, respectively. As of March 31, 2023, the Company does not have any active SRAs with ODURF.</w:t>
      </w:r>
    </w:p>
    <w:p>
      <w:pPr>
        <w:spacing w:after="0" w:line="200" w:lineRule="exact"/>
        <w:rPr>
          <w:sz w:val="20"/>
          <w:szCs w:val="20"/>
          <w:color w:val="auto"/>
        </w:rPr>
      </w:pPr>
    </w:p>
    <w:p>
      <w:pPr>
        <w:spacing w:after="0" w:line="205" w:lineRule="exact"/>
        <w:rPr>
          <w:sz w:val="20"/>
          <w:szCs w:val="20"/>
          <w:color w:val="auto"/>
        </w:rPr>
      </w:pPr>
    </w:p>
    <w:p>
      <w:pPr>
        <w:ind w:left="500" w:right="8500" w:hanging="492"/>
        <w:spacing w:after="0" w:line="566" w:lineRule="auto"/>
        <w:tabs>
          <w:tab w:leader="none" w:pos="19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2022 Loan Agreement</w:t>
      </w:r>
    </w:p>
    <w:p>
      <w:pPr>
        <w:jc w:val="both"/>
        <w:ind w:firstLine="486"/>
        <w:spacing w:after="0" w:line="287" w:lineRule="auto"/>
        <w:rPr>
          <w:sz w:val="20"/>
          <w:szCs w:val="20"/>
          <w:color w:val="auto"/>
        </w:rPr>
      </w:pPr>
      <w:r>
        <w:rPr>
          <w:rFonts w:ascii="Arial" w:cs="Arial" w:eastAsia="Arial" w:hAnsi="Arial"/>
          <w:sz w:val="16"/>
          <w:szCs w:val="16"/>
          <w:color w:val="auto"/>
        </w:rPr>
        <w:t>On September 20, 2022, the Company and Robert W. Duggan, the Executive Chairman, entered into a Loan Agreement (“2022 Loan Agreement”) in connection with Mr. Duggan lending the principal sum of $65.0 million to the Company. The Loan Agreement bears interest at a rate per annum equal to 5.0%, payable quarterly commencing on January 1, 2023, with the principal sum payable on March 20, 2024. On March 17, 2023, the Company and Mr. Duggan agreed to amend certain terms of the Loan Agreement. There were no changes to the interest rate, but the principal sum is now due and payable on September 30, 2024. During the three-month period ended March 31, 2023, the Company made a cash payment of $0.9 million for accrued interest on the loan, and recorded an additional $0.8 million of interest expense in relation to the 2022 Loan Agreement.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principal sum of $65.0 million, together with all accrued and unpaid interest outstanding, pursuant to the 2022 Loan Agreement. Upon closing of the Private Placement and satisfaction of the outstanding debt, the 2022 Loan Agreement terminated, without early termination fees or penalties being owed by the Company, and no additional amounts are owed to Mr. Duggan under the 2022 Loan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January 2017, the Company entered into a five-year lease (the “Existing Lease”) for approximately 15,700 square feet for its corporate headquarters located in Hayward, California. The lease commenced in July 2017.</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w:t>
      </w:r>
    </w:p>
    <w:p>
      <w:pPr>
        <w:spacing w:after="0" w:line="16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480"/>
              <w:spacing w:after="0"/>
              <w:rPr>
                <w:sz w:val="20"/>
                <w:szCs w:val="20"/>
                <w:color w:val="auto"/>
              </w:rPr>
            </w:pPr>
            <w:r>
              <w:rPr>
                <w:rFonts w:ascii="Arial" w:cs="Arial" w:eastAsia="Arial" w:hAnsi="Arial"/>
                <w:sz w:val="18"/>
                <w:szCs w:val="18"/>
                <w:color w:val="auto"/>
              </w:rPr>
              <w:t>Supplemental balance sheet information related to leases (in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00" w:type="dxa"/>
            <w:vAlign w:val="bottom"/>
            <w:shd w:val="clear" w:color="auto" w:fill="CCEEFF"/>
          </w:tcPr>
          <w:p>
            <w:pPr>
              <w:spacing w:after="0"/>
              <w:rPr>
                <w:sz w:val="18"/>
                <w:szCs w:val="18"/>
                <w:color w:val="auto"/>
              </w:rPr>
            </w:pPr>
          </w:p>
        </w:tc>
      </w:tr>
      <w:tr>
        <w:trPr>
          <w:trHeight w:val="630"/>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8,898</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7980" w:type="dxa"/>
            <w:vAlign w:val="bottom"/>
          </w:tcPr>
          <w:p>
            <w:pPr>
              <w:ind w:left="480"/>
              <w:spacing w:after="0"/>
              <w:rPr>
                <w:sz w:val="20"/>
                <w:szCs w:val="20"/>
                <w:color w:val="auto"/>
              </w:rPr>
            </w:pPr>
            <w:r>
              <w:rPr>
                <w:rFonts w:ascii="Arial" w:cs="Arial" w:eastAsia="Arial" w:hAnsi="Arial"/>
                <w:sz w:val="18"/>
                <w:szCs w:val="18"/>
                <w:color w:val="auto"/>
              </w:rPr>
              <w:t>Total cash paid for operating lease liabilities (in thousands):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79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r>
      <w:tr>
        <w:trPr>
          <w:trHeight w:val="432"/>
        </w:trPr>
        <w:tc>
          <w:tcPr>
            <w:tcW w:w="7980" w:type="dxa"/>
            <w:vAlign w:val="bottom"/>
          </w:tcPr>
          <w:p>
            <w:pPr>
              <w:ind w:left="480"/>
              <w:spacing w:after="0"/>
              <w:rPr>
                <w:sz w:val="20"/>
                <w:szCs w:val="20"/>
                <w:color w:val="auto"/>
              </w:rPr>
            </w:pPr>
            <w:r>
              <w:rPr>
                <w:rFonts w:ascii="Arial" w:cs="Arial" w:eastAsia="Arial" w:hAnsi="Arial"/>
                <w:sz w:val="18"/>
                <w:szCs w:val="18"/>
                <w:color w:val="auto"/>
              </w:rPr>
              <w:t>Maturities of operating lease liabilities were as follows (in thousands):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9 months)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(3,684)</w:t>
            </w:r>
          </w:p>
        </w:tc>
      </w:tr>
      <w:tr>
        <w:trPr>
          <w:trHeight w:val="25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7980" w:type="dxa"/>
            <w:vAlign w:val="bottom"/>
          </w:tcPr>
          <w:p>
            <w:pPr>
              <w:ind w:left="480"/>
              <w:spacing w:after="0"/>
              <w:rPr>
                <w:sz w:val="20"/>
                <w:szCs w:val="20"/>
                <w:color w:val="auto"/>
              </w:rPr>
            </w:pPr>
            <w:r>
              <w:rPr>
                <w:rFonts w:ascii="Arial" w:cs="Arial" w:eastAsia="Arial" w:hAnsi="Arial"/>
                <w:sz w:val="18"/>
                <w:szCs w:val="18"/>
                <w:color w:val="auto"/>
                <w:w w:val="95"/>
              </w:rPr>
              <w:t>Weighted-average remaining lease term and discount rate, as of March 31, 2023, were as follows: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Rent expense, including common area maintenance charges, was $0.5 million for each of the three-month periods ended March 31, 2023 and 2022.</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40" w:firstLine="486"/>
        <w:spacing w:after="0" w:line="287" w:lineRule="auto"/>
        <w:rPr>
          <w:sz w:val="20"/>
          <w:szCs w:val="20"/>
          <w:color w:val="auto"/>
        </w:rPr>
      </w:pPr>
      <w:r>
        <w:rPr>
          <w:rFonts w:ascii="Arial" w:cs="Arial" w:eastAsia="Arial" w:hAnsi="Arial"/>
          <w:sz w:val="16"/>
          <w:szCs w:val="16"/>
          <w:color w:val="auto"/>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w:t>
      </w:r>
    </w:p>
    <w:p>
      <w:pPr>
        <w:spacing w:after="0" w:line="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one that is in its early stages, the Company cannot predict what the final outcome of Ms. Gardiner’s arbitration proceeding will likely be. However, at this time, we believe that the final resolution of this matter will not adversely affect our consolidated position, results of operations, or cash flows.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Controlled Launch</w:t>
      </w:r>
    </w:p>
    <w:p>
      <w:pPr>
        <w:spacing w:after="0" w:line="229"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February 2021, the Company received 510(k) clearance from the FDA for its proprietary CellFX System for dermatologic procedures requiring ablation and resurfacing of the skin. In January 2021, the Company received CE marking approval for the CellFX System, which allows for marketing of the system in the EU for treatment of general dermatologic conditions, including SH, SK, and cutaneous non-genital warts. Additionally, in June 2021 the Company received Health Canada approval for the CellFX System, which allows for marketing of the system in Canada for use in dermatological procedures requiring ablation and resurfacing of the skin for the reduction, removal, and/or clearance of cellular-based benign lesions. In February 2021, the Company commenced a controlled launch of the CellFX System in the United States and European Union via its CellFX Expectations Excelled Program (the “Controlled Launch”). Subsequent to receiving Health Canada approval in June 2021, the Company also commenced its Controlled Launch in Canada.</w:t>
      </w:r>
    </w:p>
    <w:p>
      <w:pPr>
        <w:spacing w:after="0" w:line="192" w:lineRule="exact"/>
        <w:rPr>
          <w:sz w:val="20"/>
          <w:szCs w:val="20"/>
          <w:color w:val="auto"/>
        </w:rPr>
      </w:pPr>
    </w:p>
    <w:p>
      <w:pPr>
        <w:ind w:right="80" w:firstLine="486"/>
        <w:spacing w:after="0" w:line="285" w:lineRule="auto"/>
        <w:rPr>
          <w:sz w:val="20"/>
          <w:szCs w:val="20"/>
          <w:color w:val="auto"/>
        </w:rPr>
      </w:pPr>
      <w:r>
        <w:rPr>
          <w:rFonts w:ascii="Arial" w:cs="Arial" w:eastAsia="Arial" w:hAnsi="Arial"/>
          <w:sz w:val="16"/>
          <w:szCs w:val="16"/>
          <w:color w:val="auto"/>
        </w:rPr>
        <w:t>As part of the Controlled Launch, the Company selected 70 physicians and their practices to be the first physician consultants to launch the CellFX System and the associated CellFX commercial procedures into their respective markets and geographies. In the Controlled Launch program, the Company provided and set up a CellFX System at each physician site and provided the physician with the necessary related products and components, free of charge, to complete the requirements of the Controlled Launch program. Each CellFX System and any unused component products remained the property of the Company throughout the Controlled Launch program. Under the Controlled Launch program, each physician was to identify and recruit up</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40 or 50 patients, depending on the contract, for participation in the Controlled Launch, performing a CellFX procedure on each of the appropriately selected patients. The physician and their patients completed evaluation surveys about their experiences with the CellFX System and provided other information helpful to the Company. Upon completion of the procedures and the survey feedback, the physician earned credits to be used towards the future purchase of the CellFX System or, in some jurisdictions, fair payment for their time and effort completing the paperwork required under the Controlled Launch program. Credits earned and, if applicable, any other payments earned were limited to a maximum amount dependent on the number of surveys received by the Company. Upon completion of the Controlled Launch program requirements, each physician could choose to enter into a purchase agreement with the Company, under which the physician could use the credits earned (or other payments earned, as applicable) towards the purchase of the already-delivered CellFX System, or the physician could return the CellFX System to the Company.</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patient procedures and surveys were completed under the Controlled Launch program, the Company accrued the value of the credits earned, which were recorded in accrued expenses, with a corresponding charge to sales and marketing expense. The Company did not record any sales and marketing expense in relation to the Controlled Launch program for the three-month period ended March 31, 2023, and it recorded an expense of $0.3 million for the three-month period ended March 31, 2022.</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September 2022, the Company concluded the Controlled Launch program and notified all remaining program participants. In accordance with the Controlled Launch program, physicians having completed the program requirements could elect to purchase their already delivered CellFX System, applying credits earned, or return the CellFX System to the Company. The Company concluded these efforts in the fourth quarter of 2022 and has discontinued sales of the CellFX System, although the Company continues to offer its disposable treatment tips to dermatologists who have chosen to retain their existing CellFX consoles.</w:t>
      </w:r>
    </w:p>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the three months ended March 31, 2023, the Company did not recognize any revenue in relation to the Controlled Launch program, and during the three-months ended March 31, 2022, certain consultants completed the Controlled Launch program and entered into purchase agreements with the Company, whereby they used their credits or other earned payments towards the purchase of a CellFX System. Accordingly, approximately $0.3 million of the accrued liability related to the Controlled Launch program was relieved and recognized as revenue on a non-cash basis as a result of these purchases during the three months ended March 31, 2022. See Note 10 for additional detail of revenue transactions.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Company recognized revenue at a point in time when it satisfied performance obligations by transferring control of promised goods to its customers. The amount of revenue recognized was equal to the consideration which the Company was entitled to in exchange for the promised goods, excluding any amounts assessed by government authorities for taxes which might be collected from a customer. This consideration may include non-cash services performed, as was the case with revenue recognized in connection with the Controlled Launch program. On September 20, 2022, the Company announced its shift in focus to advance its core NPS technology outside of dermatology and concluded its Controlled Launch program. Total revenue recognized for the three months ended March 31, 2023 and 2022 was zero and $0.4 million, respectively, of which approximately zero and $0.3 million, respectively, was driven by the redemption of non-cash credits earned as part of the Controlled Launch, with the balances driven by cash purchases of cycle units (“CUs”) and CellFX commercial consoles sold.</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Sales contracts often involve the sale and delivery of multiple performance obligations in the contract.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Systems consist of the CellFX console and its embedded software, handpieces, and disposable tips. The console is a physical piece of hardware used by the customer to perform patient procedures. Individually the console and software are not distinct, therefore the Company combines the console and embedded software to form one distinct system performance obligation. Payment for systems is generally due prior to shipment, and the system performance obligation is satisfied upon shipment of the system to the customer.</w:t>
      </w:r>
    </w:p>
    <w:p>
      <w:pPr>
        <w:spacing w:after="0" w:line="18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Handpieces are attached to the console and used in conjunction with tips to perform patient procedures. Generally, upon initial sale of a system to a customer, the Company will include two handpieces. The handpiece has a shorter expected useful life than the console, and a customer can purchase additional handpieces when needed, as they are available for sale on a stand-alone basis. Payment for handpieces is generally due prior to shipment, and handpieces represent a distinct performance obligation which is satisfied either upon shipment, or upon delivery of the handpiece to the customer, depending on the specific contract.</w:t>
      </w:r>
    </w:p>
    <w:p>
      <w:pPr>
        <w:spacing w:after="0" w:line="188" w:lineRule="exact"/>
        <w:rPr>
          <w:sz w:val="20"/>
          <w:szCs w:val="20"/>
          <w:color w:val="auto"/>
        </w:rPr>
      </w:pPr>
    </w:p>
    <w:p>
      <w:pPr>
        <w:jc w:val="both"/>
        <w:ind w:right="120" w:firstLine="486"/>
        <w:spacing w:after="0" w:line="259" w:lineRule="auto"/>
        <w:rPr>
          <w:sz w:val="20"/>
          <w:szCs w:val="20"/>
          <w:color w:val="auto"/>
        </w:rPr>
      </w:pPr>
      <w:r>
        <w:rPr>
          <w:rFonts w:ascii="Arial" w:cs="Arial" w:eastAsia="Arial" w:hAnsi="Arial"/>
          <w:sz w:val="18"/>
          <w:szCs w:val="18"/>
          <w:color w:val="auto"/>
        </w:rPr>
        <w:t>Disposable treatment 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represent a distinct performance obligation which is satisfied either upon shipment, or upon delivery of the tips to the customer, depending on the specific contract.</w:t>
      </w:r>
    </w:p>
    <w:p>
      <w:pPr>
        <w:spacing w:after="0" w:line="18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CUs are credits that authorize the customer to perform a procedure, or cycle. Each procedure requires a specific number of CUs, dependent upon type of tip used and procedure level selected. As the procedure is performed, the applicable number of CUs are decremented. When the customer’s balance of CUs on a specific system is depleted, the system will no longer function until the customer purchases additional CUs. Customers can purchase additional CUs via the Company’s CellFX Marketplace which is an online marketplace accessible directly from the CellFX System. Payment for CUs is due upon order placement and the CUs are immediately available for download to the console via CellFX CloudConnect. CUs represent a distinct performance obligation which is satisfied when CUs are made available for customers to download from the Company’s CellFX CloudConnect, as customers can use purchased CUs at any time at their discretion, and the Company does not provide any ongoing service or other forms of involvement after the sale occurs.</w:t>
      </w:r>
    </w:p>
    <w:p>
      <w:pPr>
        <w:spacing w:after="0" w:line="166" w:lineRule="exact"/>
        <w:rPr>
          <w:sz w:val="20"/>
          <w:szCs w:val="20"/>
          <w:color w:val="auto"/>
        </w:rPr>
      </w:pPr>
    </w:p>
    <w:p>
      <w:pPr>
        <w:ind w:right="500" w:firstLine="486"/>
        <w:spacing w:after="0" w:line="286" w:lineRule="auto"/>
        <w:rPr>
          <w:sz w:val="20"/>
          <w:szCs w:val="20"/>
          <w:color w:val="auto"/>
        </w:rPr>
      </w:pPr>
      <w:r>
        <w:rPr>
          <w:rFonts w:ascii="Arial" w:cs="Arial" w:eastAsia="Arial" w:hAnsi="Arial"/>
          <w:sz w:val="17"/>
          <w:szCs w:val="17"/>
          <w:color w:val="auto"/>
        </w:rPr>
        <w:t>Shipping and handling activities are not considered to be a separate performance obligation. The Company’s standard commercial agreements generally include FOB shipping point terms. The Company has made an accounting policy election to account for shipping and handling costs as fulfillment costs because the shipping and handling activities occur after the customer obtains control of the product.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Transaction Price</w:t>
      </w:r>
    </w:p>
    <w:p>
      <w:pPr>
        <w:spacing w:after="0" w:line="22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transaction price is the consideration to which the Company expects to be entitled to in exchange for providing the promised goods to customers. Customer orders placed for cash contemplate a fixed amount of consideration. Customer orders placed by physicians participating in the Controlled Launch when they elected to purchase the CellFX System were paid for via conversion of accumulated earned credits for prior services provided by the physicians under the terms of their participation in the Controlled Launch. For these transactions, the transaction price included noncash consideration. The services rendered by the physicians in the Controlled Launch were accounted for separately from the subsequent sales of the CellFX Systems because they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were distinct from the system sales. They were distinct because they provided the Company with treatment data that could also be procured, and historically had been procured by the Company, without the corresponding system sales. This data was used by the Company to enhance marketing and promotion of its products.</w:t>
      </w:r>
    </w:p>
    <w:p>
      <w:pPr>
        <w:spacing w:after="0" w:line="190"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The Company evaluates the possible impact of variable consideration in determining the transaction price, in particular the possibility of future returns or credits. Sales agreements allow for a right of return only if the product does not conform to the agreed upon quality standards or if the product was shipped due to Company error. The Company anticipates such returns will be minimal and has made no adjustments to the transaction price for any estimated returns. The transaction price is determined at the time of the initial revenue recognition and updated each quarter for any changes in circumstances (e.g., changes in estimated return or credit rates).</w:t>
      </w:r>
    </w:p>
    <w:p>
      <w:pPr>
        <w:spacing w:after="0" w:line="18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Company has made an accounting policy election to exclude from the measurement of the transaction price all taxes which are imposed on and concurrent with a specific revenue-producing transaction and collected by the entity from a customer.</w:t>
      </w:r>
    </w:p>
    <w:p>
      <w:pPr>
        <w:spacing w:after="0" w:line="170"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no impact to revenue recognition timing, and the Company has determined allocations are not necessary. Should the customer purchase additional CUs, handpieces, or tips at a later time, those purchases will be made under separate purchase agreements, with all promised goods generally transferred at the same time, therefore no price allocation is necessary in that scenario either.</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Controlled Launch Agreements</w:t>
      </w:r>
    </w:p>
    <w:p>
      <w:pPr>
        <w:spacing w:after="0" w:line="225" w:lineRule="exact"/>
        <w:rPr>
          <w:sz w:val="20"/>
          <w:szCs w:val="20"/>
          <w:color w:val="auto"/>
        </w:rPr>
      </w:pPr>
    </w:p>
    <w:p>
      <w:pPr>
        <w:ind w:right="400" w:firstLine="486"/>
        <w:spacing w:after="0" w:line="257" w:lineRule="auto"/>
        <w:rPr>
          <w:sz w:val="20"/>
          <w:szCs w:val="20"/>
          <w:color w:val="auto"/>
        </w:rPr>
      </w:pPr>
      <w:r>
        <w:rPr>
          <w:rFonts w:ascii="Arial" w:cs="Arial" w:eastAsia="Arial" w:hAnsi="Arial"/>
          <w:sz w:val="18"/>
          <w:szCs w:val="18"/>
          <w:color w:val="auto"/>
        </w:rPr>
        <w:t>In August 2021 the Company began to recognize revenue in relation to the conversion of Controlled Launch Program participants into sales agreements (Note 8). These customers were already in possession of the system, handpiece, and tips. As such, upon execution of these purchase agreements, the Company recognized revenue on the agreements because control of all performance obligations were transferred at that time. These customers separately purchased CUs in order to operate the CellFX System and the revenue for these CUs was recognized upon delivery of the CUs to CellFX CloudConnect.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Reporting</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operates and manages the business as one reportable and operating segment. The Company’s Chief Executive Officer acts as the chief operating decision maker (“CODM”) of the Company. The CODM reviews the results of the Company on a consolidated basis, however in making certain operating decisions and assessing performance, the CODM will additionally review the disaggregated revenue results by product and geography. Substantially all of the Company’s long-lived assets are based in the United States.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500"/>
              <w:spacing w:after="0"/>
              <w:rPr>
                <w:sz w:val="20"/>
                <w:szCs w:val="20"/>
                <w:color w:val="auto"/>
              </w:rPr>
            </w:pPr>
            <w:r>
              <w:rPr>
                <w:rFonts w:ascii="Arial" w:cs="Arial" w:eastAsia="Arial" w:hAnsi="Arial"/>
                <w:sz w:val="18"/>
                <w:szCs w:val="18"/>
                <w:color w:val="auto"/>
                <w:w w:val="96"/>
              </w:rPr>
              <w:t>Revenue by product consisted of the following (in thousands):</w:t>
            </w:r>
          </w:p>
        </w:tc>
        <w:tc>
          <w:tcPr>
            <w:tcW w:w="2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8"/>
                <w:szCs w:val="18"/>
                <w:color w:val="auto"/>
              </w:rPr>
            </w:pPr>
          </w:p>
        </w:tc>
        <w:tc>
          <w:tcPr>
            <w:tcW w:w="1380" w:type="dxa"/>
            <w:vAlign w:val="bottom"/>
            <w:gridSpan w:val="2"/>
          </w:tcPr>
          <w:p>
            <w:pPr>
              <w:jc w:val="right"/>
              <w:ind w:right="167"/>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27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367</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Cycle units</w:t>
            </w:r>
          </w:p>
        </w:tc>
        <w:tc>
          <w:tcPr>
            <w:tcW w:w="27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49"/>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consolidated revenue</w:t>
            </w:r>
          </w:p>
        </w:tc>
        <w:tc>
          <w:tcPr>
            <w:tcW w:w="2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5260" w:type="dxa"/>
            <w:vAlign w:val="bottom"/>
          </w:tcPr>
          <w:p>
            <w:pPr>
              <w:spacing w:after="0"/>
              <w:rPr>
                <w:sz w:val="24"/>
                <w:szCs w:val="24"/>
                <w:color w:val="auto"/>
              </w:rPr>
            </w:pPr>
          </w:p>
        </w:tc>
        <w:tc>
          <w:tcPr>
            <w:tcW w:w="2720" w:type="dxa"/>
            <w:vAlign w:val="bottom"/>
          </w:tcPr>
          <w:p>
            <w:pPr>
              <w:jc w:val="right"/>
              <w:ind w:right="2170"/>
              <w:spacing w:after="0"/>
              <w:rPr>
                <w:sz w:val="20"/>
                <w:szCs w:val="20"/>
                <w:color w:val="auto"/>
              </w:rPr>
            </w:pPr>
            <w:r>
              <w:rPr>
                <w:rFonts w:ascii="Arial" w:cs="Arial" w:eastAsia="Arial" w:hAnsi="Arial"/>
                <w:sz w:val="18"/>
                <w:szCs w:val="18"/>
                <w:color w:val="auto"/>
              </w:rPr>
              <w:t>20</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580" w:type="dxa"/>
            <w:vAlign w:val="bottom"/>
            <w:gridSpan w:val="2"/>
          </w:tcPr>
          <w:p>
            <w:pPr>
              <w:ind w:left="500"/>
              <w:spacing w:after="0"/>
              <w:rPr>
                <w:sz w:val="20"/>
                <w:szCs w:val="20"/>
                <w:color w:val="auto"/>
              </w:rPr>
            </w:pPr>
            <w:r>
              <w:rPr>
                <w:rFonts w:ascii="Arial" w:cs="Arial" w:eastAsia="Arial" w:hAnsi="Arial"/>
                <w:sz w:val="18"/>
                <w:szCs w:val="18"/>
                <w:color w:val="auto"/>
              </w:rPr>
              <w:t>Revenue by geography consisted of the following (in thousands):</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8"/>
                <w:szCs w:val="18"/>
                <w:color w:val="auto"/>
              </w:rPr>
            </w:pPr>
          </w:p>
        </w:tc>
        <w:tc>
          <w:tcPr>
            <w:tcW w:w="1380" w:type="dxa"/>
            <w:vAlign w:val="bottom"/>
            <w:gridSpan w:val="2"/>
          </w:tcPr>
          <w:p>
            <w:pPr>
              <w:jc w:val="right"/>
              <w:ind w:right="167"/>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312</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w:t>
            </w:r>
          </w:p>
        </w:tc>
        <w:tc>
          <w:tcPr>
            <w:tcW w:w="100" w:type="dxa"/>
            <w:vAlign w:val="bottom"/>
          </w:tcPr>
          <w:p>
            <w:pPr>
              <w:spacing w:after="0"/>
              <w:rPr>
                <w:sz w:val="18"/>
                <w:szCs w:val="18"/>
                <w:color w:val="auto"/>
              </w:rPr>
            </w:pPr>
          </w:p>
        </w:tc>
      </w:tr>
      <w:tr>
        <w:trPr>
          <w:trHeight w:val="249"/>
        </w:trPr>
        <w:tc>
          <w:tcPr>
            <w:tcW w:w="6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consolidated revenue</w:t>
            </w:r>
          </w:p>
        </w:tc>
        <w:tc>
          <w:tcPr>
            <w:tcW w:w="1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May 2022, the Company determined not to renew its annual director and officer liability insurance policy due to disproportionately high premiums quoted by insurance companies. Instead, on May 31, 2022, the Company and Robert W. Duggan, majority stockholder and Executive Chairman, entered into a letter agreement (the “Letter Agreement”) pursuant to which Mr. Duggan has agreed with the Company to personally provide indemnity coverage for a one-year period, and he has agreed to deposit cash and/or marketable securities into a third-party escrow, as security for these obligations, if requested by the Company. The Company will pay a fee of $1.0 million to Mr. Duggan that shall be due on May 31, 2023, the last day of the one-year period, in consideration of the obligations set forth in the Letter Agreement. As of March 31, 2023, the amount owed to Mr. Duggan under the Letter Agreement was $0.8 million, recorded on the balance sheet under accrued expenses.</w:t>
      </w:r>
    </w:p>
    <w:p>
      <w:pPr>
        <w:spacing w:after="0" w:line="17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September 20, 2022, the Company and Robert W. Duggan, majority stockholder and Executive Chairman, entered into the 2022 Loan Agreement in connection with Mr. Duggan lending the principal sum of $65.0 million to the Company.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principal sum of $65.0 million, together with all accrued and unpaid interest outstanding, pursuant to the 2022 Loan Agreement. Upon closing of the Private Placement and satisfaction of the outstanding debt, the 2022 Loan Agreement terminated, without early termination fees or penalties being owed by the Company, and no additional amounts are owed to Mr. Duggan under the 2022 Loan Agreement. See Note 8 for further details.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Charges</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March 31, 2022, the Company initiated a plan to reduce its operating expenses, preserve financial resources, and focus its sales and marketing efforts on increasing utilization of CellFX Systems. The Company’s Board of Directors approved changes to the Company’s commercial leadership, restructuring of its commercial field organization and reductions in other personnel and expenses across the Company. The Company announced a reduction in force effective as of March 31, 2022. The affected employees were offered separation benefits, including severance payments along with temporary healthcare coverage assistance. The Company incurred a discrete restructuring related charge of $0.7 million which was fully recorded in March 2022 and the related expenses are included within total cost and expenses on the condensed consolidated statement of operations for the three months ended March 31, 2022. This charge represents the total amount incurred in connection with the activity.</w:t>
      </w:r>
    </w:p>
    <w:p>
      <w:pPr>
        <w:spacing w:after="0" w:line="177"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color w:val="auto"/>
        </w:rPr>
        <w:t>In February 2023, the Company eliminated an additional seven positions and incurred a discrete restructuring related charge of $0.1 million which was fully recorded in February 2023 and the related expenses are included within total cost and expenses on the condensed consolidated statement of operations for the three months ended March 31, 2023. This charge represents the total amount incurred in connection with the activity.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 parties completed the Private Placement on May 9, 2023, after satisfying all pre-closing conditions, and the Company has issued the full number of shares to Mr. Duggan. The shares were paid for through the cancellation of the principal sum of $65.0 million borrowed by the Company pursuant to the 2022 Loan Agreement, which was entered into by and between the Company and Mr. Duggan on September 20, 2022, together with all accrued and unpaid interest outstanding owed at the time of closing. As a result of the closing of the Private Placement, the 2022 Loan Agreement has terminated, without early termination fees or penalties being owed by the Company, and no additional amounts are owed to Mr. Duggan under the 2022 Loan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Pulse Biosciences, Inc. is a novel bioelectric medicine company committed to health innovation using its patented Nano-pulse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Stimulation™ technology, a revolutionary energy modality that delivers nanosecond-duration pulses of electrical energy, each less than a millionth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long, to non-thermally clear targeted cells while sparing adjacent noncellular tissue. NPS technology, also referred to as a Nanosecond Pulsed-Field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Ablation™ or nsPFA™ technology when used to ablate cellular tissue, can be used to treat a variety of medical conditions for which an optimal solution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remains unfulfilled. We developed our proprietary CellFX System®, a novel nsPFA delivery platform, and commercialized the initial application of</w:t>
      </w:r>
    </w:p>
    <w:p>
      <w:pPr>
        <w:spacing w:after="0" w:line="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our nsPFA technology to treat benign lesions of the skin. In parallel, we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efforts on the use of nsPFA technology and the CellFX platform in the treatment of atrial fibrillation ("AF").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 We have developed a cardiac ablation clamp for use in cardiac surgery and a cardiac ablation catheter for use in electrophysiology and we are currently testing both in preclinical models. While these devices serve different physicians, the application of the energy to safely and effectively ablate cardiac tissue and the treatment of AF are the same, and we believe there will be important synergies realized through their contemporaneous development. Our cardiac ablation clamp and cardiac ablation catheter both use the CellFX System to generate our proprietary pulses of electrical energy.</w:t>
      </w:r>
    </w:p>
    <w:p>
      <w:pPr>
        <w:spacing w:after="0" w:line="19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 ablation lines block the conduction of electrical impulses and can cure the patient of their atrial fibrillation.</w:t>
      </w:r>
    </w:p>
    <w:p>
      <w:pPr>
        <w:spacing w:after="0" w:line="18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believe our nsPFA technology can provide important advantages over today’s thermal modalities in creating these ablation lines. For example, surgeons using the CellFX System should be able to deliver faster ablations through thicker tissue than thermal modalities because of the nonthermal mechanism of action that nsPFA employs, which is not affected by heatsinks such as the blood in the heart. Thermal modalities are also known to have problems with char formation on electrode surfaces which can cause gaps in the ablation lines leading to treatment failure and require the char to be scraped off by the surgeon during the procedure. Again, this should not be an issue with nsPFA ablation given its nonthermal nature.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profoundly important to cardiac surgeons treating AF, so we are working with leaders in the field to develop this technology quickly. In May 2023, we appointed Dr. Gan Dunnington as our Chief Medical Officer. Dr. Dunnington is a cardiothoracic surgeon and the Director of Cardiothoracic Surgery at St. Helena Hospital (Napa Valley). He specializes in minimally invasive complex cardiothoracic procedures for the treatment of AF.</w:t>
      </w:r>
    </w:p>
    <w:p>
      <w:pPr>
        <w:spacing w:after="0" w:line="172"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Over the last several years, we have been developing the cardiac ablation clamp from proof-of-concept to prototype, and we now have what we believe is our initial commercial design. The device was designed with the input of key physicians in cardiac surgery, and we believe it will offer a highly differentiated option relative to the standard of care thermal modalities. We plan to perform the necessary device testing in 2023 to prepare for human clinical use, including continued preclinical testing. In parallel with the continued testing of the device, we expect to meet with the U.S. Food and Drug Administration (the "FDA") to discuss the regulatory requirements for a potential FDA clearance or approval to market our cardiac clamp in the United States. This will be done as part of the FDA’s standard Q-submission process, also known as a pre-submission meeting. We expect that our first meeting on this topic with the FDA will take place in the second quarter of 2023.</w:t>
      </w:r>
    </w:p>
    <w:p>
      <w:pPr>
        <w:spacing w:after="0" w:line="1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believe our cardiac catheter ablation device will have many of the same advantages that the cardiac ablation clamp has relative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8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recent years, Pulsed Field Ablation ("PFA") has gained attention in electrophysiology for the treatment of AF as a result of its safety profile and potential to improve efficacy. PFA differs from nsPFA in that the pulse widths are longer, typically in the 10’s to 100’s of microseconds. We believe nsPFA can offer similar safety advantages as PFA and may provide improved efficacy advantages based on the circumferential design of our catheter and the potential that nsPFA can create deeper ablations. Another potential advantage of nsPFA ablation is a much shorter pulse duration which appears to stimulate less muscle contraction than does millisecond or microsecond PFA.</w:t>
      </w:r>
    </w:p>
    <w:p>
      <w:pPr>
        <w:spacing w:after="0" w:line="188"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Similar to the cardiac ablation clamp, our proprietary catheter has been in development for several years and we have been working with leaders in the electrophysiology field to test the catheter in preclinical studies. We believe the design we have now will be suitable to pursue a first-in-human clinical safety study. We are in the testing phase of the development process and expect to complete additional safety and performance preclinical studies throughout 2023. Once completed, we believe we will be in a position to begin a first-in-human feasibility study. In the United States, we believe the catheter will need to go through the FDA’s Pre-Market Approval ("PMA") process for FDA approval to market and sell in the United States.</w:t>
      </w:r>
    </w:p>
    <w:p>
      <w:pPr>
        <w:spacing w:after="0" w:line="161" w:lineRule="exact"/>
        <w:rPr>
          <w:sz w:val="20"/>
          <w:szCs w:val="20"/>
          <w:color w:val="auto"/>
        </w:rPr>
      </w:pPr>
    </w:p>
    <w:p>
      <w:pPr>
        <w:ind w:right="40" w:firstLine="486"/>
        <w:spacing w:after="0" w:line="274" w:lineRule="auto"/>
        <w:rPr>
          <w:sz w:val="20"/>
          <w:szCs w:val="20"/>
          <w:color w:val="auto"/>
        </w:rPr>
      </w:pPr>
      <w:r>
        <w:rPr>
          <w:rFonts w:ascii="Arial" w:cs="Arial" w:eastAsia="Arial" w:hAnsi="Arial"/>
          <w:sz w:val="17"/>
          <w:szCs w:val="17"/>
          <w:color w:val="auto"/>
        </w:rPr>
        <w:t>We have incurred substantial operating losses and have used cash in our operating activities since inception. Based on our current operating plan, we believe we have sufficient cash and cash equivalents on hand to support current operations for the twelve months following the filing of this</w:t>
      </w:r>
    </w:p>
    <w:p>
      <w:pPr>
        <w:ind w:right="320"/>
        <w:spacing w:after="0" w:line="260" w:lineRule="auto"/>
        <w:rPr>
          <w:sz w:val="20"/>
          <w:szCs w:val="20"/>
          <w:color w:val="auto"/>
        </w:rPr>
      </w:pPr>
      <w:r>
        <w:rPr>
          <w:rFonts w:ascii="Arial" w:cs="Arial" w:eastAsia="Arial" w:hAnsi="Arial"/>
          <w:sz w:val="18"/>
          <w:szCs w:val="18"/>
          <w:color w:val="auto"/>
        </w:rPr>
        <w:t>Quarterly Report. We plan to seek to raise capital from time to time through public or private equity offerings, debt financings, our at-the-market equity offering program, or to enter into collaborations with third parties, to fund our future operations.</w:t>
      </w:r>
    </w:p>
    <w:p>
      <w:pPr>
        <w:spacing w:after="0" w:line="185"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6"/>
          <w:szCs w:val="16"/>
          <w:color w:val="auto"/>
        </w:rPr>
        <w:t>Over the past few years, Robert Duggan, our Executive Director, has made significant investments in our Company to fund its operations. In June 2022, we completed a common stock rights offering to our existing stockholders of record, which raised $15 million in aggregate. Mr. Duggan purchased approximately 56% of the shares offered through this offering. Then, in September 2022, we entered into the 2022 Loan Agreement pursuant to which Mr. Duggan lent the Company $65 million to fund its product development operations. In April 2023, the 2022 Loan Agreement was terminated upon Mr.</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Duggan and the Company entering into a Securities Purchase Agreement whereby the shares were paid for through the cancellation of the principal sum of $65.0 million, together with all accrued and unpaid interest outstanding, pursuant to the 2022 Loan Agreement. Mr. Duggan may or may not elect to participate in any number of our future fundraisings, as described above, and he may choose to invest more than his current pro rata share in any of these fundraisings, or alternatively he may offer to provide additional debt financing as may be needed in order to maintain the Company as a going concern.</w:t>
      </w:r>
    </w:p>
    <w:p>
      <w:pPr>
        <w:sectPr>
          <w:pgSz w:w="11900" w:h="16838" w:orient="portrait"/>
          <w:cols w:equalWidth="0" w:num="1">
            <w:col w:w="11220"/>
          </w:cols>
          <w:pgMar w:left="320" w:top="125" w:right="359" w:bottom="1440" w:gutter="0" w:footer="0" w:header="0"/>
        </w:sectPr>
      </w:pP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the current banking environment, and by the COVID pandemic, together with the deterioration of the credit, banking and capital markets, could have an adverse impact on potential sources of future financing.</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unaudited condensed consolidated financial statements, which have been prepared in accordance with the rules and regulations of the U.S Securities and Exchange Commission.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significant accounting policies and estimates are described in our Annual Report on Form 10-K for the year ended December 31, 2022. We continually evaluate the accounting policies and estimates used in preparing our consolidated financial statements. There have been no material changes to the Company’s significant accounting policies during the three months ended March 31, 2023, as compared to the significant accounting policies described in the Company’s Annual Report on Form 10-K for the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“Recent Accounting Pronouncements” in Note 2 of Notes to Condensed Consolidated Financial Statements of this Quarterly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Geographical Information</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operate and manage our business as one reportable and operating segment. Our CODM reviews financial information on an aggregate basis for purposes of allocating resources and evaluating financial performance. All of our long-lived assets are based in the United States. Refer to Note 11 of Notes to Condensed Consolidated Financial Statements of this Quarterly Report for disaggregated revenue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three-month periods ended March 31, 2023 and 2022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Product revenues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and expenses: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09"/>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9,562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(9,562)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7,711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09"/>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Loss from operations, before income taxes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7,472</w:t>
            </w:r>
          </w:p>
        </w:tc>
      </w:tr>
      <w:tr>
        <w:trPr>
          <w:trHeight w:val="216"/>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63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(9,801)</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(17,273)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7,472</w:t>
            </w:r>
          </w:p>
        </w:tc>
      </w:tr>
      <w:tr>
        <w:trPr>
          <w:trHeight w:val="20"/>
        </w:trPr>
        <w:tc>
          <w:tcPr>
            <w:tcW w:w="6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Revenues decreased by $0.4 million to zero for the three-month period ended March 31, 2023, compared to the same period in 2022. The decrease in revenues was driven by the September 2022 announcement to shift our strategic direction and advance our core NPS technology outside of dermatology, discontinuing further sales in the dermatology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Cost of revenues decreased by $0.9 million to zero for the three-month period ended March 31, 2023, compared to the same period in 2022, driven by the September 2022 announcement to shift our strategic direction and advance our core NPS technology outside of dermatology. The Company has discontinued further sales in the dermatology market, which is currently the only market that the Company has regulatory clearance to market and sell into. As we are no longer selling the CellFX system, we are no longer incurring costs of revenues. Going forward, we will evaluate the classification of expenses as research and development or general and administrative in accordance with ASC Topic 730</w:t>
      </w:r>
      <w:r>
        <w:rPr>
          <w:rFonts w:ascii="Arial" w:cs="Arial" w:eastAsia="Arial" w:hAnsi="Arial"/>
          <w:sz w:val="16"/>
          <w:szCs w:val="16"/>
          <w:i w:val="1"/>
          <w:iCs w:val="1"/>
          <w:color w:val="auto"/>
        </w:rPr>
        <w:t>, Research and Development</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decreased by $0.9 million to $5.8 million for the three-month period ended March 31, 2023, compared to $6.8 million during the same period in 2022 primarily due to decreases of $0.8 million in compensation and other employee related expenses and $0.2 million in stock-based compensation, partially offset by a $0.1 million increase in paid services. As noted under the Cost of Revenues section, the Company has shifted back into a pre-regulatory clearance state as it develops new uses for the CellFX system, and as such, will expense these costs incurred and record as research and development expenses in the period incurred.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Sales and marketing expenses consisted of compensation and other employee related expenses for sales and marketing personnel, expenses associated with advertising and training, and marketing studies including our Controlled Launch program. The Company has discontinued further sales in the dermatology market and is performing research and development activities to advance its core NPS technology outside of dermatology. Because we will have no sales activities and we cannot market any products outside of dermatology, we will therefore classify costs previously booked as sales and marketing within general and administrative expenses. Sales and marketing expenses decreased by $5.5 million to zero for the three-month period ended March 31, 2023, compared to $5.5 million during the same period in 2022 primarily due to decreases of $3.7 million in compensation and other employee related expenses, $1.0 million in paid services and promotional activities, $0.5 million in stock-based compensation, and $0.1 million in supplies.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$0.8 million to $3.7 million for the three-month period ended March 31, 2023, compared to $4.5 million during the same period in 2022 primarily due to decreases of $0.4 million in stock-based compensation, $0.3 million in paid services and $0.2 million in compensation and other employee related expenses. The decreases were primarily driven by decreased headcount.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Interest expense increased by $0.8 million for the three-month period ended March 31, 2023, compared to zero during the same period in 2022 driven by the interest incurred in relation to the 2022 Loan Agreement. This is partially offset by an increase of $0.6 million in interest income for the three-month period ended March 31, 2023, compared to zero during the same period in 2022 driven by increased returns on cash balances.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To date, we have not generated significant revenues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w:t>
      </w:r>
    </w:p>
    <w:p>
      <w:pPr>
        <w:spacing w:after="0" w:line="18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three months ended March 31, 2023 and 2022, we did not issue or sell any shares of common stock under the Sales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On June 9, 2022, we completed the 2022 Rights Offering resulting in the sale of 7,317,072 Units, at a price of $2.05 per Unit, with each Unit consisting of one share of the Company’s common stock, par value $0.001 per share, and one warrant to purchase one share of common stock. 7,317,072 shares of common stock and warrants to acquire up to an additional 7,317,072 shares of common stock were issued in the 2022 Rights Offering. The Company received aggregate gross proceeds from the 2022 Rights Offering of $15 million. If exercised, additional gross proceeds of up to $15 million may be received through the exercise of warrants issued in the 2022 Rights Offering. Each warrant is exercisable for one share of the Company’s common stock at an exercise price equal to $2.05. Warrants are exercisable immediately and expire on the fifth anniversary of the closing of the 2022 Rights Offering. On May 10, 2023, we issued a press release announcing that on May 9, 2023 the terms for warrant redemption had been met. The warrants may be exercised for cash in accordance with the terms therein at any time prior to June 16, 2023, the anticipated redemption date for the warrants.</w:t>
      </w:r>
    </w:p>
    <w:p>
      <w:pPr>
        <w:spacing w:after="0" w:line="165" w:lineRule="exact"/>
        <w:rPr>
          <w:sz w:val="20"/>
          <w:szCs w:val="20"/>
          <w:color w:val="auto"/>
        </w:rPr>
      </w:pPr>
    </w:p>
    <w:p>
      <w:pPr>
        <w:ind w:right="340" w:firstLine="486"/>
        <w:spacing w:after="0" w:line="287" w:lineRule="auto"/>
        <w:rPr>
          <w:sz w:val="20"/>
          <w:szCs w:val="20"/>
          <w:color w:val="auto"/>
        </w:rPr>
      </w:pPr>
      <w:r>
        <w:rPr>
          <w:rFonts w:ascii="Arial" w:cs="Arial" w:eastAsia="Arial" w:hAnsi="Arial"/>
          <w:sz w:val="16"/>
          <w:szCs w:val="16"/>
          <w:color w:val="auto"/>
        </w:rPr>
        <w:t>In September 2022, we entered into the 2022 Loan Agreement with Robert W. Duggan, our Executive Chairman, in connection with Mr. Duggan lending the principal sum of $65.0 million to the Company. The 2022 Loan Agreement had a maturity date of March 20, 2024. Under the 2022 Loan Agreement, Mr. Duggan provided us, subject to certain conditions, an unsecured term loan facility in an original aggregate principal amount of</w:t>
      </w:r>
    </w:p>
    <w:p>
      <w:pPr>
        <w:spacing w:after="0" w:line="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$65.0 million. The 2022 Loan Agreement bears interest at a rate per annum equal to 5.0%, payable quarterly, commencing on January 1, 2023. On March 17, 2023, the Company and Mr. Duggan agreed to amend certain terms of the Loan Agreement. There were no changes to the interest rate, but the principal sum is now due and payable on September 30, 2024. The 2022 Loan Agreement contains certain covenants and Events of Default. On April 30, 2023,</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entered into a Securities Purchase Agreement with Mr. Duggan, pursuant to which we agreed to issue and sell to Mr. Duggan 10,022,937 shares of our common stock, par value $0.001 per share, in a Private Placement, at a price per share of $6.51. These shares were paid for through the cancellation of the principal sum of $65.0 million, together with all accrued and unpaid interest outstanding, pursuant to the 2022 Loan Agreement. Upon closing of the Private Placement and satisfaction of the outstanding debt, the 2022 Loan Agreement terminated, without early termination fees or penalties being owed by us, and no additional amounts are owed to Mr. Duggan under the 2022 Loan Agreement.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ind w:left="500"/>
              <w:spacing w:after="0"/>
              <w:rPr>
                <w:sz w:val="20"/>
                <w:szCs w:val="20"/>
                <w:color w:val="auto"/>
              </w:rPr>
            </w:pPr>
            <w:r>
              <w:rPr>
                <w:rFonts w:ascii="Arial" w:cs="Arial" w:eastAsia="Arial" w:hAnsi="Arial"/>
                <w:sz w:val="18"/>
                <w:szCs w:val="18"/>
                <w:color w:val="auto"/>
                <w:w w:val="97"/>
              </w:rPr>
              <w:t>Our condensed consolidated statements of cash flows as discussed herein are presented below:</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4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r>
      <w:tr>
        <w:trPr>
          <w:trHeight w:val="183"/>
        </w:trPr>
        <w:tc>
          <w:tcPr>
            <w:tcW w:w="80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thousands)</w:t>
            </w: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(6,570)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(15,594)</w:t>
            </w: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r>
        <w:trPr>
          <w:trHeight w:val="216"/>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r>
      <w:tr>
        <w:trPr>
          <w:trHeight w:val="20"/>
        </w:trPr>
        <w:tc>
          <w:tcPr>
            <w:tcW w:w="1100" w:type="dxa"/>
            <w:vAlign w:val="bottom"/>
            <w:shd w:val="clear" w:color="auto" w:fill="CCEEFF"/>
          </w:tcPr>
          <w:p>
            <w:pPr>
              <w:spacing w:after="0" w:line="20" w:lineRule="exact"/>
              <w:rPr>
                <w:sz w:val="1"/>
                <w:szCs w:val="1"/>
                <w:color w:val="auto"/>
              </w:rPr>
            </w:pPr>
          </w:p>
        </w:tc>
        <w:tc>
          <w:tcPr>
            <w:tcW w:w="69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(7,041)</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(15,938)</w:t>
            </w:r>
          </w:p>
        </w:tc>
      </w:tr>
      <w:tr>
        <w:trPr>
          <w:trHeight w:val="20"/>
        </w:trPr>
        <w:tc>
          <w:tcPr>
            <w:tcW w:w="1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To date, we have generated limited revenue and used cash in our operating activities. As a result, we have incurred significant operating losses in each year since our inception and we may continue to incur additional losses for the next several years. As of March 31, 2023, we had cash and cash equivalents of $54.1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We can give no assurance, at this time, that additional financing or a collaboration will be available when needed on terms acceptable to us, however.</w:t>
      </w:r>
    </w:p>
    <w:p>
      <w:pPr>
        <w:spacing w:after="0" w:line="161"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banking and capital markets, could have an adverse impact on potential sources of future financing.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March 31, 2023, we used cash in the amount of $6.6 million in operating activities. The difference between cash used in operating activities and net loss consisted primarily of stock-based compensation, depreciation and amortization, as well as increases in accounts payable, accrued expenses, and accrued interest on related party note payable.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March 31, 2022, we used cash in the amount of $15.6 million in operating activities. The difference between cash used in operating activities and net loss consisted primarily of stock-based compensation, depreciation and amortization, as well as increases in inventory and accounts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investing activities consist primarily of investment purchases, sales and maturities and capital expenditures.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March 31, 2023, $0.04 million of cash used in investing activities was driven by the purchase of property and equipment.</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March 31, 2022, $0.3 million of cash used in investing activities was driven by the purchase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March 31, 2023, cash used in financing activities was $0.4 million, primarily due to $0.9 million in payments made in relation to the 2022 Loan Agreement, offset by $0.3 million of proceeds from issuance of common stock under employee stock purchase plan and $0.2 million of proceeds from the exercise of warrants.</w:t>
      </w:r>
    </w:p>
    <w:p>
      <w:pPr>
        <w:spacing w:after="0" w:line="1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three months ended March 31, 2022, cash used in financing activities was $0.1 million, primarily due to $0.4 million of payments made on the Insurance Loan Agreement, partially offset by cash received from the sale of stock under our employee stock purchase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outside the ordinary course of our business to the contractual obligations disclosed in our Annual Report on Form 10-K for the year ended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2023, we did not have any transactions, obligations or relationships that constitute off-balance sheet arrangements.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March 31,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22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spacing w:after="0" w:line="18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spacing w:after="0" w:line="19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have been no material changes in market risk from the information provided in our Annual Report on Form 10-K for the year ended December 31, 2022.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management, under the supervision and with the participation of our Chief Executive Officer, who is our principal executive and principal financial officer,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has concluded that, as of March 31, 2023,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 13a-15(d) and 15d-15(d) of the Exchange Act, as amended, that occurred during the quarter ended March 31, 2023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spacing w:after="0" w:line="176" w:lineRule="exact"/>
        <w:rPr>
          <w:sz w:val="20"/>
          <w:szCs w:val="20"/>
          <w:color w:val="auto"/>
        </w:rPr>
      </w:pPr>
    </w:p>
    <w:p>
      <w:pPr>
        <w:jc w:val="both"/>
        <w:ind w:right="40" w:firstLine="486"/>
        <w:spacing w:after="0" w:line="285" w:lineRule="auto"/>
        <w:rPr>
          <w:sz w:val="20"/>
          <w:szCs w:val="20"/>
          <w:color w:val="auto"/>
        </w:rPr>
      </w:pPr>
      <w:r>
        <w:rPr>
          <w:rFonts w:ascii="Arial" w:cs="Arial" w:eastAsia="Arial" w:hAnsi="Arial"/>
          <w:sz w:val="16"/>
          <w:szCs w:val="16"/>
          <w:color w:val="auto"/>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Because of the difficulty in predicting the outcome of any legal proceeding, particularly one that is in its early stages, the Company cannot predict what the final outcome of Ms. Gardiner’s arbitration proceeding will likely be. However, at this time, we believe that the final resolution of this matter will not adversely affect our consolidated position, results of operation,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 and our limited revenue producing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operate without additional fundraising;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lack of experience developing and manufacturing medical products for cardiologists;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within our industry and in the markets and market segments with choose to pursue, including cardiology;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epidemics, including the COVID-19 pandemic;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certain third parties such as key suppliers;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loss of key management personnel and high employee attrition;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security breaches, loss of data, and other disruptions to us or to our third-party service providers that could compromise sensitive information;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product liability lawsuits and other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unpredictability, and expense of our clinical and product development activities;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of adverse trial results and unfavorable long-term trial data, especially given our limited pre-clinical experience using NPS technology in animal models of cardiac disease;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failure to obtain and maintain necessary regulatory clearances or approvals;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concerning the long-term safety and effectiveness of our CellFX System and product candidates, and the potential for adverse side effects;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 uncertainties concerning whether there will be broad adoption of our CellFX System and NPS technology, especially in the cardiology market given our announced focus on cardiac care, and uncertainties about whether we will be able to secure a partner to promote further sales of the CellFX System in dermatology profitably;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challenges enrolling patients in our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concerning our ability to obtain an adequate level of reimbursement by Medicare and other third-party payers;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Protection of intellectual property, potential litigation related to intellectual property, and obligations under intellectual property agreements;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Stringent domestic and foreign regulation in respect of any potential devices and products, including healthcare laws and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Healthcare policy changes;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of the price of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Concentration of ownership by our principal stockholder and Executive Chairman, Robert W. Duggan;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material weaknesses and uncertainties concerning our ability to maintain an effective system of internal control over financial reporting;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global economic or political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Because we have a limited operating history and no significant revenue stream, it is difficult to evaluate the future of our business</w:t>
      </w:r>
      <w:r>
        <w:rPr>
          <w:rFonts w:ascii="Arial" w:cs="Arial" w:eastAsia="Arial" w:hAnsi="Arial"/>
          <w:sz w:val="17"/>
          <w:szCs w:val="17"/>
          <w:color w:val="auto"/>
        </w:rPr>
        <w:t>.</w:t>
      </w:r>
    </w:p>
    <w:p>
      <w:pPr>
        <w:spacing w:after="0" w:line="23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have not generated significant revenue and we may never become profitable.</w:t>
      </w:r>
    </w:p>
    <w:p>
      <w:pPr>
        <w:spacing w:after="0" w:line="225" w:lineRule="exact"/>
        <w:rPr>
          <w:sz w:val="20"/>
          <w:szCs w:val="20"/>
          <w:color w:val="auto"/>
        </w:rPr>
      </w:pPr>
    </w:p>
    <w:p>
      <w:pPr>
        <w:ind w:right="140" w:firstLine="486"/>
        <w:spacing w:after="0" w:line="288" w:lineRule="auto"/>
        <w:rPr>
          <w:sz w:val="20"/>
          <w:szCs w:val="20"/>
          <w:color w:val="auto"/>
        </w:rPr>
      </w:pPr>
      <w:r>
        <w:rPr>
          <w:rFonts w:ascii="Arial" w:cs="Arial" w:eastAsia="Arial" w:hAnsi="Arial"/>
          <w:sz w:val="16"/>
          <w:szCs w:val="16"/>
          <w:color w:val="auto"/>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6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Investment in medical technology is highly speculative because it entails substantial upfront capital expenditures and significant risk that any potential product will fail to demonstrate adequate efficacy or clinical utility. Our past successes in dermatology may not translate into similar results in cardiology. Investors should evaluate an investment in us in light of the uncertainties typically encountered by developing medical technology companies in a competitive environment, especially given our limited preclinical experience using our NPS technology in animal models of cardiac disease.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can give no assurance that our internal and external sources of liquidity will be sufficient for our cash requirements.</w:t>
      </w:r>
    </w:p>
    <w:p>
      <w:pPr>
        <w:spacing w:after="0" w:line="22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Additionally, in September 2022, to fund operations, we borrowed $65 million from our majority stockholder and Executive Chairman, Robert W. Duggan, and in April 2023 the principal amount together with all accrued and unpaid interest outstanding was used as payment in a Securities Purchase agreement.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16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70"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We have experienced operating losses and we may continue to incur operating losses for the next several years as we implement our business plan. Currently, we have no significant revenue from operations and, although we have implemented an at-the-market equity offering program,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57"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We will need to raise additional capital in order to continue to execute our business plan. If we are unable to raise sufficient additional funds, we may need to scale back our future operations. Also, the ongoing hostilities between Russia and Ukraine and the ongoing COVID-19 pandemic and resulting negative impact on the global macroeconomic environment and capital markets may make it more difficult for us to raise additional funds.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our at-the-market equity offering program,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92"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6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178" w:lineRule="exact"/>
        <w:rPr>
          <w:sz w:val="20"/>
          <w:szCs w:val="20"/>
          <w:color w:val="auto"/>
        </w:rPr>
      </w:pPr>
    </w:p>
    <w:p>
      <w:pPr>
        <w:ind w:right="420" w:firstLine="486"/>
        <w:spacing w:after="0" w:line="381" w:lineRule="auto"/>
        <w:rPr>
          <w:sz w:val="20"/>
          <w:szCs w:val="20"/>
          <w:color w:val="auto"/>
        </w:rPr>
      </w:pPr>
      <w:r>
        <w:rPr>
          <w:rFonts w:ascii="Arial" w:cs="Arial" w:eastAsia="Arial" w:hAnsi="Arial"/>
          <w:sz w:val="15"/>
          <w:szCs w:val="15"/>
          <w:b w:val="1"/>
          <w:bCs w:val="1"/>
          <w:i w:val="1"/>
          <w:iCs w:val="1"/>
          <w:color w:val="auto"/>
        </w:rPr>
        <w:t>Our corporate restructuring and the associated headcount reduction announced in March and September 2022 and February 2023 may not result in anticipated savings, could result in total costs and expenses and attrition that are greater than expected and could disrupt our business.</w:t>
      </w:r>
    </w:p>
    <w:p>
      <w:pPr>
        <w:spacing w:after="0" w:line="10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March 31, 2022, we announced an approximate 20% reduction in headcount as part of a corporate restructuring plan. On September 30, 2022, we announced an approximate 40% reduction in headcount as part of our decision to focus our activities on product development outside of dermatology. As a consequence of our announced corporate realignment, we have experienced employee turnover in 2022 higher than industry norms, and in February 2023 we continued to reduce headcount by eliminating another seven positions at the Company.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plan, our operating results and financial condition would be adversely affected. We may have to undertake additional headcount reductions or restructuring activities in the future. Furthermore, our restructuring activities may be disruptive to our operations and could result in material delays in our new product development programs. For example, our headcount reductions could yield unanticipated consequences, such as attrition beyond planned staff reductions, or increase difficulties in our day-to-day operations, servicing of commercial accounts, and product development activities. Our headcount reductions could also harm our ability to attract and retain qualified management, scientific, clinical, regulatory, manufacturing, engineering, and other personnel critical to our business. Any failure to attract or retain qualified personnel could prevent us from successfully developing and commercializing our new product candidates in the future and could also harm our existing and planned activities in cardiology.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18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we decide to further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spacing w:after="0" w:line="17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Our revenues and future profitability are entirely dependent upon one family of products, the CellFX System, and one platform technology, Nano-pulse Stimulation.</w:t>
      </w:r>
    </w:p>
    <w:p>
      <w:pPr>
        <w:spacing w:after="0" w:line="170"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Our revenue to date has been generated entirely from the CellFX System, which consists of a console, handpieces and tips, and both these products and all our potential products under development are based upon the same patented platform technology, Nano-pulse Stimulation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spacing w:after="0" w:line="176" w:lineRule="exact"/>
        <w:rPr>
          <w:sz w:val="20"/>
          <w:szCs w:val="20"/>
          <w:color w:val="auto"/>
        </w:rPr>
      </w:pPr>
    </w:p>
    <w:p>
      <w:pPr>
        <w:jc w:val="both"/>
        <w:ind w:right="380" w:firstLine="486"/>
        <w:spacing w:after="0" w:line="311" w:lineRule="auto"/>
        <w:rPr>
          <w:sz w:val="20"/>
          <w:szCs w:val="20"/>
          <w:color w:val="auto"/>
        </w:rPr>
      </w:pPr>
      <w:r>
        <w:rPr>
          <w:rFonts w:ascii="Arial" w:cs="Arial" w:eastAsia="Arial" w:hAnsi="Arial"/>
          <w:sz w:val="16"/>
          <w:szCs w:val="16"/>
          <w:color w:val="auto"/>
        </w:rPr>
        <w:t>Aesthetic and medical dermatologists have been slow to adopt our products and they have used our products in only a small percentage of their eligible patients for a variety of reasons. Even if we are able to develop a safe and effective treatment for atrial fibrillation using our proprietary NPS technology, we can give no assurance that cardiologists would adopt NPS technology into their medical practices faster than dermatologists have.</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400" w:firstLine="486"/>
        <w:spacing w:after="0" w:line="381" w:lineRule="auto"/>
        <w:rPr>
          <w:sz w:val="20"/>
          <w:szCs w:val="20"/>
          <w:color w:val="auto"/>
        </w:rPr>
      </w:pPr>
      <w:r>
        <w:rPr>
          <w:rFonts w:ascii="Arial" w:cs="Arial" w:eastAsia="Arial" w:hAnsi="Arial"/>
          <w:sz w:val="15"/>
          <w:szCs w:val="15"/>
          <w:b w:val="1"/>
          <w:bCs w:val="1"/>
          <w:i w:val="1"/>
          <w:iCs w:val="1"/>
          <w:color w:val="auto"/>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spacing w:after="0" w:line="10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spacing w:after="0" w:line="19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established relationships with healthcare professionals, customers, and third-party payers;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products with greater efficacy or better safety profiles;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experience in obtaining patents and regulatory approvals for product candidates;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experience conducting new product research and development, manufacturing therapies, conducting clinical trials, obtaining regulatory approval for products, and marketing approved products;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w:t>
      </w:r>
    </w:p>
    <w:p>
      <w:pPr>
        <w:spacing w:after="0" w:line="25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atrial fibrillation is the use of thermal ablation modalities, primarily the use of radiofrequency ablation.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spacing w:after="0" w:line="18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In dermatology, we commenced revenue-producing operations in 2021; however, we have been unsuccessful in earning significant revenues. We therefore intend to seek development and marketing partners and license our technology to others in order to avoid having to provide marketing, manufacturing, and distribution capabilities within our organization. There can be no assurance that we will find any development and marketing partners or companies that are interested in licensing our technology.</w:t>
      </w:r>
    </w:p>
    <w:p>
      <w:pPr>
        <w:spacing w:after="0" w:line="187"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are highly dependent upon the principal members of our management team, including our Chief Executive Officer, Kevin Danahy, and our Chief Technology Officer, Darrin Uecker, and members of our finance,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70"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have very limited experience selling the CellFX System.</w:t>
      </w:r>
    </w:p>
    <w:p>
      <w:pPr>
        <w:spacing w:after="0" w:line="22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However, we have had limited experience marketing and selling the CellFX System in dermatology, no sales experience in cardiology, and our revenues and cash flows have been volatile and difficult to predict. As of March 1, 2023, following two reductions in force in 2022 and a third elimination of positions in February 2023, we no longer had any employees engaged in sales and marketing activities on a fulltime basis.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22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0" w:firstLine="486"/>
        <w:spacing w:after="0" w:line="340" w:lineRule="auto"/>
        <w:rPr>
          <w:sz w:val="20"/>
          <w:szCs w:val="20"/>
          <w:color w:val="auto"/>
        </w:rPr>
      </w:pPr>
      <w:r>
        <w:rPr>
          <w:rFonts w:ascii="Arial" w:cs="Arial" w:eastAsia="Arial" w:hAnsi="Arial"/>
          <w:sz w:val="15"/>
          <w:szCs w:val="15"/>
          <w:b w:val="1"/>
          <w:bCs w:val="1"/>
          <w:i w:val="1"/>
          <w:iCs w:val="1"/>
          <w:color w:val="auto"/>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3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b w:val="1"/>
          <w:bCs w:val="1"/>
          <w:i w:val="1"/>
          <w:iCs w:val="1"/>
          <w:color w:val="auto"/>
        </w:rPr>
        <w:t>We are subject to environmental regulations and any failure to comply with applicable laws could subject us to significant liabilities and harm our business.</w:t>
      </w:r>
    </w:p>
    <w:p>
      <w:pPr>
        <w:spacing w:after="0" w:line="170"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64"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limit commercialization of our product or any future products that we may develop.</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7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demand for our product or any planned products that we may develop;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of patients from our clinical studies or cancellation of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investigations or enforcement actions;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commercialize any future products that we may develop.</w:t>
      </w:r>
    </w:p>
    <w:p>
      <w:pPr>
        <w:spacing w:after="0" w:line="22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88"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8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70"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2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very limited preclinical experience using NPS technology in animal models of cardiac disease; our past successes in dermatology may not translate into similar results in cardiology. In particular, the safety and efficacy data we have generated using NPS technology and the CellFX System to treat benign lesions in the skin might not be replicated in other areas of medicine outside of dermatology, including the use of nsPFA technology and the CellFX System to treat atrial fibrillation or other cardiac disease.</w:t>
      </w:r>
    </w:p>
    <w:p>
      <w:pPr>
        <w:spacing w:after="0" w:line="166"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b w:val="1"/>
          <w:bCs w:val="1"/>
          <w:i w:val="1"/>
          <w:iCs w:val="1"/>
          <w:color w:val="auto"/>
        </w:rPr>
        <w:t>Our long-term growth depends on our ability to develop marketable products to treat AF through our research and development efforts, and if we fail to do so we may be unable to compete effectively or we may decide to scale back or eliminate some or all of our activities or otherwise curtail, suspend or discontinue our operations entirely.</w:t>
      </w:r>
    </w:p>
    <w:p>
      <w:pPr>
        <w:spacing w:after="0" w:line="18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might be unable to successfully commercialize our current products with domestic or international regulatory clearances or approvals or develop or obtain regulatory clearances or approvals to market new products, either with or without a corporate partner in cardiology, for example. Additionally, despite our best efforts and the best efforts of any corporate partners we may secure, these products and any future products might not be accepted by dermatologists, cardiologists, or other health care workers or the third-party payors who reimburse for the procedures performed with our products or may not be successfully commercialized due to other factors. The success of any new product offering or enhancement to an existing product will depend on numerous factors, including our ability to:</w:t>
      </w:r>
    </w:p>
    <w:p>
      <w:pPr>
        <w:spacing w:after="0" w:line="19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identify and anticipate clinician and patient needs;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demonstrate the safety and efficacy of new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52"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64"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Moreover, if our technology cannot be used to successfully treat AF,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spacing w:after="0" w:line="373"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b w:val="1"/>
          <w:bCs w:val="1"/>
          <w:i w:val="1"/>
          <w:iCs w:val="1"/>
          <w:color w:val="auto"/>
        </w:rPr>
        <w:t xml:space="preserve">Interim </w:t>
      </w:r>
      <w:r>
        <w:rPr>
          <w:rFonts w:ascii="Arial" w:cs="Arial" w:eastAsia="Arial" w:hAnsi="Arial"/>
          <w:sz w:val="16"/>
          <w:szCs w:val="16"/>
          <w:color w:val="auto"/>
        </w:rPr>
        <w:t>“</w:t>
      </w:r>
      <w:r>
        <w:rPr>
          <w:rFonts w:ascii="Arial" w:cs="Arial" w:eastAsia="Arial" w:hAnsi="Arial"/>
          <w:sz w:val="16"/>
          <w:szCs w:val="16"/>
          <w:b w:val="1"/>
          <w:bCs w:val="1"/>
          <w:i w:val="1"/>
          <w:iCs w:val="1"/>
          <w:color w:val="auto"/>
        </w:rPr>
        <w:t>top-line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92"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b w:val="1"/>
          <w:bCs w:val="1"/>
          <w:i w:val="1"/>
          <w:iCs w:val="1"/>
          <w:color w:val="auto"/>
        </w:rPr>
        <w:t>If we fail to maintain necessary regulatory clearance for our product, or if clearances or approvals for future devices and indications are delayed or not issued, the commercial prospects for our CellFX System and other NPS technologies would be harmed.</w:t>
      </w:r>
    </w:p>
    <w:p>
      <w:pPr>
        <w:spacing w:after="0" w:line="146" w:lineRule="exact"/>
        <w:rPr>
          <w:sz w:val="20"/>
          <w:szCs w:val="20"/>
          <w:color w:val="auto"/>
        </w:rPr>
      </w:pPr>
    </w:p>
    <w:p>
      <w:pPr>
        <w:ind w:right="400" w:firstLine="486"/>
        <w:spacing w:after="0" w:line="263" w:lineRule="auto"/>
        <w:rPr>
          <w:sz w:val="20"/>
          <w:szCs w:val="20"/>
          <w:color w:val="auto"/>
        </w:rPr>
      </w:pPr>
      <w:r>
        <w:rPr>
          <w:rFonts w:ascii="Arial" w:cs="Arial" w:eastAsia="Arial" w:hAnsi="Arial"/>
          <w:sz w:val="18"/>
          <w:szCs w:val="18"/>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and storage;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and serious injuries, recalls, correction and removals.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8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7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76"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obligations to repair, replace, refund, or recall our marketed devices, or government seizure of them;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refusing our requests for 510(k) clearance or premarket approval of new devices, new intended uses or modifications to existing devices;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The mechanism of action of NPS technology platform has not been fully determined or validated.</w:t>
      </w:r>
    </w:p>
    <w:p>
      <w:pPr>
        <w:spacing w:after="0" w:line="225"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exact mechanism(s) of action(s) of our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Our CellFX System and any future product candidates may cause serious adverse side effects or have other properties that could delay or prevent their regulatory approval, limit their commercial desirability or result in significant negative consequences.</w:t>
      </w:r>
    </w:p>
    <w:p>
      <w:pPr>
        <w:spacing w:after="0" w:line="170"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The risk of failure of clinical development is high. For example, the vast majority of our in vivo data has been a result of animal testing outside of cardiac animal models, and we have only completed a limited number of feasibility studies in humans, all of which have examined the use of our CellFX System in dermatologic conditions. Undesirable side effects caused by the CellFX System, NPS pulses, or any of our planned future products could cause us, any partners,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9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Additionally, if we or others identify undesirable side effects caused by the CellFX System, a number of potentially significant negative consequences could result, including:</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and/or narrow the indication of use for the product which could diminish the usage or otherwise limit the commercial success of such product;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may restrict distribution of our product and impose burdensome implementation requirements on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could suffer.</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CellFX System or of any future particular planned product, if approved.</w:t>
      </w:r>
    </w:p>
    <w:p>
      <w:pPr>
        <w:spacing w:after="0" w:line="170"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124" w:lineRule="exact"/>
        <w:rPr>
          <w:sz w:val="20"/>
          <w:szCs w:val="20"/>
          <w:color w:val="auto"/>
        </w:rPr>
      </w:pPr>
    </w:p>
    <w:p>
      <w:pPr>
        <w:ind w:right="60" w:firstLine="486"/>
        <w:spacing w:after="0" w:line="28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7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192"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b w:val="1"/>
          <w:bCs w:val="1"/>
          <w:i w:val="1"/>
          <w:iCs w:val="1"/>
          <w:color w:val="auto"/>
        </w:rPr>
        <w:t>We may encounter manufacturing problems or delays that could result in lost revenue or slower than anticipated product development.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spacing w:after="0" w:line="18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61"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7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currently purchase components for our products under development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7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spacing w:after="0" w:line="185"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6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70"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68" w:lineRule="exact"/>
        <w:rPr>
          <w:sz w:val="20"/>
          <w:szCs w:val="20"/>
          <w:color w:val="auto"/>
        </w:rPr>
      </w:pPr>
    </w:p>
    <w:p>
      <w:pPr>
        <w:ind w:right="20" w:firstLine="486"/>
        <w:spacing w:after="0" w:line="381" w:lineRule="auto"/>
        <w:rPr>
          <w:sz w:val="20"/>
          <w:szCs w:val="20"/>
          <w:color w:val="auto"/>
        </w:rPr>
      </w:pPr>
      <w:r>
        <w:rPr>
          <w:rFonts w:ascii="Arial" w:cs="Arial" w:eastAsia="Arial" w:hAnsi="Arial"/>
          <w:sz w:val="15"/>
          <w:szCs w:val="15"/>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0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88"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spacing w:after="0" w:line="184"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on our intellectual property rights;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22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70"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w:t>
      </w:r>
    </w:p>
    <w:p>
      <w:pPr>
        <w:sectPr>
          <w:pgSz w:w="11900" w:h="16888" w:orient="portrait"/>
          <w:cols w:equalWidth="0" w:num="1">
            <w:col w:w="11240"/>
          </w:cols>
          <w:pgMar w:left="320" w:top="125" w:right="339" w:bottom="0" w:gutter="0" w:footer="0" w:header="0"/>
        </w:sectPr>
      </w:pPr>
    </w:p>
    <w:bookmarkStart w:id="48" w:name="page49"/>
    <w:bookmarkEnd w:id="48"/>
    <w:p>
      <w:pPr>
        <w:ind w:right="80"/>
        <w:spacing w:after="0" w:line="291" w:lineRule="auto"/>
        <w:rPr>
          <w:sz w:val="20"/>
          <w:szCs w:val="20"/>
          <w:color w:val="auto"/>
        </w:rPr>
      </w:pPr>
      <w:r>
        <w:rPr>
          <w:rFonts w:ascii="Arial" w:cs="Arial" w:eastAsia="Arial" w:hAnsi="Arial"/>
          <w:sz w:val="16"/>
          <w:szCs w:val="16"/>
          <w:color w:val="auto"/>
        </w:rPr>
        <w:t>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66"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9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or clearance we seek.</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experience any of these occurrences, our operations may suffer and we might experience harm to our competitive standing, which could adversely affect our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All our product development depends upon maintaining strong working relationships with physicians.</w:t>
      </w:r>
    </w:p>
    <w:p>
      <w:pPr>
        <w:spacing w:after="0" w:line="225" w:lineRule="exact"/>
        <w:rPr>
          <w:sz w:val="20"/>
          <w:szCs w:val="20"/>
          <w:color w:val="auto"/>
        </w:rPr>
      </w:pPr>
    </w:p>
    <w:p>
      <w:pPr>
        <w:ind w:left="160" w:right="40"/>
        <w:spacing w:after="0" w:line="289" w:lineRule="auto"/>
        <w:rPr>
          <w:sz w:val="20"/>
          <w:szCs w:val="20"/>
          <w:color w:val="auto"/>
        </w:rPr>
      </w:pPr>
      <w:r>
        <w:rPr>
          <w:rFonts w:ascii="Arial" w:cs="Arial" w:eastAsia="Arial" w:hAnsi="Arial"/>
          <w:sz w:val="16"/>
          <w:szCs w:val="16"/>
          <w:color w:val="auto"/>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66" w:lineRule="exact"/>
        <w:rPr>
          <w:sz w:val="20"/>
          <w:szCs w:val="20"/>
          <w:color w:val="auto"/>
        </w:rPr>
      </w:pPr>
    </w:p>
    <w:p>
      <w:pPr>
        <w:ind w:left="160" w:right="60"/>
        <w:spacing w:after="0" w:line="277" w:lineRule="auto"/>
        <w:rPr>
          <w:sz w:val="20"/>
          <w:szCs w:val="20"/>
          <w:color w:val="auto"/>
        </w:rPr>
      </w:pPr>
      <w:r>
        <w:rPr>
          <w:rFonts w:ascii="Arial" w:cs="Arial" w:eastAsia="Arial" w:hAnsi="Arial"/>
          <w:sz w:val="18"/>
          <w:szCs w:val="18"/>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170" w:lineRule="exact"/>
        <w:rPr>
          <w:sz w:val="20"/>
          <w:szCs w:val="20"/>
          <w:color w:val="auto"/>
        </w:rPr>
      </w:pPr>
    </w:p>
    <w:p>
      <w:pPr>
        <w:ind w:left="160" w:right="40"/>
        <w:spacing w:after="0" w:line="273" w:lineRule="auto"/>
        <w:rPr>
          <w:sz w:val="20"/>
          <w:szCs w:val="20"/>
          <w:color w:val="auto"/>
        </w:rPr>
      </w:pPr>
      <w:r>
        <w:rPr>
          <w:rFonts w:ascii="Arial" w:cs="Arial" w:eastAsia="Arial" w:hAnsi="Arial"/>
          <w:sz w:val="17"/>
          <w:szCs w:val="17"/>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spacing w:after="0" w:line="18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Also, any material change to any of the laws or regulations applicable to our business could harm our business,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184"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not deem a technology or device to be reasonably safe or effective for any intended use or indication;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determine our manufacturing facility or processes do not comply with quality system regulations;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conclude that our products do not meet quality standards for durability, long-term reliability, biocompatibility, electromagnetic compatibility, or electrical safety;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change their approval or clearance policies or adopt new regulations in a manner that is adverse to us.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18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70"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We will be subject to ongoing requirements and inspections that could lead to the restriction, suspension or revocation of our clearance.</w:t>
      </w:r>
    </w:p>
    <w:p>
      <w:pPr>
        <w:spacing w:after="0" w:line="24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70"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19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Healthcare policy changes, including recent federal legislation to reform the U.S. healthcare system, may have a material adverse effect on us.</w:t>
      </w:r>
    </w:p>
    <w:p>
      <w:pPr>
        <w:spacing w:after="0" w:line="26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70"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affect our business or have the effect of delaying or rejecting approval or clearance of our planned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or regulations applicable to the CellFX System or to our planned products;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alleged security breaches;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conditions in our industry and market including the negative impact of COVID-19 on the global economy and markets;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Executive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Sales or purchases of shares of our common stock may adversely affect the market for our common stock.</w:t>
      </w:r>
    </w:p>
    <w:p>
      <w:pPr>
        <w:spacing w:after="0" w:line="225"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Executive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Additionally, we maintain a shelf registration statement on Form S-3 pursuant to which we may, from time to time, sell up to an aggregate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$160 million of our common stock, preferred stock, depositary shares, warrants, debt securities, or units. We may also issue shares of common stock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convertible into, exchangeable or exercisable for our common stock from time to time in connection with financings, acquisitions, investments,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Any such issuances would result in dilution to some or all of our existing stockholders and could cause our stock price to fall. We may also sell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or other securities at a price per share that is less than the price per share paid by existing investors, and investors purchasing shares or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in the future could have rights superior to existing stockholders.</w:t>
      </w:r>
    </w:p>
    <w:p>
      <w:pPr>
        <w:spacing w:after="0" w:line="21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exist for our common stock and as a result it may be difficult for you to sell your common stock.</w:t>
      </w:r>
    </w:p>
    <w:p>
      <w:pPr>
        <w:spacing w:after="0" w:line="1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88"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170"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A majority percentage of our outstanding stock is held by Robert W. Duggan, Executive Chairman of our Board, who beneficially owns approximately 69% of our common stock outstanding as of the date of this Quarterly Report. As a result, Mr. Duggan has control over corporate actions requiring stockholder approval, including the following actions:</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25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7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92" w:lineRule="exact"/>
        <w:rPr>
          <w:sz w:val="20"/>
          <w:szCs w:val="20"/>
          <w:color w:val="auto"/>
        </w:rPr>
      </w:pPr>
    </w:p>
    <w:p>
      <w:pPr>
        <w:ind w:right="540" w:firstLine="486"/>
        <w:spacing w:after="0" w:line="286" w:lineRule="auto"/>
        <w:rPr>
          <w:sz w:val="20"/>
          <w:szCs w:val="20"/>
          <w:color w:val="auto"/>
        </w:rPr>
      </w:pPr>
      <w:r>
        <w:rPr>
          <w:rFonts w:ascii="Arial" w:cs="Arial" w:eastAsia="Arial" w:hAnsi="Arial"/>
          <w:sz w:val="17"/>
          <w:szCs w:val="17"/>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6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Robert W. Duggan</w:t>
      </w:r>
      <w:r>
        <w:rPr>
          <w:rFonts w:ascii="Arial" w:cs="Arial" w:eastAsia="Arial" w:hAnsi="Arial"/>
          <w:sz w:val="18"/>
          <w:szCs w:val="18"/>
          <w:color w:val="auto"/>
        </w:rPr>
        <w:t>’</w:t>
      </w:r>
      <w:r>
        <w:rPr>
          <w:rFonts w:ascii="Arial" w:cs="Arial" w:eastAsia="Arial" w:hAnsi="Arial"/>
          <w:sz w:val="18"/>
          <w:szCs w:val="18"/>
          <w:b w:val="1"/>
          <w:bCs w:val="1"/>
          <w:i w:val="1"/>
          <w:iCs w:val="1"/>
          <w:color w:val="auto"/>
        </w:rPr>
        <w:t>s controlling ownership position may impact our stock price and may deter or prevent efforts by others to acquire us, which could prevent our stockholders from realizing a control premium.</w:t>
      </w:r>
    </w:p>
    <w:p>
      <w:pPr>
        <w:spacing w:after="0" w:line="170"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Robert W. Duggan is our Executive Chairman, and he beneficially owns approximately 69%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Executive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66"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7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8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For example, we determined not to renew our director and officer liability insurance this year due to disproportionately high premiums quoted by insurance companies. Instead, we and Robert W. Duggan, Executive Chairman of our board of directors, have entered into a letter agreement pursuant to which Mr. Duggan has agreed with us to personally provide “Side A” indemnity coverage on substantially the same terms as our prior coverage program for a one-year period. The impact of these requirements could also make it more difficult for us to attract and retain qualified persons to serve on our board of directors, our board committees or as our executive officers.</w:t>
      </w:r>
    </w:p>
    <w:p>
      <w:pPr>
        <w:spacing w:after="0" w:line="17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 xml:space="preserve">We are a </w:t>
      </w:r>
      <w:r>
        <w:rPr>
          <w:rFonts w:ascii="Arial" w:cs="Arial" w:eastAsia="Arial" w:hAnsi="Arial"/>
          <w:sz w:val="18"/>
          <w:szCs w:val="18"/>
          <w:color w:val="auto"/>
        </w:rPr>
        <w:t>“</w:t>
      </w:r>
      <w:r>
        <w:rPr>
          <w:rFonts w:ascii="Arial" w:cs="Arial" w:eastAsia="Arial" w:hAnsi="Arial"/>
          <w:sz w:val="18"/>
          <w:szCs w:val="18"/>
          <w:b w:val="1"/>
          <w:bCs w:val="1"/>
          <w:i w:val="1"/>
          <w:iCs w:val="1"/>
          <w:color w:val="auto"/>
        </w:rPr>
        <w:t>smaller reporting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we cannot be certain if the applicable reduced disclosure requirements will make our common stock less attractive to investors.</w:t>
      </w:r>
    </w:p>
    <w:p>
      <w:pPr>
        <w:spacing w:after="0" w:line="1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Through the end of 2021, we were an “emerging growth company,” as defined in the JOBS Act, and we took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While we are no longer an emerging growth company, we still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7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70"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8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87"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give our board of directors the ability to amend our bylaws by majority vote;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64"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3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including the negative impact of COVID-19 on the global economy and markets. A global financial crisis or a banking crisis or a global or regional political disruption could cause extreme volatility in the capital and credit markets, as has recently been the case due to COVID-19. The Company places its cash equivalents and investments with high credit quality financial institutions and, by policy, limits the amounts invested with any one financial institution or issuer and restricts the Company’s investments to U.S. treasuries and money market instruments. The Company does not bank with Silicon Valley Bank, however in general the Company’s deposits held with banks may exceed the amount of insurance provided on such deposits. Despite our low 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84"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79"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200" w:lineRule="exact"/>
        <w:rPr>
          <w:sz w:val="20"/>
          <w:szCs w:val="20"/>
          <w:color w:val="auto"/>
        </w:rPr>
      </w:pPr>
    </w:p>
    <w:p>
      <w:pPr>
        <w:spacing w:after="0" w:line="39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7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70"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three-month period ended March 31, 2023, we completed no unregistered sale of our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9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ind w:left="50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4"/>
          </w:tcPr>
          <w:p>
            <w:pPr>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11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200" w:type="dxa"/>
            <w:vAlign w:val="bottom"/>
            <w:tcBorders>
              <w:top w:val="single" w:sz="8" w:color="auto"/>
              <w:bottom w:val="single" w:sz="8" w:color="0000EE"/>
            </w:tcBorders>
          </w:tcPr>
          <w:p>
            <w:pPr>
              <w:spacing w:after="0" w:line="169" w:lineRule="exact"/>
              <w:rPr>
                <w:sz w:val="20"/>
                <w:szCs w:val="20"/>
                <w:color w:val="auto"/>
              </w:rPr>
            </w:pPr>
            <w:r>
              <w:rPr>
                <w:rFonts w:ascii="Arial" w:cs="Arial" w:eastAsia="Arial" w:hAnsi="Arial"/>
                <w:sz w:val="18"/>
                <w:szCs w:val="18"/>
                <w:color w:val="0000EE"/>
                <w:w w:val="91"/>
              </w:rPr>
              <w:t>Certification of Chief Executive Officer pursuant to Section 302 of the Sarbanes-Oxley Act of 2002.</w:t>
            </w:r>
          </w:p>
        </w:tc>
        <w:tc>
          <w:tcPr>
            <w:tcW w:w="2660" w:type="dxa"/>
            <w:vAlign w:val="bottom"/>
            <w:tcBorders>
              <w:top w:val="single" w:sz="8" w:color="auto"/>
            </w:tcBorders>
            <w:gridSpan w:val="2"/>
          </w:tcPr>
          <w:p>
            <w:pPr>
              <w:spacing w:after="0"/>
              <w:rPr>
                <w:sz w:val="14"/>
                <w:szCs w:val="14"/>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7"/>
                <w:szCs w:val="17"/>
                <w:color w:val="auto"/>
              </w:rPr>
            </w:pPr>
          </w:p>
        </w:tc>
        <w:tc>
          <w:tcPr>
            <w:tcW w:w="9880" w:type="dxa"/>
            <w:vAlign w:val="bottom"/>
            <w:gridSpan w:val="4"/>
          </w:tcPr>
          <w:p>
            <w:pPr>
              <w:spacing w:after="0" w:line="196" w:lineRule="exact"/>
              <w:rPr>
                <w:sz w:val="20"/>
                <w:szCs w:val="20"/>
                <w:color w:val="auto"/>
              </w:rPr>
            </w:pPr>
            <w:r>
              <w:rPr>
                <w:rFonts w:ascii="Arial" w:cs="Arial" w:eastAsia="Arial" w:hAnsi="Arial"/>
                <w:sz w:val="18"/>
                <w:szCs w:val="18"/>
                <w:color w:val="0000EE"/>
                <w:w w:val="96"/>
              </w:rPr>
              <w:t>Certification of the Chief Executive Officer pursuant to Section 906 of the Sarbanes-Oxley Act of 2002 (18 U.S.C. Section 1350).</w:t>
            </w:r>
          </w:p>
        </w:tc>
      </w:tr>
      <w:tr>
        <w:trPr>
          <w:trHeight w:val="222"/>
        </w:trPr>
        <w:tc>
          <w:tcPr>
            <w:tcW w:w="13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3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540" w:type="dxa"/>
            <w:vAlign w:val="bottom"/>
          </w:tcPr>
          <w:p>
            <w:pPr>
              <w:spacing w:after="0"/>
              <w:rPr>
                <w:sz w:val="19"/>
                <w:szCs w:val="19"/>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right="360" w:firstLine="8"/>
        <w:spacing w:after="0" w:line="259" w:lineRule="auto"/>
        <w:tabs>
          <w:tab w:leader="none" w:pos="1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200" w:type="dxa"/>
            <w:vAlign w:val="bottom"/>
            <w:gridSpan w:val="2"/>
          </w:tcPr>
          <w:p>
            <w:pPr>
              <w:ind w:left="2480"/>
              <w:spacing w:after="0"/>
              <w:rPr>
                <w:sz w:val="20"/>
                <w:szCs w:val="20"/>
                <w:color w:val="auto"/>
              </w:rPr>
            </w:pPr>
            <w:r>
              <w:rPr>
                <w:rFonts w:ascii="Arial" w:cs="Arial" w:eastAsia="Arial" w:hAnsi="Arial"/>
                <w:sz w:val="18"/>
                <w:szCs w:val="18"/>
                <w:b w:val="1"/>
                <w:bCs w:val="1"/>
                <w:color w:val="auto"/>
              </w:rPr>
              <w:t>PULSE BIOSCIENCES,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11, 2023</w:t>
            </w:r>
          </w:p>
        </w:tc>
        <w:tc>
          <w:tcPr>
            <w:tcW w:w="7200" w:type="dxa"/>
            <w:vAlign w:val="bottom"/>
            <w:gridSpan w:val="2"/>
          </w:tcPr>
          <w:p>
            <w:pPr>
              <w:ind w:left="2480"/>
              <w:spacing w:after="0"/>
              <w:rPr>
                <w:sz w:val="20"/>
                <w:szCs w:val="20"/>
                <w:color w:val="auto"/>
              </w:rPr>
            </w:pPr>
            <w:r>
              <w:rPr>
                <w:rFonts w:ascii="Arial" w:cs="Arial" w:eastAsia="Arial" w:hAnsi="Arial"/>
                <w:sz w:val="18"/>
                <w:szCs w:val="18"/>
                <w:color w:val="auto"/>
              </w:rPr>
              <w:t>By:   /s/  Kevin P. Danahy</w:t>
            </w:r>
          </w:p>
        </w:tc>
      </w:tr>
      <w:tr>
        <w:trPr>
          <w:trHeight w:val="191"/>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Kevin P. Danahy</w:t>
            </w:r>
          </w:p>
        </w:tc>
      </w:tr>
      <w:tr>
        <w:trPr>
          <w:trHeight w:val="220"/>
        </w:trPr>
        <w:tc>
          <w:tcPr>
            <w:tcW w:w="34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0"/>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i w:val="1"/>
                <w:iCs w:val="1"/>
                <w:color w:val="auto"/>
              </w:rPr>
              <w:t>(Principal Executive and Principal Financial Officer)</w:t>
            </w:r>
          </w:p>
        </w:tc>
      </w:tr>
      <w:tr>
        <w:trPr>
          <w:trHeight w:val="432"/>
        </w:trPr>
        <w:tc>
          <w:tcPr>
            <w:tcW w:w="3480" w:type="dxa"/>
            <w:vAlign w:val="bottom"/>
          </w:tcPr>
          <w:p>
            <w:pPr>
              <w:spacing w:after="0"/>
              <w:rPr>
                <w:sz w:val="24"/>
                <w:szCs w:val="24"/>
                <w:color w:val="auto"/>
              </w:rPr>
            </w:pPr>
          </w:p>
        </w:tc>
        <w:tc>
          <w:tcPr>
            <w:tcW w:w="3040" w:type="dxa"/>
            <w:vAlign w:val="bottom"/>
          </w:tcPr>
          <w:p>
            <w:pPr>
              <w:jc w:val="right"/>
              <w:ind w:right="710"/>
              <w:spacing w:after="0"/>
              <w:rPr>
                <w:sz w:val="20"/>
                <w:szCs w:val="20"/>
                <w:color w:val="auto"/>
              </w:rPr>
            </w:pPr>
            <w:r>
              <w:rPr>
                <w:rFonts w:ascii="Arial" w:cs="Arial" w:eastAsia="Arial" w:hAnsi="Arial"/>
                <w:sz w:val="18"/>
                <w:szCs w:val="18"/>
                <w:color w:val="auto"/>
              </w:rPr>
              <w:t>62</w:t>
            </w:r>
          </w:p>
        </w:tc>
        <w:tc>
          <w:tcPr>
            <w:tcW w:w="41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3" w:name="page64"/>
    <w:bookmarkEnd w:id="6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Kevin Danahy,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2023 of Pulse Biosciences,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May 11, 2023</w:t>
            </w:r>
          </w:p>
        </w:tc>
        <w:tc>
          <w:tcPr>
            <w:tcW w:w="2580" w:type="dxa"/>
            <w:vAlign w:val="bottom"/>
          </w:tcPr>
          <w:p>
            <w:pPr>
              <w:ind w:left="20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Danahy</w:t>
            </w:r>
          </w:p>
        </w:tc>
      </w:tr>
      <w:tr>
        <w:trPr>
          <w:trHeight w:val="195"/>
        </w:trPr>
        <w:tc>
          <w:tcPr>
            <w:tcW w:w="3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Kevin P. Danahy</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Executive and Principal Financial Officer)</w:t>
            </w:r>
          </w:p>
        </w:tc>
      </w:tr>
    </w:tbl>
    <w:p>
      <w:pPr>
        <w:sectPr>
          <w:pgSz w:w="11900" w:h="16838" w:orient="portrait"/>
          <w:cols w:equalWidth="0" w:num="1">
            <w:col w:w="11240"/>
          </w:cols>
          <w:pgMar w:left="320" w:top="121" w:right="339"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In connection with the Quarterly Report of Pulse Biosciences, Inc. (the “Company”) on Form 10-Q for the period ended March 31, 2023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84" w:lineRule="exact"/>
        <w:rPr>
          <w:sz w:val="20"/>
          <w:szCs w:val="20"/>
          <w:color w:val="auto"/>
        </w:rPr>
      </w:pPr>
    </w:p>
    <w:p>
      <w:pPr>
        <w:ind w:left="840" w:hanging="382"/>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hanging="502"/>
        <w:spacing w:after="0"/>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May 11, 2023</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Danahy</w:t>
            </w:r>
          </w:p>
        </w:tc>
      </w:tr>
      <w:tr>
        <w:trPr>
          <w:trHeight w:val="195"/>
        </w:trPr>
        <w:tc>
          <w:tcPr>
            <w:tcW w:w="60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Kevin P. Danahy</w:t>
            </w:r>
          </w:p>
        </w:tc>
      </w:tr>
      <w:tr>
        <w:trPr>
          <w:trHeight w:val="216"/>
        </w:trPr>
        <w:tc>
          <w:tcPr>
            <w:tcW w:w="60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0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Executive and Principal Financial Officer)</w:t>
            </w:r>
          </w:p>
        </w:tc>
      </w:tr>
    </w:tbl>
    <w:p>
      <w:pPr>
        <w:spacing w:after="0" w:line="20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4"/>
    </w:lvl>
  </w:abstractNum>
  <w:abstractNum w:abstractNumId="3">
    <w:nsid w:val="DED7263"/>
    <w:multiLevelType w:val="hybridMultilevel"/>
    <w:lvl w:ilvl="0">
      <w:lvlJc w:val="left"/>
      <w:lvlText w:val="%1."/>
      <w:numFmt w:val="decimal"/>
      <w:start w:val="8"/>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2023-05-11T15:40:18Z</dcterms:created>
  <dcterms:modified xsi:type="dcterms:W3CDTF">2023-05-11T15:40:18Z</dcterms:modified>
</cp:coreProperties>
</file>