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774700</wp:posOffset>
            </wp:positionH>
            <wp:positionV relativeFrom="page">
              <wp:posOffset>260350</wp:posOffset>
            </wp:positionV>
            <wp:extent cx="60115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26035"/>
                    </a:xfrm>
                    <a:prstGeom prst="rect">
                      <a:avLst/>
                    </a:prstGeom>
                    <a:noFill/>
                  </pic:spPr>
                </pic:pic>
              </a:graphicData>
            </a:graphic>
          </wp:anchor>
        </w:drawing>
        <w:t>UNITED STATES</w:t>
      </w:r>
    </w:p>
    <w:p>
      <w:pPr>
        <w:jc w:val="center"/>
        <w:ind w:right="-19"/>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00" w:lineRule="auto"/>
        <w:rPr>
          <w:sz w:val="20"/>
          <w:szCs w:val="20"/>
          <w:color w:val="auto"/>
        </w:rPr>
      </w:pPr>
      <w:r>
        <w:rPr>
          <w:rFonts w:ascii="Arial" w:cs="Arial" w:eastAsia="Arial" w:hAnsi="Arial"/>
          <w:sz w:val="20"/>
          <w:szCs w:val="20"/>
          <w:b w:val="1"/>
          <w:bCs w:val="1"/>
          <w:color w:val="auto"/>
        </w:rPr>
        <w:t>Washington, D.C. 20549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rPr>
          <w:sz w:val="20"/>
          <w:szCs w:val="20"/>
          <w:color w:val="auto"/>
        </w:rPr>
      </w:pPr>
      <w:r>
        <w:rPr>
          <w:rFonts w:ascii="Arial" w:cs="Arial" w:eastAsia="Arial" w:hAnsi="Arial"/>
          <w:sz w:val="29"/>
          <w:szCs w:val="29"/>
          <w:b w:val="1"/>
          <w:bCs w:val="1"/>
          <w:color w:val="auto"/>
        </w:rPr>
        <w:t>Form 10-Q</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440" w:right="200" w:hanging="440"/>
        <w:spacing w:after="0" w:line="224" w:lineRule="auto"/>
        <w:tabs>
          <w:tab w:leader="none" w:pos="4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right="180" w:hanging="440"/>
        <w:spacing w:after="0" w:line="224" w:lineRule="auto"/>
        <w:tabs>
          <w:tab w:leader="none" w:pos="4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4" w:lineRule="exact"/>
        <w:rPr>
          <w:sz w:val="24"/>
          <w:szCs w:val="24"/>
          <w:color w:val="auto"/>
        </w:rPr>
      </w:pPr>
    </w:p>
    <w:p>
      <w:pPr>
        <w:ind w:left="3200"/>
        <w:spacing w:after="0"/>
        <w:tabs>
          <w:tab w:leader="none" w:pos="6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001-34899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line="225" w:lineRule="auto"/>
        <w:rPr>
          <w:sz w:val="20"/>
          <w:szCs w:val="20"/>
          <w:color w:val="auto"/>
        </w:rPr>
      </w:pPr>
      <w:r>
        <w:rPr>
          <w:rFonts w:ascii="Arial" w:cs="Arial" w:eastAsia="Arial" w:hAnsi="Arial"/>
          <w:sz w:val="40"/>
          <w:szCs w:val="40"/>
          <w:b w:val="1"/>
          <w:bCs w:val="1"/>
          <w:color w:val="auto"/>
        </w:rPr>
        <w:t>Pulse Biosciences,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4" w:lineRule="exact"/>
        <w:rPr>
          <w:sz w:val="24"/>
          <w:szCs w:val="24"/>
          <w:color w:val="auto"/>
        </w:rPr>
      </w:pPr>
    </w:p>
    <w:tbl>
      <w:tblPr>
        <w:tblLayout w:type="fixed"/>
        <w:tblInd w:w="1040" w:type="dxa"/>
        <w:tblCellMar>
          <w:top w:w="0" w:type="dxa"/>
          <w:left w:w="0" w:type="dxa"/>
          <w:bottom w:w="0" w:type="dxa"/>
          <w:right w:w="0" w:type="dxa"/>
        </w:tblCellMar>
      </w:tblPr>
      <w:tr>
        <w:trPr>
          <w:trHeight w:val="184"/>
        </w:trPr>
        <w:tc>
          <w:tcPr>
            <w:tcW w:w="2920" w:type="dxa"/>
            <w:vAlign w:val="bottom"/>
          </w:tcPr>
          <w:p>
            <w:pPr>
              <w:jc w:val="center"/>
              <w:ind w:right="179"/>
              <w:spacing w:after="0"/>
              <w:rPr>
                <w:sz w:val="20"/>
                <w:szCs w:val="20"/>
                <w:color w:val="auto"/>
              </w:rPr>
            </w:pPr>
            <w:r>
              <w:rPr>
                <w:rFonts w:ascii="Arial" w:cs="Arial" w:eastAsia="Arial" w:hAnsi="Arial"/>
                <w:sz w:val="16"/>
                <w:szCs w:val="16"/>
                <w:b w:val="1"/>
                <w:bCs w:val="1"/>
                <w:color w:val="auto"/>
                <w:w w:val="93"/>
              </w:rPr>
              <w:t>Delaware</w:t>
            </w:r>
          </w:p>
        </w:tc>
        <w:tc>
          <w:tcPr>
            <w:tcW w:w="3780" w:type="dxa"/>
            <w:vAlign w:val="bottom"/>
          </w:tcPr>
          <w:p>
            <w:pPr>
              <w:jc w:val="right"/>
              <w:ind w:right="159"/>
              <w:spacing w:after="0"/>
              <w:rPr>
                <w:sz w:val="20"/>
                <w:szCs w:val="20"/>
                <w:color w:val="auto"/>
              </w:rPr>
            </w:pPr>
            <w:r>
              <w:rPr>
                <w:rFonts w:ascii="Arial" w:cs="Arial" w:eastAsia="Arial" w:hAnsi="Arial"/>
                <w:sz w:val="16"/>
                <w:szCs w:val="16"/>
                <w:b w:val="1"/>
                <w:bCs w:val="1"/>
                <w:color w:val="auto"/>
              </w:rPr>
              <w:t>46-5696597</w:t>
            </w:r>
          </w:p>
        </w:tc>
        <w:tc>
          <w:tcPr>
            <w:tcW w:w="0" w:type="dxa"/>
            <w:vAlign w:val="bottom"/>
          </w:tcPr>
          <w:p>
            <w:pPr>
              <w:spacing w:after="0"/>
              <w:rPr>
                <w:sz w:val="1"/>
                <w:szCs w:val="1"/>
                <w:color w:val="auto"/>
              </w:rPr>
            </w:pPr>
          </w:p>
        </w:tc>
      </w:tr>
      <w:tr>
        <w:trPr>
          <w:trHeight w:val="162"/>
        </w:trPr>
        <w:tc>
          <w:tcPr>
            <w:tcW w:w="29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1"/>
              </w:rPr>
              <w:t>(State or other jurisdiction of</w:t>
            </w:r>
          </w:p>
        </w:tc>
        <w:tc>
          <w:tcPr>
            <w:tcW w:w="3780" w:type="dxa"/>
            <w:vAlign w:val="bottom"/>
          </w:tcPr>
          <w:p>
            <w:pPr>
              <w:jc w:val="center"/>
              <w:ind w:left="2419"/>
              <w:spacing w:after="0" w:line="162" w:lineRule="exact"/>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10"/>
        </w:trPr>
        <w:tc>
          <w:tcPr>
            <w:tcW w:w="2920" w:type="dxa"/>
            <w:vAlign w:val="bottom"/>
          </w:tcPr>
          <w:p>
            <w:pPr>
              <w:jc w:val="center"/>
              <w:ind w:right="179"/>
              <w:spacing w:after="0"/>
              <w:rPr>
                <w:sz w:val="20"/>
                <w:szCs w:val="20"/>
                <w:color w:val="auto"/>
              </w:rPr>
            </w:pPr>
            <w:r>
              <w:rPr>
                <w:rFonts w:ascii="Arial" w:cs="Arial" w:eastAsia="Arial" w:hAnsi="Arial"/>
                <w:sz w:val="16"/>
                <w:szCs w:val="16"/>
                <w:b w:val="1"/>
                <w:bCs w:val="1"/>
                <w:color w:val="auto"/>
                <w:w w:val="91"/>
              </w:rPr>
              <w:t>incorporation or organization)</w:t>
            </w:r>
          </w:p>
        </w:tc>
        <w:tc>
          <w:tcPr>
            <w:tcW w:w="3780" w:type="dxa"/>
            <w:vAlign w:val="bottom"/>
          </w:tcPr>
          <w:p>
            <w:pPr>
              <w:jc w:val="center"/>
              <w:ind w:left="2419"/>
              <w:spacing w:after="0"/>
              <w:rPr>
                <w:sz w:val="20"/>
                <w:szCs w:val="20"/>
                <w:color w:val="auto"/>
              </w:rPr>
            </w:pPr>
            <w:r>
              <w:rPr>
                <w:rFonts w:ascii="Arial" w:cs="Arial" w:eastAsia="Arial" w:hAnsi="Arial"/>
                <w:sz w:val="16"/>
                <w:szCs w:val="16"/>
                <w:b w:val="1"/>
                <w:bCs w:val="1"/>
                <w:color w:val="auto"/>
                <w:w w:val="94"/>
              </w:rPr>
              <w:t>Identification No.)</w:t>
            </w:r>
          </w:p>
        </w:tc>
        <w:tc>
          <w:tcPr>
            <w:tcW w:w="0" w:type="dxa"/>
            <w:vAlign w:val="bottom"/>
          </w:tcPr>
          <w:p>
            <w:pPr>
              <w:spacing w:after="0"/>
              <w:rPr>
                <w:sz w:val="1"/>
                <w:szCs w:val="1"/>
                <w:color w:val="auto"/>
              </w:rPr>
            </w:pPr>
          </w:p>
        </w:tc>
      </w:tr>
      <w:tr>
        <w:trPr>
          <w:trHeight w:val="289"/>
        </w:trPr>
        <w:tc>
          <w:tcPr>
            <w:tcW w:w="2920" w:type="dxa"/>
            <w:vAlign w:val="bottom"/>
          </w:tcPr>
          <w:p>
            <w:pPr>
              <w:jc w:val="center"/>
              <w:ind w:right="179"/>
              <w:spacing w:after="0"/>
              <w:rPr>
                <w:sz w:val="20"/>
                <w:szCs w:val="20"/>
                <w:color w:val="auto"/>
              </w:rPr>
            </w:pPr>
            <w:r>
              <w:rPr>
                <w:rFonts w:ascii="Arial" w:cs="Arial" w:eastAsia="Arial" w:hAnsi="Arial"/>
                <w:sz w:val="16"/>
                <w:szCs w:val="16"/>
                <w:b w:val="1"/>
                <w:bCs w:val="1"/>
                <w:color w:val="auto"/>
                <w:w w:val="93"/>
              </w:rPr>
              <w:t>3957 Point Eden Way</w:t>
            </w:r>
          </w:p>
        </w:tc>
        <w:tc>
          <w:tcPr>
            <w:tcW w:w="37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94545</w:t>
            </w:r>
          </w:p>
        </w:tc>
        <w:tc>
          <w:tcPr>
            <w:tcW w:w="0" w:type="dxa"/>
            <w:vAlign w:val="bottom"/>
          </w:tcPr>
          <w:p>
            <w:pPr>
              <w:spacing w:after="0"/>
              <w:rPr>
                <w:sz w:val="1"/>
                <w:szCs w:val="1"/>
                <w:color w:val="auto"/>
              </w:rPr>
            </w:pPr>
          </w:p>
        </w:tc>
      </w:tr>
      <w:tr>
        <w:trPr>
          <w:trHeight w:val="162"/>
        </w:trPr>
        <w:tc>
          <w:tcPr>
            <w:tcW w:w="29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9"/>
              </w:rPr>
              <w:t>Hayward, CA</w:t>
            </w: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780" w:type="dxa"/>
            <w:vAlign w:val="bottom"/>
          </w:tcPr>
          <w:p>
            <w:pPr>
              <w:jc w:val="center"/>
              <w:ind w:left="2419"/>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307"/>
        </w:trPr>
        <w:tc>
          <w:tcPr>
            <w:tcW w:w="2920" w:type="dxa"/>
            <w:vAlign w:val="bottom"/>
          </w:tcPr>
          <w:p>
            <w:pPr>
              <w:spacing w:after="0"/>
              <w:rPr>
                <w:sz w:val="24"/>
                <w:szCs w:val="24"/>
                <w:color w:val="auto"/>
              </w:rPr>
            </w:pPr>
          </w:p>
        </w:tc>
        <w:tc>
          <w:tcPr>
            <w:tcW w:w="3780" w:type="dxa"/>
            <w:vAlign w:val="bottom"/>
          </w:tcPr>
          <w:p>
            <w:pPr>
              <w:jc w:val="right"/>
              <w:ind w:right="2419"/>
              <w:spacing w:after="0"/>
              <w:rPr>
                <w:sz w:val="20"/>
                <w:szCs w:val="20"/>
                <w:color w:val="auto"/>
              </w:rPr>
            </w:pPr>
            <w:r>
              <w:rPr>
                <w:rFonts w:ascii="Arial" w:cs="Arial" w:eastAsia="Arial" w:hAnsi="Arial"/>
                <w:sz w:val="16"/>
                <w:szCs w:val="16"/>
                <w:b w:val="1"/>
                <w:bCs w:val="1"/>
                <w:color w:val="auto"/>
              </w:rPr>
              <w:t>(510) 906-4600</w:t>
            </w:r>
          </w:p>
        </w:tc>
        <w:tc>
          <w:tcPr>
            <w:tcW w:w="0" w:type="dxa"/>
            <w:vAlign w:val="bottom"/>
          </w:tcPr>
          <w:p>
            <w:pPr>
              <w:spacing w:after="0"/>
              <w:rPr>
                <w:sz w:val="1"/>
                <w:szCs w:val="1"/>
                <w:color w:val="auto"/>
              </w:rPr>
            </w:pPr>
          </w:p>
        </w:tc>
      </w:tr>
    </w:tbl>
    <w:p>
      <w:pPr>
        <w:jc w:val="center"/>
        <w:ind w:right="-19"/>
        <w:spacing w:after="0" w:line="211" w:lineRule="auto"/>
        <w:rPr>
          <w:sz w:val="20"/>
          <w:szCs w:val="20"/>
          <w:color w:val="auto"/>
        </w:rPr>
      </w:pPr>
      <w:r>
        <w:rPr>
          <w:rFonts w:ascii="Arial" w:cs="Arial" w:eastAsia="Arial" w:hAnsi="Arial"/>
          <w:sz w:val="16"/>
          <w:szCs w:val="16"/>
          <w:b w:val="1"/>
          <w:bCs w:val="1"/>
          <w:color w:val="auto"/>
        </w:rPr>
        <w:t>(Registrant’s telephone number, including area code)</w:t>
      </w:r>
    </w:p>
    <w:p>
      <w:pPr>
        <w:ind w:left="3320"/>
        <w:spacing w:after="0"/>
        <w:rPr>
          <w:sz w:val="20"/>
          <w:szCs w:val="20"/>
          <w:color w:val="auto"/>
        </w:rPr>
      </w:pPr>
      <w:r>
        <w:rPr>
          <w:rFonts w:ascii="Arial" w:cs="Arial" w:eastAsia="Arial" w:hAnsi="Arial"/>
          <w:sz w:val="16"/>
          <w:szCs w:val="16"/>
          <w:b w:val="1"/>
          <w:bCs w:val="1"/>
          <w:color w:val="auto"/>
        </w:rPr>
        <w:t>___________________________________</w:t>
      </w:r>
    </w:p>
    <w:p>
      <w:pPr>
        <w:spacing w:after="0" w:line="45" w:lineRule="exact"/>
        <w:rPr>
          <w:sz w:val="24"/>
          <w:szCs w:val="24"/>
          <w:color w:val="auto"/>
        </w:rPr>
      </w:pPr>
    </w:p>
    <w:p>
      <w:pPr>
        <w:ind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01" w:lineRule="exact"/>
        <w:rPr>
          <w:sz w:val="24"/>
          <w:szCs w:val="24"/>
          <w:color w:val="auto"/>
        </w:rPr>
      </w:pPr>
    </w:p>
    <w:p>
      <w:pPr>
        <w:jc w:val="both"/>
        <w:ind w:right="40"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01" w:lineRule="exact"/>
        <w:rPr>
          <w:sz w:val="24"/>
          <w:szCs w:val="24"/>
          <w:color w:val="auto"/>
        </w:rPr>
      </w:pPr>
    </w:p>
    <w:p>
      <w:pPr>
        <w:ind w:right="120" w:firstLine="441"/>
        <w:spacing w:after="0" w:line="22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52"/>
        </w:trPr>
        <w:tc>
          <w:tcPr>
            <w:tcW w:w="2580" w:type="dxa"/>
            <w:vAlign w:val="bottom"/>
          </w:tcPr>
          <w:p>
            <w:pPr>
              <w:spacing w:after="0" w:line="152" w:lineRule="exact"/>
              <w:rPr>
                <w:sz w:val="20"/>
                <w:szCs w:val="20"/>
                <w:color w:val="auto"/>
              </w:rPr>
            </w:pPr>
            <w:r>
              <w:rPr>
                <w:rFonts w:ascii="Arial" w:cs="Arial" w:eastAsia="Arial" w:hAnsi="Arial"/>
                <w:sz w:val="16"/>
                <w:szCs w:val="16"/>
                <w:color w:val="auto"/>
              </w:rPr>
              <w:t>Large accelerated filer</w:t>
            </w:r>
          </w:p>
        </w:tc>
        <w:tc>
          <w:tcPr>
            <w:tcW w:w="1580" w:type="dxa"/>
            <w:vAlign w:val="bottom"/>
          </w:tcPr>
          <w:p>
            <w:pPr>
              <w:ind w:left="800"/>
              <w:spacing w:after="0" w:line="153" w:lineRule="exact"/>
              <w:rPr>
                <w:sz w:val="20"/>
                <w:szCs w:val="20"/>
                <w:color w:val="auto"/>
              </w:rPr>
            </w:pPr>
            <w:r>
              <w:rPr>
                <w:rFonts w:ascii="MS PGothic" w:cs="MS PGothic" w:eastAsia="MS PGothic" w:hAnsi="MS PGothic"/>
                <w:sz w:val="16"/>
                <w:szCs w:val="16"/>
                <w:color w:val="auto"/>
                <w:highlight w:val="black"/>
              </w:rPr>
              <w:t>☐</w:t>
            </w:r>
          </w:p>
        </w:tc>
        <w:tc>
          <w:tcPr>
            <w:tcW w:w="3760" w:type="dxa"/>
            <w:vAlign w:val="bottom"/>
          </w:tcPr>
          <w:p>
            <w:pPr>
              <w:ind w:left="640"/>
              <w:spacing w:after="0" w:line="152" w:lineRule="exact"/>
              <w:rPr>
                <w:sz w:val="20"/>
                <w:szCs w:val="20"/>
                <w:color w:val="auto"/>
              </w:rPr>
            </w:pPr>
            <w:r>
              <w:rPr>
                <w:rFonts w:ascii="Arial" w:cs="Arial" w:eastAsia="Arial" w:hAnsi="Arial"/>
                <w:sz w:val="16"/>
                <w:szCs w:val="16"/>
                <w:color w:val="auto"/>
              </w:rPr>
              <w:t>Accelerated filer</w:t>
            </w:r>
          </w:p>
        </w:tc>
        <w:tc>
          <w:tcPr>
            <w:tcW w:w="1480" w:type="dxa"/>
            <w:vAlign w:val="bottom"/>
          </w:tcPr>
          <w:p>
            <w:pPr>
              <w:ind w:left="1340"/>
              <w:spacing w:after="0" w:line="153" w:lineRule="exact"/>
              <w:rPr>
                <w:sz w:val="20"/>
                <w:szCs w:val="20"/>
                <w:color w:val="auto"/>
              </w:rPr>
            </w:pPr>
            <w:r>
              <w:rPr>
                <w:rFonts w:ascii="MS PGothic" w:cs="MS PGothic" w:eastAsia="MS PGothic" w:hAnsi="MS PGothic"/>
                <w:sz w:val="16"/>
                <w:szCs w:val="16"/>
                <w:color w:val="auto"/>
                <w:highlight w:val="black"/>
                <w:w w:val="74"/>
              </w:rPr>
              <w:t>☒</w:t>
            </w: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6"/>
                <w:szCs w:val="16"/>
                <w:color w:val="auto"/>
              </w:rPr>
              <w:t>Non-accelerated filer</w:t>
            </w:r>
          </w:p>
        </w:tc>
        <w:tc>
          <w:tcPr>
            <w:tcW w:w="1580" w:type="dxa"/>
            <w:vAlign w:val="bottom"/>
          </w:tcPr>
          <w:p>
            <w:pPr>
              <w:ind w:left="80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760" w:type="dxa"/>
            <w:vAlign w:val="bottom"/>
          </w:tcPr>
          <w:p>
            <w:pPr>
              <w:ind w:left="640"/>
              <w:spacing w:after="0" w:line="162" w:lineRule="exact"/>
              <w:rPr>
                <w:sz w:val="20"/>
                <w:szCs w:val="20"/>
                <w:color w:val="auto"/>
              </w:rPr>
            </w:pPr>
            <w:r>
              <w:rPr>
                <w:rFonts w:ascii="Arial" w:cs="Arial" w:eastAsia="Arial" w:hAnsi="Arial"/>
                <w:sz w:val="16"/>
                <w:szCs w:val="16"/>
                <w:color w:val="auto"/>
              </w:rPr>
              <w:t>Smaller reporting company</w:t>
            </w:r>
          </w:p>
        </w:tc>
        <w:tc>
          <w:tcPr>
            <w:tcW w:w="1480" w:type="dxa"/>
            <w:vAlign w:val="bottom"/>
          </w:tcPr>
          <w:p>
            <w:pPr>
              <w:ind w:left="13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54"/>
        </w:trPr>
        <w:tc>
          <w:tcPr>
            <w:tcW w:w="25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580" w:type="dxa"/>
            <w:vAlign w:val="bottom"/>
          </w:tcPr>
          <w:p>
            <w:pPr>
              <w:ind w:left="80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76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87" w:lineRule="exact"/>
        <w:rPr>
          <w:sz w:val="24"/>
          <w:szCs w:val="24"/>
          <w:color w:val="auto"/>
        </w:rPr>
      </w:pPr>
    </w:p>
    <w:p>
      <w:pPr>
        <w:ind w:right="700" w:firstLine="441"/>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highlight w:val="black"/>
        </w:rPr>
        <w:t>☒</w:t>
      </w:r>
    </w:p>
    <w:p>
      <w:pPr>
        <w:spacing w:after="0" w:line="71" w:lineRule="exact"/>
        <w:rPr>
          <w:sz w:val="24"/>
          <w:szCs w:val="24"/>
          <w:color w:val="auto"/>
        </w:rPr>
      </w:pPr>
    </w:p>
    <w:p>
      <w:pPr>
        <w:ind w:left="440" w:right="52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Number of shares outstanding of the issuer’s common stock as of October 25, 2018: 16,985,556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01154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260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523240</wp:posOffset>
            </wp:positionV>
            <wp:extent cx="60540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535" w:right="12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20" w:firstLine="2768"/>
        <w:spacing w:after="0" w:line="245" w:lineRule="auto"/>
        <w:rPr>
          <w:rFonts w:ascii="Arial" w:cs="Arial" w:eastAsia="Arial" w:hAnsi="Arial"/>
          <w:sz w:val="18"/>
          <w:szCs w:val="18"/>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r>
        <w:rPr>
          <w:rFonts w:ascii="Arial" w:cs="Arial" w:eastAsia="Arial" w:hAnsi="Arial"/>
          <w:sz w:val="18"/>
          <w:szCs w:val="18"/>
          <w:b w:val="1"/>
          <w:bCs w:val="1"/>
          <w:u w:val="single" w:color="auto"/>
          <w:color w:val="0000EE"/>
        </w:rPr>
        <w:t xml:space="preserve"> </w:t>
      </w:r>
      <w:hyperlink w:anchor="page3">
        <w:r>
          <w:rPr>
            <w:rFonts w:ascii="Arial" w:cs="Arial" w:eastAsia="Arial" w:hAnsi="Arial"/>
            <w:sz w:val="18"/>
            <w:szCs w:val="18"/>
            <w:u w:val="single" w:color="auto"/>
            <w:color w:val="0000EE"/>
          </w:rPr>
          <w:t>Item 1.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6011545" cy="111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ind w:left="180" w:right="1500"/>
        <w:spacing w:after="0" w:line="233" w:lineRule="auto"/>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Condensed Consolidated Balance Sheets as of September 30, 2018 and December 31, 2017</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Condensed Consolidated Statements of Operations and Comprehensive Loss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601154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right="2080"/>
        <w:spacing w:after="0" w:line="203"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 the Three-Month and Nine-Month Periods Ended September 30, 2018 and 2017</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Condensed Consolidated Statements of Cash Flows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01154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1545" cy="222885"/>
                    </a:xfrm>
                    <a:prstGeom prst="rect">
                      <a:avLst/>
                    </a:prstGeom>
                    <a:noFill/>
                  </pic:spPr>
                </pic:pic>
              </a:graphicData>
            </a:graphic>
          </wp:anchor>
        </w:drawing>
      </w:r>
    </w:p>
    <w:p>
      <w:pPr>
        <w:ind w:left="180" w:right="3380"/>
        <w:spacing w:after="0" w:line="247" w:lineRule="auto"/>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for the Nine-Month Periods Ended September 30, 2018 and 2017</w:t>
        </w:r>
      </w:hyperlink>
      <w:r>
        <w:rPr>
          <w:rFonts w:ascii="Arial" w:cs="Arial" w:eastAsia="Arial" w:hAnsi="Arial"/>
          <w:sz w:val="17"/>
          <w:szCs w:val="17"/>
          <w:u w:val="single" w:color="auto"/>
          <w:color w:val="0000EE"/>
        </w:rPr>
        <w:t xml:space="preserve"> </w:t>
      </w:r>
      <w:hyperlink w:anchor="page6">
        <w:r>
          <w:rPr>
            <w:rFonts w:ascii="Arial" w:cs="Arial" w:eastAsia="Arial" w:hAnsi="Arial"/>
            <w:sz w:val="17"/>
            <w:szCs w:val="17"/>
            <w:u w:val="single" w:color="auto"/>
            <w:color w:val="0000EE"/>
          </w:rPr>
          <w:t>Notes to Condensed Consolidated Financial Statements</w:t>
        </w:r>
      </w:hyperlink>
    </w:p>
    <w:p>
      <w:pPr>
        <w:spacing w:after="0" w:line="1" w:lineRule="exact"/>
        <w:rPr>
          <w:sz w:val="20"/>
          <w:szCs w:val="20"/>
          <w:color w:val="auto"/>
        </w:rPr>
      </w:pPr>
    </w:p>
    <w:p>
      <w:pPr>
        <w:ind w:right="1240"/>
        <w:spacing w:after="0" w:line="255" w:lineRule="auto"/>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22">
        <w:r>
          <w:rPr>
            <w:rFonts w:ascii="Arial" w:cs="Arial" w:eastAsia="Arial" w:hAnsi="Arial"/>
            <w:sz w:val="18"/>
            <w:szCs w:val="18"/>
            <w:u w:val="single" w:color="auto"/>
            <w:color w:val="0000EE"/>
          </w:rPr>
          <w:t>Item 4. Controls and Procedures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-418465</wp:posOffset>
            </wp:positionV>
            <wp:extent cx="601154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1545"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601154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8" w:lineRule="exact"/>
        <w:rPr>
          <w:rFonts w:ascii="Arial" w:cs="Arial" w:eastAsia="Arial" w:hAnsi="Arial"/>
          <w:sz w:val="18"/>
          <w:szCs w:val="18"/>
          <w:u w:val="single" w:color="auto"/>
          <w:color w:val="0000EE"/>
        </w:rPr>
      </w:pPr>
    </w:p>
    <w:p>
      <w:pPr>
        <w:jc w:val="right"/>
        <w:ind w:right="40"/>
        <w:spacing w:after="0"/>
        <w:rPr>
          <w:sz w:val="20"/>
          <w:szCs w:val="20"/>
          <w:color w:val="auto"/>
        </w:rPr>
      </w:pPr>
      <w:r>
        <w:rPr>
          <w:rFonts w:ascii="Arial" w:cs="Arial" w:eastAsia="Arial" w:hAnsi="Arial"/>
          <w:sz w:val="16"/>
          <w:szCs w:val="16"/>
          <w:b w:val="1"/>
          <w:bCs w:val="1"/>
          <w:color w:val="auto"/>
        </w:rPr>
        <w:t>PAGE</w:t>
      </w:r>
    </w:p>
    <w:p>
      <w:pPr>
        <w:spacing w:after="0" w:line="12" w:lineRule="exact"/>
        <w:rPr>
          <w:rFonts w:ascii="Arial" w:cs="Arial" w:eastAsia="Arial" w:hAnsi="Arial"/>
          <w:sz w:val="18"/>
          <w:szCs w:val="18"/>
          <w:u w:val="single" w:color="auto"/>
          <w:color w:val="0000EE"/>
        </w:rPr>
      </w:pPr>
    </w:p>
    <w:p>
      <w:pPr>
        <w:jc w:val="right"/>
        <w:ind w:right="40"/>
        <w:spacing w:after="0"/>
        <w:rPr>
          <w:sz w:val="20"/>
          <w:szCs w:val="20"/>
          <w:color w:val="auto"/>
        </w:rPr>
      </w:pPr>
      <w:r>
        <w:rPr>
          <w:rFonts w:ascii="Arial" w:cs="Arial" w:eastAsia="Arial" w:hAnsi="Arial"/>
          <w:sz w:val="18"/>
          <w:szCs w:val="18"/>
          <w:b w:val="1"/>
          <w:bCs w:val="1"/>
          <w:color w:val="auto"/>
        </w:rPr>
        <w:t>No.</w:t>
      </w:r>
    </w:p>
    <w:p>
      <w:pPr>
        <w:spacing w:after="0" w:line="14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3</w:t>
      </w:r>
    </w:p>
    <w:p>
      <w:pPr>
        <w:spacing w:after="0" w:line="6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4</w:t>
      </w:r>
    </w:p>
    <w:p>
      <w:pPr>
        <w:spacing w:after="0" w:line="144"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5</w:t>
      </w:r>
    </w:p>
    <w:p>
      <w:pPr>
        <w:spacing w:after="0" w:line="77"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6</w:t>
      </w:r>
    </w:p>
    <w:p>
      <w:pPr>
        <w:spacing w:after="0" w:line="23"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15</w:t>
      </w:r>
    </w:p>
    <w:p>
      <w:pPr>
        <w:spacing w:after="0" w:line="9"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21</w:t>
      </w:r>
    </w:p>
    <w:p>
      <w:pPr>
        <w:spacing w:after="0" w:line="9"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22</w:t>
      </w:r>
    </w:p>
    <w:p>
      <w:pPr>
        <w:spacing w:after="0" w:line="139" w:lineRule="exact"/>
        <w:rPr>
          <w:rFonts w:ascii="Arial" w:cs="Arial" w:eastAsia="Arial" w:hAnsi="Arial"/>
          <w:sz w:val="18"/>
          <w:szCs w:val="18"/>
          <w:u w:val="single" w:color="auto"/>
          <w:color w:val="0000EE"/>
        </w:rPr>
      </w:pPr>
    </w:p>
    <w:p>
      <w:pPr>
        <w:sectPr>
          <w:pgSz w:w="11900" w:h="16838" w:orient="portrait"/>
          <w:cols w:equalWidth="0" w:num="2">
            <w:col w:w="8260" w:space="720"/>
            <w:col w:w="520"/>
          </w:cols>
          <w:pgMar w:left="1220" w:top="108" w:right="117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2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00" w:type="dxa"/>
            <w:vAlign w:val="bottom"/>
            <w:tcBorders>
              <w:top w:val="single" w:sz="8" w:color="CCEEFF"/>
            </w:tcBorders>
            <w:gridSpan w:val="9"/>
          </w:tcPr>
          <w:p>
            <w:pPr>
              <w:spacing w:after="0" w:line="170" w:lineRule="exact"/>
              <w:rPr>
                <w:rFonts w:ascii="Arial" w:cs="Arial" w:eastAsia="Arial" w:hAnsi="Arial"/>
                <w:sz w:val="18"/>
                <w:szCs w:val="18"/>
                <w:color w:val="0000EE"/>
              </w:rPr>
            </w:pPr>
            <w:hyperlink w:anchor="page23">
              <w:r>
                <w:rPr>
                  <w:rFonts w:ascii="Arial" w:cs="Arial" w:eastAsia="Arial" w:hAnsi="Arial"/>
                  <w:sz w:val="18"/>
                  <w:szCs w:val="18"/>
                  <w:color w:val="0000EE"/>
                </w:rPr>
                <w:t>Item 1. Legal Proceedings</w:t>
              </w:r>
            </w:hyperlink>
          </w:p>
        </w:tc>
        <w:tc>
          <w:tcPr>
            <w:tcW w:w="2760" w:type="dxa"/>
            <w:vAlign w:val="bottom"/>
            <w:tcBorders>
              <w:top w:val="single" w:sz="8" w:color="0000EE"/>
            </w:tcBorders>
            <w:gridSpan w:val="2"/>
          </w:tcPr>
          <w:p>
            <w:pPr>
              <w:spacing w:after="0"/>
              <w:rPr>
                <w:sz w:val="14"/>
                <w:szCs w:val="14"/>
                <w:color w:val="auto"/>
              </w:rPr>
            </w:pPr>
          </w:p>
        </w:tc>
        <w:tc>
          <w:tcPr>
            <w:tcW w:w="1780" w:type="dxa"/>
            <w:vAlign w:val="bottom"/>
            <w:tcBorders>
              <w:top w:val="single" w:sz="8" w:color="CCEEFF"/>
            </w:tcBorders>
          </w:tcPr>
          <w:p>
            <w:pPr>
              <w:spacing w:after="0"/>
              <w:rPr>
                <w:sz w:val="14"/>
                <w:szCs w:val="14"/>
                <w:color w:val="auto"/>
              </w:rPr>
            </w:pPr>
          </w:p>
        </w:tc>
        <w:tc>
          <w:tcPr>
            <w:tcW w:w="2000" w:type="dxa"/>
            <w:vAlign w:val="bottom"/>
            <w:tcBorders>
              <w:top w:val="single" w:sz="8" w:color="CCEEFF"/>
            </w:tcBorders>
          </w:tcPr>
          <w:p>
            <w:pPr>
              <w:jc w:val="right"/>
              <w:spacing w:after="0" w:line="170"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1A. Risk Factors</w:t>
              </w:r>
            </w:hyperlink>
          </w:p>
        </w:tc>
        <w:tc>
          <w:tcPr>
            <w:tcW w:w="5860" w:type="dxa"/>
            <w:vAlign w:val="bottom"/>
            <w:tcBorders>
              <w:bottom w:val="single" w:sz="8" w:color="CCEEFF"/>
            </w:tcBorders>
            <w:gridSpan w:val="8"/>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12"/>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2. Unregistered Sales of Equity Securities and Use of Proceeds</w:t>
              </w:r>
            </w:hyperlink>
          </w:p>
        </w:tc>
        <w:tc>
          <w:tcPr>
            <w:tcW w:w="200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692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Default Upon Senior Securities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2260" w:type="dxa"/>
            <w:vAlign w:val="bottom"/>
            <w:tcBorders>
              <w:top w:val="single" w:sz="8" w:color="0000EE"/>
            </w:tcBorders>
            <w:gridSpan w:val="7"/>
          </w:tcPr>
          <w:p>
            <w:pPr>
              <w:ind w:left="2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4660" w:type="dxa"/>
            <w:vAlign w:val="bottom"/>
            <w:tcBorders>
              <w:top w:val="single" w:sz="8" w:color="CCEEFF"/>
            </w:tcBorders>
            <w:gridSpan w:val="4"/>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692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6.</w:t>
              </w:r>
            </w:hyperlink>
          </w:p>
        </w:tc>
        <w:tc>
          <w:tcPr>
            <w:tcW w:w="1320" w:type="dxa"/>
            <w:vAlign w:val="bottom"/>
            <w:tcBorders>
              <w:top w:val="single" w:sz="8" w:color="0000EE"/>
            </w:tcBorders>
            <w:gridSpan w:val="4"/>
          </w:tcPr>
          <w:p>
            <w:pPr>
              <w:ind w:left="2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5600" w:type="dxa"/>
            <w:vAlign w:val="bottom"/>
            <w:tcBorders>
              <w:top w:val="single" w:sz="8" w:color="CCEEFF"/>
            </w:tcBorders>
            <w:gridSpan w:val="7"/>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40" w:type="dxa"/>
            <w:vAlign w:val="bottom"/>
            <w:gridSpan w:val="12"/>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140" w:type="dxa"/>
            <w:vAlign w:val="bottom"/>
            <w:tcBorders>
              <w:top w:val="single" w:sz="8" w:color="CCEEFF"/>
            </w:tcBorders>
            <w:gridSpan w:val="8"/>
          </w:tcPr>
          <w:p>
            <w:pPr>
              <w:jc w:val="right"/>
              <w:ind w:right="30"/>
              <w:spacing w:after="0"/>
              <w:rPr>
                <w:sz w:val="20"/>
                <w:szCs w:val="20"/>
                <w:color w:val="auto"/>
              </w:rPr>
            </w:pPr>
            <w:r>
              <w:rPr>
                <w:rFonts w:ascii="Arial" w:cs="Arial" w:eastAsia="Arial" w:hAnsi="Arial"/>
                <w:sz w:val="18"/>
                <w:szCs w:val="18"/>
                <w:color w:val="auto"/>
              </w:rPr>
              <w:t>2</w:t>
            </w:r>
          </w:p>
        </w:tc>
        <w:tc>
          <w:tcPr>
            <w:tcW w:w="78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par value amounts)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670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91"/>
              <w:spacing w:after="0" w:line="158"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71"/>
              <w:spacing w:after="0" w:line="158"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8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Other asset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 current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Deferred rent, less current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ind w:left="200"/>
              <w:spacing w:after="0" w:line="149" w:lineRule="exact"/>
              <w:rPr>
                <w:sz w:val="20"/>
                <w:szCs w:val="20"/>
                <w:color w:val="auto"/>
              </w:rPr>
            </w:pPr>
            <w:r>
              <w:rPr>
                <w:rFonts w:ascii="Arial" w:cs="Arial" w:eastAsia="Arial" w:hAnsi="Arial"/>
                <w:sz w:val="17"/>
                <w:szCs w:val="17"/>
                <w:color w:val="auto"/>
              </w:rPr>
              <w:t>Preferred stock, $0.001 par value;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authorized – 50,000 shares; no shares issued and outstanding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Common stock, $0.001 par value: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authorized – 500,000 shares; issued and outstanding –</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16,984 shares and 16,819 shares at September 30, 2018 and</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December 31, 2017, respectively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94,825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(66,765)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ind w:left="46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Three-Month Periods Ended</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jc w:val="right"/>
              <w:ind w:right="371"/>
              <w:spacing w:after="0"/>
              <w:rPr>
                <w:sz w:val="20"/>
                <w:szCs w:val="20"/>
                <w:color w:val="auto"/>
              </w:rPr>
            </w:pPr>
            <w:r>
              <w:rPr>
                <w:rFonts w:ascii="Arial" w:cs="Arial" w:eastAsia="Arial" w:hAnsi="Arial"/>
                <w:sz w:val="14"/>
                <w:szCs w:val="14"/>
                <w:b w:val="1"/>
                <w:bCs w:val="1"/>
                <w:color w:val="auto"/>
              </w:rPr>
              <w:t>Nine-Month Periods Ended</w:t>
            </w:r>
          </w:p>
        </w:tc>
        <w:tc>
          <w:tcPr>
            <w:tcW w:w="0" w:type="dxa"/>
            <w:vAlign w:val="bottom"/>
          </w:tcPr>
          <w:p>
            <w:pPr>
              <w:spacing w:after="0"/>
              <w:rPr>
                <w:sz w:val="1"/>
                <w:szCs w:val="1"/>
                <w:color w:val="auto"/>
              </w:rPr>
            </w:pPr>
          </w:p>
        </w:tc>
      </w:t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3"/>
        </w:trPr>
        <w:tc>
          <w:tcPr>
            <w:tcW w:w="396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70"/>
              <w:spacing w:after="0" w:line="16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30"/>
              <w:spacing w:after="0" w:line="16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90"/>
              <w:spacing w:after="0" w:line="16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65"/>
              <w:spacing w:after="0" w:line="163"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3960" w:type="dxa"/>
            <w:vAlign w:val="bottom"/>
          </w:tcPr>
          <w:p>
            <w:pPr>
              <w:spacing w:after="0" w:line="170"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10,879</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16,983</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(10,761)</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(16,864)</w:t>
            </w: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0"/>
              </w:rPr>
              <w:t>Unrealized gain (loss) on available-for-sale securities</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(28,544)</w:t>
            </w:r>
          </w:p>
        </w:tc>
        <w:tc>
          <w:tcPr>
            <w:tcW w:w="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(16,859)</w:t>
            </w:r>
          </w:p>
        </w:tc>
        <w:tc>
          <w:tcPr>
            <w:tcW w:w="0" w:type="dxa"/>
            <w:vAlign w:val="bottom"/>
          </w:tcPr>
          <w:p>
            <w:pPr>
              <w:spacing w:after="0"/>
              <w:rPr>
                <w:sz w:val="1"/>
                <w:szCs w:val="1"/>
                <w:color w:val="auto"/>
              </w:rPr>
            </w:pPr>
          </w:p>
        </w:tc>
      </w:tr>
      <w:tr>
        <w:trPr>
          <w:trHeight w:val="163"/>
        </w:trPr>
        <w:tc>
          <w:tcPr>
            <w:tcW w:w="396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Net loss per share:</w:t>
            </w:r>
          </w:p>
        </w:tc>
        <w:tc>
          <w:tcPr>
            <w:tcW w:w="1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(0.52)</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22"/>
        </w:trPr>
        <w:tc>
          <w:tcPr>
            <w:tcW w:w="396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color w:val="auto"/>
              </w:rPr>
              <w:t>Weighted average shares used to compute</w:t>
            </w:r>
          </w:p>
        </w:tc>
        <w:tc>
          <w:tcPr>
            <w:tcW w:w="1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16,927</w:t>
            </w:r>
          </w:p>
        </w:tc>
        <w:tc>
          <w:tcPr>
            <w:tcW w:w="14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14,381</w:t>
            </w: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16,883</w:t>
            </w: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14,141</w:t>
            </w:r>
          </w:p>
        </w:tc>
        <w:tc>
          <w:tcPr>
            <w:tcW w:w="0" w:type="dxa"/>
            <w:vAlign w:val="bottom"/>
          </w:tcPr>
          <w:p>
            <w:pPr>
              <w:spacing w:after="0"/>
              <w:rPr>
                <w:sz w:val="1"/>
                <w:szCs w:val="1"/>
                <w:color w:val="auto"/>
              </w:rPr>
            </w:pPr>
          </w:p>
        </w:tc>
      </w:tr>
      <w:tr>
        <w:trPr>
          <w:trHeight w:val="196"/>
        </w:trPr>
        <w:tc>
          <w:tcPr>
            <w:tcW w:w="3960" w:type="dxa"/>
            <w:vAlign w:val="bottom"/>
          </w:tcPr>
          <w:p>
            <w:pPr>
              <w:ind w:left="100"/>
              <w:spacing w:after="0" w:line="189" w:lineRule="exact"/>
              <w:rPr>
                <w:sz w:val="20"/>
                <w:szCs w:val="20"/>
                <w:color w:val="auto"/>
              </w:rPr>
            </w:pPr>
            <w:r>
              <w:rPr>
                <w:rFonts w:ascii="Arial" w:cs="Arial" w:eastAsia="Arial" w:hAnsi="Arial"/>
                <w:sz w:val="18"/>
                <w:szCs w:val="18"/>
                <w:color w:val="auto"/>
              </w:rPr>
              <w:t>net loss per common share — basic and diluted</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p>
      <w:pPr>
        <w:jc w:val="center"/>
        <w:ind w:left="6860"/>
        <w:spacing w:after="0"/>
        <w:rPr>
          <w:sz w:val="20"/>
          <w:szCs w:val="20"/>
          <w:color w:val="auto"/>
        </w:rPr>
      </w:pPr>
      <w:r>
        <w:rPr>
          <w:rFonts w:ascii="Arial" w:cs="Arial" w:eastAsia="Arial" w:hAnsi="Arial"/>
          <w:sz w:val="13"/>
          <w:szCs w:val="13"/>
          <w:b w:val="1"/>
          <w:bCs w:val="1"/>
          <w:color w:val="auto"/>
        </w:rPr>
        <w:t>Nine-Month Periods Ended</w:t>
      </w:r>
    </w:p>
    <w:p>
      <w:pPr>
        <w:spacing w:after="0" w:line="37"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0</wp:posOffset>
            </wp:positionV>
            <wp:extent cx="1663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1154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11545"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14" w:lineRule="auto"/>
        <w:rPr>
          <w:sz w:val="20"/>
          <w:szCs w:val="20"/>
          <w:color w:val="auto"/>
        </w:rPr>
      </w:pPr>
      <w:r>
        <w:rPr>
          <w:rFonts w:ascii="Arial" w:cs="Arial" w:eastAsia="Arial" w:hAnsi="Arial"/>
          <w:sz w:val="18"/>
          <w:szCs w:val="18"/>
          <w:color w:val="auto"/>
        </w:rPr>
        <w:t>Net loss</w:t>
      </w:r>
    </w:p>
    <w:p>
      <w:pPr>
        <w:spacing w:after="0"/>
        <w:rPr>
          <w:sz w:val="20"/>
          <w:szCs w:val="20"/>
          <w:color w:val="auto"/>
        </w:rPr>
      </w:pPr>
      <w:r>
        <w:rPr>
          <w:rFonts w:ascii="Arial" w:cs="Arial" w:eastAsia="Arial" w:hAnsi="Arial"/>
          <w:sz w:val="16"/>
          <w:szCs w:val="16"/>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601154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Amortization of intangible assets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Net premium amortization on investments</w:t>
      </w:r>
    </w:p>
    <w:p>
      <w:pPr>
        <w:ind w:left="220"/>
        <w:spacing w:after="0" w:line="216" w:lineRule="auto"/>
        <w:rPr>
          <w:sz w:val="20"/>
          <w:szCs w:val="20"/>
          <w:color w:val="auto"/>
        </w:rPr>
      </w:pPr>
      <w:r>
        <w:rPr>
          <w:rFonts w:ascii="Arial" w:cs="Arial" w:eastAsia="Arial" w:hAnsi="Arial"/>
          <w:sz w:val="18"/>
          <w:szCs w:val="18"/>
          <w:color w:val="auto"/>
        </w:rPr>
        <w:t>Landlord incentive for tenant improvements</w:t>
      </w:r>
    </w:p>
    <w:p>
      <w:pPr>
        <w:ind w:left="220"/>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011545"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Other asset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Net cash used in operating activities</w:t>
      </w: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01154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Purchases of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Maturities of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Net cash provided by investing activities</w:t>
      </w: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01154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Proceeds from issuance of common stock under employee stock plan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exercises of warrants</w:t>
      </w:r>
    </w:p>
    <w:p>
      <w:pPr>
        <w:spacing w:after="0" w:line="9" w:lineRule="exact"/>
        <w:rPr>
          <w:sz w:val="20"/>
          <w:szCs w:val="20"/>
          <w:color w:val="auto"/>
        </w:rPr>
      </w:pPr>
    </w:p>
    <w:p>
      <w:pPr>
        <w:ind w:right="940"/>
        <w:spacing w:after="0" w:line="234" w:lineRule="auto"/>
        <w:rPr>
          <w:sz w:val="20"/>
          <w:szCs w:val="20"/>
          <w:color w:val="auto"/>
        </w:rPr>
      </w:pPr>
      <w:r>
        <w:rPr>
          <w:rFonts w:ascii="Arial" w:cs="Arial" w:eastAsia="Arial" w:hAnsi="Arial"/>
          <w:sz w:val="18"/>
          <w:szCs w:val="18"/>
          <w:color w:val="auto"/>
        </w:rPr>
        <w:t>Tax payments related to shares withheld for vested restricted stock units Proceeds from exercises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01154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r>
      <w:tr>
        <w:trPr>
          <w:trHeight w:val="412"/>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(28,592)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(16,864)</w:t>
            </w:r>
          </w:p>
        </w:tc>
      </w:tr>
      <w:tr>
        <w:trPr>
          <w:trHeight w:val="350"/>
        </w:trPr>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6,403</w:t>
            </w:r>
          </w:p>
        </w:tc>
      </w:tr>
      <w:tr>
        <w:trPr>
          <w:trHeight w:val="216"/>
        </w:trPr>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2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2,119</w:t>
            </w:r>
          </w:p>
        </w:tc>
      </w:tr>
      <w:tr>
        <w:trPr>
          <w:trHeight w:val="350"/>
        </w:trPr>
        <w:tc>
          <w:tcPr>
            <w:tcW w:w="2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w:t>
            </w:r>
          </w:p>
        </w:tc>
      </w:tr>
    </w:tbl>
    <w:p>
      <w:pPr>
        <w:ind w:left="2320" w:hanging="1398"/>
        <w:spacing w:after="0"/>
        <w:tabs>
          <w:tab w:leader="none" w:pos="2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207</w:t>
      </w:r>
    </w:p>
    <w:p>
      <w:pPr>
        <w:spacing w:after="0" w:line="20"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(101)</w:t>
      </w:r>
    </w:p>
    <w:p>
      <w:pPr>
        <w:spacing w:after="0" w:line="13" w:lineRule="exact"/>
        <w:rPr>
          <w:sz w:val="20"/>
          <w:szCs w:val="20"/>
          <w:color w:val="auto"/>
        </w:rPr>
      </w:pPr>
    </w:p>
    <w:p>
      <w:pPr>
        <w:ind w:left="2320" w:hanging="1473"/>
        <w:spacing w:after="0"/>
        <w:tabs>
          <w:tab w:leader="none" w:pos="2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(12)</w:t>
      </w:r>
    </w:p>
    <w:p>
      <w:pPr>
        <w:spacing w:after="0" w:line="30" w:lineRule="exact"/>
        <w:rPr>
          <w:sz w:val="20"/>
          <w:szCs w:val="20"/>
          <w:color w:val="auto"/>
        </w:rPr>
      </w:pPr>
    </w:p>
    <w:p>
      <w:pPr>
        <w:ind w:left="620"/>
        <w:spacing w:after="0"/>
        <w:tabs>
          <w:tab w:leader="none" w:pos="2080" w:val="left"/>
        </w:tabs>
        <w:rPr>
          <w:sz w:val="20"/>
          <w:szCs w:val="20"/>
          <w:color w:val="auto"/>
        </w:rPr>
      </w:pPr>
      <w:r>
        <w:rPr>
          <w:rFonts w:ascii="Arial" w:cs="Arial" w:eastAsia="Arial" w:hAnsi="Arial"/>
          <w:sz w:val="16"/>
          <w:szCs w:val="16"/>
          <w:color w:val="auto"/>
        </w:rPr>
        <w:t>(17,588)</w:t>
      </w:r>
      <w:r>
        <w:rPr>
          <w:sz w:val="20"/>
          <w:szCs w:val="20"/>
          <w:color w:val="auto"/>
        </w:rPr>
        <w:tab/>
      </w:r>
      <w:r>
        <w:rPr>
          <w:rFonts w:ascii="Arial" w:cs="Arial" w:eastAsia="Arial" w:hAnsi="Arial"/>
          <w:sz w:val="16"/>
          <w:szCs w:val="16"/>
          <w:color w:val="auto"/>
        </w:rPr>
        <w:t>(7,124)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663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ind w:left="2100" w:hanging="1253"/>
        <w:spacing w:after="0"/>
        <w:tabs>
          <w:tab w:leader="none" w:pos="2100" w:val="left"/>
        </w:tabs>
        <w:numPr>
          <w:ilvl w:val="0"/>
          <w:numId w:val="5"/>
        </w:numPr>
        <w:rPr>
          <w:rFonts w:ascii="Arial" w:cs="Arial" w:eastAsia="Arial" w:hAnsi="Arial"/>
          <w:sz w:val="16"/>
          <w:szCs w:val="16"/>
          <w:color w:val="auto"/>
        </w:rPr>
      </w:pPr>
      <w:r>
        <w:rPr>
          <w:rFonts w:ascii="Arial" w:cs="Arial" w:eastAsia="Arial" w:hAnsi="Arial"/>
          <w:sz w:val="16"/>
          <w:szCs w:val="16"/>
          <w:color w:val="auto"/>
        </w:rPr>
        <w:t>(2,407)</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(39,799)</w:t>
      </w:r>
      <w:r>
        <w:rPr>
          <w:rFonts w:ascii="Arial" w:cs="Arial" w:eastAsia="Arial" w:hAnsi="Arial"/>
          <w:sz w:val="16"/>
          <w:szCs w:val="16"/>
          <w:color w:val="auto"/>
        </w:rPr>
        <w:t>(11,363)</w:t>
      </w:r>
    </w:p>
    <w:p>
      <w:pPr>
        <w:spacing w:after="0" w:line="9"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35,065</w:t>
      </w:r>
      <w:r>
        <w:rPr>
          <w:rFonts w:ascii="Arial" w:cs="Arial" w:eastAsia="Arial" w:hAnsi="Arial"/>
          <w:sz w:val="16"/>
          <w:szCs w:val="16"/>
          <w:color w:val="auto"/>
        </w:rPr>
        <w:t>16,034</w:t>
      </w:r>
    </w:p>
    <w:p>
      <w:pPr>
        <w:spacing w:after="0" w:line="9"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24,875—</w:t>
      </w:r>
    </w:p>
    <w:p>
      <w:pPr>
        <w:spacing w:after="0" w:line="24" w:lineRule="exact"/>
        <w:rPr>
          <w:sz w:val="20"/>
          <w:szCs w:val="20"/>
          <w:color w:val="auto"/>
        </w:rPr>
      </w:pPr>
    </w:p>
    <w:p>
      <w:pPr>
        <w:ind w:left="700"/>
        <w:spacing w:after="0"/>
        <w:tabs>
          <w:tab w:leader="none" w:pos="2160" w:val="left"/>
        </w:tabs>
        <w:rPr>
          <w:sz w:val="20"/>
          <w:szCs w:val="20"/>
          <w:color w:val="auto"/>
        </w:rPr>
      </w:pPr>
      <w:r>
        <w:rPr>
          <w:rFonts w:ascii="Arial" w:cs="Arial" w:eastAsia="Arial" w:hAnsi="Arial"/>
          <w:sz w:val="17"/>
          <w:szCs w:val="17"/>
          <w:color w:val="auto"/>
        </w:rPr>
        <w:t>19,898</w:t>
      </w:r>
      <w:r>
        <w:rPr>
          <w:sz w:val="20"/>
          <w:szCs w:val="20"/>
          <w:color w:val="auto"/>
        </w:rPr>
        <w:tab/>
      </w:r>
      <w:r>
        <w:rPr>
          <w:rFonts w:ascii="Arial" w:cs="Arial" w:eastAsia="Arial" w:hAnsi="Arial"/>
          <w:sz w:val="17"/>
          <w:szCs w:val="17"/>
          <w:color w:val="auto"/>
        </w:rPr>
        <w:t>2,264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663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99" w:lineRule="exact"/>
        <w:rPr>
          <w:sz w:val="20"/>
          <w:szCs w:val="20"/>
          <w:color w:val="auto"/>
        </w:rPr>
      </w:pPr>
    </w:p>
    <w:p>
      <w:pPr>
        <w:ind w:left="2380" w:hanging="1458"/>
        <w:spacing w:after="0"/>
        <w:tabs>
          <w:tab w:leader="none" w:pos="2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ind w:left="10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34,944</w:t>
      </w:r>
    </w:p>
    <w:p>
      <w:pPr>
        <w:spacing w:after="0" w:line="1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50</w:t>
      </w:r>
    </w:p>
    <w:p>
      <w:pPr>
        <w:spacing w:after="0" w:line="21" w:lineRule="exact"/>
        <w:rPr>
          <w:sz w:val="20"/>
          <w:szCs w:val="20"/>
          <w:color w:val="auto"/>
        </w:rPr>
      </w:pPr>
    </w:p>
    <w:p>
      <w:pPr>
        <w:ind w:left="2380" w:hanging="1526"/>
        <w:spacing w:after="0"/>
        <w:tabs>
          <w:tab w:leader="none" w:pos="2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p>
    <w:p>
      <w:pPr>
        <w:ind w:left="920"/>
        <w:spacing w:after="0"/>
        <w:rPr>
          <w:rFonts w:ascii="Arial" w:cs="Arial" w:eastAsia="Arial" w:hAnsi="Arial"/>
          <w:sz w:val="18"/>
          <w:szCs w:val="18"/>
          <w:color w:val="auto"/>
        </w:rPr>
      </w:pPr>
      <w:r>
        <w:rPr>
          <w:rFonts w:ascii="Arial" w:cs="Arial" w:eastAsia="Arial" w:hAnsi="Arial"/>
          <w:sz w:val="18"/>
          <w:szCs w:val="18"/>
          <w:color w:val="auto"/>
        </w:rPr>
        <w:t>423</w:t>
      </w:r>
      <w:r>
        <w:rPr>
          <w:rFonts w:ascii="Arial" w:cs="Arial" w:eastAsia="Arial" w:hAnsi="Arial"/>
          <w:sz w:val="15"/>
          <w:szCs w:val="15"/>
          <w:color w:val="auto"/>
        </w:rPr>
        <w:t>200</w:t>
      </w:r>
    </w:p>
    <w:p>
      <w:pPr>
        <w:spacing w:after="0" w:line="7" w:lineRule="exact"/>
        <w:rPr>
          <w:sz w:val="20"/>
          <w:szCs w:val="20"/>
          <w:color w:val="auto"/>
        </w:rPr>
      </w:pPr>
    </w:p>
    <w:p>
      <w:pPr>
        <w:sectPr>
          <w:pgSz w:w="11900" w:h="16838" w:orient="portrait"/>
          <w:cols w:equalWidth="0" w:num="2">
            <w:col w:w="6120" w:space="720"/>
            <w:col w:w="2620"/>
          </w:cols>
          <w:pgMar w:left="1220" w:top="108" w:right="1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30,334</w:t>
            </w:r>
          </w:p>
        </w:tc>
        <w:tc>
          <w:tcPr>
            <w:tcW w:w="0" w:type="dxa"/>
            <w:vAlign w:val="bottom"/>
          </w:tcPr>
          <w:p>
            <w:pPr>
              <w:spacing w:after="0"/>
              <w:rPr>
                <w:sz w:val="1"/>
                <w:szCs w:val="1"/>
                <w:color w:val="auto"/>
              </w:rPr>
            </w:pP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32,423</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Change in unrealized gains (losses) on available-for-sale securities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purchased in accounts payable and accrued expenses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Financing costs not yet paid</w:t>
            </w:r>
          </w:p>
        </w:tc>
        <w:tc>
          <w:tcPr>
            <w:tcW w:w="440" w:type="dxa"/>
            <w:vAlign w:val="bottom"/>
          </w:tcPr>
          <w:p>
            <w:pPr>
              <w:spacing w:after="0"/>
              <w:rPr>
                <w:sz w:val="21"/>
                <w:szCs w:val="21"/>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4" w:lineRule="exact"/>
        <w:rPr>
          <w:sz w:val="20"/>
          <w:szCs w:val="20"/>
          <w:color w:val="auto"/>
        </w:rPr>
      </w:pPr>
    </w:p>
    <w:p>
      <w:pPr>
        <w:ind w:right="160" w:firstLine="441"/>
        <w:spacing w:after="0" w:line="224" w:lineRule="auto"/>
        <w:rPr>
          <w:sz w:val="20"/>
          <w:szCs w:val="20"/>
          <w:color w:val="auto"/>
        </w:rPr>
      </w:pPr>
      <w:r>
        <w:rPr>
          <w:rFonts w:ascii="Arial" w:cs="Arial" w:eastAsia="Arial" w:hAnsi="Arial"/>
          <w:sz w:val="18"/>
          <w:szCs w:val="18"/>
          <w:color w:val="auto"/>
        </w:rPr>
        <w:t>In this Quarterly Report on Form 10-Q (“Quarterly Report”), references to “Pulse,” “Pulse Biosciences,” “we,” “us,” “our” and the “Company” refer to Pulse Biosciences, Inc. and its wholly-owned subsidiaries, unless expressly indicated or the context otherwise requires.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44" w:lineRule="exact"/>
        <w:rPr>
          <w:sz w:val="20"/>
          <w:szCs w:val="20"/>
          <w:color w:val="auto"/>
        </w:rPr>
      </w:pPr>
    </w:p>
    <w:p>
      <w:pPr>
        <w:ind w:right="40" w:firstLine="441"/>
        <w:spacing w:after="0" w:line="234" w:lineRule="auto"/>
        <w:rPr>
          <w:sz w:val="20"/>
          <w:szCs w:val="20"/>
          <w:color w:val="auto"/>
        </w:rPr>
      </w:pPr>
      <w:r>
        <w:rPr>
          <w:rFonts w:ascii="Arial" w:cs="Arial" w:eastAsia="Arial" w:hAnsi="Arial"/>
          <w:sz w:val="16"/>
          <w:szCs w:val="16"/>
          <w:color w:val="auto"/>
        </w:rPr>
        <w:t>Pulse Biosciences, Inc. is a novel medical therapy company bringing to market its proprietary Nano-Pulse Stimulation™ (NPS™) platform. The Company’s NPS platform is a novel, precise, non-thermal, treatment technology delivering nanosecond duration energy pulses that impact cells in treated tissue while sparing acellular tissue. NPS’s unique mechanism of action disrupts the functions of internal cell structures while maintaining the outer cell membrane initiating a cascade of events within the cell that results in regulated cell death. The novel characteristics of its NPS’s unique mechanism of action has the potential to significantly benefit patients for multiple medical applications, including dermatology, the Company’s first planned commercial application. In pre-clinical studies, NPS has demonstrated an ability to induce immunogenic cell death in several cancer cell lines. The Company believes its NPS may play a role in immune-oncology as a focal tumor treatment that can initiate an adaptive immune response. The Company is currently conducting research and development activities, including clinical studies, in pursuit of commercial applications for its NPS technology, but has not yet commercialized or recognized revenue from its technology. The Company was incorporated in Nevada on May 19, 2014. On June 18, 2018, the Company reincorporated from the State of Nevada to the State of Delaware. The Company’s headquarters and research facility are located in Hayward, California.</w:t>
      </w:r>
    </w:p>
    <w:p>
      <w:pPr>
        <w:spacing w:after="0" w:line="143" w:lineRule="exact"/>
        <w:rPr>
          <w:sz w:val="20"/>
          <w:szCs w:val="20"/>
          <w:color w:val="auto"/>
        </w:rPr>
      </w:pPr>
    </w:p>
    <w:p>
      <w:pPr>
        <w:ind w:right="40" w:firstLine="441"/>
        <w:spacing w:after="0" w:line="232" w:lineRule="auto"/>
        <w:rPr>
          <w:sz w:val="20"/>
          <w:szCs w:val="20"/>
          <w:color w:val="auto"/>
        </w:rPr>
      </w:pPr>
      <w:r>
        <w:rPr>
          <w:rFonts w:ascii="Arial" w:cs="Arial" w:eastAsia="Arial" w:hAnsi="Arial"/>
          <w:sz w:val="17"/>
          <w:szCs w:val="17"/>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22" w:lineRule="exact"/>
        <w:rPr>
          <w:sz w:val="20"/>
          <w:szCs w:val="20"/>
          <w:color w:val="auto"/>
        </w:rPr>
      </w:pPr>
    </w:p>
    <w:p>
      <w:pPr>
        <w:ind w:firstLine="441"/>
        <w:spacing w:after="0" w:line="229" w:lineRule="auto"/>
        <w:rPr>
          <w:sz w:val="20"/>
          <w:szCs w:val="20"/>
          <w:color w:val="auto"/>
        </w:rPr>
      </w:pPr>
      <w:r>
        <w:rPr>
          <w:rFonts w:ascii="Arial" w:cs="Arial" w:eastAsia="Arial" w:hAnsi="Arial"/>
          <w:sz w:val="17"/>
          <w:szCs w:val="17"/>
          <w:color w:val="auto"/>
        </w:rPr>
        <w:t>The Company’s long-term success is dependent upon its ability to successfully develop, commercialize, and market its products and technologies, earn revenue, obtain additional capital when needed, and ultimately achieve profitable operations. As of September 30, 2018, the Company had cash, cash equivalents and investments of $21.0 million. During the nine months ended September 30, 2018, the Company incurred a net loss of $28.6 million, and used $17.6 million in cash for operating activities. In addition, the Company had an accumulated deficit of $66.8 million as of September 30, 2018.</w:t>
      </w:r>
    </w:p>
    <w:p>
      <w:pPr>
        <w:spacing w:after="0" w:line="121" w:lineRule="exact"/>
        <w:rPr>
          <w:sz w:val="20"/>
          <w:szCs w:val="20"/>
          <w:color w:val="auto"/>
        </w:rPr>
      </w:pPr>
    </w:p>
    <w:p>
      <w:pPr>
        <w:ind w:firstLine="486"/>
        <w:spacing w:after="0" w:line="241" w:lineRule="auto"/>
        <w:rPr>
          <w:sz w:val="20"/>
          <w:szCs w:val="20"/>
          <w:color w:val="auto"/>
        </w:rPr>
      </w:pPr>
      <w:r>
        <w:rPr>
          <w:rFonts w:ascii="Arial" w:cs="Arial" w:eastAsia="Arial" w:hAnsi="Arial"/>
          <w:sz w:val="16"/>
          <w:szCs w:val="16"/>
          <w:color w:val="auto"/>
        </w:rPr>
        <w:t>On October 26, 2018, the Company received an irrevocable commitment to provide financial support of up to $15,000,000 from Robert W. Duggan, the Company’s chairman of the Board, and the beneficial owner of approximately 35% of the Company’s common stock outstanding as of the date of this Quarterly Report. Such continuing support may take the form of purchase of equity, loans or advances to the Company. The Company believes that, based on its existing cash, cash equivalents and investments together with such continued financial support and commitment from Mr. Duggan, it has the resources to fund operations for the next twelve months from the issuance date of these unaudited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right="60" w:firstLine="441"/>
        <w:spacing w:after="0" w:line="236" w:lineRule="auto"/>
        <w:rPr>
          <w:sz w:val="20"/>
          <w:szCs w:val="20"/>
          <w:color w:val="auto"/>
        </w:rPr>
      </w:pPr>
      <w:r>
        <w:rPr>
          <w:rFonts w:ascii="Arial" w:cs="Arial" w:eastAsia="Arial" w:hAnsi="Arial"/>
          <w:sz w:val="16"/>
          <w:szCs w:val="16"/>
          <w:color w:val="auto"/>
        </w:rPr>
        <w:t>In the opinion of the Company’s management, the accompanying unaudited condensed consolidated financial statements (“Financial Statements”) have been prepared on a basis consistent with the Company’s December 31, 2017 audited Consolidated Financial Statements and include all adjustments, consisting of only normal recurring adjustments, necessary to fairly state the information set forth herein. The Financial Statements have been prepared in accordance with the applicable rules and regulations of the Securities and Exchange Commission and, as permitted by such rules and regulations, omit certain information and footnote disclosures necessary to present the financial statements in accordance with accounting principles generally accepted in the United States of America (“U.S. GAAP”). The condensed consolidated balance sheet as of December 31, 2017 was derived from the audited consolidated financial statements as of that date, but does not include all of the information and footnotes required by U.S. GAAP for complete financial statements. These Financial Statements should be read in conjunction with the audited consolidated financial statements and notes thereto included in the Company’s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right="420"/>
        <w:spacing w:after="0" w:line="224" w:lineRule="auto"/>
        <w:rPr>
          <w:sz w:val="20"/>
          <w:szCs w:val="20"/>
          <w:color w:val="auto"/>
        </w:rPr>
      </w:pPr>
      <w:r>
        <w:rPr>
          <w:rFonts w:ascii="Arial" w:cs="Arial" w:eastAsia="Arial" w:hAnsi="Arial"/>
          <w:sz w:val="18"/>
          <w:szCs w:val="18"/>
          <w:color w:val="auto"/>
        </w:rPr>
        <w:t>Annual Report on Form 10-K for the year ended December 31, 2017. The results of operations for the three- and nine-month periods ended September 30, 2018 are not necessarily indicative of the results to be expected for the entire year or any future periods.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right="40" w:firstLine="441"/>
        <w:spacing w:after="0" w:line="226" w:lineRule="auto"/>
        <w:rPr>
          <w:sz w:val="20"/>
          <w:szCs w:val="20"/>
          <w:color w:val="auto"/>
        </w:rPr>
      </w:pPr>
      <w:r>
        <w:rPr>
          <w:rFonts w:ascii="Arial" w:cs="Arial" w:eastAsia="Arial" w:hAnsi="Arial"/>
          <w:sz w:val="17"/>
          <w:szCs w:val="17"/>
          <w:color w:val="auto"/>
        </w:rPr>
        <w:t>The preparation of financial statements in conformity with U.S. GAAP requires the Company to make estimates and assumptions that affect the amounts reported in the Financial Statements and accompanying notes to the Financial Statements. Estimates include, but are not limited to, the valuation of cash equivalents and investments, the valuation and recognition of share-based compensation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58" w:lineRule="exact"/>
        <w:rPr>
          <w:sz w:val="20"/>
          <w:szCs w:val="20"/>
          <w:color w:val="auto"/>
        </w:rPr>
      </w:pPr>
    </w:p>
    <w:p>
      <w:pPr>
        <w:ind w:right="120" w:firstLine="441"/>
        <w:spacing w:after="0" w:line="224" w:lineRule="auto"/>
        <w:rPr>
          <w:sz w:val="20"/>
          <w:szCs w:val="20"/>
          <w:color w:val="auto"/>
        </w:rPr>
      </w:pPr>
      <w:r>
        <w:rPr>
          <w:rFonts w:ascii="Arial" w:cs="Arial" w:eastAsia="Arial" w:hAnsi="Arial"/>
          <w:sz w:val="18"/>
          <w:szCs w:val="18"/>
          <w:color w:val="auto"/>
        </w:rPr>
        <w:t>There have been no material changes to the Company’s significant accounting policies during the three- and nine-month periods ended September 30, 2018, as compared to the significant accounting policies described in the Company’s Annual Report on Form 10-K for the year ended December 31,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right="660" w:firstLine="441"/>
        <w:spacing w:after="0" w:line="258" w:lineRule="auto"/>
        <w:rPr>
          <w:sz w:val="20"/>
          <w:szCs w:val="20"/>
          <w:color w:val="auto"/>
        </w:rPr>
      </w:pPr>
      <w:r>
        <w:rPr>
          <w:rFonts w:ascii="Arial" w:cs="Arial" w:eastAsia="Arial" w:hAnsi="Arial"/>
          <w:sz w:val="17"/>
          <w:szCs w:val="17"/>
          <w:color w:val="auto"/>
        </w:rPr>
        <w:t>The accompanying consolidated financial statements include the financial statements of Pulse and its wholly-owned subsidiaries. Intercompany balances and transactions, if any, have been eliminated in consolidation.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ind w:right="100" w:firstLine="441"/>
        <w:spacing w:after="0" w:line="244" w:lineRule="auto"/>
        <w:rPr>
          <w:sz w:val="20"/>
          <w:szCs w:val="20"/>
          <w:color w:val="auto"/>
        </w:rPr>
      </w:pPr>
      <w:r>
        <w:rPr>
          <w:rFonts w:ascii="Arial" w:cs="Arial" w:eastAsia="Arial" w:hAnsi="Arial"/>
          <w:sz w:val="16"/>
          <w:szCs w:val="16"/>
          <w:color w:val="auto"/>
        </w:rPr>
        <w:t>The Company calculates basic net loss per share by dividing net loss by the weighted 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18"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color w:val="auto"/>
        </w:rPr>
        <w:t>Basic and diluted net loss per common share is the same for all periods presented because all warrants, stock options and restricted stock units outstanding are anti-dilutive.</w:t>
      </w:r>
    </w:p>
    <w:p>
      <w:pPr>
        <w:spacing w:after="0" w:line="135" w:lineRule="exact"/>
        <w:rPr>
          <w:sz w:val="20"/>
          <w:szCs w:val="20"/>
          <w:color w:val="auto"/>
        </w:rPr>
      </w:pPr>
    </w:p>
    <w:p>
      <w:pPr>
        <w:ind w:right="120" w:firstLine="441"/>
        <w:spacing w:after="0" w:line="258" w:lineRule="auto"/>
        <w:rPr>
          <w:sz w:val="20"/>
          <w:szCs w:val="20"/>
          <w:color w:val="auto"/>
        </w:rPr>
      </w:pPr>
      <w:r>
        <w:rPr>
          <w:rFonts w:ascii="Arial" w:cs="Arial" w:eastAsia="Arial" w:hAnsi="Arial"/>
          <w:sz w:val="17"/>
          <w:szCs w:val="17"/>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40" w:type="dxa"/>
            <w:vAlign w:val="bottom"/>
          </w:tcPr>
          <w:p>
            <w:pPr>
              <w:spacing w:after="0"/>
              <w:rPr>
                <w:sz w:val="15"/>
                <w:szCs w:val="15"/>
                <w:color w:val="auto"/>
              </w:rPr>
            </w:pPr>
          </w:p>
        </w:tc>
        <w:tc>
          <w:tcPr>
            <w:tcW w:w="262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Nine-Month Periods Ended</w:t>
            </w:r>
          </w:p>
        </w:tc>
      </w:tr>
      <w:tr>
        <w:trPr>
          <w:trHeight w:val="171"/>
        </w:trPr>
        <w:tc>
          <w:tcPr>
            <w:tcW w:w="6840" w:type="dxa"/>
            <w:vAlign w:val="bottom"/>
          </w:tcPr>
          <w:p>
            <w:pPr>
              <w:spacing w:after="0"/>
              <w:rPr>
                <w:sz w:val="14"/>
                <w:szCs w:val="14"/>
                <w:color w:val="auto"/>
              </w:rPr>
            </w:pPr>
          </w:p>
        </w:tc>
        <w:tc>
          <w:tcPr>
            <w:tcW w:w="18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September 30,</w:t>
            </w:r>
          </w:p>
        </w:tc>
        <w:tc>
          <w:tcPr>
            <w:tcW w:w="820" w:type="dxa"/>
            <w:vAlign w:val="bottom"/>
            <w:tcBorders>
              <w:bottom w:val="single" w:sz="8" w:color="auto"/>
            </w:tcBorders>
          </w:tcPr>
          <w:p>
            <w:pPr>
              <w:spacing w:after="0"/>
              <w:rPr>
                <w:sz w:val="14"/>
                <w:szCs w:val="14"/>
                <w:color w:val="auto"/>
              </w:rPr>
            </w:pPr>
          </w:p>
        </w:tc>
      </w:tr>
      <w:tr>
        <w:trPr>
          <w:trHeight w:val="169"/>
        </w:trPr>
        <w:tc>
          <w:tcPr>
            <w:tcW w:w="68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705,121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Common 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2,858,387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2,326,676</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222,606</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229,774</w:t>
            </w:r>
          </w:p>
        </w:tc>
      </w:tr>
      <w:tr>
        <w:trPr>
          <w:trHeight w:val="217"/>
        </w:trPr>
        <w:tc>
          <w:tcPr>
            <w:tcW w:w="68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3,294,478</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3,261,571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44" w:lineRule="exact"/>
        <w:rPr>
          <w:sz w:val="20"/>
          <w:szCs w:val="20"/>
          <w:color w:val="auto"/>
        </w:rPr>
      </w:pPr>
    </w:p>
    <w:p>
      <w:pPr>
        <w:ind w:right="140" w:firstLine="441"/>
        <w:spacing w:after="0" w:line="289" w:lineRule="auto"/>
        <w:rPr>
          <w:sz w:val="20"/>
          <w:szCs w:val="20"/>
          <w:color w:val="auto"/>
        </w:rPr>
      </w:pPr>
      <w:r>
        <w:rPr>
          <w:rFonts w:ascii="Arial" w:cs="Arial" w:eastAsia="Arial" w:hAnsi="Arial"/>
          <w:sz w:val="16"/>
          <w:szCs w:val="16"/>
          <w:color w:val="auto"/>
        </w:rPr>
        <w:t>Certain items in prior period financial statements have been reclassified to conform to the presentation in the current period financial statements. Such reclassifications did not impact the Company's previously reported net loss or financial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63"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 xml:space="preserve">During February 2016, the Financial Accounting Standards Board, or FASB issued Accounting Standards Update, or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amends the existing accounting standards for leases. The new standard requires lessees to record a right-of-use asset and a corresponding lease liability on the balance sheet (with the exception of short-term leases). For lessees, leases will continue to be classified as either operating or financing in the income statement. This ASU becomes effective for the Company in the first quarter of fiscal year 2019 and early adoption is permitted. This ASU 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required to be applied with a modified retrospective approach and requires application of the new standard at the beginning of the earliest comparative period presented. The Company generally does not finance purchases of equipment or other capital assets, but does lease its facilities. The adoption of ASC 842 will require the recognition of a right-of-use asset and a lease obligation for the Company’s leases (see Note 10 — Commitments and Contingencies). While the Company is still evaluating the full effect this guidance will have on its consolidated financial statements and related disclosures, the Company anticipates that recognizing right-of-use assets and operating lease liabilities will have a material impact upon adoption primarily on its consolidated balance sheets and related disclosures, and will increase total assets and liabilities.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48"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136"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23" w:lineRule="exact"/>
        <w:rPr>
          <w:sz w:val="20"/>
          <w:szCs w:val="20"/>
          <w:color w:val="auto"/>
        </w:rPr>
      </w:pPr>
    </w:p>
    <w:p>
      <w:pPr>
        <w:ind w:right="160" w:firstLine="441"/>
        <w:spacing w:after="0" w:line="224" w:lineRule="auto"/>
        <w:rPr>
          <w:sz w:val="20"/>
          <w:szCs w:val="20"/>
          <w:color w:val="auto"/>
        </w:rPr>
      </w:pPr>
      <w:r>
        <w:rPr>
          <w:rFonts w:ascii="Arial" w:cs="Arial" w:eastAsia="Arial" w:hAnsi="Arial"/>
          <w:sz w:val="18"/>
          <w:szCs w:val="18"/>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123" w:lineRule="exact"/>
        <w:rPr>
          <w:sz w:val="20"/>
          <w:szCs w:val="20"/>
          <w:color w:val="auto"/>
        </w:rPr>
      </w:pPr>
    </w:p>
    <w:p>
      <w:pPr>
        <w:ind w:right="60" w:firstLine="441"/>
        <w:spacing w:after="0" w:line="224" w:lineRule="auto"/>
        <w:rPr>
          <w:sz w:val="20"/>
          <w:szCs w:val="20"/>
          <w:color w:val="auto"/>
        </w:rPr>
      </w:pPr>
      <w:r>
        <w:rPr>
          <w:rFonts w:ascii="Arial" w:cs="Arial" w:eastAsia="Arial" w:hAnsi="Arial"/>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fair value of the Company’s financial assets measured on a recurring basis as of</w:t>
      </w:r>
    </w:p>
    <w:p>
      <w:pPr>
        <w:spacing w:after="0"/>
        <w:rPr>
          <w:sz w:val="20"/>
          <w:szCs w:val="20"/>
          <w:color w:val="auto"/>
        </w:rPr>
      </w:pPr>
      <w:r>
        <w:rPr>
          <w:rFonts w:ascii="Arial" w:cs="Arial" w:eastAsia="Arial" w:hAnsi="Arial"/>
          <w:sz w:val="18"/>
          <w:szCs w:val="18"/>
          <w:color w:val="auto"/>
        </w:rPr>
        <w:t>September 30, 2018 and December 31, 2017, respectively (in thousands):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September 30, 2018</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December 31, 2017</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2</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18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100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Cash and cash</w:t>
            </w:r>
          </w:p>
        </w:tc>
        <w:tc>
          <w:tcPr>
            <w:tcW w:w="6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ind w:left="300"/>
              <w:spacing w:after="0"/>
              <w:rPr>
                <w:sz w:val="20"/>
                <w:szCs w:val="20"/>
                <w:color w:val="auto"/>
              </w:rPr>
            </w:pPr>
            <w:r>
              <w:rPr>
                <w:rFonts w:ascii="Arial" w:cs="Arial" w:eastAsia="Arial" w:hAnsi="Arial"/>
                <w:sz w:val="14"/>
                <w:szCs w:val="14"/>
                <w:color w:val="auto"/>
                <w:w w:val="96"/>
              </w:rPr>
              <w:t>5,973</w:t>
            </w:r>
          </w:p>
        </w:tc>
        <w:tc>
          <w:tcPr>
            <w:tcW w:w="6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gridSpan w:val="4"/>
            <w:vMerge w:val="restart"/>
            <w:shd w:val="clear" w:color="auto" w:fill="CCEEFF"/>
          </w:tcPr>
          <w:p>
            <w:pPr>
              <w:ind w:left="780"/>
              <w:spacing w:after="0"/>
              <w:rPr>
                <w:sz w:val="20"/>
                <w:szCs w:val="20"/>
                <w:color w:val="auto"/>
              </w:rPr>
            </w:pPr>
            <w:r>
              <w:rPr>
                <w:rFonts w:ascii="Arial" w:cs="Arial" w:eastAsia="Arial" w:hAnsi="Arial"/>
                <w:sz w:val="14"/>
                <w:szCs w:val="14"/>
                <w:color w:val="auto"/>
              </w:rPr>
              <w:t>— $</w:t>
            </w:r>
          </w:p>
        </w:tc>
        <w:tc>
          <w:tcPr>
            <w:tcW w:w="740" w:type="dxa"/>
            <w:vAlign w:val="bottom"/>
            <w:gridSpan w:val="3"/>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5,973</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w w:val="96"/>
              </w:rPr>
              <w:t>2,758</w:t>
            </w:r>
          </w:p>
        </w:tc>
        <w:tc>
          <w:tcPr>
            <w:tcW w:w="6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c>
          <w:tcPr>
            <w:tcW w:w="720" w:type="dxa"/>
            <w:vAlign w:val="bottom"/>
            <w:gridSpan w:val="3"/>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0" w:type="dxa"/>
            <w:vAlign w:val="bottom"/>
          </w:tcPr>
          <w:p>
            <w:pPr>
              <w:spacing w:after="0"/>
              <w:rPr>
                <w:sz w:val="1"/>
                <w:szCs w:val="1"/>
                <w:color w:val="auto"/>
              </w:rPr>
            </w:pPr>
          </w:p>
        </w:tc>
      </w:tr>
      <w:tr>
        <w:trPr>
          <w:trHeight w:val="162"/>
        </w:trPr>
        <w:tc>
          <w:tcPr>
            <w:tcW w:w="1800" w:type="dxa"/>
            <w:vAlign w:val="bottom"/>
            <w:gridSpan w:val="2"/>
            <w:vMerge w:val="continue"/>
            <w:shd w:val="clear" w:color="auto" w:fill="CCEEFF"/>
          </w:tcPr>
          <w:p>
            <w:pPr>
              <w:spacing w:after="0"/>
              <w:rPr>
                <w:sz w:val="14"/>
                <w:szCs w:val="14"/>
                <w:color w:val="auto"/>
              </w:rPr>
            </w:pP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equivalents</w:t>
            </w:r>
          </w:p>
        </w:tc>
        <w:tc>
          <w:tcPr>
            <w:tcW w:w="1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80" w:type="dxa"/>
            <w:vAlign w:val="bottom"/>
            <w:gridSpan w:val="4"/>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00" w:type="dxa"/>
            <w:vAlign w:val="bottom"/>
            <w:gridSpan w:val="2"/>
          </w:tcPr>
          <w:p>
            <w:pPr>
              <w:spacing w:after="0"/>
              <w:rPr>
                <w:sz w:val="20"/>
                <w:szCs w:val="20"/>
                <w:color w:val="auto"/>
              </w:rPr>
            </w:pPr>
            <w:r>
              <w:rPr>
                <w:rFonts w:ascii="Arial" w:cs="Arial" w:eastAsia="Arial" w:hAnsi="Arial"/>
                <w:sz w:val="14"/>
                <w:szCs w:val="14"/>
                <w:color w:val="auto"/>
              </w:rPr>
              <w:t>U.S. Treasury Securities</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Investments</w:t>
            </w:r>
          </w:p>
        </w:tc>
        <w:tc>
          <w:tcPr>
            <w:tcW w:w="180" w:type="dxa"/>
            <w:vAlign w:val="bottom"/>
          </w:tcPr>
          <w:p>
            <w:pPr>
              <w:spacing w:after="0"/>
              <w:rPr>
                <w:sz w:val="15"/>
                <w:szCs w:val="15"/>
                <w:color w:val="auto"/>
              </w:rPr>
            </w:pPr>
          </w:p>
        </w:tc>
        <w:tc>
          <w:tcPr>
            <w:tcW w:w="7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ind w:left="500"/>
              <w:spacing w:after="0"/>
              <w:rPr>
                <w:sz w:val="20"/>
                <w:szCs w:val="20"/>
                <w:color w:val="auto"/>
              </w:rPr>
            </w:pPr>
            <w:r>
              <w:rPr>
                <w:rFonts w:ascii="Arial" w:cs="Arial" w:eastAsia="Arial" w:hAnsi="Arial"/>
                <w:sz w:val="14"/>
                <w:szCs w:val="14"/>
                <w:color w:val="auto"/>
                <w:w w:val="93"/>
              </w:rPr>
              <w:t>14,690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14,690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Investments</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w:t>
            </w:r>
          </w:p>
        </w:tc>
        <w:tc>
          <w:tcPr>
            <w:tcW w:w="0" w:type="dxa"/>
            <w:vAlign w:val="bottom"/>
          </w:tcPr>
          <w:p>
            <w:pPr>
              <w:spacing w:after="0"/>
              <w:rPr>
                <w:sz w:val="1"/>
                <w:szCs w:val="1"/>
                <w:color w:val="auto"/>
              </w:rPr>
            </w:pPr>
          </w:p>
        </w:tc>
      </w:tr>
      <w:tr>
        <w:trPr>
          <w:trHeight w:val="176"/>
        </w:trPr>
        <w:tc>
          <w:tcPr>
            <w:tcW w:w="180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Investments</w:t>
            </w:r>
          </w:p>
        </w:tc>
        <w:tc>
          <w:tcPr>
            <w:tcW w:w="180" w:type="dxa"/>
            <w:vAlign w:val="bottom"/>
          </w:tcPr>
          <w:p>
            <w:pPr>
              <w:spacing w:after="0"/>
              <w:rPr>
                <w:sz w:val="15"/>
                <w:szCs w:val="15"/>
                <w:color w:val="auto"/>
              </w:rPr>
            </w:pPr>
          </w:p>
        </w:tc>
        <w:tc>
          <w:tcPr>
            <w:tcW w:w="7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19,491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19,491</w:t>
            </w:r>
          </w:p>
        </w:tc>
        <w:tc>
          <w:tcPr>
            <w:tcW w:w="0" w:type="dxa"/>
            <w:vAlign w:val="bottom"/>
          </w:tcPr>
          <w:p>
            <w:pPr>
              <w:spacing w:after="0"/>
              <w:rPr>
                <w:sz w:val="1"/>
                <w:szCs w:val="1"/>
                <w:color w:val="auto"/>
              </w:rPr>
            </w:pPr>
          </w:p>
        </w:tc>
      </w:tr>
      <w:tr>
        <w:trPr>
          <w:trHeight w:val="176"/>
        </w:trPr>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Investments</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7,982</w:t>
            </w: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spacing w:after="0" w:line="108" w:lineRule="exact"/>
              <w:rPr>
                <w:sz w:val="20"/>
                <w:szCs w:val="20"/>
                <w:color w:val="auto"/>
              </w:rPr>
            </w:pPr>
            <w:r>
              <w:rPr>
                <w:rFonts w:ascii="Arial" w:cs="Arial" w:eastAsia="Arial" w:hAnsi="Arial"/>
                <w:sz w:val="12"/>
                <w:szCs w:val="12"/>
                <w:color w:val="auto"/>
              </w:rPr>
              <w:t>Total assets measured</w:t>
            </w: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ind w:left="300"/>
              <w:spacing w:after="0"/>
              <w:rPr>
                <w:sz w:val="20"/>
                <w:szCs w:val="20"/>
                <w:color w:val="auto"/>
              </w:rPr>
            </w:pPr>
            <w:r>
              <w:rPr>
                <w:rFonts w:ascii="Arial" w:cs="Arial" w:eastAsia="Arial" w:hAnsi="Arial"/>
                <w:sz w:val="14"/>
                <w:szCs w:val="14"/>
                <w:color w:val="auto"/>
                <w:w w:val="96"/>
              </w:rPr>
              <w:t>5,973</w:t>
            </w:r>
          </w:p>
        </w:tc>
        <w:tc>
          <w:tcPr>
            <w:tcW w:w="60" w:type="dxa"/>
            <w:vAlign w:val="bottom"/>
          </w:tcPr>
          <w:p>
            <w:pPr>
              <w:spacing w:after="0"/>
              <w:rPr>
                <w:sz w:val="7"/>
                <w:szCs w:val="7"/>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ind w:left="500"/>
              <w:spacing w:after="0"/>
              <w:rPr>
                <w:sz w:val="20"/>
                <w:szCs w:val="20"/>
                <w:color w:val="auto"/>
              </w:rPr>
            </w:pPr>
            <w:r>
              <w:rPr>
                <w:rFonts w:ascii="Arial" w:cs="Arial" w:eastAsia="Arial" w:hAnsi="Arial"/>
                <w:sz w:val="14"/>
                <w:szCs w:val="14"/>
                <w:color w:val="auto"/>
                <w:w w:val="93"/>
              </w:rPr>
              <w:t>14,690</w:t>
            </w: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3"/>
            <w:vMerge w:val="restart"/>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20,663</w:t>
            </w:r>
          </w:p>
        </w:tc>
        <w:tc>
          <w:tcPr>
            <w:tcW w:w="8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ind w:left="200"/>
              <w:spacing w:after="0"/>
              <w:rPr>
                <w:sz w:val="20"/>
                <w:szCs w:val="20"/>
                <w:color w:val="auto"/>
              </w:rPr>
            </w:pPr>
            <w:r>
              <w:rPr>
                <w:rFonts w:ascii="Arial" w:cs="Arial" w:eastAsia="Arial" w:hAnsi="Arial"/>
                <w:sz w:val="14"/>
                <w:szCs w:val="14"/>
                <w:color w:val="auto"/>
                <w:w w:val="96"/>
              </w:rPr>
              <w:t>2,758</w:t>
            </w:r>
          </w:p>
        </w:tc>
        <w:tc>
          <w:tcPr>
            <w:tcW w:w="6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34,683</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3"/>
            <w:vMerge w:val="restart"/>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37,441</w:t>
            </w:r>
          </w:p>
        </w:tc>
        <w:tc>
          <w:tcPr>
            <w:tcW w:w="0" w:type="dxa"/>
            <w:vAlign w:val="bottom"/>
          </w:tcPr>
          <w:p>
            <w:pPr>
              <w:spacing w:after="0"/>
              <w:rPr>
                <w:sz w:val="1"/>
                <w:szCs w:val="1"/>
                <w:color w:val="auto"/>
              </w:rPr>
            </w:pPr>
          </w:p>
        </w:tc>
      </w:tr>
      <w:tr>
        <w:trPr>
          <w:trHeight w:val="149"/>
        </w:trPr>
        <w:tc>
          <w:tcPr>
            <w:tcW w:w="18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at fair value</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did not have any financial liabilities measured on a recurring basis as of September 30, 2018 or December 31,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28"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During the nine-month period ended September 30, 2018, there were no transfers between Level 1, Level 2 or Level 3 assets or liabilities reported at fair value on a recurring basis and the valuation techniques used did not change compared to the Company’s established practice.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0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Laboratory equipment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17"/>
        </w:trPr>
        <w:tc>
          <w:tcPr>
            <w:tcW w:w="6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r>
    </w:tbl>
    <w:p>
      <w:pPr>
        <w:spacing w:after="0" w:line="148" w:lineRule="exact"/>
        <w:rPr>
          <w:sz w:val="20"/>
          <w:szCs w:val="20"/>
          <w:color w:val="auto"/>
        </w:rPr>
      </w:pPr>
    </w:p>
    <w:p>
      <w:pPr>
        <w:jc w:val="both"/>
        <w:ind w:right="240" w:firstLine="441"/>
        <w:spacing w:after="0" w:line="224" w:lineRule="auto"/>
        <w:rPr>
          <w:sz w:val="20"/>
          <w:szCs w:val="20"/>
          <w:color w:val="auto"/>
        </w:rPr>
      </w:pPr>
      <w:r>
        <w:rPr>
          <w:rFonts w:ascii="Arial" w:cs="Arial" w:eastAsia="Arial" w:hAnsi="Arial"/>
          <w:sz w:val="18"/>
          <w:szCs w:val="18"/>
          <w:color w:val="auto"/>
        </w:rPr>
        <w:t>Depreciation expense was $0.2 million and $0.1 million for the three-month periods ended September 30, 2018 and 2017, respectively. Depreciation expense was $0.5 million and $0.2 million for the nine-month periods ended September 30, 2018 and 2017,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62" w:lineRule="exact"/>
        <w:rPr>
          <w:sz w:val="20"/>
          <w:szCs w:val="20"/>
          <w:color w:val="auto"/>
        </w:rPr>
      </w:pPr>
    </w:p>
    <w:p>
      <w:pPr>
        <w:ind w:right="20" w:firstLine="441"/>
        <w:spacing w:after="0" w:line="244" w:lineRule="auto"/>
        <w:rPr>
          <w:sz w:val="20"/>
          <w:szCs w:val="20"/>
          <w:color w:val="auto"/>
        </w:rPr>
      </w:pPr>
      <w:r>
        <w:rPr>
          <w:rFonts w:ascii="Arial" w:cs="Arial" w:eastAsia="Arial" w:hAnsi="Arial"/>
          <w:sz w:val="16"/>
          <w:szCs w:val="16"/>
          <w:color w:val="auto"/>
        </w:rPr>
        <w:t>Intangible assets primarily consist of a license to utilize certain patents, know-how and technology relating to the Company’s NPS for biomedical applications acquired from Old Dominion University Research Foundation,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5"/>
                <w:szCs w:val="15"/>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Acquired patents and licenses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3"/>
              </w:rPr>
              <w:t>7,985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7,985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18"/>
                <w:szCs w:val="18"/>
                <w:color w:val="auto"/>
              </w:rPr>
            </w:pPr>
          </w:p>
        </w:tc>
        <w:tc>
          <w:tcPr>
            <w:tcW w:w="1240" w:type="dxa"/>
            <w:vAlign w:val="bottom"/>
            <w:gridSpan w:val="2"/>
          </w:tcPr>
          <w:p>
            <w:pPr>
              <w:jc w:val="center"/>
              <w:ind w:left="357"/>
              <w:spacing w:after="0"/>
              <w:rPr>
                <w:sz w:val="20"/>
                <w:szCs w:val="20"/>
                <w:color w:val="auto"/>
              </w:rPr>
            </w:pPr>
            <w:r>
              <w:rPr>
                <w:rFonts w:ascii="Arial" w:cs="Arial" w:eastAsia="Arial" w:hAnsi="Arial"/>
                <w:sz w:val="18"/>
                <w:szCs w:val="18"/>
                <w:color w:val="auto"/>
                <w:w w:val="91"/>
              </w:rPr>
              <w:t>(2,606)</w:t>
            </w:r>
          </w:p>
        </w:tc>
        <w:tc>
          <w:tcPr>
            <w:tcW w:w="160" w:type="dxa"/>
            <w:vAlign w:val="bottom"/>
          </w:tcPr>
          <w:p>
            <w:pPr>
              <w:spacing w:after="0"/>
              <w:rPr>
                <w:sz w:val="18"/>
                <w:szCs w:val="18"/>
                <w:color w:val="auto"/>
              </w:rPr>
            </w:pPr>
          </w:p>
        </w:tc>
        <w:tc>
          <w:tcPr>
            <w:tcW w:w="1080" w:type="dxa"/>
            <w:vAlign w:val="bottom"/>
          </w:tcPr>
          <w:p>
            <w:pPr>
              <w:jc w:val="center"/>
              <w:ind w:left="477"/>
              <w:spacing w:after="0"/>
              <w:rPr>
                <w:sz w:val="20"/>
                <w:szCs w:val="20"/>
                <w:color w:val="auto"/>
              </w:rPr>
            </w:pPr>
            <w:r>
              <w:rPr>
                <w:rFonts w:ascii="Arial" w:cs="Arial" w:eastAsia="Arial" w:hAnsi="Arial"/>
                <w:sz w:val="18"/>
                <w:szCs w:val="18"/>
                <w:color w:val="auto"/>
                <w:w w:val="91"/>
              </w:rPr>
              <w:t>(2,107)</w:t>
            </w:r>
          </w:p>
        </w:tc>
      </w:tr>
      <w:tr>
        <w:trPr>
          <w:trHeight w:val="217"/>
        </w:trPr>
        <w:tc>
          <w:tcPr>
            <w:tcW w:w="68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93"/>
              </w:rPr>
              <w:t>5,379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88"/>
              </w:rPr>
              <w:t>5,878</w:t>
            </w:r>
          </w:p>
        </w:tc>
      </w:tr>
    </w:tbl>
    <w:p>
      <w:pPr>
        <w:spacing w:after="0" w:line="148" w:lineRule="exact"/>
        <w:rPr>
          <w:sz w:val="20"/>
          <w:szCs w:val="20"/>
          <w:color w:val="auto"/>
        </w:rPr>
      </w:pPr>
    </w:p>
    <w:p>
      <w:pPr>
        <w:ind w:right="580" w:firstLine="441"/>
        <w:spacing w:after="0" w:line="235" w:lineRule="auto"/>
        <w:rPr>
          <w:sz w:val="20"/>
          <w:szCs w:val="20"/>
          <w:color w:val="auto"/>
        </w:rPr>
      </w:pPr>
      <w:r>
        <w:rPr>
          <w:rFonts w:ascii="Arial" w:cs="Arial" w:eastAsia="Arial" w:hAnsi="Arial"/>
          <w:sz w:val="18"/>
          <w:szCs w:val="18"/>
          <w:color w:val="auto"/>
        </w:rPr>
        <w:t>A schedule of the amortization of intangible assets for the remainder of 2018 and the succeeding five fiscal years and thereafter is as follows (in thousands):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2018 (remaining 3 months)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17"/>
        </w:trPr>
        <w:tc>
          <w:tcPr>
            <w:tcW w:w="82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48" w:lineRule="exact"/>
        <w:rPr>
          <w:sz w:val="20"/>
          <w:szCs w:val="20"/>
          <w:color w:val="auto"/>
        </w:rPr>
      </w:pPr>
    </w:p>
    <w:p>
      <w:pPr>
        <w:ind w:right="160" w:firstLine="441"/>
        <w:spacing w:after="0" w:line="259" w:lineRule="auto"/>
        <w:rPr>
          <w:sz w:val="20"/>
          <w:szCs w:val="20"/>
          <w:color w:val="auto"/>
        </w:rPr>
      </w:pPr>
      <w:r>
        <w:rPr>
          <w:rFonts w:ascii="Arial" w:cs="Arial" w:eastAsia="Arial" w:hAnsi="Arial"/>
          <w:sz w:val="16"/>
          <w:szCs w:val="16"/>
          <w:color w:val="auto"/>
        </w:rPr>
        <w:t xml:space="preserve">In 2014, the Company acquired three companies (the “acquisitions”) for aggregate consideration of $5.5 million.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recorded goodwill of $2.8 million in connection with the acquisitions as the consideration paid exceeded the fair value of the net tangible assets and the intangible assets acquired.</w:t>
      </w:r>
    </w:p>
    <w:p>
      <w:pPr>
        <w:spacing w:after="0" w:line="120" w:lineRule="exact"/>
        <w:rPr>
          <w:sz w:val="20"/>
          <w:szCs w:val="20"/>
          <w:color w:val="auto"/>
        </w:rPr>
      </w:pPr>
    </w:p>
    <w:p>
      <w:pPr>
        <w:ind w:right="140" w:firstLine="441"/>
        <w:spacing w:after="0" w:line="219" w:lineRule="auto"/>
        <w:rPr>
          <w:sz w:val="20"/>
          <w:szCs w:val="20"/>
          <w:color w:val="auto"/>
        </w:rPr>
      </w:pPr>
      <w:r>
        <w:rPr>
          <w:rFonts w:ascii="Arial" w:cs="Arial" w:eastAsia="Arial" w:hAnsi="Arial"/>
          <w:sz w:val="18"/>
          <w:szCs w:val="18"/>
          <w:color w:val="auto"/>
        </w:rPr>
        <w:t>The Company reviews goodwill for impairment at least annually or whenever changes in circumstances indicate that the carrying amount of goodwill may not be recoverable. Based on the Company’s annual impairment test as of December 31, 2017 the Company determined that no impairment of goodwill existed and was not aware of any indicators of impairment at such date. In addition, there were no indicators of impairment at September 30, 2018.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0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Accrued clinical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7"/>
        </w:trPr>
        <w:tc>
          <w:tcPr>
            <w:tcW w:w="6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158" w:lineRule="exact"/>
        <w:rPr>
          <w:sz w:val="20"/>
          <w:szCs w:val="20"/>
          <w:color w:val="auto"/>
        </w:rPr>
      </w:pPr>
    </w:p>
    <w:p>
      <w:pPr>
        <w:ind w:right="80" w:firstLine="441"/>
        <w:spacing w:after="0" w:line="224" w:lineRule="auto"/>
        <w:rPr>
          <w:sz w:val="20"/>
          <w:szCs w:val="20"/>
          <w:color w:val="auto"/>
        </w:rPr>
      </w:pPr>
      <w:r>
        <w:rPr>
          <w:rFonts w:ascii="Arial" w:cs="Arial" w:eastAsia="Arial" w:hAnsi="Arial"/>
          <w:sz w:val="18"/>
          <w:szCs w:val="18"/>
          <w:color w:val="auto"/>
        </w:rPr>
        <w:t>In February 2017, the Company entered into a securities purchase agreement, pursuant to which the Company, in a private placement, issued and sold an aggregate of 819,673 shares of the Company’s common stock, par value $0.001 per share, at a price per share of $6.10, for net proceeds of approximately $5.0 million.</w:t>
      </w:r>
    </w:p>
    <w:p>
      <w:pPr>
        <w:spacing w:after="0" w:line="123" w:lineRule="exact"/>
        <w:rPr>
          <w:sz w:val="20"/>
          <w:szCs w:val="20"/>
          <w:color w:val="auto"/>
        </w:rPr>
      </w:pPr>
    </w:p>
    <w:p>
      <w:pPr>
        <w:ind w:right="40" w:firstLine="441"/>
        <w:spacing w:after="0" w:line="238" w:lineRule="auto"/>
        <w:rPr>
          <w:sz w:val="20"/>
          <w:szCs w:val="20"/>
          <w:color w:val="auto"/>
        </w:rPr>
      </w:pPr>
      <w:r>
        <w:rPr>
          <w:rFonts w:ascii="Arial" w:cs="Arial" w:eastAsia="Arial" w:hAnsi="Arial"/>
          <w:sz w:val="17"/>
          <w:szCs w:val="17"/>
          <w:color w:val="auto"/>
        </w:rPr>
        <w:t>In September 2017, the Company entered into a securities purchase agreement with an existing investor, pursuant to which the Company, in a private placement, issued and sold an aggregate of 2,000,000 shares of the Company’s common stock, par value $0.001 per share, at a price per share of $15.02, for net proceeds of approximately $29.9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ind w:right="60" w:firstLine="441"/>
        <w:spacing w:after="0" w:line="239" w:lineRule="auto"/>
        <w:rPr>
          <w:sz w:val="20"/>
          <w:szCs w:val="20"/>
          <w:color w:val="auto"/>
        </w:rPr>
      </w:pPr>
      <w:r>
        <w:rPr>
          <w:rFonts w:ascii="Arial" w:cs="Arial" w:eastAsia="Arial" w:hAnsi="Arial"/>
          <w:sz w:val="16"/>
          <w:szCs w:val="16"/>
          <w:color w:val="auto"/>
        </w:rPr>
        <w:t>In connection with a private placement offering of shares of the Company’s common stock, par value $0.001 per share in 2014, the Company issued warrants as compensation to the placement agent to purchase a total of 299,625 shares of its common stock at a price of $2.67 per share (the “Private Placement Warrants”). The Private Placement Warrants are exercisable for period of seven years. As of September 30, 2018, a total of 91,876 Private Placement Warrants remained outstanding. In connection with the closing of the Company’s initial public offering in 2016, the Company issued warrants as compensation to its underwriters to purchase a total of 574,985 shares of its common stock at a price of $5.00 per share (the “IPO Warrants”). The IPO Warrants are exercisable for a period of five years. As of September 30, 2018, a total of 121,609 IPO Warrants remained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 and 2017 Inducement Equity Incentive Plan</w:t>
      </w:r>
    </w:p>
    <w:p>
      <w:pPr>
        <w:spacing w:after="0" w:line="158" w:lineRule="exact"/>
        <w:rPr>
          <w:sz w:val="20"/>
          <w:szCs w:val="20"/>
          <w:color w:val="auto"/>
        </w:rPr>
      </w:pPr>
    </w:p>
    <w:p>
      <w:pPr>
        <w:ind w:right="240" w:firstLine="441"/>
        <w:spacing w:after="0" w:line="235" w:lineRule="auto"/>
        <w:rPr>
          <w:sz w:val="20"/>
          <w:szCs w:val="20"/>
          <w:color w:val="auto"/>
        </w:rPr>
      </w:pPr>
      <w:r>
        <w:rPr>
          <w:rFonts w:ascii="Arial" w:cs="Arial" w:eastAsia="Arial" w:hAnsi="Arial"/>
          <w:sz w:val="18"/>
          <w:szCs w:val="18"/>
          <w:color w:val="auto"/>
        </w:rPr>
        <w:t>The Board of Directors of the Company (the “Board”) previously adopted, and the Company’s stockholders approved, the Company’s 2017 Equity Incentive Plan (the “2017 Plan”).</w:t>
      </w:r>
    </w:p>
    <w:p>
      <w:pPr>
        <w:spacing w:after="0" w:line="121" w:lineRule="exact"/>
        <w:rPr>
          <w:sz w:val="20"/>
          <w:szCs w:val="20"/>
          <w:color w:val="auto"/>
        </w:rPr>
      </w:pPr>
    </w:p>
    <w:p>
      <w:pPr>
        <w:ind w:right="40" w:firstLine="441"/>
        <w:spacing w:after="0" w:line="234" w:lineRule="auto"/>
        <w:rPr>
          <w:sz w:val="20"/>
          <w:szCs w:val="20"/>
          <w:color w:val="auto"/>
        </w:rPr>
      </w:pPr>
      <w:r>
        <w:rPr>
          <w:rFonts w:ascii="Arial" w:cs="Arial" w:eastAsia="Arial" w:hAnsi="Arial"/>
          <w:sz w:val="16"/>
          <w:szCs w:val="16"/>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2018, the number of shares of common stock available under the 2017 Plan increased by 672,915 shares pursuant to the evergreen provision of the 2017 Plan. Pursuant to the 2017 Plan, the 2018 share increase is determined based on the least of (i) 1,200,000 shares, (ii) 4% of the Company’s common stock outstanding at December 31 of the immediately preceding year, or (iii) such number of shares as determined by the Board. As of September 30, 2018, 680,061 shares of common stock remained available for issuance under the 2017 Plan.</w:t>
      </w:r>
    </w:p>
    <w:p>
      <w:pPr>
        <w:spacing w:after="0" w:line="126" w:lineRule="exact"/>
        <w:rPr>
          <w:sz w:val="20"/>
          <w:szCs w:val="20"/>
          <w:color w:val="auto"/>
        </w:rPr>
      </w:pPr>
    </w:p>
    <w:p>
      <w:pPr>
        <w:jc w:val="center"/>
        <w:ind w:right="180"/>
        <w:spacing w:after="0" w:line="481" w:lineRule="auto"/>
        <w:rPr>
          <w:sz w:val="20"/>
          <w:szCs w:val="20"/>
          <w:color w:val="auto"/>
        </w:rPr>
      </w:pPr>
      <w:r>
        <w:rPr>
          <w:rFonts w:ascii="Arial" w:cs="Arial" w:eastAsia="Arial" w:hAnsi="Arial"/>
          <w:sz w:val="18"/>
          <w:szCs w:val="18"/>
          <w:color w:val="auto"/>
        </w:rPr>
        <w:t>During November 2017, the Board adopted the 2017 Inducement Equity Incentive Plan (the “Inducement Plan”)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-92710</wp:posOffset>
            </wp:positionV>
            <wp:extent cx="605409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reserved 1,000,000 shares of the Company’s common stock for issuance pursuant to equity awards granted under the Inducement Plan. The Inducement Plan was adopted without stockholder approval.</w:t>
      </w:r>
    </w:p>
    <w:p>
      <w:pPr>
        <w:spacing w:after="0" w:line="135" w:lineRule="exact"/>
        <w:rPr>
          <w:sz w:val="20"/>
          <w:szCs w:val="20"/>
          <w:color w:val="auto"/>
        </w:rPr>
      </w:pPr>
    </w:p>
    <w:p>
      <w:pPr>
        <w:ind w:right="120" w:firstLine="441"/>
        <w:spacing w:after="0" w:line="223" w:lineRule="auto"/>
        <w:rPr>
          <w:sz w:val="20"/>
          <w:szCs w:val="20"/>
          <w:color w:val="auto"/>
        </w:rPr>
      </w:pPr>
      <w:r>
        <w:rPr>
          <w:rFonts w:ascii="Arial" w:cs="Arial" w:eastAsia="Arial" w:hAnsi="Arial"/>
          <w:sz w:val="17"/>
          <w:szCs w:val="17"/>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upon the first anniversary of the grant and 1/48th monthly thereafter, over the subsequent 36 months. Equity-based awards issued under the Inducement Plan are only issuable to individuals not previously engaged as employees or non-employee directors of the Company prior to the Inducement Plan’s adoption date. As of September 30, 2018, 377,500 shares of common stock remained available for issuance under the Inducement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44" w:lineRule="exact"/>
        <w:rPr>
          <w:sz w:val="20"/>
          <w:szCs w:val="20"/>
          <w:color w:val="auto"/>
        </w:rPr>
      </w:pPr>
    </w:p>
    <w:p>
      <w:pPr>
        <w:ind w:right="440" w:firstLine="441"/>
        <w:spacing w:after="0" w:line="235" w:lineRule="auto"/>
        <w:rPr>
          <w:sz w:val="20"/>
          <w:szCs w:val="20"/>
          <w:color w:val="auto"/>
        </w:rPr>
      </w:pPr>
      <w:r>
        <w:rPr>
          <w:rFonts w:ascii="Arial" w:cs="Arial" w:eastAsia="Arial" w:hAnsi="Arial"/>
          <w:sz w:val="18"/>
          <w:szCs w:val="18"/>
          <w:color w:val="auto"/>
        </w:rPr>
        <w:t>The Board previously adopted and the stockholders approved the Company’s 2017 Employee Stock Purchase Plan (the “2017 ESPP”).</w:t>
      </w:r>
    </w:p>
    <w:p>
      <w:pPr>
        <w:spacing w:after="0" w:line="135"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Effective January 1, 2018, the number of shares of common stock available under the 2017 ESPP increased by 252,343 shares pursuant to the evergreen provision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During the nine-month period ended September 30, 2018, the Company issued 23,869 shares of common stock under the 2017 ESPP. As of September 30, 2018, 478,474 shares of common stock remained available for issuance under the 2017 ESPP.</w:t>
      </w:r>
    </w:p>
    <w:p>
      <w:pPr>
        <w:spacing w:after="0" w:line="122" w:lineRule="exact"/>
        <w:rPr>
          <w:sz w:val="20"/>
          <w:szCs w:val="20"/>
          <w:color w:val="auto"/>
        </w:rPr>
      </w:pPr>
    </w:p>
    <w:p>
      <w:pPr>
        <w:ind w:right="620" w:firstLine="441"/>
        <w:spacing w:after="0" w:line="235"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summary of stock option activity under the 2015 Plan, 2017 Plan and Inducement Plan for the nine-months ended September 30, 2018 is presented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80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Stock Options Outstanding</w:t>
            </w:r>
          </w:p>
        </w:tc>
        <w:tc>
          <w:tcPr>
            <w:tcW w:w="1040" w:type="dxa"/>
            <w:vAlign w:val="bottom"/>
            <w:tcBorders>
              <w:bottom w:val="single" w:sz="8" w:color="auto"/>
            </w:tcBorders>
          </w:tcPr>
          <w:p>
            <w:pPr>
              <w:spacing w:after="0"/>
              <w:rPr>
                <w:sz w:val="14"/>
                <w:szCs w:val="14"/>
                <w:color w:val="auto"/>
              </w:rPr>
            </w:pPr>
          </w:p>
        </w:tc>
      </w:tr>
      <w:tr>
        <w:trPr>
          <w:trHeight w:val="173"/>
        </w:trPr>
        <w:tc>
          <w:tcPr>
            <w:tcW w:w="5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Weighted</w:t>
            </w:r>
          </w:p>
        </w:tc>
      </w:tr>
      <w:tr>
        <w:trPr>
          <w:trHeight w:val="176"/>
        </w:trPr>
        <w:tc>
          <w:tcPr>
            <w:tcW w:w="5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90"/>
              </w:rPr>
              <w:t>average</w:t>
            </w:r>
          </w:p>
        </w:tc>
      </w:tr>
      <w:tr>
        <w:trPr>
          <w:trHeight w:val="176"/>
        </w:trPr>
        <w:tc>
          <w:tcPr>
            <w:tcW w:w="5620" w:type="dxa"/>
            <w:vAlign w:val="bottom"/>
          </w:tcPr>
          <w:p>
            <w:pPr>
              <w:spacing w:after="0"/>
              <w:rPr>
                <w:sz w:val="15"/>
                <w:szCs w:val="15"/>
                <w:color w:val="auto"/>
              </w:rPr>
            </w:pPr>
          </w:p>
        </w:tc>
        <w:tc>
          <w:tcPr>
            <w:tcW w:w="132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average</w:t>
            </w:r>
          </w:p>
        </w:tc>
        <w:tc>
          <w:tcPr>
            <w:tcW w:w="104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remaining life</w:t>
            </w:r>
          </w:p>
        </w:tc>
      </w:tr>
      <w:tr>
        <w:trPr>
          <w:trHeight w:val="171"/>
        </w:trPr>
        <w:tc>
          <w:tcPr>
            <w:tcW w:w="5620" w:type="dxa"/>
            <w:vAlign w:val="bottom"/>
          </w:tcPr>
          <w:p>
            <w:pPr>
              <w:spacing w:after="0"/>
              <w:rPr>
                <w:sz w:val="14"/>
                <w:szCs w:val="14"/>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exercise price</w:t>
            </w:r>
          </w:p>
        </w:tc>
        <w:tc>
          <w:tcPr>
            <w:tcW w:w="104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(in years)</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 December 31, 2017</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2,598,659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Options 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417,000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(116,308)</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Options canceled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(40,964)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76"/>
        </w:trPr>
        <w:tc>
          <w:tcPr>
            <w:tcW w:w="5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Options expired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7"/>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 September 30, 2018</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2,858,387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 September 30, 2018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1,206,460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bl>
    <w:p>
      <w:pPr>
        <w:spacing w:after="0" w:line="148" w:lineRule="exact"/>
        <w:rPr>
          <w:sz w:val="20"/>
          <w:szCs w:val="20"/>
          <w:color w:val="auto"/>
        </w:rPr>
      </w:pPr>
    </w:p>
    <w:p>
      <w:pPr>
        <w:ind w:right="240" w:firstLine="441"/>
        <w:spacing w:after="0" w:line="235" w:lineRule="auto"/>
        <w:rPr>
          <w:sz w:val="20"/>
          <w:szCs w:val="20"/>
          <w:color w:val="auto"/>
        </w:rPr>
      </w:pPr>
      <w:r>
        <w:rPr>
          <w:rFonts w:ascii="Arial" w:cs="Arial" w:eastAsia="Arial" w:hAnsi="Arial"/>
          <w:sz w:val="18"/>
          <w:szCs w:val="18"/>
          <w:color w:val="auto"/>
        </w:rPr>
        <w:t>The table above excludes 192,500 performance stock options granted during the nine-months period ended September 30, 2018 for which the performance criteria had not been established as of September 30, 2018.</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stock-based compensation expense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20" w:type="dxa"/>
            <w:vAlign w:val="bottom"/>
            <w:gridSpan w:val="5"/>
          </w:tcPr>
          <w:p>
            <w:pPr>
              <w:jc w:val="right"/>
              <w:ind w:right="334"/>
              <w:spacing w:after="0"/>
              <w:rPr>
                <w:sz w:val="20"/>
                <w:szCs w:val="20"/>
                <w:color w:val="auto"/>
              </w:rPr>
            </w:pPr>
            <w:r>
              <w:rPr>
                <w:rFonts w:ascii="Arial" w:cs="Arial" w:eastAsia="Arial" w:hAnsi="Arial"/>
                <w:sz w:val="14"/>
                <w:szCs w:val="14"/>
                <w:b w:val="1"/>
                <w:bCs w:val="1"/>
                <w:color w:val="auto"/>
              </w:rPr>
              <w:t>Three-Month Periods Ended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Nine-Month Periods Ended</w:t>
            </w:r>
          </w:p>
        </w:tc>
      </w:tr>
      <w:tr>
        <w:trPr>
          <w:trHeight w:val="215"/>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183"/>
        </w:trPr>
        <w:tc>
          <w:tcPr>
            <w:tcW w:w="36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2,483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r>
      <w:tr>
        <w:trPr>
          <w:trHeight w:val="23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r>
      <w:tr>
        <w:trPr>
          <w:trHeight w:val="21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3,393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r>
      <w:tr>
        <w:trPr>
          <w:trHeight w:val="27"/>
        </w:trPr>
        <w:tc>
          <w:tcPr>
            <w:tcW w:w="3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80" w:firstLine="441"/>
        <w:spacing w:after="0" w:line="244" w:lineRule="auto"/>
        <w:rPr>
          <w:sz w:val="20"/>
          <w:szCs w:val="20"/>
          <w:color w:val="auto"/>
        </w:rPr>
      </w:pPr>
      <w:r>
        <w:rPr>
          <w:rFonts w:ascii="Arial" w:cs="Arial" w:eastAsia="Arial" w:hAnsi="Arial"/>
          <w:sz w:val="16"/>
          <w:szCs w:val="16"/>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Three-Month Periods Ended</w:t>
            </w: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Nine-Month Periods Ended</w:t>
            </w:r>
          </w:p>
        </w:tc>
      </w:tr>
      <w:tr>
        <w:trPr>
          <w:trHeight w:val="162"/>
        </w:trPr>
        <w:tc>
          <w:tcPr>
            <w:tcW w:w="4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1"/>
              </w:rPr>
              <w:t>September 30,</w:t>
            </w: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4200" w:type="dxa"/>
            <w:vAlign w:val="bottom"/>
          </w:tcPr>
          <w:p>
            <w:pPr>
              <w:spacing w:after="0"/>
              <w:rPr>
                <w:sz w:val="14"/>
                <w:szCs w:val="14"/>
                <w:color w:val="auto"/>
              </w:rPr>
            </w:pPr>
          </w:p>
        </w:tc>
        <w:tc>
          <w:tcPr>
            <w:tcW w:w="820" w:type="dxa"/>
            <w:vAlign w:val="bottom"/>
            <w:tcBorders>
              <w:top w:val="single" w:sz="8" w:color="auto"/>
            </w:tcBorders>
          </w:tcPr>
          <w:p>
            <w:pPr>
              <w:jc w:val="center"/>
              <w:ind w:left="299"/>
              <w:spacing w:after="0"/>
              <w:rPr>
                <w:sz w:val="20"/>
                <w:szCs w:val="20"/>
                <w:color w:val="auto"/>
              </w:rPr>
            </w:pPr>
            <w:r>
              <w:rPr>
                <w:rFonts w:ascii="Arial" w:cs="Arial" w:eastAsia="Arial" w:hAnsi="Arial"/>
                <w:sz w:val="14"/>
                <w:szCs w:val="14"/>
                <w:b w:val="1"/>
                <w:bCs w:val="1"/>
                <w:color w:val="auto"/>
                <w:w w:val="89"/>
              </w:rPr>
              <w:t>2018</w:t>
            </w:r>
          </w:p>
        </w:tc>
        <w:tc>
          <w:tcPr>
            <w:tcW w:w="1780" w:type="dxa"/>
            <w:vAlign w:val="bottom"/>
            <w:tcBorders>
              <w:top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169"/>
        </w:trPr>
        <w:tc>
          <w:tcPr>
            <w:tcW w:w="42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Expected term in years</w:t>
            </w:r>
          </w:p>
        </w:tc>
        <w:tc>
          <w:tcPr>
            <w:tcW w:w="820" w:type="dxa"/>
            <w:vAlign w:val="bottom"/>
            <w:tcBorders>
              <w:top w:val="single" w:sz="8" w:color="auto"/>
            </w:tcBorders>
            <w:shd w:val="clear" w:color="auto" w:fill="CCEEFF"/>
          </w:tcPr>
          <w:p>
            <w:pPr>
              <w:jc w:val="center"/>
              <w:ind w:left="299"/>
              <w:spacing w:after="0" w:line="170" w:lineRule="exact"/>
              <w:rPr>
                <w:sz w:val="20"/>
                <w:szCs w:val="20"/>
                <w:color w:val="auto"/>
              </w:rPr>
            </w:pPr>
            <w:r>
              <w:rPr>
                <w:rFonts w:ascii="Arial" w:cs="Arial" w:eastAsia="Arial" w:hAnsi="Arial"/>
                <w:sz w:val="18"/>
                <w:szCs w:val="18"/>
                <w:color w:val="auto"/>
                <w:w w:val="95"/>
              </w:rPr>
              <w:t>6.1</w:t>
            </w:r>
          </w:p>
        </w:tc>
        <w:tc>
          <w:tcPr>
            <w:tcW w:w="3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7"/>
              </w:rPr>
              <w:t>6.1</w:t>
            </w:r>
          </w:p>
        </w:tc>
        <w:tc>
          <w:tcPr>
            <w:tcW w:w="1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5.3 - 6.1</w:t>
            </w:r>
          </w:p>
        </w:tc>
        <w:tc>
          <w:tcPr>
            <w:tcW w:w="1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5.3 - 6.1</w:t>
            </w: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820" w:type="dxa"/>
            <w:vAlign w:val="bottom"/>
          </w:tcPr>
          <w:p>
            <w:pPr>
              <w:jc w:val="center"/>
              <w:ind w:left="299"/>
              <w:spacing w:after="0" w:line="176" w:lineRule="exact"/>
              <w:rPr>
                <w:sz w:val="20"/>
                <w:szCs w:val="20"/>
                <w:color w:val="auto"/>
              </w:rPr>
            </w:pPr>
            <w:r>
              <w:rPr>
                <w:rFonts w:ascii="Arial" w:cs="Arial" w:eastAsia="Arial" w:hAnsi="Arial"/>
                <w:sz w:val="18"/>
                <w:szCs w:val="18"/>
                <w:color w:val="auto"/>
                <w:w w:val="88"/>
              </w:rPr>
              <w:t>70%</w:t>
            </w:r>
          </w:p>
        </w:tc>
        <w:tc>
          <w:tcPr>
            <w:tcW w:w="1780" w:type="dxa"/>
            <w:vAlign w:val="bottom"/>
            <w:gridSpan w:val="3"/>
          </w:tcPr>
          <w:p>
            <w:pPr>
              <w:jc w:val="center"/>
              <w:ind w:left="479"/>
              <w:spacing w:after="0" w:line="176" w:lineRule="exact"/>
              <w:rPr>
                <w:sz w:val="20"/>
                <w:szCs w:val="20"/>
                <w:color w:val="auto"/>
              </w:rPr>
            </w:pPr>
            <w:r>
              <w:rPr>
                <w:rFonts w:ascii="Arial" w:cs="Arial" w:eastAsia="Arial" w:hAnsi="Arial"/>
                <w:sz w:val="18"/>
                <w:szCs w:val="18"/>
                <w:color w:val="auto"/>
                <w:w w:val="94"/>
              </w:rPr>
              <w:t>80%</w:t>
            </w:r>
          </w:p>
        </w:tc>
        <w:tc>
          <w:tcPr>
            <w:tcW w:w="14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14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4"/>
              </w:rPr>
              <w:t>80%</w:t>
            </w:r>
          </w:p>
        </w:tc>
      </w:tr>
      <w:tr>
        <w:trPr>
          <w:trHeight w:val="176"/>
        </w:trPr>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CEEFF"/>
          </w:tcPr>
          <w:p>
            <w:pPr>
              <w:jc w:val="center"/>
              <w:ind w:left="299"/>
              <w:spacing w:after="0" w:line="176" w:lineRule="exact"/>
              <w:rPr>
                <w:sz w:val="20"/>
                <w:szCs w:val="20"/>
                <w:color w:val="auto"/>
              </w:rPr>
            </w:pPr>
            <w:r>
              <w:rPr>
                <w:rFonts w:ascii="Arial" w:cs="Arial" w:eastAsia="Arial" w:hAnsi="Arial"/>
                <w:sz w:val="18"/>
                <w:szCs w:val="18"/>
                <w:color w:val="auto"/>
                <w:w w:val="87"/>
              </w:rPr>
              <w:t>2.9%</w:t>
            </w:r>
          </w:p>
        </w:tc>
        <w:tc>
          <w:tcPr>
            <w:tcW w:w="1780" w:type="dxa"/>
            <w:vAlign w:val="bottom"/>
            <w:gridSpan w:val="3"/>
            <w:shd w:val="clear" w:color="auto" w:fill="CCEEFF"/>
          </w:tcPr>
          <w:p>
            <w:pPr>
              <w:jc w:val="center"/>
              <w:ind w:left="479"/>
              <w:spacing w:after="0" w:line="176" w:lineRule="exact"/>
              <w:rPr>
                <w:sz w:val="20"/>
                <w:szCs w:val="20"/>
                <w:color w:val="auto"/>
              </w:rPr>
            </w:pPr>
            <w:r>
              <w:rPr>
                <w:rFonts w:ascii="Arial" w:cs="Arial" w:eastAsia="Arial" w:hAnsi="Arial"/>
                <w:sz w:val="18"/>
                <w:szCs w:val="18"/>
                <w:color w:val="auto"/>
                <w:w w:val="92"/>
              </w:rPr>
              <w:t>1.8%</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2.7 - 2.9%</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1.8 - 2.1%</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Dividend yield</w:t>
            </w:r>
          </w:p>
        </w:tc>
        <w:tc>
          <w:tcPr>
            <w:tcW w:w="820" w:type="dxa"/>
            <w:vAlign w:val="bottom"/>
          </w:tcPr>
          <w:p>
            <w:pPr>
              <w:jc w:val="center"/>
              <w:ind w:left="29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268" w:lineRule="exact"/>
        <w:rPr>
          <w:sz w:val="20"/>
          <w:szCs w:val="20"/>
          <w:color w:val="auto"/>
        </w:rPr>
      </w:pPr>
    </w:p>
    <w:p>
      <w:pPr>
        <w:ind w:right="300" w:firstLine="441"/>
        <w:spacing w:after="0" w:line="216" w:lineRule="auto"/>
        <w:rPr>
          <w:sz w:val="20"/>
          <w:szCs w:val="20"/>
          <w:color w:val="auto"/>
        </w:rPr>
      </w:pPr>
      <w:r>
        <w:rPr>
          <w:rFonts w:ascii="Arial" w:cs="Arial" w:eastAsia="Arial" w:hAnsi="Arial"/>
          <w:sz w:val="18"/>
          <w:szCs w:val="18"/>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Three-Month Periods Ended</w:t>
            </w: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Nine-Month Periods Ended</w:t>
            </w:r>
          </w:p>
        </w:tc>
      </w:tr>
      <w:tr>
        <w:trPr>
          <w:trHeight w:val="162"/>
        </w:trPr>
        <w:tc>
          <w:tcPr>
            <w:tcW w:w="4200" w:type="dxa"/>
            <w:vAlign w:val="bottom"/>
          </w:tcPr>
          <w:p>
            <w:pPr>
              <w:spacing w:after="0"/>
              <w:rPr>
                <w:sz w:val="14"/>
                <w:szCs w:val="14"/>
                <w:color w:val="auto"/>
              </w:rPr>
            </w:pPr>
          </w:p>
        </w:tc>
        <w:tc>
          <w:tcPr>
            <w:tcW w:w="2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42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top w:val="single" w:sz="8" w:color="auto"/>
              <w:bottom w:val="single" w:sz="8" w:color="CCEEFF"/>
            </w:tcBorders>
          </w:tcPr>
          <w:p>
            <w:pPr>
              <w:spacing w:after="0"/>
              <w:rPr>
                <w:sz w:val="14"/>
                <w:szCs w:val="14"/>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169"/>
        </w:trPr>
        <w:tc>
          <w:tcPr>
            <w:tcW w:w="42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term in years</w:t>
            </w:r>
          </w:p>
        </w:tc>
        <w:tc>
          <w:tcPr>
            <w:tcW w:w="12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0.8 - 1.3</w:t>
            </w: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20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4"/>
              </w:rPr>
              <w:t>95%</w:t>
            </w:r>
          </w:p>
        </w:tc>
        <w:tc>
          <w:tcPr>
            <w:tcW w:w="14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14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4"/>
              </w:rPr>
              <w:t>95%</w:t>
            </w:r>
          </w:p>
        </w:tc>
      </w:tr>
      <w:tr>
        <w:trPr>
          <w:trHeight w:val="176"/>
        </w:trPr>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2.3 - 2.5%</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1.1 - 1.2%</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1.9 - 2.5%</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1.1 - 1.2%</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93" w:lineRule="exact"/>
        <w:rPr>
          <w:sz w:val="20"/>
          <w:szCs w:val="20"/>
          <w:color w:val="auto"/>
        </w:rPr>
      </w:pPr>
    </w:p>
    <w:p>
      <w:pPr>
        <w:ind w:right="100" w:firstLine="441"/>
        <w:spacing w:after="0" w:line="236" w:lineRule="auto"/>
        <w:rPr>
          <w:sz w:val="20"/>
          <w:szCs w:val="20"/>
          <w:color w:val="auto"/>
        </w:rPr>
      </w:pPr>
      <w:r>
        <w:rPr>
          <w:rFonts w:ascii="Arial" w:cs="Arial" w:eastAsia="Arial" w:hAnsi="Arial"/>
          <w:sz w:val="16"/>
          <w:szCs w:val="16"/>
          <w:color w:val="auto"/>
        </w:rPr>
        <w:t>The fair value of restricted stock unit (“RSUs”) awards is determined based on the number of units granted and the closing price of the Company’s common stock as of the grant date. The estimated fair value of RSUs is recognized on a straight-line basis over the requisite service period. During the three-month period ended June 30, 2017, the Company granted 160,974 RSUs, all of which vested, pursuant to which no shares were issued, during June 2018. Additional paid in capital was reduced by $0.1 million for tax payments related to shares withheld in connection with the vesting of the RSUs. The stock-based compensation expense related to these RSUs was $0 and $2.1 million and for the three- and nine-month periods ended September 30, 2018, respectively. During the three-month period ended September 30, 2017, the Company granted 68,800 RSUs to certain employees which vest 50% on June 1, 2019 with the remaining 50% vesting on June 1, 2021. In the event of a change in control, these RSUs vest 100%. The stock-based compensation expense related to these RSUs was approximately $0.1 million and $0.3 million for the three- and nine-month periods ended September 30, 2018,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Research Grants and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44" w:lineRule="exact"/>
        <w:rPr>
          <w:sz w:val="20"/>
          <w:szCs w:val="20"/>
          <w:color w:val="auto"/>
        </w:rPr>
      </w:pPr>
    </w:p>
    <w:p>
      <w:pPr>
        <w:jc w:val="both"/>
        <w:ind w:right="80" w:firstLine="441"/>
        <w:spacing w:after="0" w:line="238" w:lineRule="auto"/>
        <w:rPr>
          <w:sz w:val="20"/>
          <w:szCs w:val="20"/>
          <w:color w:val="auto"/>
        </w:rPr>
      </w:pPr>
      <w:r>
        <w:rPr>
          <w:rFonts w:ascii="Arial" w:cs="Arial" w:eastAsia="Arial" w:hAnsi="Arial"/>
          <w:sz w:val="17"/>
          <w:szCs w:val="17"/>
          <w:color w:val="auto"/>
        </w:rPr>
        <w:t>The Company entered into a Sponsored Research Agreement (“SRA”) with Old Dominion University Research Foundation (“ODURF”) during 2014 pursuant to which the Company may annually sponsor research activities performed by ODURF’s Frank Reidy Center. ODURF is compensated by the Company for its conduct of each study in accordance with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right="120"/>
        <w:spacing w:after="0" w:line="241" w:lineRule="auto"/>
        <w:rPr>
          <w:sz w:val="20"/>
          <w:szCs w:val="20"/>
          <w:color w:val="auto"/>
        </w:rPr>
      </w:pPr>
      <w:r>
        <w:rPr>
          <w:rFonts w:ascii="Arial" w:cs="Arial" w:eastAsia="Arial" w:hAnsi="Arial"/>
          <w:sz w:val="16"/>
          <w:szCs w:val="16"/>
          <w:color w:val="auto"/>
        </w:rPr>
        <w:t>budget and payment terms set forth in the applicable task order. During the second quarter of 2017 and the third quarter of 2018, the Company agreed to sponsor $0.7 million and $0.8 million, respectively, in research during the subsequent 12-month period to be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As of September 30, 2018, $0.7 million remained payable under this agreement.</w:t>
      </w:r>
    </w:p>
    <w:p>
      <w:pPr>
        <w:spacing w:after="0" w:line="134" w:lineRule="exact"/>
        <w:rPr>
          <w:sz w:val="20"/>
          <w:szCs w:val="20"/>
          <w:color w:val="auto"/>
        </w:rPr>
      </w:pPr>
    </w:p>
    <w:p>
      <w:pPr>
        <w:ind w:right="120" w:firstLine="441"/>
        <w:spacing w:after="0" w:line="232" w:lineRule="auto"/>
        <w:rPr>
          <w:sz w:val="20"/>
          <w:szCs w:val="20"/>
          <w:color w:val="auto"/>
        </w:rPr>
      </w:pPr>
      <w:r>
        <w:rPr>
          <w:rFonts w:ascii="Arial" w:cs="Arial" w:eastAsia="Arial" w:hAnsi="Arial"/>
          <w:sz w:val="17"/>
          <w:szCs w:val="17"/>
          <w:color w:val="auto"/>
        </w:rPr>
        <w:t>In addition, during 2017, the Company agreed to provide $0.3 million in research funding to researchers affiliated with ODURF and Eastern Virginia Medical School matching funds made available to those researchers by the Virginia Biosciences Health Research Corporation. The Company’s sponsorship affords access to certain intellectual property, if any, developed during the project. As of September 30, 2018, $75,000 remained payable under this agreement.</w:t>
      </w:r>
    </w:p>
    <w:p>
      <w:pPr>
        <w:spacing w:after="0" w:line="122"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color w:val="auto"/>
        </w:rPr>
        <w:t>During the three-month periods ended September 30, 2018 and 2017, the Company incurred costs relating to the SRAs equal to $0.1 million and $0.3 million, respectively. During the nine-month periods ended September 30, 2018 and 2017, the Company incurred costs related to the SRAs equal to $0.6 million and $0.6 million, respectively.</w:t>
      </w:r>
    </w:p>
    <w:p>
      <w:pPr>
        <w:spacing w:after="0" w:line="119" w:lineRule="exact"/>
        <w:rPr>
          <w:sz w:val="20"/>
          <w:szCs w:val="20"/>
          <w:color w:val="auto"/>
        </w:rPr>
      </w:pPr>
    </w:p>
    <w:p>
      <w:pPr>
        <w:ind w:left="440" w:right="6600" w:hanging="440"/>
        <w:spacing w:after="0" w:line="469" w:lineRule="auto"/>
        <w:tabs>
          <w:tab w:leader="none" w:pos="314"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ind w:right="60" w:firstLine="441"/>
        <w:spacing w:after="0" w:line="225" w:lineRule="auto"/>
        <w:rPr>
          <w:sz w:val="20"/>
          <w:szCs w:val="20"/>
          <w:color w:val="auto"/>
        </w:rPr>
      </w:pPr>
      <w:r>
        <w:rPr>
          <w:rFonts w:ascii="Arial" w:cs="Arial" w:eastAsia="Arial" w:hAnsi="Arial"/>
          <w:sz w:val="17"/>
          <w:szCs w:val="17"/>
          <w:color w:val="auto"/>
        </w:rPr>
        <w:t>As of September 30, 2018, the Company leases approximately 15,700 square feet for its corporate headquarters in Hayward, California (the “Premises”). The lease commenced on July 1, 2017 and expires in August 2022, with an option to extend the lease term for an additional five years. Under the terms of the lease agreement, the landlord provided an allowance for tenant improvements in the amount of $2.1 million, which was recorded as deferred rent at the inception of the lease term. Rent expense associated with future minimum lease payments is reduced by amortization of the tenant improvement allowance over the life of the lease. An offsetting amount was recorded as leasehold improvements at the inception of the lease term. Leasehold improvements are depreciated over the lease term.</w:t>
      </w:r>
    </w:p>
    <w:p>
      <w:pPr>
        <w:spacing w:after="0" w:line="122" w:lineRule="exact"/>
        <w:rPr>
          <w:sz w:val="20"/>
          <w:szCs w:val="20"/>
          <w:color w:val="auto"/>
        </w:rPr>
      </w:pPr>
    </w:p>
    <w:p>
      <w:pPr>
        <w:ind w:right="700" w:firstLine="441"/>
        <w:spacing w:after="0" w:line="235" w:lineRule="auto"/>
        <w:rPr>
          <w:sz w:val="20"/>
          <w:szCs w:val="20"/>
          <w:color w:val="auto"/>
        </w:rPr>
      </w:pPr>
      <w:r>
        <w:rPr>
          <w:rFonts w:ascii="Arial" w:cs="Arial" w:eastAsia="Arial" w:hAnsi="Arial"/>
          <w:sz w:val="18"/>
          <w:szCs w:val="18"/>
          <w:color w:val="auto"/>
        </w:rPr>
        <w:t>Future minimum lease payments under non-cancelable operating leases as of September 30, 2018 are as follows (in thousands):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2018 (remaining 3 months)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17"/>
        </w:trPr>
        <w:tc>
          <w:tcPr>
            <w:tcW w:w="82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r>
    </w:tbl>
    <w:p>
      <w:pPr>
        <w:spacing w:after="0" w:line="148"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color w:val="auto"/>
        </w:rPr>
        <w:t>The Company leased approximately 4,300 square feet of corporate offices and research facilities in Burlingame, California, at a monthly cost of approximately $21,000. This lease expired on June 30, 2017.</w:t>
      </w:r>
    </w:p>
    <w:p>
      <w:pPr>
        <w:spacing w:after="0" w:line="121" w:lineRule="exact"/>
        <w:rPr>
          <w:sz w:val="20"/>
          <w:szCs w:val="20"/>
          <w:color w:val="auto"/>
        </w:rPr>
      </w:pPr>
    </w:p>
    <w:p>
      <w:pPr>
        <w:ind w:right="60" w:firstLine="441"/>
        <w:spacing w:after="0" w:line="259" w:lineRule="auto"/>
        <w:rPr>
          <w:sz w:val="20"/>
          <w:szCs w:val="20"/>
          <w:color w:val="auto"/>
        </w:rPr>
      </w:pPr>
      <w:r>
        <w:rPr>
          <w:rFonts w:ascii="Arial" w:cs="Arial" w:eastAsia="Arial" w:hAnsi="Arial"/>
          <w:sz w:val="16"/>
          <w:szCs w:val="16"/>
          <w:color w:val="auto"/>
        </w:rPr>
        <w:t>During the three-month periods ended September 30, 2018 and 2017, rent expense, including common area maintenance charges, was approximately $57,000 and $0.1 million, respectively. During the nine-month periods ended September 30, 2018 and 2017, rent expense, including common area maintenance charges, was approximately $0.2 million, and $0.2 million, respectively.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44" w:lineRule="exact"/>
        <w:rPr>
          <w:sz w:val="20"/>
          <w:szCs w:val="20"/>
          <w:color w:val="auto"/>
        </w:rPr>
      </w:pPr>
    </w:p>
    <w:p>
      <w:pPr>
        <w:ind w:right="420" w:firstLine="441"/>
        <w:spacing w:after="0" w:line="259" w:lineRule="auto"/>
        <w:rPr>
          <w:sz w:val="20"/>
          <w:szCs w:val="20"/>
          <w:color w:val="auto"/>
        </w:rPr>
      </w:pPr>
      <w:r>
        <w:rPr>
          <w:rFonts w:ascii="Arial" w:cs="Arial" w:eastAsia="Arial" w:hAnsi="Arial"/>
          <w:sz w:val="16"/>
          <w:szCs w:val="16"/>
          <w:color w:val="auto"/>
        </w:rPr>
        <w:t>The Company and certain directors have received subpoenas from the Securities and Exchange Commission requesting documents and other information in connection with an investigation into trading in the Company’s stock in advance of the Company’s September 2017 private placement equity financing. The Company is cooperating with the investigation.</w:t>
      </w:r>
    </w:p>
    <w:p>
      <w:pPr>
        <w:spacing w:after="0" w:line="107" w:lineRule="exact"/>
        <w:rPr>
          <w:sz w:val="20"/>
          <w:szCs w:val="20"/>
          <w:color w:val="auto"/>
        </w:rPr>
      </w:pPr>
    </w:p>
    <w:p>
      <w:pPr>
        <w:ind w:right="420" w:firstLine="441"/>
        <w:spacing w:after="0" w:line="224" w:lineRule="auto"/>
        <w:rPr>
          <w:sz w:val="20"/>
          <w:szCs w:val="20"/>
          <w:color w:val="auto"/>
        </w:rPr>
      </w:pPr>
      <w:r>
        <w:rPr>
          <w:rFonts w:ascii="Arial" w:cs="Arial" w:eastAsia="Arial" w:hAnsi="Arial"/>
          <w:sz w:val="18"/>
          <w:szCs w:val="18"/>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136" w:lineRule="exact"/>
        <w:rPr>
          <w:sz w:val="20"/>
          <w:szCs w:val="20"/>
          <w:color w:val="auto"/>
        </w:rPr>
      </w:pPr>
    </w:p>
    <w:p>
      <w:pPr>
        <w:jc w:val="center"/>
        <w:ind w:right="360"/>
        <w:spacing w:after="0" w:line="481" w:lineRule="auto"/>
        <w:rPr>
          <w:sz w:val="20"/>
          <w:szCs w:val="20"/>
          <w:color w:val="auto"/>
        </w:rPr>
      </w:pPr>
      <w:r>
        <w:rPr>
          <w:rFonts w:ascii="Arial" w:cs="Arial" w:eastAsia="Arial" w:hAnsi="Arial"/>
          <w:sz w:val="18"/>
          <w:szCs w:val="18"/>
          <w:color w:val="auto"/>
        </w:rPr>
        <w:t>At this time, the Company is unable to estimate a possible loss, if any, associated with the matter described above.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-92710</wp:posOffset>
            </wp:positionV>
            <wp:extent cx="60540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firstLine="441"/>
        <w:spacing w:after="0" w:line="239" w:lineRule="auto"/>
        <w:rPr>
          <w:sz w:val="20"/>
          <w:szCs w:val="20"/>
          <w:color w:val="auto"/>
        </w:rPr>
      </w:pPr>
      <w:r>
        <w:rPr>
          <w:rFonts w:ascii="Arial" w:cs="Arial" w:eastAsia="Arial" w:hAnsi="Arial"/>
          <w:sz w:val="16"/>
          <w:szCs w:val="16"/>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the Company in the form of letters and other communications. The Company currently believes that these ordinary course matters will not have a material adverse effect on our business; however, the results of litigation and claims are inherently unpredictable. Regardless of the outcome, litigation can have an adverse impact on the Company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62" w:lineRule="exact"/>
        <w:rPr>
          <w:sz w:val="20"/>
          <w:szCs w:val="20"/>
          <w:color w:val="auto"/>
        </w:rPr>
      </w:pPr>
    </w:p>
    <w:p>
      <w:pPr>
        <w:ind w:right="160" w:firstLine="441"/>
        <w:spacing w:after="0" w:line="219" w:lineRule="auto"/>
        <w:rPr>
          <w:sz w:val="20"/>
          <w:szCs w:val="20"/>
          <w:color w:val="auto"/>
        </w:rPr>
      </w:pPr>
      <w:r>
        <w:rPr>
          <w:rFonts w:ascii="Arial" w:cs="Arial" w:eastAsia="Arial" w:hAnsi="Arial"/>
          <w:sz w:val="18"/>
          <w:szCs w:val="18"/>
          <w:color w:val="auto"/>
        </w:rPr>
        <w:t>Kenneth A. Clark, a director of the Company since November 2017, is a member of the law firm of Wilson Sonsini Goodrich and Rosati (“WSGR”), which also serves as the outside corporate counsel to the Company. During the three- and nine-month periods ended September 30, 2018, the Company incurred expenses for legal services rendered by WSGR totaling approximately $0.3 million and $1.1 million, respectively.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 Some of the information contained in this discussion and analysis or set forth elsewhere in this Quarterly Report, including information with respect to our products, plans and strategy for our business and related financing, contains forward-looking statements that involve risks and uncertainties, including statements regarding our expected financial results in future periods. The words “anticipates,” “believes,” “could,” “estimates,” “expects,” “intends,” “may,” “might,”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486"/>
        <w:spacing w:after="0" w:line="236" w:lineRule="auto"/>
        <w:rPr>
          <w:sz w:val="20"/>
          <w:szCs w:val="20"/>
          <w:color w:val="auto"/>
        </w:rPr>
      </w:pPr>
      <w:r>
        <w:rPr>
          <w:rFonts w:ascii="Arial" w:cs="Arial" w:eastAsia="Arial" w:hAnsi="Arial"/>
          <w:sz w:val="16"/>
          <w:szCs w:val="16"/>
          <w:color w:val="auto"/>
        </w:rPr>
        <w:t>We are a novel medical therapy company bringing to market our proprietary Nano-Pulse Stimulation™ (NPS™) platform. Our NPS platform is a novel, precise, non-thermal, treatment technology delivering nanosecond duration energy pulses that impact cells in treated tissue while sparing acellular tissue. NPS’s unique mechanism of action disrupts the functions of internal cell structures while maintaining the outer cell membrane initiating a cascade of events within the cell that results in regulated cell death. The novel characteristics of NPS’s unique mechanism of action has the potential to significantly benefit patients for multiple medical applications, including dermatology, our first planned commercial application. In pre-clinical studies, our NPS has demonstrated an ability to induce immunogenic cell death in several cancer cell lines. We believe our NPS may play a role in immune-oncology as a focal tumor treatment that can initiate an adaptive immune response. We are currently conducting research and development activities, including clinical studies, in pursuit of commercial applications for our NPS technology, but we have not yet commercialized or recognized revenue from our technology.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62"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color w:val="auto"/>
        </w:rPr>
        <w:t>We plan to establish ourselves as novel medical therapy company with precise, non-thermal, treatment technology delivering nanosecond duration energy pulses that impact cells in treated tissue while sparing surrounding acellular tissue. In order to accomplish this, we plan to:</w:t>
      </w:r>
    </w:p>
    <w:p>
      <w:pPr>
        <w:spacing w:after="0" w:line="123" w:lineRule="exact"/>
        <w:rPr>
          <w:sz w:val="20"/>
          <w:szCs w:val="20"/>
          <w:color w:val="auto"/>
        </w:rPr>
      </w:pPr>
    </w:p>
    <w:p>
      <w:pPr>
        <w:ind w:left="860" w:right="220" w:hanging="427"/>
        <w:spacing w:after="0" w:line="289"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Improve our technology by continuing our research and product development efforts. We expect to develop different devices to target different tissue types that will leverage the novel characteristics of our NPS technology platform.</w:t>
      </w:r>
    </w:p>
    <w:p>
      <w:pPr>
        <w:spacing w:after="0" w:line="83" w:lineRule="exact"/>
        <w:rPr>
          <w:rFonts w:ascii="Arial" w:cs="Arial" w:eastAsia="Arial" w:hAnsi="Arial"/>
          <w:sz w:val="16"/>
          <w:szCs w:val="16"/>
          <w:color w:val="auto"/>
        </w:rPr>
      </w:pPr>
    </w:p>
    <w:p>
      <w:pPr>
        <w:ind w:left="860" w:right="660" w:hanging="427"/>
        <w:spacing w:after="0" w:line="235"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clinical studies to demonstrate the benefits of our NPS platform for unmet medical needs that may be addressed by our technology.</w:t>
      </w:r>
    </w:p>
    <w:p>
      <w:pPr>
        <w:spacing w:after="0" w:line="121" w:lineRule="exact"/>
        <w:rPr>
          <w:rFonts w:ascii="Arial" w:cs="Arial" w:eastAsia="Arial" w:hAnsi="Arial"/>
          <w:sz w:val="18"/>
          <w:szCs w:val="18"/>
          <w:color w:val="auto"/>
        </w:rPr>
      </w:pPr>
    </w:p>
    <w:p>
      <w:pPr>
        <w:ind w:left="860" w:hanging="427"/>
        <w:spacing w:after="0" w:line="224"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protect and expand our intellectual property portfolio with respect to our NPS technology, which we expect will increase our ability to deter competitors and position our company for favorable licensing and partnering opportunities.</w:t>
      </w:r>
    </w:p>
    <w:p>
      <w:pPr>
        <w:spacing w:after="0" w:line="122"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Commercialize our NPS-based therapies and devices in areas of value to patients, clinicians and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right="80" w:firstLine="441"/>
        <w:spacing w:after="0" w:line="211"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unaudited financial statements, which have been prepared in accordance with the rules and regulations of the Securities and Exchange Commission (“SEC”).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360" w:firstLine="441"/>
        <w:spacing w:after="0" w:line="235" w:lineRule="auto"/>
        <w:rPr>
          <w:sz w:val="20"/>
          <w:szCs w:val="20"/>
          <w:color w:val="auto"/>
        </w:rPr>
      </w:pPr>
      <w:r>
        <w:rPr>
          <w:rFonts w:ascii="Arial" w:cs="Arial" w:eastAsia="Arial" w:hAnsi="Arial"/>
          <w:sz w:val="18"/>
          <w:szCs w:val="18"/>
          <w:color w:val="auto"/>
        </w:rPr>
        <w:t>There have been no material changes to the critical accounting policies and estimates discussed in our Annual Report on Form 10-K as of and for the year ended December 31, 2017.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color w:val="auto"/>
        </w:rPr>
        <w:t>Refer to “Recent Accounting Pronouncements” in Note 2 of Notes to Condensed Consolidated Financial Statements of this Quarterly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Geographical Information</w:t>
      </w:r>
    </w:p>
    <w:p>
      <w:pPr>
        <w:spacing w:after="0" w:line="162" w:lineRule="exact"/>
        <w:rPr>
          <w:sz w:val="20"/>
          <w:szCs w:val="20"/>
          <w:color w:val="auto"/>
        </w:rPr>
      </w:pPr>
    </w:p>
    <w:p>
      <w:pPr>
        <w:jc w:val="both"/>
        <w:ind w:right="40" w:firstLine="441"/>
        <w:spacing w:after="0" w:line="224" w:lineRule="auto"/>
        <w:rPr>
          <w:sz w:val="20"/>
          <w:szCs w:val="20"/>
          <w:color w:val="auto"/>
        </w:rPr>
      </w:pPr>
      <w:r>
        <w:rPr>
          <w:rFonts w:ascii="Arial" w:cs="Arial" w:eastAsia="Arial" w:hAnsi="Arial"/>
          <w:sz w:val="18"/>
          <w:szCs w:val="18"/>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based in the United States.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three-month periods ended September 30, 2018 and 2017</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Three-Month Periods Ended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536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5"/>
              <w:spacing w:after="0" w:line="163"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50"/>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5360" w:type="dxa"/>
            <w:vAlign w:val="bottom"/>
          </w:tcPr>
          <w:p>
            <w:pPr>
              <w:spacing w:after="0" w:line="170"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169"/>
        </w:trPr>
        <w:tc>
          <w:tcPr>
            <w:tcW w:w="5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(10,761)</w:t>
            </w:r>
          </w:p>
        </w:tc>
        <w:tc>
          <w:tcPr>
            <w:tcW w:w="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(7,486)</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48"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General and administrative expenses consist of salaries and related expenses for executives, finance, legal, human resources, information technology and administrative personnel, professional services, patent fees and costs, insurance costs and other general corporate expenses. General and administrative expenses increased by $1.2 million to $5.7 million for the three-month period ended September 30, 2018, from $4.4 million during the same period in 2017 primarily due to $0.9 million of increased professional services and consulting costs, $0.1 million of increased compensation costs, and $0.1 million of increased corporate insurance related costs. Compensation related expenses increased due to the increase in headcount. Professional services and consulting costs increased primarily due to operations and reporting obligations as a public company. General and administrative expenses are expected to substantially increase during 2018 as compared to 2017 reflecting the buildout of additional operational infrastructure to support an increased level of clinical and development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60" w:firstLine="441"/>
        <w:spacing w:after="0" w:line="235" w:lineRule="auto"/>
        <w:rPr>
          <w:sz w:val="20"/>
          <w:szCs w:val="20"/>
          <w:color w:val="auto"/>
        </w:rPr>
      </w:pPr>
      <w:r>
        <w:rPr>
          <w:rFonts w:ascii="Arial" w:cs="Arial" w:eastAsia="Arial" w:hAnsi="Arial"/>
          <w:sz w:val="16"/>
          <w:szCs w:val="16"/>
          <w:color w:val="auto"/>
        </w:rPr>
        <w:t>Research and development expenses consist of salaries and related expenses for research and development personnel, clinical trials and consulting costs related to the design, development and enhancement of our potential future products, prototypes material and devices. Research and development expenses increased by $2.1 million to $5.0 million for the three-month period ended September 30, 2018, from $2.9 million during the same period in 2017 primarily due to $0.7 million of increased compensation costs, $0.4 million of increased consulting and outside services costs, $0.3 million of increased stock-based compensation costs, $0.2 million in clinical trials expense, $0.2 million in prototype expenses, and $0.1 million of increased lab supplies expenses. Stock-based compensation increased principally due to the higher Black-Scholes values and grant date intrinsic value ascribed to options and restricted stock units, respectively, granted during the first nine months of 2018 and the second and third quarters of 2017. Headcount increases during 2017 and 2018 also contributed to increased stock-based compensation as well as compensation costs more broadly. Clinical trial costs increased due to the Company’s clinical studies of our NPS technology for the treatment of sebaceous hyperplasia and basal cell carcinoma. Consulting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outside services costs increased due to increased product development activities. Prototype expenses and lab expenses increased as a result of the design and testing of the next generation of our system. The increase is also due to materials purchased during the nine-month period ended September 30, 2018 for the assembly of clinical systems to be used in planned clinical trials. Research and development expenses are expected to continue to substantially increase during 2018 as we expand our clinical study activities by initiating additional studies, continue development and enhancement of our system in preparation for additional clinical trials and commercialization, and pursue regulatory clearance for our technology.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48" w:lineRule="exact"/>
        <w:rPr>
          <w:sz w:val="20"/>
          <w:szCs w:val="20"/>
          <w:color w:val="auto"/>
        </w:rPr>
      </w:pPr>
    </w:p>
    <w:p>
      <w:pPr>
        <w:ind w:right="240" w:firstLine="441"/>
        <w:spacing w:after="0" w:line="289" w:lineRule="auto"/>
        <w:rPr>
          <w:sz w:val="20"/>
          <w:szCs w:val="20"/>
          <w:color w:val="auto"/>
        </w:rPr>
      </w:pPr>
      <w:r>
        <w:rPr>
          <w:rFonts w:ascii="Arial" w:cs="Arial" w:eastAsia="Arial" w:hAnsi="Arial"/>
          <w:sz w:val="16"/>
          <w:szCs w:val="16"/>
          <w:color w:val="auto"/>
        </w:rPr>
        <w:t>Interest income increased by $79,000 to $0.1 million for the three-month period ended September 30, 2018, from $39,000 during the same period in 2017 due primarily to the higher interest rates earned on cash and investment balances.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nine-month periods ended September 30, 2018 and 2017</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6"/>
          </w:tcPr>
          <w:p>
            <w:pPr>
              <w:ind w:left="180"/>
              <w:spacing w:after="0"/>
              <w:rPr>
                <w:sz w:val="20"/>
                <w:szCs w:val="20"/>
                <w:color w:val="auto"/>
              </w:rPr>
            </w:pPr>
            <w:r>
              <w:rPr>
                <w:rFonts w:ascii="Arial" w:cs="Arial" w:eastAsia="Arial" w:hAnsi="Arial"/>
                <w:sz w:val="14"/>
                <w:szCs w:val="14"/>
                <w:b w:val="1"/>
                <w:bCs w:val="1"/>
                <w:color w:val="auto"/>
              </w:rPr>
              <w:t>Nine-Month Periods Ended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6"/>
              </w:rPr>
              <w:t>September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536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5"/>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50"/>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5360" w:type="dxa"/>
            <w:vAlign w:val="bottom"/>
          </w:tcPr>
          <w:p>
            <w:pPr>
              <w:spacing w:after="0" w:line="170"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11,920</w:t>
            </w:r>
          </w:p>
        </w:tc>
        <w:tc>
          <w:tcPr>
            <w:tcW w:w="0" w:type="dxa"/>
            <w:vAlign w:val="bottom"/>
          </w:tcPr>
          <w:p>
            <w:pPr>
              <w:spacing w:after="0"/>
              <w:rPr>
                <w:sz w:val="1"/>
                <w:szCs w:val="1"/>
                <w:color w:val="auto"/>
              </w:rPr>
            </w:pPr>
          </w:p>
        </w:tc>
      </w:tr>
      <w:tr>
        <w:trPr>
          <w:trHeight w:val="169"/>
        </w:trPr>
        <w:tc>
          <w:tcPr>
            <w:tcW w:w="5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(28,592)</w:t>
            </w:r>
          </w:p>
        </w:tc>
        <w:tc>
          <w:tcPr>
            <w:tcW w:w="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(16,864)</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11,728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48" w:lineRule="exact"/>
        <w:rPr>
          <w:sz w:val="20"/>
          <w:szCs w:val="20"/>
          <w:color w:val="auto"/>
        </w:rPr>
      </w:pPr>
    </w:p>
    <w:p>
      <w:pPr>
        <w:ind w:firstLine="441"/>
        <w:spacing w:after="0" w:line="220" w:lineRule="auto"/>
        <w:rPr>
          <w:sz w:val="20"/>
          <w:szCs w:val="20"/>
          <w:color w:val="auto"/>
        </w:rPr>
      </w:pPr>
      <w:r>
        <w:rPr>
          <w:rFonts w:ascii="Arial" w:cs="Arial" w:eastAsia="Arial" w:hAnsi="Arial"/>
          <w:sz w:val="17"/>
          <w:szCs w:val="17"/>
          <w:color w:val="auto"/>
        </w:rPr>
        <w:t>General and administrative expenses consist of salaries and related expenses for executives, finance, legal, human resources, information technology and administrative personnel, professional services, patent fees and costs, insurance costs and other general corporate expenses. General and administrative expenses increased by $6.5 million to $16.2 million for the nine-month period ended September 30, 2018, from $9.7 million during the same period in 2017 primarily due to $2.2 million of increased stock-based compensation costs, $2.6 million of increased professional services and consulting costs, $1.1 million of increased compensation costs, $0.3 million of increased insurance related costs and $0.1 million of increased office supplies costs and travel expenses. Stock-based compensation increased principally due to the higher Black-Scholes values and grant date intrinsic value ascribed to options and restricted stock units, respectively, granted during the first nine months of 2018 and the second and third quarters of 2017. Headcount increases during 2017 and 2018 also contributed to increased stock-based compensation as well as compensation costs more broadly. Professional services and consulting costs increased primarily due to operations and reporting obligations as a public company and increased legal costs related to intellectual property matters and reincorporation from the State of Nevada to the State of Delaware. General and administrative expenses are expected to substantially increase during 2018 as compared to 2017 reflecting the buildout of additional operational infrastructure to support an increased level of clinical and development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60" w:firstLine="441"/>
        <w:spacing w:after="0" w:line="235" w:lineRule="auto"/>
        <w:rPr>
          <w:sz w:val="20"/>
          <w:szCs w:val="20"/>
          <w:color w:val="auto"/>
        </w:rPr>
      </w:pPr>
      <w:r>
        <w:rPr>
          <w:rFonts w:ascii="Arial" w:cs="Arial" w:eastAsia="Arial" w:hAnsi="Arial"/>
          <w:sz w:val="16"/>
          <w:szCs w:val="16"/>
          <w:color w:val="auto"/>
        </w:rPr>
        <w:t>Research and development expenses consist of salaries and related expenses for research and development personnel, clinical trials and consulting costs related to the design, development and enhancement of our potential future products, prototypes material and devices. Research and development expenses increased by $5.4 million to $12.2 million for the nine-month period ended September 30, 2018, from $6.8 million during the same period in 2017, primarily due to $2.2 million of increased compensation costs, $1.3 million of increased stock-based compensation costs, $0.6 million in prototype expenses, $0.3 million of increased lab supplies expenses, $0.3 million of office supplies costs and travel expenses, $0.2 million of increased clinical trials expenses, $0.2 million of increased in depreciation expense, and $0.2 million of increased consulting and outside services costs. Stock-based compensation increased principally due to the higher Black-Scholes values and grant date intrinsic value ascribed to options and restricted stock units, respectively, granted during the first nine months of 2018 and the second and third quarters of 2017. Headcount increases during 2017 and 2018 also contributed to increased stock-based compensation as well as compensation costs more broadly. Prototype expenses increased as a result of the design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testing of the next generation of our system. The increase is also due to materials purchased during the nine-month period ended September 30, 2018 for the assembly of clinical systems to be used in planned clinical trials. Consulting and outside services costs increased due to increased product development activities. Office supplies and travel expenses increased as a result of increased headcount. Clinical trial costs increased due to the Company’s clinical study of its NPS for the treatment of sebaceous hyperplasia and basal cell carcinoma. Depreciation expense increased due to the increased leasehold improvements recorded in property and equipment around mid-2017. Research and development expenses are expected to continue to substantially increase during 2018 as we expand our clinical study activities by initiating additional studies, continue development and enhancement of our system in preparation for additional clinical trials and commercialization, and pursue regulatory clearance for our technology.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increased by $0.2 million to $0.3 million for the nine-month period ended September 30, 2018, from</w:t>
      </w:r>
    </w:p>
    <w:p>
      <w:pPr>
        <w:spacing w:after="0" w:line="229" w:lineRule="auto"/>
        <w:rPr>
          <w:sz w:val="20"/>
          <w:szCs w:val="20"/>
          <w:color w:val="auto"/>
        </w:rPr>
      </w:pPr>
      <w:r>
        <w:rPr>
          <w:rFonts w:ascii="Arial" w:cs="Arial" w:eastAsia="Arial" w:hAnsi="Arial"/>
          <w:sz w:val="16"/>
          <w:szCs w:val="16"/>
          <w:color w:val="auto"/>
        </w:rPr>
        <w:t>$0.1 million during the same period in 2017 due primarily to the higher interest rates earned on cash equivalent and investment</w:t>
      </w:r>
    </w:p>
    <w:p>
      <w:pPr>
        <w:spacing w:after="0"/>
        <w:rPr>
          <w:sz w:val="20"/>
          <w:szCs w:val="20"/>
          <w:color w:val="auto"/>
        </w:rPr>
      </w:pPr>
      <w:r>
        <w:rPr>
          <w:rFonts w:ascii="Arial" w:cs="Arial" w:eastAsia="Arial" w:hAnsi="Arial"/>
          <w:sz w:val="18"/>
          <w:szCs w:val="18"/>
          <w:color w:val="auto"/>
        </w:rPr>
        <w:t>balances.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firstLine="441"/>
        <w:spacing w:after="0" w:line="244" w:lineRule="auto"/>
        <w:rPr>
          <w:sz w:val="20"/>
          <w:szCs w:val="20"/>
          <w:color w:val="auto"/>
        </w:rPr>
      </w:pPr>
      <w:r>
        <w:rPr>
          <w:rFonts w:ascii="Arial" w:cs="Arial" w:eastAsia="Arial" w:hAnsi="Arial"/>
          <w:sz w:val="16"/>
          <w:szCs w:val="16"/>
          <w:color w:val="auto"/>
        </w:rPr>
        <w:t>To date, we have not generated any revenues from product sales and do not expect to generate revenues from product sales in the next year. Since inception, we have funded our business primarily through the issuance of equity securities and grants from governmental agencies. Over the next few years, we intend to invest in research and development to develop commercially viable products and to assess the feasibility of potential future products. Additionally, we expect that our general and administrative expenses will increase as we incur substantial incremental costs associated with operating as a public company.</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cash flows as discussed herein are presented below:</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Nine-Month Periods Ended</w:t>
            </w:r>
          </w:p>
        </w:tc>
        <w:tc>
          <w:tcPr>
            <w:tcW w:w="0" w:type="dxa"/>
            <w:vAlign w:val="bottom"/>
          </w:tcPr>
          <w:p>
            <w:pPr>
              <w:spacing w:after="0"/>
              <w:rPr>
                <w:sz w:val="1"/>
                <w:szCs w:val="1"/>
                <w:color w:val="auto"/>
              </w:rPr>
            </w:pPr>
          </w:p>
        </w:tc>
      </w:tr>
      <w:tr>
        <w:trPr>
          <w:trHeight w:val="171"/>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3"/>
              </w:rPr>
              <w:t>September 30,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35,194</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2,945</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30,334</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As of September 30, 2018, we had cash, cash equivalents and investments of $21.0 million. During the nine months ended September 30, 2018, we incurred a net loss of $28.6 million, and used $17.6 million in cash for operating activities. In addition, we had an accumulated deficit of $66.8 million as of September 30, 2018.</w:t>
      </w:r>
    </w:p>
    <w:p>
      <w:pPr>
        <w:spacing w:after="0" w:line="123"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On October 26, 2018, Robert W. Duggan, our chairman of the Board, and the beneficial owner of approximately 35% of our common stock outstanding as of the date of this Quarterly Report, made an irrevocable commitment to provide financial support of up to $15,000,000 to ensure our ability to operate as a going concern through the period ending November 15, 2019. Such continuing support may take the form of purchase of equity, loans, or advances to us.</w:t>
      </w:r>
    </w:p>
    <w:p>
      <w:pPr>
        <w:spacing w:after="0" w:line="122"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We believe that given our existing cash, cash equivalents and investments together with such continued financial support and commitment from Mr. Duggan, we have the resources to fund our projected operating requirements for at least the next twelve months from the filing date of this Quarterly Report; however, we plan to raise additional capital in the future. 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or corporate collaboration and licensing arrangements. Such additional funds may not be available on terms acceptable to us or at all. If we raise funds by issuing equity or equity-linked securities, the ownership of our stockholders will be diluted and the holders of new equity securities may have priority rights 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uses of cash in operating activities are for ongoing product development.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40" w:firstLine="441"/>
        <w:spacing w:after="0" w:line="219" w:lineRule="auto"/>
        <w:rPr>
          <w:sz w:val="20"/>
          <w:szCs w:val="20"/>
          <w:color w:val="auto"/>
        </w:rPr>
      </w:pPr>
      <w:r>
        <w:rPr>
          <w:rFonts w:ascii="Arial" w:cs="Arial" w:eastAsia="Arial" w:hAnsi="Arial"/>
          <w:sz w:val="18"/>
          <w:szCs w:val="18"/>
          <w:color w:val="auto"/>
        </w:rPr>
        <w:t>During the nine-month period ended September 30, 2018, we used cash of $17.6 million in operating activities. The difference between cash used in operating activities and net loss consisted primarily of stock-based compensation and depreciation and amortization, an increase in accounts payable, partially offset by increased prepaid expenses and other current assets and decreases in accrued liabilities and deferred rent.</w:t>
      </w:r>
    </w:p>
    <w:p>
      <w:pPr>
        <w:spacing w:after="0" w:line="136" w:lineRule="exact"/>
        <w:rPr>
          <w:sz w:val="20"/>
          <w:szCs w:val="20"/>
          <w:color w:val="auto"/>
        </w:rPr>
      </w:pPr>
    </w:p>
    <w:p>
      <w:pPr>
        <w:ind w:firstLine="441"/>
        <w:spacing w:after="0" w:line="219" w:lineRule="auto"/>
        <w:rPr>
          <w:sz w:val="20"/>
          <w:szCs w:val="20"/>
          <w:color w:val="auto"/>
        </w:rPr>
      </w:pPr>
      <w:r>
        <w:rPr>
          <w:rFonts w:ascii="Arial" w:cs="Arial" w:eastAsia="Arial" w:hAnsi="Arial"/>
          <w:sz w:val="18"/>
          <w:szCs w:val="18"/>
          <w:color w:val="auto"/>
        </w:rPr>
        <w:t>During the nine-month period ended September 30, 2017, we used cash of $7.1 million in operating activities. The difference between cash used in operating activities and net loss consisted primarily of stock-based compensation and depreciation and amortization, cash received from our landlord for tenant improvements, a net increase in accounts payable and accrued expenses, offset by increased other current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investing activities consist primarily of investment purchases, sales and maturities and capital expenditures.</w:t>
      </w:r>
    </w:p>
    <w:p>
      <w:pPr>
        <w:spacing w:after="0" w:line="158" w:lineRule="exact"/>
        <w:rPr>
          <w:sz w:val="20"/>
          <w:szCs w:val="20"/>
          <w:color w:val="auto"/>
        </w:rPr>
      </w:pPr>
    </w:p>
    <w:p>
      <w:pPr>
        <w:ind w:right="160" w:firstLine="441"/>
        <w:spacing w:after="0" w:line="219" w:lineRule="auto"/>
        <w:rPr>
          <w:sz w:val="20"/>
          <w:szCs w:val="20"/>
          <w:color w:val="auto"/>
        </w:rPr>
      </w:pPr>
      <w:r>
        <w:rPr>
          <w:rFonts w:ascii="Arial" w:cs="Arial" w:eastAsia="Arial" w:hAnsi="Arial"/>
          <w:sz w:val="18"/>
          <w:szCs w:val="18"/>
          <w:color w:val="auto"/>
        </w:rPr>
        <w:t>During the nine-month period ended September 30, 2018, $19.9 million of cash provided by investing activities was from the sale of investments of $24.9 million and $35.1 million of cash proceeds from the maturities of investments, partially offset by $39.8 million cash used for the purchase of available-for-sale securities and $0.2 million cash used in purchase of property and equipment.</w:t>
      </w:r>
    </w:p>
    <w:p>
      <w:pPr>
        <w:spacing w:after="0" w:line="122" w:lineRule="exact"/>
        <w:rPr>
          <w:sz w:val="20"/>
          <w:szCs w:val="20"/>
          <w:color w:val="auto"/>
        </w:rPr>
      </w:pPr>
    </w:p>
    <w:p>
      <w:pPr>
        <w:ind w:right="380" w:firstLine="441"/>
        <w:spacing w:after="0" w:line="224" w:lineRule="auto"/>
        <w:rPr>
          <w:sz w:val="20"/>
          <w:szCs w:val="20"/>
          <w:color w:val="auto"/>
        </w:rPr>
      </w:pPr>
      <w:r>
        <w:rPr>
          <w:rFonts w:ascii="Arial" w:cs="Arial" w:eastAsia="Arial" w:hAnsi="Arial"/>
          <w:sz w:val="18"/>
          <w:szCs w:val="18"/>
          <w:color w:val="auto"/>
        </w:rPr>
        <w:t>During the nine-month period ended September 30, 2017, $2.3 million of cash provided in investing activities was from $2.4 million of cash used primarily for leasehold improvement and equipment purchases, $11.4 million used in purchases of investments partially offset by $16.0 million of cash provided by maturities of investments.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ind w:right="20" w:firstLine="441"/>
        <w:spacing w:after="0" w:line="258" w:lineRule="auto"/>
        <w:rPr>
          <w:sz w:val="20"/>
          <w:szCs w:val="20"/>
          <w:color w:val="auto"/>
        </w:rPr>
      </w:pPr>
      <w:r>
        <w:rPr>
          <w:rFonts w:ascii="Arial" w:cs="Arial" w:eastAsia="Arial" w:hAnsi="Arial"/>
          <w:sz w:val="17"/>
          <w:szCs w:val="17"/>
          <w:color w:val="auto"/>
        </w:rPr>
        <w:t>During the nine-month period ended September 30, 2018, cash provided from financing activities was $0.6 million primarily due to cash received from stock option exercises and the sale of stock under our employee stock purchase plan.</w:t>
      </w:r>
    </w:p>
    <w:p>
      <w:pPr>
        <w:spacing w:after="0" w:line="106" w:lineRule="exact"/>
        <w:rPr>
          <w:sz w:val="20"/>
          <w:szCs w:val="20"/>
          <w:color w:val="auto"/>
        </w:rPr>
      </w:pPr>
    </w:p>
    <w:p>
      <w:pPr>
        <w:ind w:right="260" w:firstLine="441"/>
        <w:spacing w:after="0" w:line="224" w:lineRule="auto"/>
        <w:rPr>
          <w:sz w:val="20"/>
          <w:szCs w:val="20"/>
          <w:color w:val="auto"/>
        </w:rPr>
      </w:pPr>
      <w:r>
        <w:rPr>
          <w:rFonts w:ascii="Arial" w:cs="Arial" w:eastAsia="Arial" w:hAnsi="Arial"/>
          <w:sz w:val="18"/>
          <w:szCs w:val="18"/>
          <w:color w:val="auto"/>
        </w:rPr>
        <w:t>During the nine-month period ended September 30, 2017, cash provided from financing activities was $35.2 million primarily due to $34.9 million received from the Private Placements in February and September 2017 and $0.3 million received from stock option and warrant exercises.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ind w:right="180" w:firstLine="441"/>
        <w:spacing w:after="0" w:line="235" w:lineRule="auto"/>
        <w:rPr>
          <w:sz w:val="20"/>
          <w:szCs w:val="20"/>
          <w:color w:val="auto"/>
        </w:rPr>
      </w:pPr>
      <w:r>
        <w:rPr>
          <w:rFonts w:ascii="Arial" w:cs="Arial" w:eastAsia="Arial" w:hAnsi="Arial"/>
          <w:sz w:val="18"/>
          <w:szCs w:val="18"/>
          <w:color w:val="auto"/>
        </w:rPr>
        <w:t>There have been no material changes outside the ordinary course of our business to the contractual obligations disclosed in our Annual Report on Form 10-K for the year ended December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right="520" w:firstLine="441"/>
        <w:spacing w:after="0" w:line="235" w:lineRule="auto"/>
        <w:rPr>
          <w:sz w:val="20"/>
          <w:szCs w:val="20"/>
          <w:color w:val="auto"/>
        </w:rPr>
      </w:pPr>
      <w:r>
        <w:rPr>
          <w:rFonts w:ascii="Arial" w:cs="Arial" w:eastAsia="Arial" w:hAnsi="Arial"/>
          <w:sz w:val="18"/>
          <w:szCs w:val="18"/>
          <w:color w:val="auto"/>
        </w:rPr>
        <w:t>At September 30, 2018, we did not have any transactions, obligations or relationships that constitute off-balance sheet arrangements.</w:t>
      </w:r>
    </w:p>
    <w:p>
      <w:pPr>
        <w:spacing w:after="0" w:line="13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22" w:lineRule="exact"/>
        <w:rPr>
          <w:sz w:val="20"/>
          <w:szCs w:val="20"/>
          <w:color w:val="auto"/>
        </w:rPr>
      </w:pPr>
    </w:p>
    <w:p>
      <w:pPr>
        <w:ind w:right="240" w:firstLine="441"/>
        <w:spacing w:after="0" w:line="225" w:lineRule="auto"/>
        <w:rPr>
          <w:sz w:val="20"/>
          <w:szCs w:val="20"/>
          <w:color w:val="auto"/>
        </w:rPr>
      </w:pPr>
      <w:r>
        <w:rPr>
          <w:rFonts w:ascii="Arial" w:cs="Arial" w:eastAsia="Arial" w:hAnsi="Arial"/>
          <w:sz w:val="17"/>
          <w:szCs w:val="17"/>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September 30,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48"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Events and Uncertainties</w:t>
      </w:r>
    </w:p>
    <w:p>
      <w:pPr>
        <w:spacing w:after="0" w:line="148" w:lineRule="exact"/>
        <w:rPr>
          <w:sz w:val="20"/>
          <w:szCs w:val="20"/>
          <w:color w:val="auto"/>
        </w:rPr>
      </w:pPr>
    </w:p>
    <w:p>
      <w:pPr>
        <w:ind w:right="260" w:firstLine="441"/>
        <w:spacing w:after="0" w:line="226" w:lineRule="auto"/>
        <w:rPr>
          <w:sz w:val="20"/>
          <w:szCs w:val="20"/>
          <w:color w:val="auto"/>
        </w:rPr>
      </w:pPr>
      <w:r>
        <w:rPr>
          <w:rFonts w:ascii="Arial" w:cs="Arial" w:eastAsia="Arial" w:hAnsi="Arial"/>
          <w:sz w:val="17"/>
          <w:szCs w:val="17"/>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our NPS technology, including, but not limited to, additional financing through follow-on stock offerings, debt financings, or co-development agreements and /or other alternatives.</w:t>
      </w:r>
    </w:p>
    <w:p>
      <w:pPr>
        <w:spacing w:after="0" w:line="12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35" w:lineRule="exact"/>
        <w:rPr>
          <w:sz w:val="20"/>
          <w:szCs w:val="20"/>
          <w:color w:val="auto"/>
        </w:rPr>
      </w:pPr>
    </w:p>
    <w:p>
      <w:pPr>
        <w:jc w:val="both"/>
        <w:ind w:right="280" w:firstLine="441"/>
        <w:spacing w:after="0" w:line="238" w:lineRule="auto"/>
        <w:rPr>
          <w:sz w:val="20"/>
          <w:szCs w:val="20"/>
          <w:color w:val="auto"/>
        </w:rPr>
      </w:pPr>
      <w:r>
        <w:rPr>
          <w:rFonts w:ascii="Arial" w:cs="Arial" w:eastAsia="Arial" w:hAnsi="Arial"/>
          <w:sz w:val="17"/>
          <w:szCs w:val="17"/>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ind w:right="80" w:firstLine="441"/>
        <w:spacing w:after="0" w:line="238" w:lineRule="auto"/>
        <w:rPr>
          <w:sz w:val="20"/>
          <w:szCs w:val="20"/>
          <w:color w:val="auto"/>
        </w:rPr>
      </w:pPr>
      <w:r>
        <w:rPr>
          <w:rFonts w:ascii="Arial" w:cs="Arial" w:eastAsia="Arial" w:hAnsi="Arial"/>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Market Risk</w:t>
      </w:r>
    </w:p>
    <w:p>
      <w:pPr>
        <w:spacing w:after="0" w:line="148"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As of September 30, 2018 and December 31, 2017, we had cash, cash equivalents and investments totaling $21.0 million and $38.1 million, respectively, all of which have maturities of less than three years. The goals of our investment policy are preservation of capital, fulfillment of liquidity needs and fiduciary control of our cash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risks. We currently do not hedge interest rate exposure. A decline in interest rates would reduce our interest income; however, because of the short-term maturities of our investments, we do not believe that a hypothetical 10% change in market interest rates would have a material negative impact on the value of our investment portfolio.</w:t>
      </w:r>
    </w:p>
    <w:p>
      <w:pPr>
        <w:spacing w:after="0" w:line="135"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auto"/>
        </w:rPr>
        <w:t>On the other hand, when interest rates rise, our marketable securities purchased at a lower yield would incur a mark-to-market unrealized loss. Under certain circumstances, if we are forced to sell our marketable securities prior to maturity, we may incur realized losses in such investments. However, because of the conservative and short-term nature of the investments in our portfolio, a change in interest rates is not expected to have a material impact on our condensed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48"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color w:val="auto"/>
        </w:rPr>
        <w:t>The majority of our expense and capital purchasing activities are transacted in U.S. dollars. We do not currently have any international operations. We may incur foreign exchange gains or losses in the future.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our Chief Financial Officer have concluded that, as of September 30, 2018,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right="20" w:firstLine="441"/>
        <w:spacing w:after="0" w:line="244"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required by Rule 13a-15(d) and 15d-15(d) of the Exchange Act, as amended, that occurred during the quarter ended September 30, 2018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GAAP.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right="80" w:firstLine="441"/>
        <w:spacing w:after="0" w:line="22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firstLine="441"/>
        <w:spacing w:after="0" w:line="219" w:lineRule="auto"/>
        <w:rPr>
          <w:sz w:val="20"/>
          <w:szCs w:val="20"/>
          <w:color w:val="auto"/>
        </w:rPr>
      </w:pPr>
      <w:r>
        <w:rPr>
          <w:rFonts w:ascii="Arial" w:cs="Arial" w:eastAsia="Arial" w:hAnsi="Arial"/>
          <w:sz w:val="18"/>
          <w:szCs w:val="18"/>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 in the form of letters and other communications.</w:t>
      </w:r>
    </w:p>
    <w:p>
      <w:pPr>
        <w:spacing w:after="0" w:line="122" w:lineRule="exact"/>
        <w:rPr>
          <w:sz w:val="20"/>
          <w:szCs w:val="20"/>
          <w:color w:val="auto"/>
        </w:rPr>
      </w:pPr>
    </w:p>
    <w:p>
      <w:pPr>
        <w:ind w:firstLine="441"/>
        <w:spacing w:after="0" w:line="212" w:lineRule="auto"/>
        <w:rPr>
          <w:sz w:val="20"/>
          <w:szCs w:val="20"/>
          <w:color w:val="auto"/>
        </w:rPr>
      </w:pPr>
      <w:r>
        <w:rPr>
          <w:rFonts w:ascii="Arial" w:cs="Arial" w:eastAsia="Arial" w:hAnsi="Arial"/>
          <w:sz w:val="18"/>
          <w:szCs w:val="18"/>
          <w:color w:val="auto"/>
        </w:rPr>
        <w:t>We and certain of our directors have received subpoenas from the Securities and Exchange Commission (“SEC”) requesting documents and other information in connection with an investigation into trading in our stock in advance of our September 2017 financing announcement. According to documents received from the SEC, “This investigation is a non-public, fact-finding inquiry. We are [the SEC is] trying to determine whether there have been any violations of the federal securities laws. The investigation and the subpoena do not mean that we have [the SEC has] concluded that you or anyone else has violated the law. Also, the investigation does not mean that we have a negative opinion of any person, entity or security.” We are fully cooperating with the investigation.</w:t>
      </w:r>
    </w:p>
    <w:p>
      <w:pPr>
        <w:spacing w:after="0" w:line="125" w:lineRule="exact"/>
        <w:rPr>
          <w:sz w:val="20"/>
          <w:szCs w:val="20"/>
          <w:color w:val="auto"/>
        </w:rPr>
      </w:pPr>
    </w:p>
    <w:p>
      <w:pPr>
        <w:ind w:right="240" w:firstLine="441"/>
        <w:spacing w:after="0" w:line="258" w:lineRule="auto"/>
        <w:rPr>
          <w:sz w:val="20"/>
          <w:szCs w:val="20"/>
          <w:color w:val="auto"/>
        </w:rPr>
      </w:pPr>
      <w:r>
        <w:rPr>
          <w:rFonts w:ascii="Arial" w:cs="Arial" w:eastAsia="Arial" w:hAnsi="Arial"/>
          <w:sz w:val="17"/>
          <w:szCs w:val="17"/>
          <w:color w:val="auto"/>
        </w:rPr>
        <w:t>The results of legal proceedings and claims are inherently unpredictable. We do not believe any currently pending matters will have a material adverse effect on our business based on our current understanding of such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60" w:firstLine="441"/>
        <w:spacing w:after="0" w:line="244"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Industry and Financial Condition</w:t>
      </w:r>
    </w:p>
    <w:p>
      <w:pPr>
        <w:spacing w:after="0" w:line="148"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8"/>
          <w:szCs w:val="18"/>
          <w:color w:val="auto"/>
        </w:rPr>
        <w:t>.</w:t>
      </w:r>
    </w:p>
    <w:p>
      <w:pPr>
        <w:spacing w:after="0" w:line="135" w:lineRule="exact"/>
        <w:rPr>
          <w:sz w:val="20"/>
          <w:szCs w:val="20"/>
          <w:color w:val="auto"/>
        </w:rPr>
      </w:pPr>
    </w:p>
    <w:p>
      <w:pPr>
        <w:ind w:right="60" w:firstLine="441"/>
        <w:spacing w:after="0" w:line="239" w:lineRule="auto"/>
        <w:rPr>
          <w:sz w:val="20"/>
          <w:szCs w:val="20"/>
          <w:color w:val="auto"/>
        </w:rPr>
      </w:pPr>
      <w:r>
        <w:rPr>
          <w:rFonts w:ascii="Arial" w:cs="Arial" w:eastAsia="Arial" w:hAnsi="Arial"/>
          <w:sz w:val="16"/>
          <w:szCs w:val="16"/>
          <w:color w:val="auto"/>
        </w:rPr>
        <w:t>We are a clinical-stage medical technology company and have not yet commenced revenue-producing operations. To date, our operations on a consolidated basis have consisted of the continued development of our technologies and implementation of the early parts of our business plan. We have incurred significant operating losses in each year since our inception and we expect to continue to incur additional loses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currently have no commercial products or product revenue and may never become profitable.</w:t>
      </w:r>
    </w:p>
    <w:p>
      <w:pPr>
        <w:spacing w:after="0" w:line="144" w:lineRule="exact"/>
        <w:rPr>
          <w:sz w:val="20"/>
          <w:szCs w:val="20"/>
          <w:color w:val="auto"/>
        </w:rPr>
      </w:pPr>
    </w:p>
    <w:p>
      <w:pPr>
        <w:ind w:right="40" w:firstLine="441"/>
        <w:spacing w:after="0" w:line="234" w:lineRule="auto"/>
        <w:rPr>
          <w:sz w:val="20"/>
          <w:szCs w:val="20"/>
          <w:color w:val="auto"/>
        </w:rPr>
      </w:pPr>
      <w:r>
        <w:rPr>
          <w:rFonts w:ascii="Arial" w:cs="Arial" w:eastAsia="Arial" w:hAnsi="Arial"/>
          <w:sz w:val="16"/>
          <w:szCs w:val="16"/>
          <w:color w:val="auto"/>
        </w:rPr>
        <w:t>To date, we have not generated revenue and have relied on financing from the sale of equity securities to fund our operations. We expect that our future financial results will depend primarily on our success in obtaining approval for, launching, selling and supporting our NPS therapies and treatments utilizing our CellFX</w:t>
      </w:r>
      <w:r>
        <w:rPr>
          <w:rFonts w:ascii="Arial" w:cs="Arial" w:eastAsia="Arial" w:hAnsi="Arial"/>
          <w:sz w:val="7"/>
          <w:szCs w:val="7"/>
          <w:color w:val="auto"/>
        </w:rPr>
        <w:t>TM</w:t>
      </w:r>
      <w:r>
        <w:rPr>
          <w:rFonts w:ascii="Arial" w:cs="Arial" w:eastAsia="Arial" w:hAnsi="Arial"/>
          <w:sz w:val="16"/>
          <w:szCs w:val="16"/>
          <w:color w:val="auto"/>
        </w:rPr>
        <w:t xml:space="preserve"> System or other products based on Nano-Pulse Stimulation, or NPS; however, our technology is still in development and has not been approved to treat any disease or condition.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and other operational personnel, and the continued development of relationships with potential partners. We are incurring significant operating losses, we expect to continue to incur additional loses for at least the next several years, and we cannot assure you that we will generate revenue or be profitable in the future. Our future products may never be approved or become commercially viable or accepted for use. Even if we find commercially viable applications for our technology, which may include licensing, we may never recover our research and development expenses.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80" w:firstLine="441"/>
        <w:spacing w:after="0" w:line="225" w:lineRule="auto"/>
        <w:rPr>
          <w:sz w:val="20"/>
          <w:szCs w:val="20"/>
          <w:color w:val="auto"/>
        </w:rPr>
      </w:pPr>
      <w:r>
        <w:rPr>
          <w:rFonts w:ascii="Arial" w:cs="Arial" w:eastAsia="Arial" w:hAnsi="Arial"/>
          <w:sz w:val="17"/>
          <w:szCs w:val="17"/>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35" w:lineRule="exact"/>
        <w:rPr>
          <w:sz w:val="20"/>
          <w:szCs w:val="20"/>
          <w:color w:val="auto"/>
        </w:rPr>
      </w:pPr>
    </w:p>
    <w:p>
      <w:pPr>
        <w:ind w:right="30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21"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We have experienced operating losses, and we expect to continue to incur operating losses for the next several years as we implement our business plan. Currently, we have no revenue and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 While we have evaluated our ability to continue as a going concern and concluded that, based on the financial support and commitment discussed below, we believe we have the resources necessary to fund operations for the next twelve months from the date of issuance of this Quarterly Report, our inability to raise capital in the future could have a material adverse effect on our business, financial condition and results of operations. We plan to raise additional funds in the near future and intend to finance our operations through equity financings.</w:t>
      </w:r>
    </w:p>
    <w:p>
      <w:pPr>
        <w:spacing w:after="0" w:line="121"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On October 26, 2018, Robert W. Duggan, our chairman of the Board, and the beneficial owner of approximately 35% of our common stock outstanding as of the date of this Quarterly Report, made an irrevocable commitment to provide financial support of up to $15,000,000 to ensure our ability to operate as a going concern through the period ending November 15, 2019. Such continuing support may take the form of purchase of equity, loans or advances to us. There can be no assurance that, if needed, we will be successful in negotiating and obtaining additional financing from Mr. Duggan pursuant to this commitment on favorable terms, or at all.</w:t>
      </w:r>
    </w:p>
    <w:p>
      <w:pPr>
        <w:spacing w:after="0" w:line="135" w:lineRule="exact"/>
        <w:rPr>
          <w:sz w:val="20"/>
          <w:szCs w:val="20"/>
          <w:color w:val="auto"/>
        </w:rPr>
      </w:pPr>
    </w:p>
    <w:p>
      <w:pPr>
        <w:ind w:right="60" w:firstLine="441"/>
        <w:spacing w:after="0" w:line="223" w:lineRule="auto"/>
        <w:rPr>
          <w:sz w:val="20"/>
          <w:szCs w:val="20"/>
          <w:color w:val="auto"/>
        </w:rPr>
      </w:pPr>
      <w:r>
        <w:rPr>
          <w:rFonts w:ascii="Arial" w:cs="Arial" w:eastAsia="Arial" w:hAnsi="Arial"/>
          <w:sz w:val="17"/>
          <w:szCs w:val="17"/>
          <w:color w:val="auto"/>
        </w:rPr>
        <w:t>We cannot give any assurance that we will be able to obtain all the necessary funding that we may need. In addition, we believe that we will require additional capital in the future to fully develop our technologies and planned products to the stage of a commercial launch. We have pursued and may pursue additional funding through various financing sources, including the private sale of our equity and debt securities, licensing fees for our technology, joint ventures with capital partners and project type financing. If we raise funds by issuing equity or equity-linked securities, dilution to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 based financing, such as development and research grants. There can be no assurance that funds will be available on commercially reasonable terms, if at all.</w:t>
      </w:r>
    </w:p>
    <w:p>
      <w:pPr>
        <w:spacing w:after="0" w:line="121" w:lineRule="exact"/>
        <w:rPr>
          <w:sz w:val="20"/>
          <w:szCs w:val="20"/>
          <w:color w:val="auto"/>
        </w:rPr>
      </w:pPr>
    </w:p>
    <w:p>
      <w:pPr>
        <w:ind w:right="60" w:firstLine="441"/>
        <w:spacing w:after="0" w:line="236" w:lineRule="auto"/>
        <w:rPr>
          <w:sz w:val="20"/>
          <w:szCs w:val="20"/>
          <w:color w:val="auto"/>
        </w:rPr>
      </w:pPr>
      <w:r>
        <w:rPr>
          <w:rFonts w:ascii="Arial" w:cs="Arial" w:eastAsia="Arial" w:hAnsi="Arial"/>
          <w:sz w:val="16"/>
          <w:szCs w:val="16"/>
          <w:color w:val="auto"/>
        </w:rPr>
        <w:t>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22" w:lineRule="exact"/>
        <w:rPr>
          <w:sz w:val="20"/>
          <w:szCs w:val="20"/>
          <w:color w:val="auto"/>
        </w:rPr>
      </w:pPr>
    </w:p>
    <w:p>
      <w:pPr>
        <w:ind w:right="60" w:firstLine="441"/>
        <w:spacing w:after="0" w:line="229"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40" w:firstLine="441"/>
        <w:spacing w:after="0" w:line="289" w:lineRule="auto"/>
        <w:rPr>
          <w:sz w:val="20"/>
          <w:szCs w:val="20"/>
          <w:color w:val="auto"/>
        </w:rPr>
      </w:pPr>
      <w:r>
        <w:rPr>
          <w:rFonts w:ascii="Arial" w:cs="Arial" w:eastAsia="Arial" w:hAnsi="Arial"/>
          <w:sz w:val="16"/>
          <w:szCs w:val="16"/>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7" w:lineRule="exact"/>
        <w:rPr>
          <w:sz w:val="20"/>
          <w:szCs w:val="20"/>
          <w:color w:val="auto"/>
        </w:rPr>
      </w:pPr>
    </w:p>
    <w:p>
      <w:pPr>
        <w:ind w:firstLine="441"/>
        <w:spacing w:after="0" w:line="234" w:lineRule="auto"/>
        <w:rPr>
          <w:sz w:val="20"/>
          <w:szCs w:val="20"/>
          <w:color w:val="auto"/>
        </w:rPr>
      </w:pPr>
      <w:r>
        <w:rPr>
          <w:rFonts w:ascii="Arial" w:cs="Arial" w:eastAsia="Arial" w:hAnsi="Arial"/>
          <w:sz w:val="16"/>
          <w:szCs w:val="16"/>
          <w:color w:val="auto"/>
        </w:rPr>
        <w:t>We are highly dependent upon the principal members of our management team, including our Chief Executive Officer, Darrin Uecker, and the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22" w:lineRule="exact"/>
        <w:rPr>
          <w:sz w:val="20"/>
          <w:szCs w:val="20"/>
          <w:color w:val="auto"/>
        </w:rPr>
      </w:pPr>
    </w:p>
    <w:p>
      <w:pPr>
        <w:ind w:right="660" w:firstLine="441"/>
        <w:spacing w:after="0" w:line="324" w:lineRule="auto"/>
        <w:rPr>
          <w:sz w:val="20"/>
          <w:szCs w:val="20"/>
          <w:color w:val="auto"/>
        </w:rPr>
      </w:pPr>
      <w:r>
        <w:rPr>
          <w:rFonts w:ascii="Arial" w:cs="Arial" w:eastAsia="Arial" w:hAnsi="Arial"/>
          <w:sz w:val="15"/>
          <w:szCs w:val="15"/>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61"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Rapidly changing technology in life sciences could make the products we are developing obsolete.</w:t>
      </w:r>
    </w:p>
    <w:p>
      <w:pPr>
        <w:spacing w:after="0" w:line="144"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22"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b w:val="1"/>
          <w:bCs w:val="1"/>
          <w:i w:val="1"/>
          <w:iCs w:val="1"/>
          <w:color w:val="auto"/>
        </w:rPr>
        <w:t>We expect to operate in a highly competitive market, we may face competition from large, well-established medical device and product manufacturers with significant resources, and we may not be able to compete effectively.</w:t>
      </w:r>
    </w:p>
    <w:p>
      <w:pPr>
        <w:spacing w:after="0" w:line="97" w:lineRule="exact"/>
        <w:rPr>
          <w:sz w:val="20"/>
          <w:szCs w:val="20"/>
          <w:color w:val="auto"/>
        </w:rPr>
      </w:pPr>
    </w:p>
    <w:p>
      <w:pPr>
        <w:ind w:right="440" w:firstLine="441"/>
        <w:spacing w:after="0" w:line="224" w:lineRule="auto"/>
        <w:rPr>
          <w:sz w:val="20"/>
          <w:szCs w:val="20"/>
          <w:color w:val="auto"/>
        </w:rPr>
      </w:pPr>
      <w:r>
        <w:rPr>
          <w:rFonts w:ascii="Arial" w:cs="Arial" w:eastAsia="Arial" w:hAnsi="Arial"/>
          <w:sz w:val="18"/>
          <w:szCs w:val="18"/>
          <w:color w:val="auto"/>
        </w:rPr>
        <w:t>The medical technology, medical device, biotechnology and pharmaceutical industries are characterized by intense and dynamic competition to develop new technologies and proprietary therapies. We may find ourselves in competition with companies that have competitive advantages over us, such as:</w:t>
      </w:r>
    </w:p>
    <w:p>
      <w:pPr>
        <w:spacing w:after="0" w:line="123" w:lineRule="exact"/>
        <w:rPr>
          <w:sz w:val="20"/>
          <w:szCs w:val="20"/>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established relations with healthcare professionals, customers and third-party payers;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established distribution networks;</w:t>
      </w:r>
    </w:p>
    <w:p>
      <w:pPr>
        <w:spacing w:after="0" w:line="144" w:lineRule="exact"/>
        <w:rPr>
          <w:rFonts w:ascii="Arial" w:cs="Arial" w:eastAsia="Arial" w:hAnsi="Arial"/>
          <w:sz w:val="18"/>
          <w:szCs w:val="18"/>
          <w:color w:val="auto"/>
        </w:rPr>
      </w:pPr>
    </w:p>
    <w:p>
      <w:pPr>
        <w:ind w:left="860" w:right="580" w:hanging="427"/>
        <w:spacing w:after="0" w:line="235"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higher discounts or incentives to gain a competitive advantage;</w:t>
      </w:r>
    </w:p>
    <w:p>
      <w:pPr>
        <w:spacing w:after="0" w:line="121" w:lineRule="exact"/>
        <w:rPr>
          <w:rFonts w:ascii="Arial" w:cs="Arial" w:eastAsia="Arial" w:hAnsi="Arial"/>
          <w:sz w:val="18"/>
          <w:szCs w:val="18"/>
          <w:color w:val="auto"/>
        </w:rPr>
      </w:pPr>
    </w:p>
    <w:p>
      <w:pPr>
        <w:ind w:left="860" w:right="620" w:hanging="427"/>
        <w:spacing w:after="0" w:line="235"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obtaining regulatory approval for products, and marketing approved products; and</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20" w:firstLine="441"/>
        <w:spacing w:after="0" w:line="244" w:lineRule="auto"/>
        <w:rPr>
          <w:sz w:val="20"/>
          <w:szCs w:val="20"/>
          <w:color w:val="auto"/>
        </w:rPr>
      </w:pPr>
      <w:r>
        <w:rPr>
          <w:rFonts w:ascii="Arial" w:cs="Arial" w:eastAsia="Arial" w:hAnsi="Arial"/>
          <w:sz w:val="16"/>
          <w:szCs w:val="16"/>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As a result, we may not be able to compete effectively against current and potential future competitors or their devices and products.</w:t>
      </w:r>
    </w:p>
    <w:p>
      <w:pPr>
        <w:spacing w:after="0" w:line="132" w:lineRule="exact"/>
        <w:rPr>
          <w:sz w:val="20"/>
          <w:szCs w:val="20"/>
          <w:color w:val="auto"/>
        </w:rPr>
      </w:pPr>
    </w:p>
    <w:p>
      <w:pPr>
        <w:ind w:right="40" w:firstLine="441"/>
        <w:spacing w:after="0" w:line="235" w:lineRule="auto"/>
        <w:rPr>
          <w:sz w:val="20"/>
          <w:szCs w:val="20"/>
          <w:color w:val="auto"/>
        </w:rPr>
      </w:pPr>
      <w:r>
        <w:rPr>
          <w:rFonts w:ascii="Arial" w:cs="Arial" w:eastAsia="Arial" w:hAnsi="Arial"/>
          <w:sz w:val="18"/>
          <w:szCs w:val="18"/>
          <w:b w:val="1"/>
          <w:bCs w:val="1"/>
          <w:i w:val="1"/>
          <w:iCs w:val="1"/>
          <w:color w:val="auto"/>
        </w:rPr>
        <w:t>We may rely on third parties for our sales, marketing, manufacturing and/or distribution, and these third parties may not perform satisfactorily.</w:t>
      </w:r>
    </w:p>
    <w:p>
      <w:pPr>
        <w:spacing w:after="0" w:line="121" w:lineRule="exact"/>
        <w:rPr>
          <w:sz w:val="20"/>
          <w:szCs w:val="20"/>
          <w:color w:val="auto"/>
        </w:rPr>
      </w:pPr>
    </w:p>
    <w:p>
      <w:pPr>
        <w:ind w:right="20" w:firstLine="441"/>
        <w:spacing w:after="0" w:line="210" w:lineRule="auto"/>
        <w:rPr>
          <w:sz w:val="20"/>
          <w:szCs w:val="20"/>
          <w:color w:val="auto"/>
        </w:rPr>
      </w:pPr>
      <w:r>
        <w:rPr>
          <w:rFonts w:ascii="Arial" w:cs="Arial" w:eastAsia="Arial" w:hAnsi="Arial"/>
          <w:sz w:val="18"/>
          <w:szCs w:val="18"/>
          <w:color w:val="auto"/>
        </w:rPr>
        <w:t>We do not currently conduct any aspects of sales, marketing, large-scale manufacturing or distribution. To be able to commercialize our planned products, we may elect to internally develop all of the foregoing or utilize third parties with respect to one or more of these items. Our reliance on these third parties may reduce our control over these activities;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126" w:lineRule="exact"/>
        <w:rPr>
          <w:sz w:val="20"/>
          <w:szCs w:val="20"/>
          <w:color w:val="auto"/>
        </w:rPr>
      </w:pPr>
    </w:p>
    <w:p>
      <w:pPr>
        <w:ind w:right="40" w:firstLine="441"/>
        <w:spacing w:after="0" w:line="211" w:lineRule="auto"/>
        <w:rPr>
          <w:sz w:val="20"/>
          <w:szCs w:val="20"/>
          <w:color w:val="auto"/>
        </w:rPr>
      </w:pPr>
      <w:r>
        <w:rPr>
          <w:rFonts w:ascii="Arial" w:cs="Arial" w:eastAsia="Arial" w:hAnsi="Arial"/>
          <w:sz w:val="18"/>
          <w:szCs w:val="18"/>
          <w:color w:val="auto"/>
        </w:rPr>
        <w:t>We do not have any corporate experience in establishing these capabilities, and therefore, we may be unsuccessful in achieving commercialization and earning revenues. We believe that setting up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38" w:lineRule="exact"/>
        <w:rPr>
          <w:sz w:val="20"/>
          <w:szCs w:val="20"/>
          <w:color w:val="auto"/>
        </w:rPr>
      </w:pPr>
    </w:p>
    <w:p>
      <w:pPr>
        <w:ind w:right="40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harmed.</w:t>
      </w:r>
    </w:p>
    <w:p>
      <w:pPr>
        <w:spacing w:after="0" w:line="121"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We have experienced and continue to experience rapid growth in our business. Recent and future growth imposes significant added responsibilities on management, including the need to identify, recruit, train and integrate additional employees. Rapid expansion in personnel could mean that less experienced people carry out our research and development activities, manufacture our CellFX System and market and sell our NPS therapies and treatments,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127" w:lineRule="exact"/>
        <w:rPr>
          <w:sz w:val="20"/>
          <w:szCs w:val="20"/>
          <w:color w:val="auto"/>
        </w:rPr>
      </w:pPr>
    </w:p>
    <w:p>
      <w:pPr>
        <w:ind w:firstLine="441"/>
        <w:spacing w:after="0" w:line="224"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36" w:lineRule="exact"/>
        <w:rPr>
          <w:sz w:val="20"/>
          <w:szCs w:val="20"/>
          <w:color w:val="auto"/>
        </w:rPr>
      </w:pPr>
    </w:p>
    <w:p>
      <w:pPr>
        <w:ind w:right="120" w:firstLine="441"/>
        <w:spacing w:after="0" w:line="226" w:lineRule="auto"/>
        <w:rPr>
          <w:sz w:val="20"/>
          <w:szCs w:val="20"/>
          <w:color w:val="auto"/>
        </w:rPr>
      </w:pPr>
      <w:r>
        <w:rPr>
          <w:rFonts w:ascii="Arial" w:cs="Arial" w:eastAsia="Arial" w:hAnsi="Arial"/>
          <w:sz w:val="17"/>
          <w:szCs w:val="17"/>
          <w:color w:val="auto"/>
        </w:rPr>
        <w:t>In the ordinary course of our business,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w:t>
      </w:r>
    </w:p>
    <w:p>
      <w:pPr>
        <w:spacing w:after="0" w:line="125" w:lineRule="exact"/>
        <w:rPr>
          <w:sz w:val="20"/>
          <w:szCs w:val="20"/>
          <w:color w:val="auto"/>
        </w:rPr>
      </w:pPr>
    </w:p>
    <w:p>
      <w:pPr>
        <w:ind w:right="140" w:firstLine="441"/>
        <w:spacing w:after="0" w:line="239" w:lineRule="auto"/>
        <w:rPr>
          <w:sz w:val="20"/>
          <w:szCs w:val="20"/>
          <w:color w:val="auto"/>
        </w:rPr>
      </w:pPr>
      <w:r>
        <w:rPr>
          <w:rFonts w:ascii="Arial" w:cs="Arial" w:eastAsia="Arial" w:hAnsi="Arial"/>
          <w:sz w:val="16"/>
          <w:szCs w:val="16"/>
          <w:color w:val="auto"/>
        </w:rPr>
        <w:t>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federal Health Insurance Portability and Accountability Act of 1996, or HIPAA, as amended by the Health Information Technology for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Economic and Clinical Health Act of 2009, or HITECH, and regulatory penalties. 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w:t>
      </w:r>
    </w:p>
    <w:p>
      <w:pPr>
        <w:spacing w:after="0" w:line="135" w:lineRule="exact"/>
        <w:rPr>
          <w:sz w:val="20"/>
          <w:szCs w:val="20"/>
          <w:color w:val="auto"/>
        </w:rPr>
      </w:pPr>
    </w:p>
    <w:p>
      <w:pPr>
        <w:ind w:right="260" w:firstLine="441"/>
        <w:spacing w:after="0" w:line="214"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22" w:lineRule="exact"/>
        <w:rPr>
          <w:sz w:val="20"/>
          <w:szCs w:val="20"/>
          <w:color w:val="auto"/>
        </w:rPr>
      </w:pPr>
    </w:p>
    <w:p>
      <w:pPr>
        <w:ind w:right="200" w:firstLine="441"/>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We face an inherent risk of product liability exposure related to the future sale of planned products and the use of planned products in human clinical studies.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planned products caused injuries, we may incur substantial liabilities. Regardless of merit or eventual outcome, liability claims may result in:</w:t>
      </w:r>
    </w:p>
    <w:p>
      <w:pPr>
        <w:spacing w:after="0" w:line="141" w:lineRule="exact"/>
        <w:rPr>
          <w:sz w:val="20"/>
          <w:szCs w:val="20"/>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ind w:firstLine="441"/>
        <w:spacing w:after="0" w:line="235" w:lineRule="auto"/>
        <w:rPr>
          <w:sz w:val="20"/>
          <w:szCs w:val="20"/>
          <w:color w:val="auto"/>
        </w:rPr>
      </w:pPr>
      <w:r>
        <w:rPr>
          <w:rFonts w:ascii="Arial" w:cs="Arial" w:eastAsia="Arial" w:hAnsi="Arial"/>
          <w:sz w:val="16"/>
          <w:szCs w:val="16"/>
          <w:color w:val="auto"/>
        </w:rPr>
        <w:t>For example, if we pursue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NPS Technology or our CellFX and PulseTx</w:t>
      </w:r>
      <w:r>
        <w:rPr>
          <w:rFonts w:ascii="Arial" w:cs="Arial" w:eastAsia="Arial" w:hAnsi="Arial"/>
          <w:sz w:val="7"/>
          <w:szCs w:val="7"/>
          <w:color w:val="auto"/>
        </w:rPr>
        <w:t>TM</w:t>
      </w:r>
      <w:r>
        <w:rPr>
          <w:rFonts w:ascii="Arial" w:cs="Arial" w:eastAsia="Arial" w:hAnsi="Arial"/>
          <w:sz w:val="16"/>
          <w:szCs w:val="16"/>
          <w:color w:val="auto"/>
        </w:rPr>
        <w:t xml:space="preserve"> Systems.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25" w:lineRule="exact"/>
        <w:rPr>
          <w:sz w:val="20"/>
          <w:szCs w:val="20"/>
          <w:color w:val="auto"/>
        </w:rPr>
      </w:pPr>
    </w:p>
    <w:p>
      <w:pPr>
        <w:ind w:right="100" w:firstLine="441"/>
        <w:spacing w:after="0" w:line="224" w:lineRule="auto"/>
        <w:rPr>
          <w:sz w:val="20"/>
          <w:szCs w:val="20"/>
          <w:color w:val="auto"/>
        </w:rPr>
      </w:pPr>
      <w:r>
        <w:rPr>
          <w:rFonts w:ascii="Arial" w:cs="Arial" w:eastAsia="Arial" w:hAnsi="Arial"/>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158" w:lineRule="exact"/>
        <w:rPr>
          <w:sz w:val="20"/>
          <w:szCs w:val="20"/>
          <w:color w:val="auto"/>
        </w:rPr>
      </w:pPr>
    </w:p>
    <w:p>
      <w:pPr>
        <w:ind w:right="100" w:firstLine="441"/>
        <w:spacing w:after="0" w:line="258"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44"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We have incurred net losses since our inception and anticipate that we will continue to incur significant losses for the foreseeable future. If not utilized, the federal and state NOL carryforwards will begin to expire in various years beginning after 2032. Under the Internal Revenue Code of 1986, as amended, or the Code, and certain similar state tax provisions, a corporation is generally allowed a deduction for net operating losses, or NOLs, carried over from a prior taxable year. Under those provisions, we can carry forward our NOLs to offset our future taxable income, if any, until such NOLs are used or expire. The same is true of other unused tax attributes, such as tax credits.</w:t>
      </w:r>
    </w:p>
    <w:p>
      <w:pPr>
        <w:spacing w:after="0" w:line="122" w:lineRule="exact"/>
        <w:rPr>
          <w:sz w:val="20"/>
          <w:szCs w:val="20"/>
          <w:color w:val="auto"/>
        </w:rPr>
      </w:pPr>
    </w:p>
    <w:p>
      <w:pPr>
        <w:jc w:val="both"/>
        <w:ind w:right="40" w:firstLine="441"/>
        <w:spacing w:after="0" w:line="216" w:lineRule="auto"/>
        <w:rPr>
          <w:sz w:val="20"/>
          <w:szCs w:val="20"/>
          <w:color w:val="auto"/>
        </w:rPr>
      </w:pPr>
      <w:r>
        <w:rPr>
          <w:rFonts w:ascii="Arial" w:cs="Arial" w:eastAsia="Arial" w:hAnsi="Arial"/>
          <w:sz w:val="18"/>
          <w:szCs w:val="18"/>
          <w:color w:val="auto"/>
        </w:rPr>
        <w:t>In addition, 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35" w:lineRule="exact"/>
        <w:rPr>
          <w:sz w:val="20"/>
          <w:szCs w:val="20"/>
          <w:color w:val="auto"/>
        </w:rPr>
      </w:pPr>
    </w:p>
    <w:p>
      <w:pPr>
        <w:ind w:firstLine="441"/>
        <w:spacing w:after="0" w:line="241" w:lineRule="auto"/>
        <w:rPr>
          <w:sz w:val="20"/>
          <w:szCs w:val="20"/>
          <w:color w:val="auto"/>
        </w:rPr>
      </w:pPr>
      <w:r>
        <w:rPr>
          <w:rFonts w:ascii="Arial" w:cs="Arial" w:eastAsia="Arial" w:hAnsi="Arial"/>
          <w:sz w:val="16"/>
          <w:szCs w:val="16"/>
          <w:color w:val="auto"/>
        </w:rPr>
        <w:t>Further, in December 2017, the Tax Cuts and Jobs Act (the “TCJA”) was enacted into law. The change in the tax law was partially effective in 2017 and fully effective in 2018. The primary impacts to us include a decrease of the corporate income tax rate structure and NOL limitations. These changes may have a material impact to the value of deferred tax assets and liabilities and our future taxable income and effective tax rate. We are assessing the TCJA with professional advisers, and believe that the impact of the TCJA on our business may not be fully known for some time, until such analysis is complete, the full impact of the new tax law on us in future periods is uncertain, and no assurances can be made by us on any potential impacts.</w:t>
      </w:r>
    </w:p>
    <w:p>
      <w:pPr>
        <w:spacing w:after="0" w:line="120" w:lineRule="exact"/>
        <w:rPr>
          <w:sz w:val="20"/>
          <w:szCs w:val="20"/>
          <w:color w:val="auto"/>
        </w:rPr>
      </w:pPr>
    </w:p>
    <w:p>
      <w:pPr>
        <w:ind w:right="20" w:firstLine="441"/>
        <w:spacing w:after="0" w:line="258" w:lineRule="auto"/>
        <w:rPr>
          <w:sz w:val="20"/>
          <w:szCs w:val="20"/>
          <w:color w:val="auto"/>
        </w:rPr>
      </w:pPr>
      <w:r>
        <w:rPr>
          <w:rFonts w:ascii="Arial" w:cs="Arial" w:eastAsia="Arial" w:hAnsi="Arial"/>
          <w:sz w:val="17"/>
          <w:szCs w:val="17"/>
          <w:b w:val="1"/>
          <w:bCs w:val="1"/>
          <w:i w:val="1"/>
          <w:iCs w:val="1"/>
          <w:color w:val="auto"/>
        </w:rPr>
        <w:t>We have a substantial amount of goodwill and intangible assets which over time may have to be written down as we make the required periodic assessments as to their value as reflected on our financial statements.</w:t>
      </w:r>
    </w:p>
    <w:p>
      <w:pPr>
        <w:spacing w:after="0" w:line="106"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36" w:lineRule="exact"/>
        <w:rPr>
          <w:sz w:val="20"/>
          <w:szCs w:val="20"/>
          <w:color w:val="auto"/>
        </w:rPr>
      </w:pPr>
    </w:p>
    <w:p>
      <w:pPr>
        <w:jc w:val="both"/>
        <w:ind w:right="260" w:firstLine="441"/>
        <w:spacing w:after="0" w:line="284" w:lineRule="auto"/>
        <w:rPr>
          <w:sz w:val="20"/>
          <w:szCs w:val="20"/>
          <w:color w:val="auto"/>
        </w:rPr>
      </w:pPr>
      <w:r>
        <w:rPr>
          <w:rFonts w:ascii="Arial" w:cs="Arial" w:eastAsia="Arial" w:hAnsi="Arial"/>
          <w:sz w:val="15"/>
          <w:szCs w:val="15"/>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0" w:lineRule="exact"/>
        <w:rPr>
          <w:sz w:val="20"/>
          <w:szCs w:val="20"/>
          <w:color w:val="auto"/>
        </w:rPr>
      </w:pPr>
    </w:p>
    <w:p>
      <w:pPr>
        <w:ind w:right="20" w:firstLine="441"/>
        <w:spacing w:after="0" w:line="222"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GAAP. We may not be able to complete our evaluation, testing and any required remediation in a timely fashion. During the evaluation and testing process, if we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identify one or more material weaknesses in our internal control over financial reporting, we will be unable to assert that our internal controls are effective.</w:t>
      </w:r>
    </w:p>
    <w:p>
      <w:pPr>
        <w:spacing w:after="0" w:line="135" w:lineRule="exact"/>
        <w:rPr>
          <w:sz w:val="20"/>
          <w:szCs w:val="20"/>
          <w:color w:val="auto"/>
        </w:rPr>
      </w:pPr>
    </w:p>
    <w:p>
      <w:pPr>
        <w:ind w:right="20" w:firstLine="441"/>
        <w:spacing w:after="0" w:line="239" w:lineRule="auto"/>
        <w:rPr>
          <w:sz w:val="20"/>
          <w:szCs w:val="20"/>
          <w:color w:val="auto"/>
        </w:rPr>
      </w:pPr>
      <w:r>
        <w:rPr>
          <w:rFonts w:ascii="Arial" w:cs="Arial" w:eastAsia="Arial" w:hAnsi="Arial"/>
          <w:sz w:val="16"/>
          <w:szCs w:val="16"/>
          <w:color w:val="auto"/>
        </w:rPr>
        <w:t>In connection with the audit of our financial statements as of and for the year ended December 31, 2016, we identified a material weakness in our internal control over financial reporting. The material weakness related to a lack of effective controls to adequately restrict access and segregate duties. We implemented measures and remediated the material weakness in 2017; however, we cannot assure you that the measures we have taken to date, and are continuing to implement, will be sufficient to avoid potential future material weaknesses. The existence of one or more material weaknesses could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22"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or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22" w:lineRule="exact"/>
        <w:rPr>
          <w:sz w:val="20"/>
          <w:szCs w:val="20"/>
          <w:color w:val="auto"/>
        </w:rPr>
      </w:pPr>
    </w:p>
    <w:p>
      <w:pPr>
        <w:ind w:right="20" w:firstLine="441"/>
        <w:spacing w:after="0" w:line="324" w:lineRule="auto"/>
        <w:rPr>
          <w:sz w:val="20"/>
          <w:szCs w:val="20"/>
          <w:color w:val="auto"/>
        </w:rPr>
      </w:pPr>
      <w:r>
        <w:rPr>
          <w:rFonts w:ascii="Arial" w:cs="Arial" w:eastAsia="Arial" w:hAnsi="Arial"/>
          <w:sz w:val="15"/>
          <w:szCs w:val="15"/>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7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Our facilities in the San Francisco Bay Area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62"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We currently do not have any products approved or cleared by the FDA or other similar foreign regulatory authorities for commercial sale or any commercialized products.</w:t>
      </w:r>
    </w:p>
    <w:p>
      <w:pPr>
        <w:spacing w:after="0" w:line="121"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To date, we have invested a substantial amount of time and capital to research and develop the foundations of our technology and potential applications. For us to develop any products that might ultimately be commercialized, we will have to invest further time and capital in research and product development, medical and other regulatory compliance, and market development. Therefore, we may never develop any products that can be commercialized. All of our development efforts will require substantial additional investment, which may never result in any revenue. Our efforts may not lead to approved or commercially successful products for a number of reasons, including:</w:t>
      </w:r>
    </w:p>
    <w:p>
      <w:pPr>
        <w:spacing w:after="0" w:line="122" w:lineRule="exact"/>
        <w:rPr>
          <w:sz w:val="20"/>
          <w:szCs w:val="20"/>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complete the science and develop any planned products for NPS;</w:t>
      </w:r>
    </w:p>
    <w:p>
      <w:pPr>
        <w:spacing w:after="0" w:line="144" w:lineRule="exact"/>
        <w:rPr>
          <w:rFonts w:ascii="Arial" w:cs="Arial" w:eastAsia="Arial" w:hAnsi="Arial"/>
          <w:sz w:val="18"/>
          <w:szCs w:val="18"/>
          <w:color w:val="auto"/>
        </w:rPr>
      </w:pPr>
    </w:p>
    <w:p>
      <w:pPr>
        <w:ind w:left="860" w:right="560" w:hanging="427"/>
        <w:spacing w:after="0" w:line="235"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regulatory approvals for our planned products, or the approved indications may be narrower than we seek;</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delays in our development program, clinical trials and the regulatory approval process;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NPS technology may not prove to be safe or effective in clinical trials;</w:t>
      </w:r>
    </w:p>
    <w:p>
      <w:pPr>
        <w:spacing w:after="0" w:line="144" w:lineRule="exact"/>
        <w:rPr>
          <w:rFonts w:ascii="Arial" w:cs="Arial" w:eastAsia="Arial" w:hAnsi="Arial"/>
          <w:sz w:val="18"/>
          <w:szCs w:val="18"/>
          <w:color w:val="auto"/>
        </w:rPr>
      </w:pPr>
    </w:p>
    <w:p>
      <w:pPr>
        <w:ind w:left="860" w:right="720" w:hanging="427"/>
        <w:spacing w:after="0" w:line="235"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physicians may not receive any reimbursement from third-party payers, or the level of reimbursement may be insufficient to support widespread adoption of any of our products;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products that are approved may not be accepted in the marketplace by physicians or patients;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manufacture our products in commercial quantities or at an acceptable cost; and</w:t>
      </w:r>
    </w:p>
    <w:p>
      <w:pPr>
        <w:spacing w:after="0" w:line="144" w:lineRule="exact"/>
        <w:rPr>
          <w:rFonts w:ascii="Arial" w:cs="Arial" w:eastAsia="Arial" w:hAnsi="Arial"/>
          <w:sz w:val="18"/>
          <w:szCs w:val="18"/>
          <w:color w:val="auto"/>
        </w:rPr>
      </w:pPr>
    </w:p>
    <w:p>
      <w:pPr>
        <w:ind w:left="860" w:right="60" w:hanging="427"/>
        <w:spacing w:after="0" w:line="235"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 technological change or the appearance of a new competitive technology may make our technology and products obsolete.</w:t>
      </w:r>
    </w:p>
    <w:p>
      <w:pPr>
        <w:spacing w:after="0" w:line="121" w:lineRule="exact"/>
        <w:rPr>
          <w:sz w:val="20"/>
          <w:szCs w:val="20"/>
          <w:color w:val="auto"/>
        </w:rPr>
      </w:pPr>
    </w:p>
    <w:p>
      <w:pPr>
        <w:ind w:right="640" w:firstLine="441"/>
        <w:spacing w:after="0" w:line="324" w:lineRule="auto"/>
        <w:rPr>
          <w:sz w:val="20"/>
          <w:szCs w:val="20"/>
          <w:color w:val="auto"/>
        </w:rPr>
      </w:pPr>
      <w:r>
        <w:rPr>
          <w:rFonts w:ascii="Arial" w:cs="Arial" w:eastAsia="Arial" w:hAnsi="Arial"/>
          <w:sz w:val="15"/>
          <w:szCs w:val="15"/>
          <w:b w:val="1"/>
          <w:bCs w:val="1"/>
          <w:i w:val="1"/>
          <w:iCs w:val="1"/>
          <w:color w:val="auto"/>
        </w:rPr>
        <w:t>If we fail to obtain and maintain necessary regulatory clearances or approvals for our devices, or if clearances or approvals for future devices and indications are delayed or not issued, our commercial operations would be harmed.</w:t>
      </w:r>
    </w:p>
    <w:p>
      <w:pPr>
        <w:spacing w:after="0" w:line="75" w:lineRule="exact"/>
        <w:rPr>
          <w:sz w:val="20"/>
          <w:szCs w:val="20"/>
          <w:color w:val="auto"/>
        </w:rPr>
      </w:pPr>
    </w:p>
    <w:p>
      <w:pPr>
        <w:ind w:right="280" w:firstLine="441"/>
        <w:spacing w:after="0" w:line="224" w:lineRule="auto"/>
        <w:rPr>
          <w:sz w:val="20"/>
          <w:szCs w:val="20"/>
          <w:color w:val="auto"/>
        </w:rPr>
      </w:pPr>
      <w:r>
        <w:rPr>
          <w:rFonts w:ascii="Arial" w:cs="Arial" w:eastAsia="Arial" w:hAnsi="Arial"/>
          <w:sz w:val="18"/>
          <w:szCs w:val="18"/>
          <w:color w:val="auto"/>
        </w:rPr>
        <w:t>Our devices are medical devices that are subject to extensive regulation by FDA in the United States and by regulatory agencies in other countries where we plan to do business. Government regulations specific to medical devices are wide-ranging and govern, among other things:</w:t>
      </w:r>
    </w:p>
    <w:p>
      <w:pPr>
        <w:spacing w:after="0" w:line="123" w:lineRule="exact"/>
        <w:rPr>
          <w:sz w:val="20"/>
          <w:szCs w:val="20"/>
          <w:color w:val="auto"/>
        </w:rPr>
      </w:pPr>
    </w:p>
    <w:p>
      <w:pPr>
        <w:ind w:left="860" w:hanging="42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device design, development and manufacture;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premarketing clearance and approval;</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device marketing, promotion and advertising, sales and distribution;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post-marketing surveillance, including reporting of deaths and serious injuries and recalls and correction and removals.</w:t>
      </w:r>
    </w:p>
    <w:p>
      <w:pPr>
        <w:spacing w:after="0" w:line="167" w:lineRule="exact"/>
        <w:rPr>
          <w:sz w:val="20"/>
          <w:szCs w:val="20"/>
          <w:color w:val="auto"/>
        </w:rPr>
      </w:pPr>
    </w:p>
    <w:p>
      <w:pPr>
        <w:ind w:right="40" w:firstLine="441"/>
        <w:spacing w:after="0" w:line="222" w:lineRule="auto"/>
        <w:rPr>
          <w:sz w:val="20"/>
          <w:szCs w:val="20"/>
          <w:color w:val="auto"/>
        </w:rPr>
      </w:pPr>
      <w:r>
        <w:rPr>
          <w:rFonts w:ascii="Arial" w:cs="Arial" w:eastAsia="Arial" w:hAnsi="Arial"/>
          <w:sz w:val="17"/>
          <w:szCs w:val="17"/>
          <w:color w:val="auto"/>
        </w:rPr>
        <w:t>Before a new medical device, or a new intended use for, an existing device can be marketed in the United States, a company must first submit and receive either 510(k) clearance or premarketing approval, or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510(k). Either process can be expensive, lengthy and unpredictable. We may not be able to obtain the necessary clearances or approvals or may be unduly delayed in doing so, which could harm our business. Furthermore, even if we are granted regulatory clearances or approvals, they may include significant limitations on the indicated uses for the device, which may limit the market for the device. For example, during September 2017, the FDA requested that we submit additional data in connection with our application seeking clearance of our system for soft tissue ablation. Subsequent to this FDA request, we chose to withdraw our application, so as to enable us to collect additional data and with the intent of submitting the data in a subsequent application.</w:t>
      </w:r>
    </w:p>
    <w:p>
      <w:pPr>
        <w:spacing w:after="0" w:line="134"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The FDA and the Federal Trade Commission, or FTC, also regulate the advertising and promotion of our devices to ensure that the claims we make are consistent with our regulatory clearances, that there are adequate and reasonable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22" w:lineRule="exact"/>
        <w:rPr>
          <w:sz w:val="20"/>
          <w:szCs w:val="20"/>
          <w:color w:val="auto"/>
        </w:rPr>
      </w:pPr>
    </w:p>
    <w:p>
      <w:pPr>
        <w:ind w:right="260" w:firstLine="441"/>
        <w:spacing w:after="0" w:line="289" w:lineRule="auto"/>
        <w:rPr>
          <w:sz w:val="20"/>
          <w:szCs w:val="20"/>
          <w:color w:val="auto"/>
        </w:rPr>
      </w:pPr>
      <w:r>
        <w:rPr>
          <w:rFonts w:ascii="Arial" w:cs="Arial" w:eastAsia="Arial" w:hAnsi="Arial"/>
          <w:sz w:val="16"/>
          <w:szCs w:val="16"/>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84" w:lineRule="exact"/>
        <w:rPr>
          <w:sz w:val="20"/>
          <w:szCs w:val="20"/>
          <w:color w:val="auto"/>
        </w:rPr>
      </w:pPr>
    </w:p>
    <w:p>
      <w:pPr>
        <w:ind w:left="860" w:hanging="42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devices;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4" w:lineRule="exact"/>
        <w:rPr>
          <w:rFonts w:ascii="Arial" w:cs="Arial" w:eastAsia="Arial" w:hAnsi="Arial"/>
          <w:sz w:val="18"/>
          <w:szCs w:val="18"/>
          <w:color w:val="auto"/>
        </w:rPr>
      </w:pPr>
    </w:p>
    <w:p>
      <w:pPr>
        <w:ind w:left="860" w:hanging="427"/>
        <w:spacing w:after="0" w:line="235"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refusing our requests for 510(k) clearance or premarket approval of new devices, new intended uses or modifications to existing devices;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withdrawing 510(k) clearance or premarket approvals that have already been granted;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events were to occur, our business and financial condition would be harmed.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efforts may never demonstrate the feasibility of our technology</w:t>
      </w:r>
      <w:r>
        <w:rPr>
          <w:rFonts w:ascii="Arial" w:cs="Arial" w:eastAsia="Arial" w:hAnsi="Arial"/>
          <w:sz w:val="18"/>
          <w:szCs w:val="18"/>
          <w:color w:val="auto"/>
        </w:rPr>
        <w:t>.</w:t>
      </w:r>
    </w:p>
    <w:p>
      <w:pPr>
        <w:spacing w:after="0" w:line="144" w:lineRule="exact"/>
        <w:rPr>
          <w:sz w:val="20"/>
          <w:szCs w:val="20"/>
          <w:color w:val="auto"/>
        </w:rPr>
      </w:pPr>
    </w:p>
    <w:p>
      <w:pPr>
        <w:ind w:right="180" w:firstLine="441"/>
        <w:spacing w:after="0" w:line="236" w:lineRule="auto"/>
        <w:rPr>
          <w:sz w:val="20"/>
          <w:szCs w:val="20"/>
          <w:color w:val="auto"/>
        </w:rPr>
      </w:pPr>
      <w:r>
        <w:rPr>
          <w:rFonts w:ascii="Arial" w:cs="Arial" w:eastAsia="Arial" w:hAnsi="Arial"/>
          <w:sz w:val="16"/>
          <w:szCs w:val="16"/>
          <w:color w:val="auto"/>
        </w:rPr>
        <w:t>Our research and development efforts remain subject to all of the risks associated with the development of new therapies, devices, treatment modalities, and related products based on our NPS technology. NPS applications are not yet fully developed. Development of the underlying technology, including the development of our CellFX and PulseTx Systems, may be affected by unanticipated technical or other problems, among other development and research issues, and the possible insufficiency of funds needed in order to complete development of these products or devices. Safety, regulatory and efficacy issues, clinical hurdles or challenges also may result in delays and cause us to incur additional expenses that may increase our need for capital and result in additional losses. In addition, the potential indications for our NPS technology are numerous, and we may fail to pursue the most optimal indications. If we cannot complete, or if we experience significant delays in developing our technology, applications or products for use in potential commercial applications, particularly after incurring significant expenditures, our business may fail and investors may lose the entirety of their investment.</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mechanism of action of NPS has not been fully determined or validated.</w:t>
      </w:r>
    </w:p>
    <w:p>
      <w:pPr>
        <w:spacing w:after="0" w:line="158" w:lineRule="exact"/>
        <w:rPr>
          <w:sz w:val="20"/>
          <w:szCs w:val="20"/>
          <w:color w:val="auto"/>
        </w:rPr>
      </w:pPr>
    </w:p>
    <w:p>
      <w:pPr>
        <w:ind w:right="60" w:firstLine="441"/>
        <w:spacing w:after="0" w:line="212" w:lineRule="auto"/>
        <w:rPr>
          <w:sz w:val="20"/>
          <w:szCs w:val="20"/>
          <w:color w:val="auto"/>
        </w:rPr>
      </w:pPr>
      <w:r>
        <w:rPr>
          <w:rFonts w:ascii="Arial" w:cs="Arial" w:eastAsia="Arial" w:hAnsi="Arial"/>
          <w:sz w:val="18"/>
          <w:szCs w:val="18"/>
          <w:color w:val="auto"/>
        </w:rPr>
        <w:t>The exact mechanism(s) of action(s) of NPS is not fully understood, and data is still being gathered regarding its use. Furthermore, there are only a relatively small number of scientists and researchers who can be considered experts in the use of this emerging technology. A full understanding of a future product’s mechanism of action and a large stable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b w:val="1"/>
          <w:bCs w:val="1"/>
          <w:i w:val="1"/>
          <w:iCs w:val="1"/>
          <w:color w:val="auto"/>
        </w:rPr>
        <w:t>NPS or our planned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36" w:lineRule="exact"/>
        <w:rPr>
          <w:sz w:val="20"/>
          <w:szCs w:val="20"/>
          <w:color w:val="auto"/>
        </w:rPr>
      </w:pPr>
    </w:p>
    <w:p>
      <w:pPr>
        <w:ind w:right="120" w:firstLine="441"/>
        <w:spacing w:after="0" w:line="244" w:lineRule="auto"/>
        <w:rPr>
          <w:sz w:val="20"/>
          <w:szCs w:val="20"/>
          <w:color w:val="auto"/>
        </w:rPr>
      </w:pPr>
      <w:r>
        <w:rPr>
          <w:rFonts w:ascii="Arial" w:cs="Arial" w:eastAsia="Arial" w:hAnsi="Arial"/>
          <w:sz w:val="16"/>
          <w:szCs w:val="16"/>
          <w:color w:val="auto"/>
        </w:rPr>
        <w:t xml:space="preserve">The risk of failure of clinical development is high. For example, the vast majority of our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has been a result of animal testing, and we have only recently completed our first pilot study in humans. It is difficult to predict when or if this or any planned products will prove safe enough to receive regulatory approval. Undesirable side effects caused by NPS or any of our planned products could cause us or regulatory authorities to interrupt, delay or halt clinical trials. They could result in a more restrictive label or the delay or denial of regulatory approval by the FDA or other comparable foreign regulatory authority.</w:t>
      </w:r>
    </w:p>
    <w:p>
      <w:pPr>
        <w:spacing w:after="0" w:line="118" w:lineRule="exact"/>
        <w:rPr>
          <w:sz w:val="20"/>
          <w:szCs w:val="20"/>
          <w:color w:val="auto"/>
        </w:rPr>
      </w:pPr>
    </w:p>
    <w:p>
      <w:pPr>
        <w:ind w:right="160" w:firstLine="441"/>
        <w:spacing w:after="0" w:line="289" w:lineRule="auto"/>
        <w:rPr>
          <w:sz w:val="20"/>
          <w:szCs w:val="20"/>
          <w:color w:val="auto"/>
        </w:rPr>
      </w:pPr>
      <w:r>
        <w:rPr>
          <w:rFonts w:ascii="Arial" w:cs="Arial" w:eastAsia="Arial" w:hAnsi="Arial"/>
          <w:sz w:val="16"/>
          <w:szCs w:val="16"/>
          <w:color w:val="auto"/>
        </w:rPr>
        <w:t>Additionally, if NPS or any of our planned products receive marketing approval but, we or others later identify undesirable side effects caused by such product, a number of potentially significant negative consequences could result, including:</w:t>
      </w:r>
    </w:p>
    <w:p>
      <w:pPr>
        <w:spacing w:after="0" w:line="84" w:lineRule="exact"/>
        <w:rPr>
          <w:sz w:val="20"/>
          <w:szCs w:val="20"/>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44" w:lineRule="exact"/>
        <w:rPr>
          <w:rFonts w:ascii="Arial" w:cs="Arial" w:eastAsia="Arial" w:hAnsi="Arial"/>
          <w:sz w:val="18"/>
          <w:szCs w:val="18"/>
          <w:color w:val="auto"/>
        </w:rPr>
      </w:pPr>
    </w:p>
    <w:p>
      <w:pPr>
        <w:ind w:left="860" w:right="40" w:hanging="427"/>
        <w:spacing w:after="0" w:line="235"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121" w:lineRule="exact"/>
        <w:rPr>
          <w:rFonts w:ascii="Arial" w:cs="Arial" w:eastAsia="Arial" w:hAnsi="Arial"/>
          <w:sz w:val="18"/>
          <w:szCs w:val="18"/>
          <w:color w:val="auto"/>
        </w:rPr>
      </w:pPr>
    </w:p>
    <w:p>
      <w:pPr>
        <w:ind w:left="860" w:hanging="427"/>
        <w:spacing w:after="0" w:line="235"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such product;</w:t>
      </w:r>
    </w:p>
    <w:p>
      <w:pPr>
        <w:spacing w:after="0" w:line="121" w:lineRule="exact"/>
        <w:rPr>
          <w:rFonts w:ascii="Arial" w:cs="Arial" w:eastAsia="Arial" w:hAnsi="Arial"/>
          <w:sz w:val="18"/>
          <w:szCs w:val="18"/>
          <w:color w:val="auto"/>
        </w:rPr>
      </w:pPr>
    </w:p>
    <w:p>
      <w:pPr>
        <w:ind w:left="860" w:right="100" w:hanging="427"/>
        <w:spacing w:after="0" w:line="238" w:lineRule="auto"/>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120" w:lineRule="exact"/>
        <w:rPr>
          <w:rFonts w:ascii="Arial" w:cs="Arial" w:eastAsia="Arial" w:hAnsi="Arial"/>
          <w:sz w:val="17"/>
          <w:szCs w:val="17"/>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135"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b w:val="1"/>
          <w:bCs w:val="1"/>
          <w:i w:val="1"/>
          <w:iCs w:val="1"/>
          <w:color w:val="auto"/>
        </w:rPr>
        <w:t>Our business is dependent upon physicians adopting our NPS technology, and if we fail to obtain broad adoption, our business would be adversely affected.</w:t>
      </w:r>
    </w:p>
    <w:p>
      <w:pPr>
        <w:spacing w:after="0" w:line="121" w:lineRule="exact"/>
        <w:rPr>
          <w:sz w:val="20"/>
          <w:szCs w:val="20"/>
          <w:color w:val="auto"/>
        </w:rPr>
      </w:pPr>
    </w:p>
    <w:p>
      <w:pPr>
        <w:ind w:firstLine="441"/>
        <w:spacing w:after="0" w:line="234" w:lineRule="auto"/>
        <w:rPr>
          <w:sz w:val="20"/>
          <w:szCs w:val="20"/>
          <w:color w:val="auto"/>
        </w:rPr>
      </w:pPr>
      <w:r>
        <w:rPr>
          <w:rFonts w:ascii="Arial" w:cs="Arial" w:eastAsia="Arial" w:hAnsi="Arial"/>
          <w:sz w:val="16"/>
          <w:szCs w:val="16"/>
          <w:color w:val="auto"/>
        </w:rPr>
        <w:t>If we obtain regulatory approval for an application or product using our NPS technology, our success will depend on our ability to educate physicians regarding the benefits of NPS, such as our CellFX System, over existing treatment modalities and to persuade them to prescribe NPS treatments for their patients. We do not know if NPS will be successful over the long term, and market acceptance may be hindered if physicians are not presented with compelling data demonstrating the efficacy of our service compared to alternative treatments. Any studies we, or third parties, may conduct comparing our NPS technology with alternative treatments may be expensive, time consuming or may not yield positive results. Additionally, adoption will be directly influenced by a number of financial factors, including the ability of providers to attract cash reimbursement from patients or to obtain sufficient reimbursement from third party commercial payors, and the Centers for Medicare &amp; Medicaid Services, or CMS, for the professional services they provide in administering NPS treatments. The efficacy, safety, performance and cost-effectiveness of our NPS technology, CellFX System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60" w:firstLine="441"/>
        <w:spacing w:after="0" w:line="22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136"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life sciences industry or for other reasons, including competitive clinical trials for similar patient populations, the timeline for recruiting patients, conducting trials and obtaining regulatory approval of planned products may be delayed. If there are delays in accumulating the required patients and patient data, there may be delays in completing the trial. Further, if any of our clinical trial sites fail to comply with FDA-approved good clinical practices,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These delays could result in increased costs, delays in advancing our product development, delays in testing the effectiveness of our technology or termination of the clinical trials altogether.</w:t>
      </w:r>
    </w:p>
    <w:p>
      <w:pPr>
        <w:spacing w:after="0" w:line="122"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b w:val="1"/>
          <w:bCs w:val="1"/>
          <w:i w:val="1"/>
          <w:iCs w:val="1"/>
          <w:color w:val="auto"/>
        </w:rPr>
        <w:t>Laboratory conditions differ from commercial conditions and field conditions, and the safety and effectiveness of our planned products may depend on the technique of the user.</w:t>
      </w:r>
    </w:p>
    <w:p>
      <w:pPr>
        <w:spacing w:after="0" w:line="121" w:lineRule="exact"/>
        <w:rPr>
          <w:sz w:val="20"/>
          <w:szCs w:val="20"/>
          <w:color w:val="auto"/>
        </w:rPr>
      </w:pPr>
    </w:p>
    <w:p>
      <w:pPr>
        <w:ind w:firstLine="441"/>
        <w:spacing w:after="0" w:line="237" w:lineRule="auto"/>
        <w:rPr>
          <w:sz w:val="20"/>
          <w:szCs w:val="20"/>
          <w:color w:val="auto"/>
        </w:rPr>
      </w:pPr>
      <w:r>
        <w:rPr>
          <w:rFonts w:ascii="Arial" w:cs="Arial" w:eastAsia="Arial" w:hAnsi="Arial"/>
          <w:sz w:val="16"/>
          <w:szCs w:val="16"/>
          <w:color w:val="auto"/>
        </w:rPr>
        <w:t>Observations and developments that may be achievable under laboratory circumstances may not be able to be replicated in broader research and development phases, in commercial settings, or in the use of any of the planned products in the field. Furthermore, if commercialized, NPS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Issues with our firmware and software may negatively affect the function of our devices.</w:t>
      </w:r>
    </w:p>
    <w:p>
      <w:pPr>
        <w:spacing w:after="0" w:line="144" w:lineRule="exact"/>
        <w:rPr>
          <w:sz w:val="20"/>
          <w:szCs w:val="20"/>
          <w:color w:val="auto"/>
        </w:rPr>
      </w:pPr>
    </w:p>
    <w:p>
      <w:pPr>
        <w:ind w:right="40" w:firstLine="441"/>
        <w:spacing w:after="0" w:line="226" w:lineRule="auto"/>
        <w:rPr>
          <w:sz w:val="20"/>
          <w:szCs w:val="20"/>
          <w:color w:val="auto"/>
        </w:rPr>
      </w:pPr>
      <w:r>
        <w:rPr>
          <w:rFonts w:ascii="Arial" w:cs="Arial" w:eastAsia="Arial" w:hAnsi="Arial"/>
          <w:sz w:val="17"/>
          <w:szCs w:val="17"/>
          <w:color w:val="auto"/>
        </w:rPr>
        <w:t>The safety and effectiveness of NPS-based treatments and therapies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or similar problems. Any of these might result in harm to a patient or the unauthorized release of confidential medical, business or other information of other persons or of ours.</w:t>
      </w:r>
    </w:p>
    <w:p>
      <w:pPr>
        <w:spacing w:after="0" w:line="125" w:lineRule="exact"/>
        <w:rPr>
          <w:sz w:val="20"/>
          <w:szCs w:val="20"/>
          <w:color w:val="auto"/>
        </w:rPr>
      </w:pPr>
    </w:p>
    <w:p>
      <w:pPr>
        <w:ind w:right="60" w:firstLine="441"/>
        <w:spacing w:after="0" w:line="216" w:lineRule="auto"/>
        <w:rPr>
          <w:sz w:val="20"/>
          <w:szCs w:val="20"/>
          <w:color w:val="auto"/>
        </w:rPr>
      </w:pPr>
      <w:r>
        <w:rPr>
          <w:rFonts w:ascii="Arial" w:cs="Arial" w:eastAsia="Arial" w:hAnsi="Arial"/>
          <w:sz w:val="18"/>
          <w:szCs w:val="18"/>
          <w:b w:val="1"/>
          <w:bCs w:val="1"/>
          <w:i w:val="1"/>
          <w:iCs w:val="1"/>
          <w:color w:val="auto"/>
        </w:rPr>
        <w:t>We may encounter manufacturing problems or delays that could result in lost revenue. Additionally, we currently rely on third-party suppliers for critical materials needed to manufacture NPS devices such as our CellFX System and related applicators and, if we obtain regulatory approval, our planned products. Any problems experienced by these suppliers could result in a delay or interruption of their supply to us, and as a result, we may face delays in the development and commercialization of planned products.</w:t>
      </w:r>
    </w:p>
    <w:p>
      <w:pPr>
        <w:spacing w:after="0" w:line="135"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We perform final assembly of our devices to support our current research and development activities at our facility in California. We believe we have adequate manufacturing capacity for these purposes. However, if demand for our planned products increases significantly, we will need to either expand our manufacturing capabilities or outsource to other manufacturers. We have no corporate experience in commercial-scale manufacturing of our planned products, and we currently rely upon third-party suppliers to manufacture and supply components for our NPS devices.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w:t>
      </w:r>
    </w:p>
    <w:p>
      <w:pPr>
        <w:spacing w:after="0" w:line="12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6"/>
          <w:szCs w:val="16"/>
          <w:color w:val="auto"/>
        </w:rPr>
        <w:t>We currently purchase components for our NPS devices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We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could experience delays in manufacturing the devices while finding another acceptable supplier, which could impact our results of operations.</w:t>
      </w:r>
    </w:p>
    <w:p>
      <w:pPr>
        <w:spacing w:after="0" w:line="135" w:lineRule="exact"/>
        <w:rPr>
          <w:sz w:val="20"/>
          <w:szCs w:val="20"/>
          <w:color w:val="auto"/>
        </w:rPr>
      </w:pPr>
    </w:p>
    <w:p>
      <w:pPr>
        <w:ind w:right="180" w:firstLine="441"/>
        <w:spacing w:after="0" w:line="235" w:lineRule="auto"/>
        <w:rPr>
          <w:sz w:val="20"/>
          <w:szCs w:val="20"/>
          <w:color w:val="auto"/>
        </w:rPr>
      </w:pPr>
      <w:r>
        <w:rPr>
          <w:rFonts w:ascii="Arial" w:cs="Arial" w:eastAsia="Arial" w:hAnsi="Arial"/>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21" w:lineRule="exact"/>
        <w:rPr>
          <w:sz w:val="20"/>
          <w:szCs w:val="20"/>
          <w:color w:val="auto"/>
        </w:rPr>
      </w:pPr>
    </w:p>
    <w:p>
      <w:pPr>
        <w:ind w:right="100" w:firstLine="441"/>
        <w:spacing w:after="0" w:line="223" w:lineRule="auto"/>
        <w:rPr>
          <w:sz w:val="20"/>
          <w:szCs w:val="20"/>
          <w:color w:val="auto"/>
        </w:rPr>
      </w:pPr>
      <w:r>
        <w:rPr>
          <w:rFonts w:ascii="Arial" w:cs="Arial" w:eastAsia="Arial" w:hAnsi="Arial"/>
          <w:sz w:val="17"/>
          <w:szCs w:val="17"/>
          <w:color w:val="auto"/>
        </w:rPr>
        <w:t>We believe that the commercial viability of our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is not assured. It typically takes a period of use in the market place before coverage and reimbursement is granted, if it is granted at all. In the United States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21" w:lineRule="exact"/>
        <w:rPr>
          <w:sz w:val="20"/>
          <w:szCs w:val="20"/>
          <w:color w:val="auto"/>
        </w:rPr>
      </w:pPr>
    </w:p>
    <w:p>
      <w:pPr>
        <w:ind w:right="20" w:firstLine="441"/>
        <w:spacing w:after="0" w:line="237" w:lineRule="auto"/>
        <w:rPr>
          <w:sz w:val="20"/>
          <w:szCs w:val="20"/>
          <w:color w:val="auto"/>
        </w:rPr>
      </w:pPr>
      <w:r>
        <w:rPr>
          <w:rFonts w:ascii="Arial" w:cs="Arial" w:eastAsia="Arial" w:hAnsi="Arial"/>
          <w:sz w:val="16"/>
          <w:szCs w:val="16"/>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a fee or sales price lower than the fee or sales price we might otherwise charge. Even if Medicare and other third-party payers decide to cover procedures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140"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no broader than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27" w:lineRule="exact"/>
        <w:rPr>
          <w:sz w:val="20"/>
          <w:szCs w:val="20"/>
          <w:color w:val="auto"/>
        </w:rPr>
      </w:pPr>
    </w:p>
    <w:p>
      <w:pPr>
        <w:ind w:right="100" w:firstLine="441"/>
        <w:spacing w:after="0" w:line="237" w:lineRule="auto"/>
        <w:rPr>
          <w:sz w:val="20"/>
          <w:szCs w:val="20"/>
          <w:color w:val="auto"/>
        </w:rPr>
      </w:pPr>
      <w:r>
        <w:rPr>
          <w:rFonts w:ascii="Arial" w:cs="Arial" w:eastAsia="Arial" w:hAnsi="Arial"/>
          <w:sz w:val="16"/>
          <w:szCs w:val="16"/>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The Medicare statutory framework is also subject to administrative rulings, interpretations and discretion that affect the amount and timing of reimbursement made under Medicare. Medicaid coverage determinations and reimbursement levels are determined on a state by state basis, because Medicaid, unlike Medicare, is administered by the states under a state plan filed with the Secretary of the United States Department of Health and Human Services (HHS). Medicaid generally reimburses at lower levels than Medicare. Moreover, Medicaid programs and private insurers are frequently influenced by Medicare coverage determinations.</w:t>
      </w:r>
    </w:p>
    <w:p>
      <w:pPr>
        <w:spacing w:after="0" w:line="127"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developing product candidates. These scientists may have other commitments or conflicts of interest, which could limit our access to their expertise and harm our ability to leverage our discovery platforms.</w:t>
      </w:r>
    </w:p>
    <w:p>
      <w:pPr>
        <w:spacing w:after="0" w:line="136" w:lineRule="exact"/>
        <w:rPr>
          <w:sz w:val="20"/>
          <w:szCs w:val="20"/>
          <w:color w:val="auto"/>
        </w:rPr>
      </w:pPr>
    </w:p>
    <w:p>
      <w:pPr>
        <w:ind w:right="60" w:firstLine="441"/>
        <w:spacing w:after="0" w:line="211" w:lineRule="auto"/>
        <w:rPr>
          <w:sz w:val="20"/>
          <w:szCs w:val="20"/>
          <w:color w:val="auto"/>
        </w:rPr>
      </w:pPr>
      <w:r>
        <w:rPr>
          <w:rFonts w:ascii="Arial" w:cs="Arial" w:eastAsia="Arial" w:hAnsi="Arial"/>
          <w:sz w:val="18"/>
          <w:szCs w:val="18"/>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62" w:lineRule="exact"/>
        <w:rPr>
          <w:sz w:val="20"/>
          <w:szCs w:val="20"/>
          <w:color w:val="auto"/>
        </w:rPr>
      </w:pPr>
    </w:p>
    <w:p>
      <w:pPr>
        <w:ind w:right="640" w:firstLine="441"/>
        <w:spacing w:after="0" w:line="258" w:lineRule="auto"/>
        <w:rPr>
          <w:sz w:val="20"/>
          <w:szCs w:val="20"/>
          <w:color w:val="auto"/>
        </w:rPr>
      </w:pPr>
      <w:r>
        <w:rPr>
          <w:rFonts w:ascii="Arial" w:cs="Arial" w:eastAsia="Arial" w:hAnsi="Arial"/>
          <w:sz w:val="17"/>
          <w:szCs w:val="17"/>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06" w:lineRule="exact"/>
        <w:rPr>
          <w:sz w:val="20"/>
          <w:szCs w:val="20"/>
          <w:color w:val="auto"/>
        </w:rPr>
      </w:pPr>
    </w:p>
    <w:p>
      <w:pPr>
        <w:ind w:right="40" w:firstLine="441"/>
        <w:spacing w:after="0" w:line="220" w:lineRule="auto"/>
        <w:rPr>
          <w:sz w:val="20"/>
          <w:szCs w:val="20"/>
          <w:color w:val="auto"/>
        </w:rPr>
      </w:pPr>
      <w:r>
        <w:rPr>
          <w:rFonts w:ascii="Arial" w:cs="Arial" w:eastAsia="Arial" w:hAnsi="Arial"/>
          <w:sz w:val="17"/>
          <w:szCs w:val="17"/>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25" w:lineRule="exact"/>
        <w:rPr>
          <w:sz w:val="20"/>
          <w:szCs w:val="20"/>
          <w:color w:val="auto"/>
        </w:rPr>
      </w:pPr>
    </w:p>
    <w:p>
      <w:pPr>
        <w:ind w:right="300" w:firstLine="441"/>
        <w:spacing w:after="0" w:line="224" w:lineRule="auto"/>
        <w:rPr>
          <w:sz w:val="20"/>
          <w:szCs w:val="20"/>
          <w:color w:val="auto"/>
        </w:rPr>
      </w:pPr>
      <w:r>
        <w:rPr>
          <w:rFonts w:ascii="Arial" w:cs="Arial" w:eastAsia="Arial" w:hAnsi="Arial"/>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36" w:lineRule="exact"/>
        <w:rPr>
          <w:sz w:val="20"/>
          <w:szCs w:val="20"/>
          <w:color w:val="auto"/>
        </w:rPr>
      </w:pPr>
    </w:p>
    <w:p>
      <w:pPr>
        <w:ind w:right="40" w:firstLine="441"/>
        <w:spacing w:after="0" w:line="244" w:lineRule="auto"/>
        <w:rPr>
          <w:sz w:val="20"/>
          <w:szCs w:val="20"/>
          <w:color w:val="auto"/>
        </w:rPr>
      </w:pPr>
      <w:r>
        <w:rPr>
          <w:rFonts w:ascii="Arial" w:cs="Arial" w:eastAsia="Arial" w:hAnsi="Arial"/>
          <w:sz w:val="16"/>
          <w:szCs w:val="16"/>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18" w:lineRule="exact"/>
        <w:rPr>
          <w:sz w:val="20"/>
          <w:szCs w:val="20"/>
          <w:color w:val="auto"/>
        </w:rPr>
      </w:pPr>
    </w:p>
    <w:p>
      <w:pPr>
        <w:ind w:firstLine="441"/>
        <w:spacing w:after="0" w:line="234" w:lineRule="auto"/>
        <w:rPr>
          <w:sz w:val="20"/>
          <w:szCs w:val="20"/>
          <w:color w:val="auto"/>
        </w:rPr>
      </w:pPr>
      <w:r>
        <w:rPr>
          <w:rFonts w:ascii="Arial" w:cs="Arial" w:eastAsia="Arial" w:hAnsi="Arial"/>
          <w:sz w:val="16"/>
          <w:szCs w:val="16"/>
          <w:color w:val="auto"/>
        </w:rPr>
        <w:t>If we or our collaborators experience patent infringement claims, or if we elect to avoid potential claims others may be able to assert, we or our collaborators may choose to seek, or be required to seek, a license from the third-party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30" w:lineRule="exact"/>
        <w:rPr>
          <w:sz w:val="20"/>
          <w:szCs w:val="20"/>
          <w:color w:val="auto"/>
        </w:rPr>
      </w:pPr>
    </w:p>
    <w:p>
      <w:pPr>
        <w:ind w:right="320" w:firstLine="441"/>
        <w:spacing w:after="0" w:line="324"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development or commercialization rights to products or technology from third-parties, we could lose license rights that are important to our business.</w:t>
      </w:r>
    </w:p>
    <w:p>
      <w:pPr>
        <w:spacing w:after="0" w:line="75" w:lineRule="exact"/>
        <w:rPr>
          <w:sz w:val="20"/>
          <w:szCs w:val="20"/>
          <w:color w:val="auto"/>
        </w:rPr>
      </w:pPr>
    </w:p>
    <w:p>
      <w:pPr>
        <w:ind w:right="120" w:firstLine="441"/>
        <w:spacing w:after="0" w:line="236" w:lineRule="auto"/>
        <w:rPr>
          <w:sz w:val="20"/>
          <w:szCs w:val="20"/>
          <w:color w:val="auto"/>
        </w:rPr>
      </w:pPr>
      <w:r>
        <w:rPr>
          <w:rFonts w:ascii="Arial" w:cs="Arial" w:eastAsia="Arial" w:hAnsi="Arial"/>
          <w:sz w:val="16"/>
          <w:szCs w:val="16"/>
          <w:color w:val="auto"/>
        </w:rPr>
        <w:t>We hold licenses from ODURF and Eastern Virginia Medical School (“EVMS”) and from Alfred E. Mann Institute for Biomedical Engineering at the University of Southern California (“AMI-USC”)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44"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3" w:lineRule="exact"/>
        <w:rPr>
          <w:sz w:val="20"/>
          <w:szCs w:val="20"/>
          <w:color w:val="auto"/>
        </w:rPr>
      </w:pPr>
    </w:p>
    <w:p>
      <w:pPr>
        <w:ind w:left="860" w:right="20" w:hanging="427"/>
        <w:spacing w:after="0" w:line="235"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121" w:lineRule="exact"/>
        <w:rPr>
          <w:rFonts w:ascii="Arial" w:cs="Arial" w:eastAsia="Arial" w:hAnsi="Arial"/>
          <w:sz w:val="18"/>
          <w:szCs w:val="18"/>
          <w:color w:val="auto"/>
        </w:rPr>
      </w:pPr>
    </w:p>
    <w:p>
      <w:pPr>
        <w:ind w:left="860" w:right="480" w:hanging="427"/>
        <w:spacing w:after="0" w:line="235"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21" w:lineRule="exact"/>
        <w:rPr>
          <w:rFonts w:ascii="Arial" w:cs="Arial" w:eastAsia="Arial" w:hAnsi="Arial"/>
          <w:sz w:val="18"/>
          <w:szCs w:val="18"/>
          <w:color w:val="auto"/>
        </w:rPr>
      </w:pPr>
    </w:p>
    <w:p>
      <w:pPr>
        <w:ind w:left="860" w:right="140" w:hanging="427"/>
        <w:spacing w:after="0" w:line="235"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21" w:lineRule="exact"/>
        <w:rPr>
          <w:rFonts w:ascii="Arial" w:cs="Arial" w:eastAsia="Arial" w:hAnsi="Arial"/>
          <w:sz w:val="18"/>
          <w:szCs w:val="18"/>
          <w:color w:val="auto"/>
        </w:rPr>
      </w:pPr>
    </w:p>
    <w:p>
      <w:pPr>
        <w:ind w:left="860" w:hanging="427"/>
        <w:spacing w:after="0" w:line="224"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22" w:lineRule="exact"/>
        <w:rPr>
          <w:rFonts w:ascii="Arial" w:cs="Arial" w:eastAsia="Arial" w:hAnsi="Arial"/>
          <w:sz w:val="18"/>
          <w:szCs w:val="18"/>
          <w:color w:val="auto"/>
        </w:rPr>
      </w:pPr>
    </w:p>
    <w:p>
      <w:pPr>
        <w:jc w:val="both"/>
        <w:ind w:left="860" w:hanging="427"/>
        <w:spacing w:after="0" w:line="224"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2" w:lineRule="exact"/>
        <w:rPr>
          <w:rFonts w:ascii="Arial" w:cs="Arial" w:eastAsia="Arial" w:hAnsi="Arial"/>
          <w:sz w:val="18"/>
          <w:szCs w:val="18"/>
          <w:color w:val="auto"/>
        </w:rPr>
      </w:pPr>
    </w:p>
    <w:p>
      <w:pPr>
        <w:ind w:left="860" w:hanging="427"/>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ind w:left="860" w:right="80" w:hanging="427"/>
        <w:spacing w:after="0" w:line="224"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22" w:lineRule="exact"/>
        <w:rPr>
          <w:rFonts w:ascii="Arial" w:cs="Arial" w:eastAsia="Arial" w:hAnsi="Arial"/>
          <w:sz w:val="18"/>
          <w:szCs w:val="18"/>
          <w:color w:val="auto"/>
        </w:rPr>
      </w:pPr>
    </w:p>
    <w:p>
      <w:pPr>
        <w:ind w:left="860" w:right="100" w:hanging="427"/>
        <w:spacing w:after="0" w:line="235"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aforementioned threats to our competitive advantage could harm our business.</w:t>
      </w:r>
    </w:p>
    <w:p>
      <w:pPr>
        <w:spacing w:after="0" w:line="158" w:lineRule="exact"/>
        <w:rPr>
          <w:sz w:val="20"/>
          <w:szCs w:val="20"/>
          <w:color w:val="auto"/>
        </w:rPr>
      </w:pPr>
    </w:p>
    <w:p>
      <w:pPr>
        <w:ind w:right="8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21" w:lineRule="exact"/>
        <w:rPr>
          <w:sz w:val="20"/>
          <w:szCs w:val="20"/>
          <w:color w:val="auto"/>
        </w:rPr>
      </w:pPr>
    </w:p>
    <w:p>
      <w:pPr>
        <w:ind w:right="120" w:firstLine="441"/>
        <w:spacing w:after="0" w:line="220" w:lineRule="auto"/>
        <w:rPr>
          <w:sz w:val="20"/>
          <w:szCs w:val="20"/>
          <w:color w:val="auto"/>
        </w:rPr>
      </w:pPr>
      <w:r>
        <w:rPr>
          <w:rFonts w:ascii="Arial" w:cs="Arial" w:eastAsia="Arial" w:hAnsi="Arial"/>
          <w:sz w:val="17"/>
          <w:szCs w:val="17"/>
          <w:color w:val="auto"/>
        </w:rPr>
        <w:t>In addition to patented technology, we rely upon, among other things, unpatented proprietary technology, processes, trade secrets and know-how. Any involuntary disclosure to or misappropriation by third-parties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third-parties. While we require all of our employees, consultants, advisors and any third-parties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 pharmaceutical, medical technology or biotechnology companies, those employers may allege violations of trade secrets and other similar claims in relation to their medical device development activities for 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40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35" w:lineRule="exact"/>
        <w:rPr>
          <w:sz w:val="20"/>
          <w:szCs w:val="20"/>
          <w:color w:val="auto"/>
        </w:rPr>
      </w:pPr>
    </w:p>
    <w:p>
      <w:pPr>
        <w:ind w:firstLine="441"/>
        <w:spacing w:after="0" w:line="212" w:lineRule="auto"/>
        <w:rPr>
          <w:sz w:val="20"/>
          <w:szCs w:val="20"/>
          <w:color w:val="auto"/>
        </w:rPr>
      </w:pPr>
      <w:r>
        <w:rPr>
          <w:rFonts w:ascii="Arial" w:cs="Arial" w:eastAsia="Arial" w:hAnsi="Arial"/>
          <w:sz w:val="18"/>
          <w:szCs w:val="18"/>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 issue and in that event we may not obtain the use of the intellectual property that we seek and may lose competitive advantage which could result in harm to our business.</w:t>
      </w:r>
    </w:p>
    <w:p>
      <w:pPr>
        <w:spacing w:after="0" w:line="125"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b w:val="1"/>
          <w:bCs w:val="1"/>
          <w:i w:val="1"/>
          <w:iCs w:val="1"/>
          <w:color w:val="auto"/>
        </w:rPr>
        <w:t>We may become involved in future lawsuits to protect or enforce our patents or the patents of our licensors, which could be expensive, time consuming and unsuccessful.</w:t>
      </w:r>
    </w:p>
    <w:p>
      <w:pPr>
        <w:spacing w:after="0" w:line="121"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140" w:lineRule="exact"/>
        <w:rPr>
          <w:sz w:val="20"/>
          <w:szCs w:val="20"/>
          <w:color w:val="auto"/>
        </w:rPr>
      </w:pPr>
    </w:p>
    <w:p>
      <w:pPr>
        <w:ind w:right="80" w:firstLine="441"/>
        <w:spacing w:after="0" w:line="225" w:lineRule="auto"/>
        <w:rPr>
          <w:sz w:val="20"/>
          <w:szCs w:val="20"/>
          <w:color w:val="auto"/>
        </w:rPr>
      </w:pPr>
      <w:r>
        <w:rPr>
          <w:rFonts w:ascii="Arial" w:cs="Arial" w:eastAsia="Arial" w:hAnsi="Arial"/>
          <w:sz w:val="17"/>
          <w:szCs w:val="17"/>
          <w:color w:val="auto"/>
        </w:rPr>
        <w:t>The United States Patent and Trademark Office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United States.</w:t>
      </w:r>
    </w:p>
    <w:p>
      <w:pPr>
        <w:spacing w:after="0" w:line="122"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21" w:lineRule="exact"/>
        <w:rPr>
          <w:sz w:val="20"/>
          <w:szCs w:val="20"/>
          <w:color w:val="auto"/>
        </w:rPr>
      </w:pPr>
    </w:p>
    <w:p>
      <w:pPr>
        <w:ind w:right="60" w:firstLine="441"/>
        <w:spacing w:after="0" w:line="232"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36"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44" w:lineRule="exact"/>
        <w:rPr>
          <w:sz w:val="20"/>
          <w:szCs w:val="20"/>
          <w:color w:val="auto"/>
        </w:rPr>
      </w:pPr>
    </w:p>
    <w:p>
      <w:pPr>
        <w:ind w:right="40" w:firstLine="441"/>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37" w:lineRule="exact"/>
        <w:rPr>
          <w:sz w:val="20"/>
          <w:szCs w:val="20"/>
          <w:color w:val="auto"/>
        </w:rPr>
      </w:pPr>
    </w:p>
    <w:p>
      <w:pPr>
        <w:ind w:right="40" w:firstLine="441"/>
        <w:spacing w:after="0" w:line="22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2" w:lineRule="exact"/>
        <w:rPr>
          <w:sz w:val="20"/>
          <w:szCs w:val="20"/>
          <w:color w:val="auto"/>
        </w:rPr>
      </w:pPr>
    </w:p>
    <w:p>
      <w:pPr>
        <w:ind w:right="960" w:firstLine="441"/>
        <w:spacing w:after="0" w:line="235" w:lineRule="auto"/>
        <w:rPr>
          <w:sz w:val="20"/>
          <w:szCs w:val="20"/>
          <w:color w:val="auto"/>
        </w:rPr>
      </w:pPr>
      <w:r>
        <w:rPr>
          <w:rFonts w:ascii="Arial" w:cs="Arial" w:eastAsia="Arial" w:hAnsi="Arial"/>
          <w:sz w:val="18"/>
          <w:szCs w:val="18"/>
          <w:b w:val="1"/>
          <w:bCs w:val="1"/>
          <w:i w:val="1"/>
          <w:iCs w:val="1"/>
          <w:color w:val="auto"/>
        </w:rPr>
        <w:t>We have not yet registered some of our trademarks in all of our potential markets, and failure to secure those registrations could adversely affect our business.</w:t>
      </w:r>
    </w:p>
    <w:p>
      <w:pPr>
        <w:spacing w:after="0" w:line="121" w:lineRule="exact"/>
        <w:rPr>
          <w:sz w:val="20"/>
          <w:szCs w:val="20"/>
          <w:color w:val="auto"/>
        </w:rPr>
      </w:pPr>
    </w:p>
    <w:p>
      <w:pPr>
        <w:ind w:firstLine="441"/>
        <w:spacing w:after="0" w:line="226" w:lineRule="auto"/>
        <w:rPr>
          <w:sz w:val="20"/>
          <w:szCs w:val="20"/>
          <w:color w:val="auto"/>
        </w:rPr>
      </w:pPr>
      <w:r>
        <w:rPr>
          <w:rFonts w:ascii="Arial" w:cs="Arial" w:eastAsia="Arial" w:hAnsi="Arial"/>
          <w:sz w:val="17"/>
          <w:szCs w:val="17"/>
          <w:color w:val="auto"/>
        </w:rPr>
        <w:t>If we apply to register our trademarks in all of our potential markets, our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138"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w:t>
      </w:r>
    </w:p>
    <w:p>
      <w:pPr>
        <w:spacing w:after="0" w:line="121" w:lineRule="exact"/>
        <w:rPr>
          <w:sz w:val="20"/>
          <w:szCs w:val="20"/>
          <w:color w:val="auto"/>
        </w:rPr>
      </w:pPr>
    </w:p>
    <w:p>
      <w:pPr>
        <w:ind w:right="100" w:firstLine="441"/>
        <w:spacing w:after="0" w:line="226"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patent applications and the enforcement or defense of issued patents. In 2011, the Leahy-Smith America Invents Act, or the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 party submission of prior art to the USPTO during patent prosecution and set forth additional procedures to attack the validity of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40" w:lineRule="exact"/>
        <w:rPr>
          <w:sz w:val="20"/>
          <w:szCs w:val="20"/>
          <w:color w:val="auto"/>
        </w:rPr>
      </w:pPr>
    </w:p>
    <w:p>
      <w:pPr>
        <w:ind w:right="100" w:firstLine="441"/>
        <w:spacing w:after="0" w:line="239"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never receive regulatory approval, including that from the FDA, for any of our planned products.</w:t>
      </w:r>
    </w:p>
    <w:p>
      <w:pPr>
        <w:spacing w:after="0" w:line="144" w:lineRule="exact"/>
        <w:rPr>
          <w:sz w:val="20"/>
          <w:szCs w:val="20"/>
          <w:color w:val="auto"/>
        </w:rPr>
      </w:pPr>
    </w:p>
    <w:p>
      <w:pPr>
        <w:ind w:right="140" w:firstLine="441"/>
        <w:spacing w:after="0" w:line="216" w:lineRule="auto"/>
        <w:rPr>
          <w:sz w:val="20"/>
          <w:szCs w:val="20"/>
          <w:color w:val="auto"/>
        </w:rPr>
      </w:pPr>
      <w:r>
        <w:rPr>
          <w:rFonts w:ascii="Arial" w:cs="Arial" w:eastAsia="Arial" w:hAnsi="Arial"/>
          <w:sz w:val="18"/>
          <w:szCs w:val="18"/>
          <w:color w:val="auto"/>
        </w:rPr>
        <w:t>We may never receive regulatory approvals, including from the FDA, for any potential therapies, devices or products in the United States or in any foreign market. For example, during September 2017, we withdrew our application seeking clearance of our system for soft tissue ablation. As such, it is highly speculative as to any timing for our planned products to be approved or commercialized. Investors need to take a long-term approach to an investment in our securities, as the commercial realization of our technology is speculative and well into the future.</w:t>
      </w:r>
    </w:p>
    <w:p>
      <w:pPr>
        <w:spacing w:after="0" w:line="122"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b w:val="1"/>
          <w:bCs w:val="1"/>
          <w:i w:val="1"/>
          <w:iCs w:val="1"/>
          <w:color w:val="auto"/>
        </w:rPr>
        <w:t>We will be subject to stringent domestic and foreign regulation in respect of any potential therapies, devices and products. Any unfavorable regulatory action may materially and adversely affect our future financial condition and business operations and prospects.</w:t>
      </w:r>
    </w:p>
    <w:p>
      <w:pPr>
        <w:spacing w:after="0" w:line="136" w:lineRule="exact"/>
        <w:rPr>
          <w:sz w:val="20"/>
          <w:szCs w:val="20"/>
          <w:color w:val="auto"/>
        </w:rPr>
      </w:pPr>
    </w:p>
    <w:p>
      <w:pPr>
        <w:ind w:right="20" w:firstLine="441"/>
        <w:spacing w:after="0" w:line="225" w:lineRule="auto"/>
        <w:rPr>
          <w:sz w:val="20"/>
          <w:szCs w:val="20"/>
          <w:color w:val="auto"/>
        </w:rPr>
      </w:pPr>
      <w:r>
        <w:rPr>
          <w:rFonts w:ascii="Arial" w:cs="Arial" w:eastAsia="Arial" w:hAnsi="Arial"/>
          <w:sz w:val="17"/>
          <w:szCs w:val="17"/>
          <w:color w:val="auto"/>
        </w:rPr>
        <w:t>Our potential therapies,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therapies, devices and products, or for enhancements, expansion of the indications or modifications to existing products, could:</w:t>
      </w:r>
    </w:p>
    <w:p>
      <w:pPr>
        <w:spacing w:after="0" w:line="122" w:lineRule="exact"/>
        <w:rPr>
          <w:sz w:val="20"/>
          <w:szCs w:val="20"/>
          <w:color w:val="auto"/>
        </w:rPr>
      </w:pPr>
    </w:p>
    <w:p>
      <w:pPr>
        <w:ind w:left="860" w:hanging="427"/>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take a significant, indeterminate amount of time;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involve rigorous pre-clinical and clinical testing, and possibly post-market surveillance;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design changes of our products;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our never being granted the regulatory approval we seek.</w:t>
      </w:r>
    </w:p>
    <w:p>
      <w:pPr>
        <w:spacing w:after="0" w:line="144" w:lineRule="exact"/>
        <w:rPr>
          <w:sz w:val="20"/>
          <w:szCs w:val="20"/>
          <w:color w:val="auto"/>
        </w:rPr>
      </w:pPr>
    </w:p>
    <w:p>
      <w:pPr>
        <w:ind w:firstLine="441"/>
        <w:spacing w:after="0" w:line="219" w:lineRule="auto"/>
        <w:rPr>
          <w:sz w:val="20"/>
          <w:szCs w:val="20"/>
          <w:color w:val="auto"/>
        </w:rPr>
      </w:pPr>
      <w:r>
        <w:rPr>
          <w:rFonts w:ascii="Arial" w:cs="Arial" w:eastAsia="Arial" w:hAnsi="Arial"/>
          <w:sz w:val="17"/>
          <w:szCs w:val="17"/>
          <w:color w:val="auto"/>
        </w:rPr>
        <w:t>If we experience any of these occurrences, our operations may suffer, we might experience harm to our competitive standing and result in further losses that adversely affect our financial condition. We will have ongoing responsibilities under FDA and international regulations, both before and after a product is approved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therapies or devices are ineffective or pose an unreasonable health risk, the FDA or similar foreign regulatory authorities could ban such medical therapies,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therapies,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therapies, devices and products. In addition, negative publicity and product liability claims resulting from any adverse regulatory action could have a material adverse effect on our financial condition and results of operations.</w:t>
      </w:r>
    </w:p>
    <w:p>
      <w:pPr>
        <w:spacing w:after="0" w:line="131" w:lineRule="exact"/>
        <w:rPr>
          <w:sz w:val="20"/>
          <w:szCs w:val="20"/>
          <w:color w:val="auto"/>
        </w:rPr>
      </w:pPr>
    </w:p>
    <w:p>
      <w:pPr>
        <w:ind w:right="460" w:firstLine="441"/>
        <w:spacing w:after="0" w:line="235" w:lineRule="auto"/>
        <w:rPr>
          <w:sz w:val="20"/>
          <w:szCs w:val="20"/>
          <w:color w:val="auto"/>
        </w:rPr>
      </w:pPr>
      <w:r>
        <w:rPr>
          <w:rFonts w:ascii="Arial" w:cs="Arial" w:eastAsia="Arial" w:hAnsi="Arial"/>
          <w:sz w:val="18"/>
          <w:szCs w:val="18"/>
          <w:b w:val="1"/>
          <w:bCs w:val="1"/>
          <w:i w:val="1"/>
          <w:iCs w:val="1"/>
          <w:color w:val="auto"/>
        </w:rPr>
        <w:t>We will have to comply with complex statutes prohibiting fraud and abuse, and both we and physicians utilizing our planned products could be subject to significant penalties for noncompliance.</w:t>
      </w:r>
    </w:p>
    <w:p>
      <w:pPr>
        <w:spacing w:after="0" w:line="135"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There are many federal and state laws and regulations prohibiting fraud and abuse in the healthcare industry that can result in significant criminal and civil penalties. These federal laws include: the anti-kickback statutes which prohibit certain business practices and relationships, including the payment or receipt of remuneration for the referral of patients whose care will be paid by Medicare or other federal healthcare programs; the physician self-referral prohibition, commonly referred 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as the Stark Law; the anti-inducement law, which prohibits providers from offering anything to a Medicare or Medicaid beneficiary to induce that beneficiary to use items or services covered by either program; the Civil False Claims Act, which prohibits any person from knowingly presenting or causing to be presented false or fraudulent claims for payment by the federal government, including the Medicare and Medicaid programs and the Civil Monetary Penalties Law, which authorizes the imposition of civil penalties administratively for fraudulent or abusive acts.</w:t>
      </w:r>
    </w:p>
    <w:p>
      <w:pPr>
        <w:spacing w:after="0" w:line="135" w:lineRule="exact"/>
        <w:rPr>
          <w:sz w:val="20"/>
          <w:szCs w:val="20"/>
          <w:color w:val="auto"/>
        </w:rPr>
      </w:pPr>
    </w:p>
    <w:p>
      <w:pPr>
        <w:ind w:right="20" w:firstLine="441"/>
        <w:spacing w:after="0" w:line="211" w:lineRule="auto"/>
        <w:rPr>
          <w:sz w:val="20"/>
          <w:szCs w:val="20"/>
          <w:color w:val="auto"/>
        </w:rPr>
      </w:pPr>
      <w:r>
        <w:rPr>
          <w:rFonts w:ascii="Arial" w:cs="Arial" w:eastAsia="Arial" w:hAnsi="Arial"/>
          <w:sz w:val="18"/>
          <w:szCs w:val="18"/>
          <w:color w:val="auto"/>
        </w:rPr>
        <w:t>Sanctions for violating these federal laws include criminal and civil penalties that range from punitive sanctions, damage assessments, money penalties, imprisonment, denial of Medicare and Medicaid payments, or exclusion from the Medicare and Medicaid programs, or both. As federal and state budget pressures continue, federal and state administrative agencies may also continue to escalate investigation and enforcement efforts to root out waste and to control fraud and abuse in governmental healthcare programs. Private enforcement of healthcare fraud has also increased, due in large part to amendments to the Civil False Claims Act in 1986 that were designed to encourage private persons to sue on behalf of the government. A violation of any of these federal and state fraud and abuse laws and regulations could have a material adverse effect on our liquidity and financial condition.</w:t>
      </w:r>
    </w:p>
    <w:p>
      <w:pPr>
        <w:spacing w:after="0" w:line="124" w:lineRule="exact"/>
        <w:rPr>
          <w:sz w:val="20"/>
          <w:szCs w:val="20"/>
          <w:color w:val="auto"/>
        </w:rPr>
      </w:pPr>
    </w:p>
    <w:p>
      <w:pPr>
        <w:jc w:val="both"/>
        <w:ind w:right="40" w:firstLine="441"/>
        <w:spacing w:after="0" w:line="224" w:lineRule="auto"/>
        <w:rPr>
          <w:sz w:val="20"/>
          <w:szCs w:val="20"/>
          <w:color w:val="auto"/>
        </w:rPr>
      </w:pPr>
      <w:r>
        <w:rPr>
          <w:rFonts w:ascii="Arial" w:cs="Arial" w:eastAsia="Arial" w:hAnsi="Arial"/>
          <w:sz w:val="18"/>
          <w:szCs w:val="18"/>
          <w:b w:val="1"/>
          <w:bCs w:val="1"/>
          <w:i w:val="1"/>
          <w:iCs w:val="1"/>
          <w:color w:val="auto"/>
        </w:rPr>
        <w:t>To obtain the necessary device and marketing and manufacturing clearance or approval, as a pre-condition, we will have to conduct various preclinical and clinical tests, which may be costly and time consuming, and may not provide results that will allow us to seek regulatory approval.</w:t>
      </w:r>
    </w:p>
    <w:p>
      <w:pPr>
        <w:spacing w:after="0" w:line="123" w:lineRule="exact"/>
        <w:rPr>
          <w:sz w:val="20"/>
          <w:szCs w:val="20"/>
          <w:color w:val="auto"/>
        </w:rPr>
      </w:pPr>
    </w:p>
    <w:p>
      <w:pPr>
        <w:ind w:firstLine="441"/>
        <w:spacing w:after="0" w:line="216" w:lineRule="auto"/>
        <w:rPr>
          <w:sz w:val="20"/>
          <w:szCs w:val="20"/>
          <w:color w:val="auto"/>
        </w:rPr>
      </w:pPr>
      <w:r>
        <w:rPr>
          <w:rFonts w:ascii="Arial" w:cs="Arial" w:eastAsia="Arial" w:hAnsi="Arial"/>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and the applicable regulations. Regulatory agencies, including those in the United States, Canada, Europe and other countries where medical devices and products are regulated, can delay, limit or deny approval of a product for many reasons. For example, regulatory agencies:</w:t>
      </w:r>
    </w:p>
    <w:p>
      <w:pPr>
        <w:spacing w:after="0" w:line="135" w:lineRule="exact"/>
        <w:rPr>
          <w:sz w:val="20"/>
          <w:szCs w:val="20"/>
          <w:color w:val="auto"/>
        </w:rPr>
      </w:pPr>
    </w:p>
    <w:p>
      <w:pPr>
        <w:ind w:left="860" w:hanging="42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not deem a therapy, technology or device to be safe or effective;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interpret data from preclinical and clinical testing differently than we do;</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not approve our manufacturing processes;</w:t>
      </w:r>
    </w:p>
    <w:p>
      <w:pPr>
        <w:spacing w:after="0" w:line="144" w:lineRule="exact"/>
        <w:rPr>
          <w:rFonts w:ascii="Arial" w:cs="Arial" w:eastAsia="Arial" w:hAnsi="Arial"/>
          <w:sz w:val="18"/>
          <w:szCs w:val="18"/>
          <w:color w:val="auto"/>
        </w:rPr>
      </w:pPr>
    </w:p>
    <w:p>
      <w:pPr>
        <w:ind w:left="860" w:right="340" w:hanging="427"/>
        <w:spacing w:after="0" w:line="235"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conclude that our device does not meet quality standards for durability, long-term reliability, biocompatibility, electromagnetic compatibility, or electrical safety; and</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change their approval policies or adopt new regulations.</w:t>
      </w:r>
    </w:p>
    <w:p>
      <w:pPr>
        <w:spacing w:after="0" w:line="144" w:lineRule="exact"/>
        <w:rPr>
          <w:sz w:val="20"/>
          <w:szCs w:val="20"/>
          <w:color w:val="auto"/>
        </w:rPr>
      </w:pPr>
    </w:p>
    <w:p>
      <w:pPr>
        <w:ind w:right="60" w:firstLine="441"/>
        <w:spacing w:after="0" w:line="216" w:lineRule="auto"/>
        <w:rPr>
          <w:sz w:val="20"/>
          <w:szCs w:val="20"/>
          <w:color w:val="auto"/>
        </w:rPr>
      </w:pPr>
      <w:r>
        <w:rPr>
          <w:rFonts w:ascii="Arial" w:cs="Arial" w:eastAsia="Arial" w:hAnsi="Arial"/>
          <w:sz w:val="18"/>
          <w:szCs w:val="18"/>
          <w:color w:val="auto"/>
        </w:rPr>
        <w:t>The FDA may make requests or suggestions regarding conduct of our clinical trials, resulting in an increased risk of difficulties or delays in obtaining regulatory approval in the US. As part of the process for regulatory approval, we may, from time to time, elect to withdraw an application. For example, during September 2017, the FDA requested that we submit additional data in connection with our application seeking clearance of our system for soft tissue ablation. Subsequent to this FDA request, we chose to withdraw our application.</w:t>
      </w:r>
    </w:p>
    <w:p>
      <w:pPr>
        <w:spacing w:after="0" w:line="122" w:lineRule="exact"/>
        <w:rPr>
          <w:sz w:val="20"/>
          <w:szCs w:val="20"/>
          <w:color w:val="auto"/>
        </w:rPr>
      </w:pPr>
    </w:p>
    <w:p>
      <w:pPr>
        <w:ind w:right="280" w:firstLine="441"/>
        <w:spacing w:after="0" w:line="289" w:lineRule="auto"/>
        <w:rPr>
          <w:sz w:val="20"/>
          <w:szCs w:val="20"/>
          <w:color w:val="auto"/>
        </w:rPr>
      </w:pPr>
      <w:r>
        <w:rPr>
          <w:rFonts w:ascii="Arial" w:cs="Arial" w:eastAsia="Arial" w:hAnsi="Arial"/>
          <w:sz w:val="16"/>
          <w:szCs w:val="16"/>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84" w:lineRule="exact"/>
        <w:rPr>
          <w:sz w:val="20"/>
          <w:szCs w:val="20"/>
          <w:color w:val="auto"/>
        </w:rPr>
      </w:pPr>
    </w:p>
    <w:p>
      <w:pPr>
        <w:ind w:right="20" w:firstLine="441"/>
        <w:spacing w:after="0" w:line="241" w:lineRule="auto"/>
        <w:rPr>
          <w:sz w:val="20"/>
          <w:szCs w:val="20"/>
          <w:color w:val="auto"/>
        </w:rPr>
      </w:pPr>
      <w:r>
        <w:rPr>
          <w:rFonts w:ascii="Arial" w:cs="Arial" w:eastAsia="Arial" w:hAnsi="Arial"/>
          <w:sz w:val="16"/>
          <w:szCs w:val="16"/>
          <w:color w:val="auto"/>
        </w:rPr>
        <w:t>Even if a potential device or product of ours is cleared or approved, it may not be cleared or approved for the indications that are necessary or desirable for a successful commercialization. Our preference will be to obtain as broad an indication as possible for use in connection with the particular disease or treatment for which it is designed. However, the final classification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34" w:lineRule="exact"/>
        <w:rPr>
          <w:sz w:val="20"/>
          <w:szCs w:val="20"/>
          <w:color w:val="auto"/>
        </w:rPr>
      </w:pPr>
    </w:p>
    <w:p>
      <w:pPr>
        <w:ind w:right="560" w:firstLine="441"/>
        <w:spacing w:after="0" w:line="258" w:lineRule="auto"/>
        <w:rPr>
          <w:sz w:val="20"/>
          <w:szCs w:val="20"/>
          <w:color w:val="auto"/>
        </w:rPr>
      </w:pPr>
      <w:r>
        <w:rPr>
          <w:rFonts w:ascii="Arial" w:cs="Arial" w:eastAsia="Arial" w:hAnsi="Arial"/>
          <w:sz w:val="17"/>
          <w:szCs w:val="17"/>
          <w:b w:val="1"/>
          <w:bCs w:val="1"/>
          <w:i w:val="1"/>
          <w:iCs w:val="1"/>
          <w:color w:val="auto"/>
        </w:rPr>
        <w:t>Even if we obtain clearance or approval to sell a potential product, we will be subject to ongoing requirements and inspections that could lead to the restriction, suspension or revocation of our clearance.</w:t>
      </w:r>
    </w:p>
    <w:p>
      <w:pPr>
        <w:spacing w:after="0" w:line="106" w:lineRule="exact"/>
        <w:rPr>
          <w:sz w:val="20"/>
          <w:szCs w:val="20"/>
          <w:color w:val="auto"/>
        </w:rPr>
      </w:pPr>
    </w:p>
    <w:p>
      <w:pPr>
        <w:ind w:right="20" w:firstLine="441"/>
        <w:spacing w:after="0" w:line="232" w:lineRule="auto"/>
        <w:rPr>
          <w:sz w:val="20"/>
          <w:szCs w:val="20"/>
          <w:color w:val="auto"/>
        </w:rPr>
      </w:pPr>
      <w:r>
        <w:rPr>
          <w:rFonts w:ascii="Arial" w:cs="Arial" w:eastAsia="Arial" w:hAnsi="Arial"/>
          <w:sz w:val="17"/>
          <w:szCs w:val="17"/>
          <w:color w:val="auto"/>
        </w:rPr>
        <w:t>We, as well as any potential collaborative partners such as manufacturers and distributors, will be required to adhere to applicable FDA regulations regarding good manufacturing practice, which include testing, control, and documentation requirements. We will be subject to similar regulations in foreign countries. Even if regulatory approval of a product is granted, the approval may be subject to limitations on the indicated uses for which the product may be marketed or to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conditions of approval, or contain requirements for costly post-marketing testing and surveillance to monitor the safety or efficacy of the product. Ongoing compliance with good manufacturing practice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previously obtained, and criminal prosecution. The restriction, suspension or revocation of regulatory approvals or any other failure to comply with regulatory requirements will limit our ability to operate and could increase our costs.</w:t>
      </w:r>
    </w:p>
    <w:p>
      <w:pPr>
        <w:spacing w:after="0" w:line="141"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b w:val="1"/>
          <w:bCs w:val="1"/>
          <w:i w:val="1"/>
          <w:iCs w:val="1"/>
          <w:color w:val="auto"/>
        </w:rPr>
        <w:t>Any failure or delay in completing clinical trials or studies for our therapies, devices and products and the expense of those trials may adversely affect our business.</w:t>
      </w:r>
    </w:p>
    <w:p>
      <w:pPr>
        <w:spacing w:after="0" w:line="121" w:lineRule="exact"/>
        <w:rPr>
          <w:sz w:val="20"/>
          <w:szCs w:val="20"/>
          <w:color w:val="auto"/>
        </w:rPr>
      </w:pPr>
    </w:p>
    <w:p>
      <w:pPr>
        <w:ind w:right="100" w:firstLine="441"/>
        <w:spacing w:after="0" w:line="234" w:lineRule="auto"/>
        <w:rPr>
          <w:sz w:val="20"/>
          <w:szCs w:val="20"/>
          <w:color w:val="auto"/>
        </w:rPr>
      </w:pPr>
      <w:r>
        <w:rPr>
          <w:rFonts w:ascii="Arial" w:cs="Arial" w:eastAsia="Arial" w:hAnsi="Arial"/>
          <w:sz w:val="16"/>
          <w:szCs w:val="16"/>
          <w:color w:val="auto"/>
        </w:rPr>
        <w:t>Preclinical studies, clinical trials and post-clinical monitoring and trials required to demonstrate the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 our business will be materially harmed.</w:t>
      </w:r>
    </w:p>
    <w:p>
      <w:pPr>
        <w:spacing w:after="0" w:line="122" w:lineRule="exact"/>
        <w:rPr>
          <w:sz w:val="20"/>
          <w:szCs w:val="20"/>
          <w:color w:val="auto"/>
        </w:rPr>
      </w:pPr>
    </w:p>
    <w:p>
      <w:pPr>
        <w:ind w:right="140" w:firstLine="441"/>
        <w:spacing w:after="0" w:line="258" w:lineRule="auto"/>
        <w:rPr>
          <w:sz w:val="20"/>
          <w:szCs w:val="20"/>
          <w:color w:val="auto"/>
        </w:rPr>
      </w:pPr>
      <w:r>
        <w:rPr>
          <w:rFonts w:ascii="Arial" w:cs="Arial" w:eastAsia="Arial" w:hAnsi="Arial"/>
          <w:sz w:val="17"/>
          <w:szCs w:val="17"/>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120"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21"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21" w:lineRule="exact"/>
        <w:rPr>
          <w:sz w:val="20"/>
          <w:szCs w:val="20"/>
          <w:color w:val="auto"/>
        </w:rPr>
      </w:pPr>
    </w:p>
    <w:p>
      <w:pPr>
        <w:ind w:right="40" w:firstLine="441"/>
        <w:spacing w:after="0" w:line="236" w:lineRule="auto"/>
        <w:rPr>
          <w:sz w:val="20"/>
          <w:szCs w:val="20"/>
          <w:color w:val="auto"/>
        </w:rPr>
      </w:pPr>
      <w:r>
        <w:rPr>
          <w:rFonts w:ascii="Arial" w:cs="Arial" w:eastAsia="Arial" w:hAnsi="Arial"/>
          <w:sz w:val="16"/>
          <w:szCs w:val="16"/>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and similar foreign regulatory authorities, provide accurate information to the FDA and similar foreign regulatory authorities, comply with data privacy and security and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HIPAA, as amended by HITECH, as well as comparable laws in non-U.S. jurisdictions, may impose obligations with respect to safeguarding the privacy, use, security and transmission of individually identifiable health information such as genetic material.</w:t>
      </w:r>
    </w:p>
    <w:p>
      <w:pPr>
        <w:spacing w:after="0" w:line="141" w:lineRule="exact"/>
        <w:rPr>
          <w:sz w:val="20"/>
          <w:szCs w:val="20"/>
          <w:color w:val="auto"/>
        </w:rPr>
      </w:pPr>
    </w:p>
    <w:p>
      <w:pPr>
        <w:ind w:right="40" w:firstLine="441"/>
        <w:spacing w:after="0" w:line="229" w:lineRule="auto"/>
        <w:rPr>
          <w:sz w:val="20"/>
          <w:szCs w:val="20"/>
          <w:color w:val="auto"/>
        </w:rPr>
      </w:pPr>
      <w:r>
        <w:rPr>
          <w:rFonts w:ascii="Arial" w:cs="Arial" w:eastAsia="Arial" w:hAnsi="Arial"/>
          <w:sz w:val="17"/>
          <w:szCs w:val="17"/>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trials, which could result in regulatory sanctions and cause harm to our reputation. We adopted a code of conduct applicable to all of our employees, but it is not always possible to identify and deter employee misconduct, and the precautions we take to detect and prevent this activity may not be effective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00"/>
          </w:cols>
          <w:pgMar w:left="1220" w:top="108" w:right="1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62"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1" w:lineRule="exact"/>
        <w:rPr>
          <w:sz w:val="20"/>
          <w:szCs w:val="20"/>
          <w:color w:val="auto"/>
        </w:rPr>
      </w:pPr>
    </w:p>
    <w:p>
      <w:pPr>
        <w:ind w:right="320" w:firstLine="441"/>
        <w:spacing w:after="0" w:line="258" w:lineRule="auto"/>
        <w:rPr>
          <w:sz w:val="20"/>
          <w:szCs w:val="20"/>
          <w:color w:val="auto"/>
        </w:rPr>
      </w:pPr>
      <w:r>
        <w:rPr>
          <w:rFonts w:ascii="Arial" w:cs="Arial" w:eastAsia="Arial" w:hAnsi="Arial"/>
          <w:sz w:val="17"/>
          <w:szCs w:val="17"/>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06" w:lineRule="exact"/>
        <w:rPr>
          <w:sz w:val="20"/>
          <w:szCs w:val="20"/>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clinical trials of our planned products or those of our competitors;</w:t>
      </w:r>
    </w:p>
    <w:p>
      <w:pPr>
        <w:spacing w:after="0" w:line="144" w:lineRule="exact"/>
        <w:rPr>
          <w:rFonts w:ascii="Arial" w:cs="Arial" w:eastAsia="Arial" w:hAnsi="Arial"/>
          <w:sz w:val="18"/>
          <w:szCs w:val="18"/>
          <w:color w:val="auto"/>
        </w:rPr>
      </w:pPr>
    </w:p>
    <w:p>
      <w:pPr>
        <w:ind w:left="860" w:right="520" w:hanging="427"/>
        <w:spacing w:after="0" w:line="23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by regulatory bodies, such as the FDA, that effect our business or have the effect of delaying or rejecting approvals of our planned products;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44" w:lineRule="exact"/>
        <w:rPr>
          <w:rFonts w:ascii="Arial" w:cs="Arial" w:eastAsia="Arial" w:hAnsi="Arial"/>
          <w:sz w:val="18"/>
          <w:szCs w:val="18"/>
          <w:color w:val="auto"/>
        </w:rPr>
      </w:pPr>
    </w:p>
    <w:p>
      <w:pPr>
        <w:ind w:left="860" w:right="520" w:hanging="427"/>
        <w:spacing w:after="0" w:line="23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our customers, partners or suppliers relating directly or indirectly to our products, services or technologies;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planned products;</w:t>
      </w:r>
    </w:p>
    <w:p>
      <w:pPr>
        <w:spacing w:after="0" w:line="144" w:lineRule="exact"/>
        <w:rPr>
          <w:rFonts w:ascii="Arial" w:cs="Arial" w:eastAsia="Arial" w:hAnsi="Arial"/>
          <w:sz w:val="18"/>
          <w:szCs w:val="18"/>
          <w:color w:val="auto"/>
        </w:rPr>
      </w:pPr>
    </w:p>
    <w:p>
      <w:pPr>
        <w:ind w:left="860" w:right="520" w:hanging="427"/>
        <w:spacing w:after="0" w:line="23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860" w:right="40" w:hanging="427"/>
        <w:spacing w:after="0" w:line="23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reports, guidance and ratings issued by securities or industry analysts;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conditions in our industry and market;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44"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which could seriously harm our business.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Sales or purchases of shares of our common stock may adversely affect the market for our common stock.</w:t>
      </w:r>
    </w:p>
    <w:p>
      <w:pPr>
        <w:spacing w:after="0" w:line="169" w:lineRule="exact"/>
        <w:rPr>
          <w:sz w:val="20"/>
          <w:szCs w:val="20"/>
          <w:color w:val="auto"/>
        </w:rPr>
      </w:pPr>
    </w:p>
    <w:p>
      <w:pPr>
        <w:ind w:right="20" w:firstLine="441"/>
        <w:spacing w:after="0" w:line="239" w:lineRule="auto"/>
        <w:rPr>
          <w:sz w:val="20"/>
          <w:szCs w:val="20"/>
          <w:color w:val="auto"/>
        </w:rPr>
      </w:pPr>
      <w:r>
        <w:rPr>
          <w:rFonts w:ascii="Arial" w:cs="Arial" w:eastAsia="Arial" w:hAnsi="Arial"/>
          <w:sz w:val="16"/>
          <w:szCs w:val="16"/>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is not subject to any contractual restrictions with us on his ability to sell or transfer our common stock, and these sales or transfers could create substantial declines in the price of our securities or, if these sales or transfers were made to a single buyer or group of buyers, could contribute to a transfer of control of our company to a third party. Sales by Robert W. Duggan of a substantial number of shares, or the expectation of such sales, could cause a significant reduction in the market price of our common stock.</w:t>
      </w:r>
    </w:p>
    <w:p>
      <w:pPr>
        <w:spacing w:after="0" w:line="122" w:lineRule="exact"/>
        <w:rPr>
          <w:sz w:val="20"/>
          <w:szCs w:val="20"/>
          <w:color w:val="auto"/>
        </w:rPr>
      </w:pPr>
    </w:p>
    <w:p>
      <w:pPr>
        <w:ind w:right="20" w:firstLine="441"/>
        <w:spacing w:after="0" w:line="212" w:lineRule="auto"/>
        <w:rPr>
          <w:sz w:val="20"/>
          <w:szCs w:val="20"/>
          <w:color w:val="auto"/>
        </w:rPr>
      </w:pPr>
      <w:r>
        <w:rPr>
          <w:rFonts w:ascii="Arial" w:cs="Arial" w:eastAsia="Arial" w:hAnsi="Arial"/>
          <w:sz w:val="18"/>
          <w:szCs w:val="18"/>
          <w:color w:val="auto"/>
        </w:rPr>
        <w:t>We maintain a shelf registration statement on Form S-3 pursuant to which we may, from time to time, sell up to an aggregate of $150.0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25" w:lineRule="exact"/>
        <w:rPr>
          <w:sz w:val="20"/>
          <w:szCs w:val="20"/>
          <w:color w:val="auto"/>
        </w:rPr>
      </w:pPr>
    </w:p>
    <w:p>
      <w:pPr>
        <w:ind w:right="140" w:firstLine="441"/>
        <w:spacing w:after="0" w:line="23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35"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Prior to our initial public offering in May 2016, there was no public market for our common stock. Although our common stock is listed on The Nasdaq Capital Market,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common stock could be delisted from the Nasdaq Capital Market if we fail to regain compliance with Nasdaq listing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rules.</w:t>
      </w:r>
    </w:p>
    <w:p>
      <w:pPr>
        <w:spacing w:after="0" w:line="128" w:lineRule="exact"/>
        <w:rPr>
          <w:sz w:val="20"/>
          <w:szCs w:val="20"/>
          <w:color w:val="auto"/>
        </w:rPr>
      </w:pPr>
    </w:p>
    <w:p>
      <w:pPr>
        <w:ind w:right="220" w:firstLine="441"/>
        <w:spacing w:after="0" w:line="219" w:lineRule="auto"/>
        <w:rPr>
          <w:sz w:val="20"/>
          <w:szCs w:val="20"/>
          <w:color w:val="auto"/>
        </w:rPr>
      </w:pPr>
      <w:r>
        <w:rPr>
          <w:rFonts w:ascii="Arial" w:cs="Arial" w:eastAsia="Arial" w:hAnsi="Arial"/>
          <w:sz w:val="18"/>
          <w:szCs w:val="18"/>
          <w:color w:val="auto"/>
        </w:rPr>
        <w:t>On July 30, 2018, we received a notice from Nasdaq indicating that we were not in compliance with the audit committee requirements as set forth in Listing Rule 5605, which requires us to have at least three members of our audit committee. Nasdaq has provided us with a cure period until the earlier of the next annual meeting of stockholders or July 27, 2019 to regain compliance.</w:t>
      </w:r>
    </w:p>
    <w:p>
      <w:pPr>
        <w:spacing w:after="0" w:line="136" w:lineRule="exact"/>
        <w:rPr>
          <w:sz w:val="20"/>
          <w:szCs w:val="20"/>
          <w:color w:val="auto"/>
        </w:rPr>
      </w:pPr>
    </w:p>
    <w:p>
      <w:pPr>
        <w:ind w:right="20" w:firstLine="441"/>
        <w:spacing w:after="0" w:line="223" w:lineRule="auto"/>
        <w:rPr>
          <w:sz w:val="20"/>
          <w:szCs w:val="20"/>
          <w:color w:val="auto"/>
        </w:rPr>
      </w:pPr>
      <w:r>
        <w:rPr>
          <w:rFonts w:ascii="Arial" w:cs="Arial" w:eastAsia="Arial" w:hAnsi="Arial"/>
          <w:sz w:val="17"/>
          <w:szCs w:val="17"/>
          <w:color w:val="auto"/>
        </w:rPr>
        <w:t>If our common stock is delisted from the Nasdaq Capital Market and we are unable to obtain listing on another national securities exchange, our common stock may trade only on the over-the-counter market (the “OTC”). If our common stock were to trade on the OTC, the market price and liquidity of our common stock may decline because smaller quantities of shares would likely be bought and sold, and transactions could be delayed. In addition, in the event our common stock is delisted, broker-dealers transacting in our common stock could be subject to certain additional regulatory burdens, which may discourage them from effecting transactions in our common stock, thus further limiting the liquidity of our common stock and potentially resulting in lower prices and larger spreads in the bid and ask prices for our common stock. A delisting from the Nasdaq Capital Market could also negatively impact our ability to raise capital in the future.</w:t>
      </w:r>
    </w:p>
    <w:p>
      <w:pPr>
        <w:spacing w:after="0" w:line="127" w:lineRule="exact"/>
        <w:rPr>
          <w:sz w:val="20"/>
          <w:szCs w:val="20"/>
          <w:color w:val="auto"/>
        </w:rPr>
      </w:pPr>
    </w:p>
    <w:p>
      <w:pPr>
        <w:ind w:right="380" w:firstLine="441"/>
        <w:spacing w:after="0" w:line="235" w:lineRule="auto"/>
        <w:rPr>
          <w:sz w:val="20"/>
          <w:szCs w:val="20"/>
          <w:color w:val="auto"/>
        </w:rPr>
      </w:pPr>
      <w:r>
        <w:rPr>
          <w:rFonts w:ascii="Arial" w:cs="Arial" w:eastAsia="Arial" w:hAnsi="Arial"/>
          <w:sz w:val="18"/>
          <w:szCs w:val="18"/>
          <w:b w:val="1"/>
          <w:bCs w:val="1"/>
          <w:i w:val="1"/>
          <w:iCs w:val="1"/>
          <w:color w:val="auto"/>
        </w:rPr>
        <w:t>Concentration of ownership by our principal stockholders may limit your ability to influence the outcome of director elections and other transactions requiring stockholder approval</w:t>
      </w:r>
      <w:r>
        <w:rPr>
          <w:rFonts w:ascii="Arial" w:cs="Arial" w:eastAsia="Arial" w:hAnsi="Arial"/>
          <w:sz w:val="18"/>
          <w:szCs w:val="18"/>
          <w:color w:val="auto"/>
        </w:rPr>
        <w:t>.</w:t>
      </w:r>
    </w:p>
    <w:p>
      <w:pPr>
        <w:spacing w:after="0" w:line="121" w:lineRule="exact"/>
        <w:rPr>
          <w:sz w:val="20"/>
          <w:szCs w:val="20"/>
          <w:color w:val="auto"/>
        </w:rPr>
      </w:pPr>
    </w:p>
    <w:p>
      <w:pPr>
        <w:ind w:right="40" w:firstLine="441"/>
        <w:spacing w:after="0" w:line="219" w:lineRule="auto"/>
        <w:rPr>
          <w:sz w:val="20"/>
          <w:szCs w:val="20"/>
          <w:color w:val="auto"/>
        </w:rPr>
      </w:pPr>
      <w:r>
        <w:rPr>
          <w:rFonts w:ascii="Arial" w:cs="Arial" w:eastAsia="Arial" w:hAnsi="Arial"/>
          <w:sz w:val="18"/>
          <w:szCs w:val="18"/>
          <w:color w:val="auto"/>
        </w:rPr>
        <w:t>A significant percentage of our outstanding stock is held by a limited number of investors, including Robert W. Duggan. Mr. Duggan, Chairman of our Board, beneficially owns approximately 35% of our common stock outstanding as of the date of this Quarterly Report. As a result, such persons will have significant influence over corporate actions requiring stockholder approval, including the following actions:</w:t>
      </w:r>
    </w:p>
    <w:p>
      <w:pPr>
        <w:spacing w:after="0" w:line="136" w:lineRule="exact"/>
        <w:rPr>
          <w:sz w:val="20"/>
          <w:szCs w:val="20"/>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amend or prevent amendment of our certificate of incorporation or bylaws;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44" w:lineRule="exact"/>
        <w:rPr>
          <w:rFonts w:ascii="Arial" w:cs="Arial" w:eastAsia="Arial" w:hAnsi="Arial"/>
          <w:sz w:val="18"/>
          <w:szCs w:val="18"/>
          <w:color w:val="auto"/>
        </w:rPr>
      </w:pPr>
    </w:p>
    <w:p>
      <w:pPr>
        <w:ind w:left="4640" w:right="2720" w:hanging="4207"/>
        <w:spacing w:after="0" w:line="465" w:lineRule="auto"/>
        <w:tabs>
          <w:tab w:leader="none" w:pos="8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-83185</wp:posOffset>
            </wp:positionV>
            <wp:extent cx="605409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right="240" w:firstLine="441"/>
        <w:spacing w:after="0" w:line="224" w:lineRule="auto"/>
        <w:rPr>
          <w:sz w:val="20"/>
          <w:szCs w:val="20"/>
          <w:color w:val="auto"/>
        </w:rPr>
      </w:pPr>
      <w:r>
        <w:rPr>
          <w:rFonts w:ascii="Arial" w:cs="Arial" w:eastAsia="Arial" w:hAnsi="Arial"/>
          <w:sz w:val="18"/>
          <w:szCs w:val="18"/>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36" w:lineRule="exact"/>
        <w:rPr>
          <w:sz w:val="20"/>
          <w:szCs w:val="20"/>
          <w:color w:val="auto"/>
        </w:rPr>
      </w:pPr>
    </w:p>
    <w:p>
      <w:pPr>
        <w:ind w:right="60" w:firstLine="441"/>
        <w:spacing w:after="0" w:line="219" w:lineRule="auto"/>
        <w:rPr>
          <w:sz w:val="20"/>
          <w:szCs w:val="20"/>
          <w:color w:val="auto"/>
        </w:rPr>
      </w:pPr>
      <w:r>
        <w:rPr>
          <w:rFonts w:ascii="Arial" w:cs="Arial" w:eastAsia="Arial" w:hAnsi="Arial"/>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22"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b w:val="1"/>
          <w:bCs w:val="1"/>
          <w:i w:val="1"/>
          <w:iCs w:val="1"/>
          <w:color w:val="auto"/>
        </w:rPr>
        <w:t>Robert W. Duggan’s significant ownership position may deter or prevent efforts by other companies to acquire us, which could prevent our stockholders from realizing a control premium.</w:t>
      </w:r>
    </w:p>
    <w:p>
      <w:pPr>
        <w:spacing w:after="0" w:line="121" w:lineRule="exact"/>
        <w:rPr>
          <w:sz w:val="20"/>
          <w:szCs w:val="20"/>
          <w:color w:val="auto"/>
        </w:rPr>
      </w:pPr>
    </w:p>
    <w:p>
      <w:pPr>
        <w:ind w:firstLine="441"/>
        <w:spacing w:after="0" w:line="216" w:lineRule="auto"/>
        <w:rPr>
          <w:sz w:val="20"/>
          <w:szCs w:val="20"/>
          <w:color w:val="auto"/>
        </w:rPr>
      </w:pPr>
      <w:r>
        <w:rPr>
          <w:rFonts w:ascii="Arial" w:cs="Arial" w:eastAsia="Arial" w:hAnsi="Arial"/>
          <w:sz w:val="18"/>
          <w:szCs w:val="18"/>
          <w:color w:val="auto"/>
        </w:rPr>
        <w:t>Robert W. Duggan, is the Chairman of our Board, beneficially owns approximately 35% of our common stock outstanding as of the date of this Quarterly Report. As a result of Robert W. Duggan’s significant ownership and position as Chairman of the Board,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w:t>
      </w:r>
    </w:p>
    <w:p>
      <w:pPr>
        <w:spacing w:after="0" w:line="135" w:lineRule="exact"/>
        <w:rPr>
          <w:sz w:val="20"/>
          <w:szCs w:val="20"/>
          <w:color w:val="auto"/>
        </w:rPr>
      </w:pPr>
    </w:p>
    <w:p>
      <w:pPr>
        <w:ind w:right="80" w:firstLine="441"/>
        <w:spacing w:after="0" w:line="258" w:lineRule="auto"/>
        <w:rPr>
          <w:sz w:val="20"/>
          <w:szCs w:val="20"/>
          <w:color w:val="auto"/>
        </w:rPr>
      </w:pPr>
      <w:r>
        <w:rPr>
          <w:rFonts w:ascii="Arial" w:cs="Arial" w:eastAsia="Arial" w:hAnsi="Arial"/>
          <w:sz w:val="17"/>
          <w:szCs w:val="17"/>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06" w:lineRule="exact"/>
        <w:rPr>
          <w:sz w:val="20"/>
          <w:szCs w:val="20"/>
          <w:color w:val="auto"/>
        </w:rPr>
      </w:pPr>
    </w:p>
    <w:p>
      <w:pPr>
        <w:ind w:right="120" w:firstLine="441"/>
        <w:spacing w:after="0" w:line="216" w:lineRule="auto"/>
        <w:rPr>
          <w:sz w:val="20"/>
          <w:szCs w:val="20"/>
          <w:color w:val="auto"/>
        </w:rPr>
      </w:pPr>
      <w:r>
        <w:rPr>
          <w:rFonts w:ascii="Arial" w:cs="Arial" w:eastAsia="Arial" w:hAnsi="Arial"/>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the Nasdaq. The SEC and other regulators have continued to adopt new rules and regulations and make additional changes to existing regulations that require our compliance.</w:t>
      </w:r>
    </w:p>
    <w:p>
      <w:pPr>
        <w:spacing w:after="0" w:line="122"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of 2002,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36" w:lineRule="exact"/>
        <w:rPr>
          <w:sz w:val="20"/>
          <w:szCs w:val="20"/>
          <w:color w:val="auto"/>
        </w:rPr>
      </w:pPr>
    </w:p>
    <w:p>
      <w:pPr>
        <w:ind w:right="80" w:firstLine="441"/>
        <w:spacing w:after="0" w:line="216" w:lineRule="auto"/>
        <w:rPr>
          <w:sz w:val="20"/>
          <w:szCs w:val="20"/>
          <w:color w:val="auto"/>
        </w:rPr>
      </w:pPr>
      <w:r>
        <w:rPr>
          <w:rFonts w:ascii="Arial" w:cs="Arial" w:eastAsia="Arial" w:hAnsi="Arial"/>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22" w:lineRule="exact"/>
        <w:rPr>
          <w:sz w:val="20"/>
          <w:szCs w:val="20"/>
          <w:color w:val="auto"/>
        </w:rPr>
      </w:pPr>
    </w:p>
    <w:p>
      <w:pPr>
        <w:ind w:right="160" w:firstLine="441"/>
        <w:spacing w:after="0" w:line="324" w:lineRule="auto"/>
        <w:rPr>
          <w:sz w:val="20"/>
          <w:szCs w:val="20"/>
          <w:color w:val="auto"/>
        </w:rPr>
      </w:pPr>
      <w:r>
        <w:rPr>
          <w:rFonts w:ascii="Arial" w:cs="Arial" w:eastAsia="Arial" w:hAnsi="Arial"/>
          <w:sz w:val="15"/>
          <w:szCs w:val="15"/>
          <w:b w:val="1"/>
          <w:bCs w:val="1"/>
          <w:i w:val="1"/>
          <w:iCs w:val="1"/>
          <w:color w:val="auto"/>
        </w:rPr>
        <w:t>We are an “emerging growth company” under the JOBS Act of 2012 and we cannot be certain if the reduced disclosure requirements applicable to emerging growth companies will make our common stock less attractive to investors.</w:t>
      </w:r>
    </w:p>
    <w:p>
      <w:pPr>
        <w:spacing w:after="0" w:line="61" w:lineRule="exact"/>
        <w:rPr>
          <w:sz w:val="20"/>
          <w:szCs w:val="20"/>
          <w:color w:val="auto"/>
        </w:rPr>
      </w:pPr>
    </w:p>
    <w:p>
      <w:pPr>
        <w:ind w:right="40" w:firstLine="441"/>
        <w:spacing w:after="0" w:line="210"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right="60" w:firstLine="441"/>
        <w:spacing w:after="0" w:line="224" w:lineRule="auto"/>
        <w:rPr>
          <w:sz w:val="20"/>
          <w:szCs w:val="20"/>
          <w:color w:val="auto"/>
        </w:rPr>
      </w:pPr>
      <w:r>
        <w:rPr>
          <w:rFonts w:ascii="Arial" w:cs="Arial" w:eastAsia="Arial" w:hAnsi="Arial"/>
          <w:sz w:val="18"/>
          <w:szCs w:val="18"/>
          <w:color w:val="auto"/>
        </w:rPr>
        <w:t>We will remain an “emerging growth company” for up to five years, although we will lose that status sooner if our revenues exceed $1.07 billion, if we issue more than $1.0 billion in non-convertible debt in a three-year period, or if the market value of our common stock that is held by non-affiliates exceeds $700 million as of June 30.</w:t>
      </w:r>
    </w:p>
    <w:p>
      <w:pPr>
        <w:spacing w:after="0" w:line="136" w:lineRule="exact"/>
        <w:rPr>
          <w:sz w:val="20"/>
          <w:szCs w:val="20"/>
          <w:color w:val="auto"/>
        </w:rPr>
      </w:pPr>
    </w:p>
    <w:p>
      <w:pPr>
        <w:ind w:right="100" w:firstLine="441"/>
        <w:spacing w:after="0" w:line="229" w:lineRule="auto"/>
        <w:rPr>
          <w:sz w:val="20"/>
          <w:szCs w:val="20"/>
          <w:color w:val="auto"/>
        </w:rPr>
      </w:pPr>
      <w:r>
        <w:rPr>
          <w:rFonts w:ascii="Arial" w:cs="Arial" w:eastAsia="Arial" w:hAnsi="Arial"/>
          <w:sz w:val="17"/>
          <w:szCs w:val="17"/>
          <w:color w:val="auto"/>
        </w:rPr>
        <w:t>Because of the exemptions from various reporting requirements provided to us as an “emerging growth company,” we may be less attractive to investors as an investment opportunity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21" w:lineRule="exact"/>
        <w:rPr>
          <w:sz w:val="20"/>
          <w:szCs w:val="20"/>
          <w:color w:val="auto"/>
        </w:rPr>
      </w:pPr>
    </w:p>
    <w:p>
      <w:pPr>
        <w:ind w:right="600" w:firstLine="441"/>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21" w:lineRule="exact"/>
        <w:rPr>
          <w:sz w:val="20"/>
          <w:szCs w:val="20"/>
          <w:color w:val="auto"/>
        </w:rPr>
      </w:pPr>
    </w:p>
    <w:p>
      <w:pPr>
        <w:ind w:right="60" w:firstLine="441"/>
        <w:spacing w:after="0" w:line="226"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We do not have any control over these analysts. We currently have no analysts covering us and there can be no assurance that analysts will cover us or provide favorable coverage. If one or more of the analysts who cover us downgrade our stock or change their opinion of our stock, our market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paid dividends in the past and have no plans to pay dividends</w:t>
      </w:r>
      <w:r>
        <w:rPr>
          <w:rFonts w:ascii="Arial" w:cs="Arial" w:eastAsia="Arial" w:hAnsi="Arial"/>
          <w:sz w:val="18"/>
          <w:szCs w:val="18"/>
          <w:color w:val="auto"/>
        </w:rPr>
        <w:t>.</w:t>
      </w:r>
    </w:p>
    <w:p>
      <w:pPr>
        <w:spacing w:after="0" w:line="144"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22" w:lineRule="exact"/>
        <w:rPr>
          <w:sz w:val="20"/>
          <w:szCs w:val="20"/>
          <w:color w:val="auto"/>
        </w:rPr>
      </w:pPr>
    </w:p>
    <w:p>
      <w:pPr>
        <w:jc w:val="both"/>
        <w:ind w:right="60" w:firstLine="441"/>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36" w:lineRule="exact"/>
        <w:rPr>
          <w:sz w:val="20"/>
          <w:szCs w:val="20"/>
          <w:color w:val="auto"/>
        </w:rPr>
      </w:pPr>
    </w:p>
    <w:p>
      <w:pPr>
        <w:ind w:right="40" w:firstLine="441"/>
        <w:spacing w:after="0" w:line="229" w:lineRule="auto"/>
        <w:rPr>
          <w:sz w:val="20"/>
          <w:szCs w:val="20"/>
          <w:color w:val="auto"/>
        </w:rPr>
      </w:pPr>
      <w:r>
        <w:rPr>
          <w:rFonts w:ascii="Arial" w:cs="Arial" w:eastAsia="Arial" w:hAnsi="Arial"/>
          <w:sz w:val="17"/>
          <w:szCs w:val="17"/>
          <w:color w:val="auto"/>
        </w:rPr>
        <w:t>We recently reincorporated to the State of Delaware from the State of Nevada. 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21" w:lineRule="exact"/>
        <w:rPr>
          <w:sz w:val="20"/>
          <w:szCs w:val="20"/>
          <w:color w:val="auto"/>
        </w:rPr>
      </w:pPr>
    </w:p>
    <w:p>
      <w:pPr>
        <w:ind w:left="860" w:right="500" w:hanging="427"/>
        <w:spacing w:after="0" w:line="289"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50,000,000 shares of preferred stock and up to approximately 500,000,000 shares of authorized but unissued shares of common stock;</w:t>
      </w:r>
    </w:p>
    <w:p>
      <w:pPr>
        <w:spacing w:after="0" w:line="83" w:lineRule="exact"/>
        <w:rPr>
          <w:rFonts w:ascii="Arial" w:cs="Arial" w:eastAsia="Arial" w:hAnsi="Arial"/>
          <w:sz w:val="16"/>
          <w:szCs w:val="16"/>
          <w:color w:val="auto"/>
        </w:rPr>
      </w:pPr>
    </w:p>
    <w:p>
      <w:pPr>
        <w:ind w:left="860" w:right="20" w:hanging="427"/>
        <w:spacing w:after="0" w:line="235"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21" w:lineRule="exact"/>
        <w:rPr>
          <w:rFonts w:ascii="Arial" w:cs="Arial" w:eastAsia="Arial" w:hAnsi="Arial"/>
          <w:sz w:val="18"/>
          <w:szCs w:val="18"/>
          <w:color w:val="auto"/>
        </w:rPr>
      </w:pPr>
    </w:p>
    <w:p>
      <w:pPr>
        <w:ind w:left="860" w:right="100" w:hanging="427"/>
        <w:spacing w:after="0" w:line="224"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22" w:lineRule="exact"/>
        <w:rPr>
          <w:rFonts w:ascii="Arial" w:cs="Arial" w:eastAsia="Arial" w:hAnsi="Arial"/>
          <w:sz w:val="18"/>
          <w:szCs w:val="18"/>
          <w:color w:val="auto"/>
        </w:rPr>
      </w:pPr>
    </w:p>
    <w:p>
      <w:pPr>
        <w:ind w:left="860" w:right="640" w:hanging="427"/>
        <w:spacing w:after="0" w:line="258"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06" w:lineRule="exact"/>
        <w:rPr>
          <w:rFonts w:ascii="Arial" w:cs="Arial" w:eastAsia="Arial" w:hAnsi="Arial"/>
          <w:sz w:val="17"/>
          <w:szCs w:val="17"/>
          <w:color w:val="auto"/>
        </w:rPr>
      </w:pPr>
    </w:p>
    <w:p>
      <w:pPr>
        <w:jc w:val="both"/>
        <w:ind w:left="860" w:right="180" w:hanging="427"/>
        <w:spacing w:after="0" w:line="224"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the then outstanding shares of our voting stock, voting together as a single class, to amend provisions of our certificate of incorporation or our bylaws;</w:t>
      </w:r>
    </w:p>
    <w:p>
      <w:pPr>
        <w:spacing w:after="0" w:line="122"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the bylaws; and</w:t>
      </w:r>
    </w:p>
    <w:p>
      <w:pPr>
        <w:spacing w:after="0" w:line="144" w:lineRule="exact"/>
        <w:rPr>
          <w:rFonts w:ascii="Arial" w:cs="Arial" w:eastAsia="Arial" w:hAnsi="Arial"/>
          <w:sz w:val="18"/>
          <w:szCs w:val="18"/>
          <w:color w:val="auto"/>
        </w:rPr>
      </w:pPr>
    </w:p>
    <w:p>
      <w:pPr>
        <w:ind w:left="860" w:right="500" w:hanging="427"/>
        <w:spacing w:after="0" w:line="235"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firstLine="441"/>
        <w:spacing w:after="0" w:line="22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Letter</w:t>
      </w:r>
    </w:p>
    <w:p>
      <w:pPr>
        <w:spacing w:after="0" w:line="144"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On October 26, 2018, Robert W. Duggan, our chairman of the Board, and the beneficial owner of approximately 35% of our common stock outstanding as of the date of this Quarterly Report, made an irrevocable commitment to provide financial support, which may take the form of purchase of equity, loans or advances to us, of up to $15,000,000 to ensure our ability to maintain operations through the period ending November 15, 2019 (the “</w:t>
      </w:r>
      <w:r>
        <w:rPr>
          <w:rFonts w:ascii="Arial" w:cs="Arial" w:eastAsia="Arial" w:hAnsi="Arial"/>
          <w:sz w:val="17"/>
          <w:szCs w:val="17"/>
          <w:b w:val="1"/>
          <w:bCs w:val="1"/>
          <w:color w:val="auto"/>
        </w:rPr>
        <w:t>Commitment Letter</w:t>
      </w:r>
      <w:r>
        <w:rPr>
          <w:rFonts w:ascii="Arial" w:cs="Arial" w:eastAsia="Arial" w:hAnsi="Arial"/>
          <w:sz w:val="17"/>
          <w:szCs w:val="17"/>
          <w:color w:val="auto"/>
        </w:rPr>
        <w:t>”). The foregoing description of the Commitment Letter does not purport to be complete and is qualified in its entirety by reference to the Commitment Agreement, a copy of which is attached hereto as Exhibit 10.1 and is incorporated herein by reference.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20"/>
          </w:cols>
          <w:pgMar w:left="1220" w:top="108" w:right="1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8760" w:type="dxa"/>
            <w:vAlign w:val="bottom"/>
            <w:gridSpan w:val="8"/>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860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2"/>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86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auto"/>
              <w:bottom w:val="single" w:sz="8" w:color="0000EE"/>
            </w:tcBorders>
            <w:shd w:val="clear" w:color="auto" w:fill="CCEEFF"/>
          </w:tcPr>
          <w:p>
            <w:pPr>
              <w:spacing w:after="0" w:line="15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38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960" w:type="dxa"/>
            <w:vAlign w:val="bottom"/>
            <w:tcBorders>
              <w:top w:val="single" w:sz="8" w:color="auto"/>
              <w:bottom w:val="single" w:sz="8" w:color="0000EE"/>
            </w:tcBorders>
            <w:gridSpan w:val="2"/>
            <w:shd w:val="clear" w:color="auto" w:fill="CCEEFF"/>
          </w:tcPr>
          <w:p>
            <w:pPr>
              <w:spacing w:after="0" w:line="15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Commitment Letter dated October 26, 2018 from Robert W. Duggan</w:t>
              </w:r>
            </w:hyperlink>
          </w:p>
        </w:tc>
        <w:tc>
          <w:tcPr>
            <w:tcW w:w="3520" w:type="dxa"/>
            <w:vAlign w:val="bottom"/>
            <w:tcBorders>
              <w:top w:val="single" w:sz="8" w:color="auto"/>
              <w:bottom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bottom w:val="single" w:sz="8" w:color="0000EE"/>
            </w:tcBorders>
            <w:shd w:val="clear" w:color="auto" w:fill="CCEEFF"/>
          </w:tcPr>
          <w:p>
            <w:pPr>
              <w:spacing w:after="0" w:line="15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40" w:type="dxa"/>
            <w:vAlign w:val="bottom"/>
            <w:tcBorders>
              <w:bottom w:val="single" w:sz="8" w:color="0000EE"/>
            </w:tcBorders>
            <w:gridSpan w:val="4"/>
            <w:shd w:val="clear" w:color="auto" w:fill="CCEEFF"/>
          </w:tcPr>
          <w:p>
            <w:pPr>
              <w:spacing w:after="0" w:line="15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Chief Executive Officer pursuant to Section 302 of the Sarbanes-Oxley Act of 2002.</w:t>
              </w:r>
            </w:hyperlink>
          </w:p>
        </w:tc>
        <w:tc>
          <w:tcPr>
            <w:tcW w:w="1240" w:type="dxa"/>
            <w:vAlign w:val="bottom"/>
            <w:tcBorders>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Pr>
          <w:p>
            <w:pPr>
              <w:spacing w:after="0" w:line="15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80" w:type="dxa"/>
            <w:vAlign w:val="bottom"/>
            <w:gridSpan w:val="6"/>
          </w:tcPr>
          <w:p>
            <w:pPr>
              <w:spacing w:after="0" w:line="156" w:lineRule="exact"/>
              <w:rPr>
                <w:rFonts w:ascii="Arial" w:cs="Arial" w:eastAsia="Arial" w:hAnsi="Arial"/>
                <w:sz w:val="18"/>
                <w:szCs w:val="18"/>
                <w:color w:val="0000EE"/>
              </w:rPr>
            </w:pPr>
            <w:hyperlink w:anchor="page53">
              <w:r>
                <w:rPr>
                  <w:rFonts w:ascii="Arial" w:cs="Arial" w:eastAsia="Arial" w:hAnsi="Arial"/>
                  <w:sz w:val="18"/>
                  <w:szCs w:val="18"/>
                  <w:color w:val="0000EE"/>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80" w:type="dxa"/>
            <w:vAlign w:val="bottom"/>
            <w:gridSpan w:val="2"/>
            <w:shd w:val="clear" w:color="auto" w:fill="CCEEFF"/>
          </w:tcPr>
          <w:p>
            <w:pPr>
              <w:spacing w:after="0" w:line="156" w:lineRule="exact"/>
              <w:rPr>
                <w:rFonts w:ascii="Arial" w:cs="Arial" w:eastAsia="Arial" w:hAnsi="Arial"/>
                <w:sz w:val="18"/>
                <w:szCs w:val="18"/>
                <w:color w:val="0000EE"/>
              </w:rPr>
            </w:pPr>
            <w:hyperlink w:anchor="page54">
              <w:r>
                <w:rPr>
                  <w:rFonts w:ascii="Arial" w:cs="Arial" w:eastAsia="Arial" w:hAnsi="Arial"/>
                  <w:sz w:val="18"/>
                  <w:szCs w:val="18"/>
                  <w:color w:val="0000EE"/>
                </w:rPr>
                <w:t>32.</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60" w:type="dxa"/>
            <w:vAlign w:val="bottom"/>
            <w:shd w:val="clear" w:color="auto" w:fill="CCEEFF"/>
          </w:tcPr>
          <w:p>
            <w:pPr>
              <w:spacing w:after="0"/>
              <w:rPr>
                <w:sz w:val="13"/>
                <w:szCs w:val="13"/>
                <w:color w:val="auto"/>
              </w:rPr>
            </w:pPr>
          </w:p>
        </w:tc>
        <w:tc>
          <w:tcPr>
            <w:tcW w:w="8600" w:type="dxa"/>
            <w:vAlign w:val="bottom"/>
            <w:gridSpan w:val="7"/>
            <w:shd w:val="clear" w:color="auto" w:fill="CCEEFF"/>
          </w:tcPr>
          <w:p>
            <w:pPr>
              <w:ind w:left="120"/>
              <w:spacing w:after="0" w:line="15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Certification of the Chief Executive and Chief Financial Officers pursuant to Section 906 of the Sarbanes-Oxley Act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480" w:type="dxa"/>
            <w:vAlign w:val="bottom"/>
            <w:tcBorders>
              <w:top w:val="single" w:sz="8" w:color="0000EE"/>
              <w:bottom w:val="single" w:sz="8" w:color="0000EE"/>
            </w:tcBorders>
            <w:shd w:val="clear" w:color="auto" w:fill="CCEEFF"/>
          </w:tcPr>
          <w:p>
            <w:pPr>
              <w:spacing w:after="0" w:line="15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of 2002 (18 U.S.C. Section 1350).</w:t>
              </w:r>
            </w:hyperlink>
          </w:p>
        </w:tc>
        <w:tc>
          <w:tcPr>
            <w:tcW w:w="5920" w:type="dxa"/>
            <w:vAlign w:val="bottom"/>
            <w:tcBorders>
              <w:top w:val="single" w:sz="8" w:color="0000EE"/>
              <w:bottom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spacing w:after="0" w:line="170" w:lineRule="exact"/>
              <w:rPr>
                <w:sz w:val="20"/>
                <w:szCs w:val="20"/>
                <w:color w:val="auto"/>
              </w:rPr>
            </w:pPr>
            <w:r>
              <w:rPr>
                <w:rFonts w:ascii="Arial" w:cs="Arial" w:eastAsia="Arial" w:hAnsi="Arial"/>
                <w:sz w:val="18"/>
                <w:szCs w:val="18"/>
                <w:color w:val="auto"/>
              </w:rPr>
              <w:t>101.INS</w:t>
            </w:r>
          </w:p>
        </w:tc>
        <w:tc>
          <w:tcPr>
            <w:tcW w:w="160" w:type="dxa"/>
            <w:vAlign w:val="bottom"/>
          </w:tcPr>
          <w:p>
            <w:pPr>
              <w:spacing w:after="0"/>
              <w:rPr>
                <w:sz w:val="14"/>
                <w:szCs w:val="14"/>
                <w:color w:val="auto"/>
              </w:rPr>
            </w:pPr>
          </w:p>
        </w:tc>
        <w:tc>
          <w:tcPr>
            <w:tcW w:w="8600" w:type="dxa"/>
            <w:vAlign w:val="bottom"/>
            <w:gridSpan w:val="7"/>
          </w:tcPr>
          <w:p>
            <w:pPr>
              <w:ind w:left="120"/>
              <w:spacing w:after="0" w:line="170"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101.SCH</w:t>
            </w:r>
          </w:p>
        </w:tc>
        <w:tc>
          <w:tcPr>
            <w:tcW w:w="160" w:type="dxa"/>
            <w:vAlign w:val="bottom"/>
            <w:shd w:val="clear" w:color="auto" w:fill="CCEEFF"/>
          </w:tcPr>
          <w:p>
            <w:pPr>
              <w:spacing w:after="0"/>
              <w:rPr>
                <w:sz w:val="15"/>
                <w:szCs w:val="15"/>
                <w:color w:val="auto"/>
              </w:rPr>
            </w:pPr>
          </w:p>
        </w:tc>
        <w:tc>
          <w:tcPr>
            <w:tcW w:w="8600" w:type="dxa"/>
            <w:vAlign w:val="bottom"/>
            <w:gridSpan w:val="7"/>
            <w:shd w:val="clear" w:color="auto" w:fill="CCEEFF"/>
          </w:tcPr>
          <w:p>
            <w:pPr>
              <w:ind w:left="120"/>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color w:val="auto"/>
                <w:w w:val="94"/>
              </w:rPr>
              <w:t>101.CAL</w:t>
            </w:r>
          </w:p>
        </w:tc>
        <w:tc>
          <w:tcPr>
            <w:tcW w:w="160" w:type="dxa"/>
            <w:vAlign w:val="bottom"/>
          </w:tcPr>
          <w:p>
            <w:pPr>
              <w:spacing w:after="0"/>
              <w:rPr>
                <w:sz w:val="15"/>
                <w:szCs w:val="15"/>
                <w:color w:val="auto"/>
              </w:rPr>
            </w:pPr>
          </w:p>
        </w:tc>
        <w:tc>
          <w:tcPr>
            <w:tcW w:w="8600" w:type="dxa"/>
            <w:vAlign w:val="bottom"/>
            <w:gridSpan w:val="7"/>
          </w:tcPr>
          <w:p>
            <w:pPr>
              <w:ind w:left="120"/>
              <w:spacing w:after="0" w:line="176"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101.DEF</w:t>
            </w:r>
          </w:p>
        </w:tc>
        <w:tc>
          <w:tcPr>
            <w:tcW w:w="160" w:type="dxa"/>
            <w:vAlign w:val="bottom"/>
            <w:shd w:val="clear" w:color="auto" w:fill="CCEEFF"/>
          </w:tcPr>
          <w:p>
            <w:pPr>
              <w:spacing w:after="0"/>
              <w:rPr>
                <w:sz w:val="15"/>
                <w:szCs w:val="15"/>
                <w:color w:val="auto"/>
              </w:rPr>
            </w:pPr>
          </w:p>
        </w:tc>
        <w:tc>
          <w:tcPr>
            <w:tcW w:w="8600" w:type="dxa"/>
            <w:vAlign w:val="bottom"/>
            <w:gridSpan w:val="7"/>
            <w:shd w:val="clear" w:color="auto" w:fill="CCEEFF"/>
          </w:tcPr>
          <w:p>
            <w:pPr>
              <w:ind w:left="120"/>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color w:val="auto"/>
                <w:w w:val="95"/>
              </w:rPr>
              <w:t>101.LAB</w:t>
            </w:r>
          </w:p>
        </w:tc>
        <w:tc>
          <w:tcPr>
            <w:tcW w:w="160" w:type="dxa"/>
            <w:vAlign w:val="bottom"/>
          </w:tcPr>
          <w:p>
            <w:pPr>
              <w:spacing w:after="0"/>
              <w:rPr>
                <w:sz w:val="15"/>
                <w:szCs w:val="15"/>
                <w:color w:val="auto"/>
              </w:rPr>
            </w:pPr>
          </w:p>
        </w:tc>
        <w:tc>
          <w:tcPr>
            <w:tcW w:w="8600" w:type="dxa"/>
            <w:vAlign w:val="bottom"/>
            <w:gridSpan w:val="7"/>
          </w:tcPr>
          <w:p>
            <w:pPr>
              <w:ind w:left="120"/>
              <w:spacing w:after="0" w:line="176"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101.PRE</w:t>
            </w:r>
          </w:p>
        </w:tc>
        <w:tc>
          <w:tcPr>
            <w:tcW w:w="160" w:type="dxa"/>
            <w:vAlign w:val="bottom"/>
            <w:shd w:val="clear" w:color="auto" w:fill="CCEEFF"/>
          </w:tcPr>
          <w:p>
            <w:pPr>
              <w:spacing w:after="0"/>
              <w:rPr>
                <w:sz w:val="15"/>
                <w:szCs w:val="15"/>
                <w:color w:val="auto"/>
              </w:rPr>
            </w:pPr>
          </w:p>
        </w:tc>
        <w:tc>
          <w:tcPr>
            <w:tcW w:w="8600" w:type="dxa"/>
            <w:vAlign w:val="bottom"/>
            <w:gridSpan w:val="7"/>
            <w:shd w:val="clear" w:color="auto" w:fill="CCEEFF"/>
          </w:tcPr>
          <w:p>
            <w:pPr>
              <w:ind w:left="120"/>
              <w:spacing w:after="0" w:line="176"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spacing w:after="0" w:line="249" w:lineRule="auto"/>
        <w:tabs>
          <w:tab w:leader="none" w:pos="1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certification attached as Exhibit 32.1 that accompanies this Quarterly Report on Form 10-Q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259" w:firstLine="441"/>
        <w:spacing w:after="0" w:line="235"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30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PULSE BIOSCIENCES, INC.</w:t>
      </w:r>
    </w:p>
    <w:p>
      <w:pPr>
        <w:spacing w:after="0" w:line="146" w:lineRule="exact"/>
        <w:rPr>
          <w:sz w:val="20"/>
          <w:szCs w:val="20"/>
          <w:color w:val="auto"/>
        </w:rPr>
      </w:pPr>
    </w:p>
    <w:p>
      <w:pPr>
        <w:spacing w:after="0"/>
        <w:tabs>
          <w:tab w:leader="none" w:pos="4780" w:val="left"/>
          <w:tab w:leader="none" w:pos="646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-635</wp:posOffset>
            </wp:positionV>
            <wp:extent cx="24180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jc w:val="center"/>
        <w:ind w:left="4800"/>
        <w:spacing w:after="0" w:line="193" w:lineRule="auto"/>
        <w:rPr>
          <w:sz w:val="20"/>
          <w:szCs w:val="20"/>
          <w:color w:val="auto"/>
        </w:rPr>
      </w:pPr>
      <w:r>
        <w:rPr>
          <w:rFonts w:ascii="Arial" w:cs="Arial" w:eastAsia="Arial" w:hAnsi="Arial"/>
          <w:sz w:val="18"/>
          <w:szCs w:val="18"/>
          <w:b w:val="1"/>
          <w:bCs w:val="1"/>
          <w:color w:val="auto"/>
        </w:rPr>
        <w:t>Brian B. Dow</w:t>
      </w:r>
    </w:p>
    <w:p>
      <w:pPr>
        <w:jc w:val="center"/>
        <w:ind w:left="4800"/>
        <w:spacing w:after="0" w:line="202"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48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3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Robert W. Duggan</w:t>
      </w:r>
    </w:p>
    <w:p>
      <w:pPr>
        <w:jc w:val="center"/>
        <w:spacing w:after="0" w:line="203" w:lineRule="auto"/>
        <w:rPr>
          <w:sz w:val="20"/>
          <w:szCs w:val="20"/>
          <w:color w:val="auto"/>
        </w:rPr>
      </w:pPr>
      <w:r>
        <w:rPr>
          <w:rFonts w:ascii="Arial" w:cs="Arial" w:eastAsia="Arial" w:hAnsi="Arial"/>
          <w:sz w:val="18"/>
          <w:szCs w:val="18"/>
          <w:b w:val="1"/>
          <w:bCs w:val="1"/>
          <w:color w:val="auto"/>
        </w:rPr>
        <w:t>611 S. Fort Harrison Avenue</w:t>
      </w:r>
    </w:p>
    <w:p>
      <w:pPr>
        <w:jc w:val="center"/>
        <w:spacing w:after="0" w:line="204" w:lineRule="auto"/>
        <w:rPr>
          <w:sz w:val="20"/>
          <w:szCs w:val="20"/>
          <w:color w:val="auto"/>
        </w:rPr>
      </w:pPr>
      <w:r>
        <w:rPr>
          <w:rFonts w:ascii="Arial" w:cs="Arial" w:eastAsia="Arial" w:hAnsi="Arial"/>
          <w:sz w:val="18"/>
          <w:szCs w:val="18"/>
          <w:b w:val="1"/>
          <w:bCs w:val="1"/>
          <w:color w:val="auto"/>
        </w:rPr>
        <w:t>Suite 306</w:t>
      </w:r>
    </w:p>
    <w:p>
      <w:pPr>
        <w:jc w:val="center"/>
        <w:spacing w:after="0"/>
        <w:rPr>
          <w:sz w:val="20"/>
          <w:szCs w:val="20"/>
          <w:color w:val="auto"/>
        </w:rPr>
      </w:pPr>
      <w:r>
        <w:rPr>
          <w:rFonts w:ascii="Arial" w:cs="Arial" w:eastAsia="Arial" w:hAnsi="Arial"/>
          <w:sz w:val="18"/>
          <w:szCs w:val="18"/>
          <w:b w:val="1"/>
          <w:bCs w:val="1"/>
          <w:color w:val="auto"/>
        </w:rPr>
        <w:t>Clearwater, FL 33755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64230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October 26,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Pulse Biosciences, Inc.</w:t>
      </w:r>
    </w:p>
    <w:p>
      <w:pPr>
        <w:spacing w:after="0" w:line="203" w:lineRule="auto"/>
        <w:rPr>
          <w:sz w:val="20"/>
          <w:szCs w:val="20"/>
          <w:color w:val="auto"/>
        </w:rPr>
      </w:pPr>
      <w:r>
        <w:rPr>
          <w:rFonts w:ascii="Arial" w:cs="Arial" w:eastAsia="Arial" w:hAnsi="Arial"/>
          <w:sz w:val="18"/>
          <w:szCs w:val="18"/>
          <w:b w:val="1"/>
          <w:bCs w:val="1"/>
          <w:color w:val="auto"/>
        </w:rPr>
        <w:t>3957 Point Eden Way</w:t>
      </w:r>
    </w:p>
    <w:p>
      <w:pPr>
        <w:spacing w:after="0"/>
        <w:rPr>
          <w:sz w:val="20"/>
          <w:szCs w:val="20"/>
          <w:color w:val="auto"/>
        </w:rPr>
      </w:pPr>
      <w:r>
        <w:rPr>
          <w:rFonts w:ascii="Arial" w:cs="Arial" w:eastAsia="Arial" w:hAnsi="Arial"/>
          <w:sz w:val="18"/>
          <w:szCs w:val="18"/>
          <w:b w:val="1"/>
          <w:bCs w:val="1"/>
          <w:color w:val="auto"/>
        </w:rPr>
        <w:t>Hayward, CA 94545</w:t>
      </w:r>
    </w:p>
    <w:p>
      <w:pPr>
        <w:spacing w:after="0" w:line="128"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As Chairman of the Board as well as the largest stockholder of Pulse Biosciences, Inc. (“PULSE” or the “Company”), I make the following commitment to the Company with respect to the period from the date of this commitment through the earlier of the completion of an equity financing of at least $15,000,000 or November 15,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44"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I irrevocably commit that if the Company at any time is unable to meet its obligations through November 15, 2019, that I will provide the necessary continuing financial support to the Company of up to $15,000,000 to ensure the Company’s ability to operate as a going concern through the period ending November 15, 2019. Such continuing support may take the form of purchase of equity, loans or advances to PULSE.</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This commitment is not conditional and irrevocable through the earlier of the completion of an equity financing of at least $15,000,000 or November 15, 2019.</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 Robert W. Duggan, having the financial wherewithal to enter into this irrevocable commitment, on behalf of myself, my heirs and my assigns make the above commitments to the Company and its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By:/s/ Robert W.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-635</wp:posOffset>
            </wp:positionV>
            <wp:extent cx="29673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Robert W.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223520</wp:posOffset>
            </wp:positionV>
            <wp:extent cx="646557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Darrin R. Uecker, President and Chief Executive Officer, certify that:</w:t>
      </w:r>
    </w:p>
    <w:p>
      <w:pPr>
        <w:spacing w:after="0" w:line="117" w:lineRule="exact"/>
        <w:rPr>
          <w:sz w:val="20"/>
          <w:szCs w:val="20"/>
          <w:color w:val="auto"/>
        </w:rPr>
      </w:pPr>
    </w:p>
    <w:p>
      <w:pPr>
        <w:ind w:left="320" w:hanging="32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720" w:hanging="320"/>
        <w:spacing w:after="0" w:line="258"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79"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Brian B. Dow, Chief Financial Officer, certify that:</w:t>
      </w:r>
    </w:p>
    <w:p>
      <w:pPr>
        <w:spacing w:after="0" w:line="117" w:lineRule="exact"/>
        <w:rPr>
          <w:sz w:val="20"/>
          <w:szCs w:val="20"/>
          <w:color w:val="auto"/>
        </w:rPr>
      </w:pPr>
    </w:p>
    <w:p>
      <w:pPr>
        <w:ind w:left="320" w:hanging="320"/>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720" w:hanging="320"/>
        <w:spacing w:after="0" w:line="258"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79"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ind w:left="2460"/>
        <w:spacing w:after="0" w:line="203" w:lineRule="auto"/>
        <w:rPr>
          <w:sz w:val="20"/>
          <w:szCs w:val="20"/>
          <w:color w:val="auto"/>
        </w:rPr>
      </w:pPr>
      <w:r>
        <w:rPr>
          <w:rFonts w:ascii="Arial" w:cs="Arial" w:eastAsia="Arial" w:hAnsi="Arial"/>
          <w:sz w:val="18"/>
          <w:szCs w:val="18"/>
          <w:b w:val="1"/>
          <w:bCs w:val="1"/>
          <w:color w:val="auto"/>
        </w:rPr>
        <w:t>18 U.S.C. SECTION 1350, AS ADOPTED PURSUANT TO</w:t>
      </w: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Quarterly Report of Pulse Biosciences, Inc. (the “Company”) on Form 10-Q for the period</w:t>
      </w:r>
    </w:p>
    <w:p>
      <w:pPr>
        <w:spacing w:after="0" w:line="229" w:lineRule="auto"/>
        <w:rPr>
          <w:sz w:val="20"/>
          <w:szCs w:val="20"/>
          <w:color w:val="auto"/>
        </w:rPr>
      </w:pPr>
      <w:r>
        <w:rPr>
          <w:rFonts w:ascii="Arial" w:cs="Arial" w:eastAsia="Arial" w:hAnsi="Arial"/>
          <w:sz w:val="16"/>
          <w:szCs w:val="16"/>
          <w:color w:val="auto"/>
        </w:rPr>
        <w:t>ended September 30, 2018 as filed with the Securities and Exchange Commission on the date hereof (the “Report”), each of the</w:t>
      </w:r>
    </w:p>
    <w:p>
      <w:pPr>
        <w:spacing w:after="0" w:line="229" w:lineRule="auto"/>
        <w:rPr>
          <w:sz w:val="20"/>
          <w:szCs w:val="20"/>
          <w:color w:val="auto"/>
        </w:rPr>
      </w:pPr>
      <w:r>
        <w:rPr>
          <w:rFonts w:ascii="Arial" w:cs="Arial" w:eastAsia="Arial" w:hAnsi="Arial"/>
          <w:sz w:val="16"/>
          <w:szCs w:val="16"/>
          <w:color w:val="auto"/>
        </w:rPr>
        <w:t>undersigned certify, pursuant to 18 U.S.C. Section 1350, as adopted pursuant to Section 906 of the Sarbanes-Oxley Act of 2002,</w:t>
      </w:r>
    </w:p>
    <w:p>
      <w:pPr>
        <w:spacing w:after="0"/>
        <w:rPr>
          <w:sz w:val="20"/>
          <w:szCs w:val="20"/>
          <w:color w:val="auto"/>
        </w:rPr>
      </w:pPr>
      <w:r>
        <w:rPr>
          <w:rFonts w:ascii="Arial" w:cs="Arial" w:eastAsia="Arial" w:hAnsi="Arial"/>
          <w:sz w:val="18"/>
          <w:szCs w:val="18"/>
          <w:color w:val="auto"/>
        </w:rPr>
        <w:t>that to the best of his knowledge:</w:t>
      </w:r>
    </w:p>
    <w:p>
      <w:pPr>
        <w:spacing w:after="0" w:line="47" w:lineRule="exact"/>
        <w:rPr>
          <w:sz w:val="20"/>
          <w:szCs w:val="20"/>
          <w:color w:val="auto"/>
        </w:rPr>
      </w:pPr>
    </w:p>
    <w:p>
      <w:pPr>
        <w:ind w:left="840" w:hanging="399"/>
        <w:spacing w:after="0"/>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right="220" w:firstLine="441"/>
        <w:spacing w:after="0" w:line="235" w:lineRule="auto"/>
        <w:tabs>
          <w:tab w:leader="none" w:pos="8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14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344" w:lineRule="exact"/>
        <w:rPr>
          <w:sz w:val="20"/>
          <w:szCs w:val="20"/>
          <w:color w:val="auto"/>
        </w:rPr>
      </w:pPr>
    </w:p>
    <w:p>
      <w:pPr>
        <w:ind w:right="80" w:firstLine="441"/>
        <w:spacing w:after="0" w:line="219" w:lineRule="auto"/>
        <w:rPr>
          <w:sz w:val="20"/>
          <w:szCs w:val="20"/>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331470</wp:posOffset>
            </wp:positionV>
            <wp:extent cx="605409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sectPr>
      <w:pgSz w:w="11900" w:h="16838" w:orient="portrait"/>
      <w:cols w:equalWidth="0" w:num="1">
        <w:col w:w="9460"/>
      </w:cols>
      <w:pgMar w:left="1220" w:top="10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623"/>
    </w:lvl>
  </w:abstractNum>
  <w:abstractNum w:abstractNumId="3">
    <w:nsid w:val="1BEFD79F"/>
    <w:multiLevelType w:val="hybridMultilevel"/>
    <w:lvl w:ilvl="0">
      <w:lvlJc w:val="left"/>
      <w:lvlText w:val="(%1)"/>
      <w:numFmt w:val="decimal"/>
      <w:start w:val="296"/>
    </w:lvl>
  </w:abstractNum>
  <w:abstractNum w:abstractNumId="4">
    <w:nsid w:val="41A7C4C9"/>
    <w:multiLevelType w:val="hybridMultilevel"/>
    <w:lvl w:ilvl="0">
      <w:lvlJc w:val="left"/>
      <w:lvlText w:val="(%1)"/>
      <w:numFmt w:val="decimal"/>
      <w:start w:val="243"/>
    </w:lvl>
  </w:abstractNum>
  <w:abstractNum w:abstractNumId="5">
    <w:nsid w:val="6B68079A"/>
    <w:multiLevelType w:val="hybridMultilevel"/>
    <w:lvl w:ilvl="0">
      <w:lvlJc w:val="left"/>
      <w:lvlText w:val="%1"/>
      <w:numFmt w:val="decimal"/>
      <w:start w:val="327"/>
    </w:lvl>
  </w:abstractNum>
  <w:abstractNum w:abstractNumId="6">
    <w:nsid w:val="4E6AFB66"/>
    <w:multiLevelType w:val="hybridMultilevel"/>
    <w:lvl w:ilvl="0">
      <w:lvlJc w:val="left"/>
      <w:lvlText w:val="(%1)"/>
      <w:numFmt w:val="decimal"/>
      <w:start w:val="115"/>
    </w:lvl>
  </w:abstractNum>
  <w:abstractNum w:abstractNumId="7">
    <w:nsid w:val="25E45D32"/>
    <w:multiLevelType w:val="hybridMultilevel"/>
    <w:lvl w:ilvl="0">
      <w:lvlJc w:val="left"/>
      <w:lvlText w:val="A"/>
      <w:numFmt w:val="bullet"/>
      <w:start w:val="1"/>
    </w:lvl>
  </w:abstractNum>
  <w:abstractNum w:abstractNumId="8">
    <w:nsid w:val="519B500D"/>
    <w:multiLevelType w:val="hybridMultilevel"/>
    <w:lvl w:ilvl="0">
      <w:lvlJc w:val="left"/>
      <w:lvlText w:val="%1."/>
      <w:numFmt w:val="decimal"/>
      <w:start w:val="10"/>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2019-12-28T18:49:28Z</dcterms:created>
  <dcterms:modified xsi:type="dcterms:W3CDTF">2019-12-28T18:49:28Z</dcterms:modified>
</cp:coreProperties>
</file>