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7613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7613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jc w:val="center"/>
        <w:ind w:right="-45"/>
        <w:spacing w:after="0" w:line="22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45"/>
        <w:spacing w:after="0" w:line="222" w:lineRule="auto"/>
        <w:rPr>
          <w:sz w:val="20"/>
          <w:szCs w:val="20"/>
          <w:color w:val="auto"/>
        </w:rPr>
      </w:pPr>
      <w:r>
        <w:rPr>
          <w:rFonts w:ascii="Times New Roman" w:cs="Times New Roman" w:eastAsia="Times New Roman" w:hAnsi="Times New Roman"/>
          <w:sz w:val="14"/>
          <w:szCs w:val="14"/>
          <w:b w:val="1"/>
          <w:bCs w:val="1"/>
          <w:color w:val="auto"/>
        </w:rPr>
        <w:t>Washington, D.C. 20549</w:t>
      </w: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8"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9" w:lineRule="exact"/>
        <w:rPr>
          <w:sz w:val="24"/>
          <w:szCs w:val="24"/>
          <w:color w:val="auto"/>
        </w:rPr>
      </w:pPr>
    </w:p>
    <w:p>
      <w:pPr>
        <w:ind w:left="456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3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35"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0" w:lineRule="exact"/>
        <w:rPr>
          <w:rFonts w:ascii="Times New Roman" w:cs="Times New Roman" w:eastAsia="Times New Roman" w:hAnsi="Times New Roman"/>
          <w:sz w:val="14"/>
          <w:szCs w:val="14"/>
          <w:b w:val="1"/>
          <w:bCs w:val="1"/>
          <w:color w:val="auto"/>
        </w:rPr>
      </w:pPr>
    </w:p>
    <w:p>
      <w:pPr>
        <w:ind w:left="4406"/>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b w:val="1"/>
          <w:bCs w:val="1"/>
          <w:color w:val="auto"/>
        </w:rPr>
        <w:t>For the quarterly period ended March 31, 2022</w:t>
      </w:r>
    </w:p>
    <w:p>
      <w:pPr>
        <w:spacing w:after="0" w:line="102"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4"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1046"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3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Commission File Number: 001-34899</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tc>
        <w:tc>
          <w:tcPr>
            <w:tcW w:w="0" w:type="dxa"/>
            <w:vAlign w:val="bottom"/>
          </w:tcPr>
          <w:p>
            <w:pPr>
              <w:spacing w:after="0"/>
              <w:rPr>
                <w:sz w:val="1"/>
                <w:szCs w:val="1"/>
                <w:color w:val="auto"/>
              </w:rPr>
            </w:pPr>
          </w:p>
        </w:tc>
      </w:tr>
      <w:tr>
        <w:trPr>
          <w:trHeight w:val="325"/>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27"/>
                <w:szCs w:val="27"/>
                <w:b w:val="1"/>
                <w:bCs w:val="1"/>
                <w:color w:val="auto"/>
                <w:w w:val="99"/>
              </w:rPr>
              <w:t>Pulse Biosciences, Inc.</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0"/>
                <w:szCs w:val="10"/>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35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Times New Roman" w:cs="Times New Roman" w:eastAsia="Times New Roman" w:hAnsi="Times New Roman"/>
                <w:sz w:val="11"/>
                <w:szCs w:val="11"/>
                <w:b w:val="1"/>
                <w:bCs w:val="1"/>
                <w:color w:val="auto"/>
              </w:rPr>
              <w:t>46-5696597</w:t>
            </w:r>
          </w:p>
        </w:tc>
        <w:tc>
          <w:tcPr>
            <w:tcW w:w="0" w:type="dxa"/>
            <w:vAlign w:val="bottom"/>
          </w:tcPr>
          <w:p>
            <w:pPr>
              <w:spacing w:after="0"/>
              <w:rPr>
                <w:sz w:val="1"/>
                <w:szCs w:val="1"/>
                <w:color w:val="auto"/>
              </w:rPr>
            </w:pPr>
          </w:p>
        </w:tc>
      </w:tr>
      <w:tr>
        <w:trPr>
          <w:trHeight w:val="120"/>
        </w:trPr>
        <w:tc>
          <w:tcPr>
            <w:tcW w:w="3000" w:type="dxa"/>
            <w:vAlign w:val="bottom"/>
          </w:tcPr>
          <w:p>
            <w:pPr>
              <w:jc w:val="center"/>
              <w:ind w:left="505"/>
              <w:spacing w:after="0" w:line="120"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340" w:type="dxa"/>
            <w:vAlign w:val="bottom"/>
          </w:tcPr>
          <w:p>
            <w:pPr>
              <w:spacing w:after="0"/>
              <w:rPr>
                <w:sz w:val="10"/>
                <w:szCs w:val="10"/>
                <w:color w:val="auto"/>
              </w:rPr>
            </w:pPr>
          </w:p>
        </w:tc>
        <w:tc>
          <w:tcPr>
            <w:tcW w:w="3680" w:type="dxa"/>
            <w:vAlign w:val="bottom"/>
          </w:tcPr>
          <w:p>
            <w:pPr>
              <w:jc w:val="center"/>
              <w:ind w:left="424"/>
              <w:spacing w:after="0" w:line="120"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1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w w:val="98"/>
              </w:rPr>
              <w:t>3957 Point Eden Way</w:t>
            </w:r>
          </w:p>
        </w:tc>
        <w:tc>
          <w:tcPr>
            <w:tcW w:w="2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00" w:type="dxa"/>
            <w:vAlign w:val="bottom"/>
          </w:tcPr>
          <w:p>
            <w:pPr>
              <w:jc w:val="center"/>
              <w:ind w:left="505"/>
              <w:spacing w:after="0" w:line="120" w:lineRule="exact"/>
              <w:rPr>
                <w:sz w:val="20"/>
                <w:szCs w:val="20"/>
                <w:color w:val="auto"/>
              </w:rPr>
            </w:pPr>
            <w:r>
              <w:rPr>
                <w:rFonts w:ascii="Times New Roman" w:cs="Times New Roman" w:eastAsia="Times New Roman" w:hAnsi="Times New Roman"/>
                <w:sz w:val="11"/>
                <w:szCs w:val="11"/>
                <w:b w:val="1"/>
                <w:bCs w:val="1"/>
                <w:color w:val="auto"/>
                <w:w w:val="97"/>
              </w:rPr>
              <w:t>Hayward, CA</w:t>
            </w:r>
          </w:p>
        </w:tc>
        <w:tc>
          <w:tcPr>
            <w:tcW w:w="2340" w:type="dxa"/>
            <w:vAlign w:val="bottom"/>
          </w:tcPr>
          <w:p>
            <w:pPr>
              <w:spacing w:after="0"/>
              <w:rPr>
                <w:sz w:val="10"/>
                <w:szCs w:val="10"/>
                <w:color w:val="auto"/>
              </w:rPr>
            </w:pPr>
          </w:p>
        </w:tc>
        <w:tc>
          <w:tcPr>
            <w:tcW w:w="3680" w:type="dxa"/>
            <w:vAlign w:val="bottom"/>
          </w:tcPr>
          <w:p>
            <w:pPr>
              <w:jc w:val="right"/>
              <w:ind w:right="1404"/>
              <w:spacing w:after="0" w:line="120" w:lineRule="exact"/>
              <w:rPr>
                <w:sz w:val="20"/>
                <w:szCs w:val="20"/>
                <w:color w:val="auto"/>
              </w:rPr>
            </w:pPr>
            <w:r>
              <w:rPr>
                <w:rFonts w:ascii="Times New Roman" w:cs="Times New Roman" w:eastAsia="Times New Roman" w:hAnsi="Times New Roman"/>
                <w:sz w:val="11"/>
                <w:szCs w:val="11"/>
                <w:b w:val="1"/>
                <w:bCs w:val="1"/>
                <w:color w:val="auto"/>
              </w:rPr>
              <w:t>94545</w:t>
            </w:r>
          </w:p>
        </w:tc>
        <w:tc>
          <w:tcPr>
            <w:tcW w:w="0" w:type="dxa"/>
            <w:vAlign w:val="bottom"/>
          </w:tcPr>
          <w:p>
            <w:pPr>
              <w:spacing w:after="0"/>
              <w:rPr>
                <w:sz w:val="1"/>
                <w:szCs w:val="1"/>
                <w:color w:val="auto"/>
              </w:rPr>
            </w:pPr>
          </w:p>
        </w:tc>
      </w:tr>
      <w:tr>
        <w:trPr>
          <w:trHeight w:val="145"/>
        </w:trPr>
        <w:tc>
          <w:tcPr>
            <w:tcW w:w="3000" w:type="dxa"/>
            <w:vAlign w:val="bottom"/>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340" w:type="dxa"/>
            <w:vAlign w:val="bottom"/>
            <w:vMerge w:val="restart"/>
          </w:tcPr>
          <w:p>
            <w:pPr>
              <w:jc w:val="center"/>
              <w:ind w:left="796"/>
              <w:spacing w:after="0"/>
              <w:rPr>
                <w:sz w:val="20"/>
                <w:szCs w:val="20"/>
                <w:color w:val="auto"/>
              </w:rPr>
            </w:pPr>
            <w:r>
              <w:rPr>
                <w:rFonts w:ascii="Times New Roman" w:cs="Times New Roman" w:eastAsia="Times New Roman" w:hAnsi="Times New Roman"/>
                <w:sz w:val="11"/>
                <w:szCs w:val="11"/>
                <w:b w:val="1"/>
                <w:bCs w:val="1"/>
                <w:color w:val="auto"/>
                <w:w w:val="98"/>
              </w:rPr>
              <w:t>(510) 906-4600</w:t>
            </w:r>
          </w:p>
        </w:tc>
        <w:tc>
          <w:tcPr>
            <w:tcW w:w="3680" w:type="dxa"/>
            <w:vAlign w:val="bottom"/>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6020" w:type="dxa"/>
            <w:vAlign w:val="bottom"/>
            <w:gridSpan w:val="2"/>
          </w:tcPr>
          <w:p>
            <w:pPr>
              <w:jc w:val="center"/>
              <w:ind w:right="2744"/>
              <w:spacing w:after="0" w:line="120" w:lineRule="exact"/>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6020" w:type="dxa"/>
            <w:vAlign w:val="bottom"/>
            <w:gridSpan w:val="2"/>
          </w:tcPr>
          <w:p>
            <w:pPr>
              <w:jc w:val="center"/>
              <w:ind w:right="2744"/>
              <w:spacing w:after="0" w:line="122" w:lineRule="exact"/>
              <w:rPr>
                <w:sz w:val="20"/>
                <w:szCs w:val="20"/>
                <w:color w:val="auto"/>
              </w:rPr>
            </w:pPr>
            <w:r>
              <w:rPr>
                <w:rFonts w:ascii="Times New Roman" w:cs="Times New Roman" w:eastAsia="Times New Roman" w:hAnsi="Times New Roman"/>
                <w:sz w:val="11"/>
                <w:szCs w:val="11"/>
                <w:b w:val="1"/>
                <w:bCs w:val="1"/>
                <w:color w:val="auto"/>
              </w:rPr>
              <w:t>___________________________________</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0" w:type="dxa"/>
            <w:vAlign w:val="bottom"/>
          </w:tcPr>
          <w:p>
            <w:pPr>
              <w:spacing w:after="0"/>
              <w:rPr>
                <w:sz w:val="1"/>
                <w:szCs w:val="1"/>
                <w:color w:val="auto"/>
              </w:rPr>
            </w:pPr>
          </w:p>
        </w:tc>
      </w:tr>
      <w:tr>
        <w:trPr>
          <w:trHeight w:val="249"/>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color w:val="auto"/>
              </w:rPr>
              <w:t>Title of each class</w:t>
            </w:r>
          </w:p>
        </w:tc>
        <w:tc>
          <w:tcPr>
            <w:tcW w:w="2340" w:type="dxa"/>
            <w:vAlign w:val="bottom"/>
          </w:tcPr>
          <w:p>
            <w:pPr>
              <w:jc w:val="center"/>
              <w:ind w:left="496"/>
              <w:spacing w:after="0"/>
              <w:rPr>
                <w:sz w:val="20"/>
                <w:szCs w:val="20"/>
                <w:color w:val="auto"/>
              </w:rPr>
            </w:pPr>
            <w:r>
              <w:rPr>
                <w:rFonts w:ascii="Times New Roman" w:cs="Times New Roman" w:eastAsia="Times New Roman" w:hAnsi="Times New Roman"/>
                <w:sz w:val="11"/>
                <w:szCs w:val="11"/>
                <w:color w:val="auto"/>
                <w:w w:val="98"/>
              </w:rPr>
              <w:t>Trading Symbol(s)</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Times New Roman" w:cs="Times New Roman" w:eastAsia="Times New Roman" w:hAnsi="Times New Roman"/>
                <w:sz w:val="11"/>
                <w:szCs w:val="11"/>
                <w:b w:val="1"/>
                <w:bCs w:val="1"/>
                <w:color w:val="auto"/>
              </w:rPr>
              <w:t>Common Stock, par value $0.001 per share</w:t>
            </w:r>
          </w:p>
        </w:tc>
        <w:tc>
          <w:tcPr>
            <w:tcW w:w="2340" w:type="dxa"/>
            <w:vAlign w:val="bottom"/>
          </w:tcPr>
          <w:p>
            <w:pPr>
              <w:jc w:val="center"/>
              <w:ind w:left="516"/>
              <w:spacing w:after="0"/>
              <w:rPr>
                <w:sz w:val="20"/>
                <w:szCs w:val="20"/>
                <w:color w:val="auto"/>
              </w:rPr>
            </w:pPr>
            <w:r>
              <w:rPr>
                <w:rFonts w:ascii="Times New Roman" w:cs="Times New Roman" w:eastAsia="Times New Roman" w:hAnsi="Times New Roman"/>
                <w:sz w:val="11"/>
                <w:szCs w:val="11"/>
                <w:b w:val="1"/>
                <w:bCs w:val="1"/>
                <w:color w:val="auto"/>
              </w:rPr>
              <w:t>PLSE</w:t>
            </w:r>
          </w:p>
        </w:tc>
        <w:tc>
          <w:tcPr>
            <w:tcW w:w="3680" w:type="dxa"/>
            <w:vAlign w:val="bottom"/>
          </w:tcPr>
          <w:p>
            <w:pPr>
              <w:jc w:val="center"/>
              <w:ind w:left="1664"/>
              <w:spacing w:after="0"/>
              <w:rPr>
                <w:sz w:val="20"/>
                <w:szCs w:val="20"/>
                <w:color w:val="auto"/>
              </w:rPr>
            </w:pPr>
            <w:r>
              <w:rPr>
                <w:rFonts w:ascii="Times New Roman" w:cs="Times New Roman" w:eastAsia="Times New Roman" w:hAnsi="Times New Roman"/>
                <w:sz w:val="11"/>
                <w:szCs w:val="11"/>
                <w:b w:val="1"/>
                <w:bCs w:val="1"/>
                <w:color w:val="auto"/>
              </w:rPr>
              <w:t>The Nasdaq Stock Market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 w:right="80"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6" w:lineRule="exact"/>
        <w:rPr>
          <w:sz w:val="24"/>
          <w:szCs w:val="24"/>
          <w:color w:val="auto"/>
        </w:rPr>
      </w:pPr>
    </w:p>
    <w:p>
      <w:pPr>
        <w:ind w:left="6" w:right="60"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7" w:lineRule="exact"/>
        <w:rPr>
          <w:sz w:val="24"/>
          <w:szCs w:val="24"/>
          <w:color w:val="auto"/>
        </w:rPr>
      </w:pPr>
    </w:p>
    <w:p>
      <w:pPr>
        <w:ind w:left="6" w:right="40" w:firstLine="301"/>
        <w:spacing w:after="0" w:line="25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6" w:type="dxa"/>
        <w:tblCellMar>
          <w:top w:w="0" w:type="dxa"/>
          <w:left w:w="0" w:type="dxa"/>
          <w:bottom w:w="0" w:type="dxa"/>
          <w:right w:w="0" w:type="dxa"/>
        </w:tblCellMar>
      </w:tblPr>
      <w:tr>
        <w:trPr>
          <w:trHeight w:val="138"/>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11"/>
        </w:trPr>
        <w:tc>
          <w:tcPr>
            <w:tcW w:w="19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980"/>
              <w:spacing w:after="0" w:line="111" w:lineRule="exact"/>
              <w:rPr>
                <w:sz w:val="20"/>
                <w:szCs w:val="20"/>
                <w:color w:val="auto"/>
              </w:rPr>
            </w:pPr>
            <w:r>
              <w:rPr>
                <w:rFonts w:ascii="Times New Roman" w:cs="Times New Roman" w:eastAsia="Times New Roman" w:hAnsi="Times New Roman"/>
                <w:sz w:val="11"/>
                <w:szCs w:val="11"/>
                <w:color w:val="auto"/>
              </w:rPr>
              <w:t>x</w:t>
            </w:r>
          </w:p>
        </w:tc>
        <w:tc>
          <w:tcPr>
            <w:tcW w:w="4600" w:type="dxa"/>
            <w:vAlign w:val="bottom"/>
          </w:tcPr>
          <w:p>
            <w:pPr>
              <w:ind w:left="2420"/>
              <w:spacing w:after="0" w:line="111" w:lineRule="exact"/>
              <w:rPr>
                <w:sz w:val="20"/>
                <w:szCs w:val="20"/>
                <w:color w:val="auto"/>
              </w:rPr>
            </w:pPr>
            <w:r>
              <w:rPr>
                <w:rFonts w:ascii="Times New Roman" w:cs="Times New Roman" w:eastAsia="Times New Roman" w:hAnsi="Times New Roman"/>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Times New Roman" w:cs="Times New Roman" w:eastAsia="Times New Roman" w:hAnsi="Times New Roman"/>
                <w:sz w:val="11"/>
                <w:szCs w:val="11"/>
                <w:color w:val="auto"/>
              </w:rPr>
              <w:t>x</w:t>
            </w:r>
          </w:p>
        </w:tc>
      </w:tr>
      <w:tr>
        <w:trPr>
          <w:trHeight w:val="173"/>
        </w:trPr>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600" w:type="dxa"/>
            <w:vAlign w:val="bottom"/>
          </w:tcPr>
          <w:p>
            <w:pPr>
              <w:ind w:left="24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6" w:lineRule="exact"/>
        <w:rPr>
          <w:sz w:val="24"/>
          <w:szCs w:val="24"/>
          <w:color w:val="auto"/>
        </w:rPr>
      </w:pPr>
    </w:p>
    <w:p>
      <w:pPr>
        <w:ind w:left="6" w:firstLine="301"/>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7" w:lineRule="exact"/>
        <w:rPr>
          <w:sz w:val="24"/>
          <w:szCs w:val="24"/>
          <w:color w:val="auto"/>
        </w:rPr>
      </w:pPr>
    </w:p>
    <w:p>
      <w:pPr>
        <w:ind w:left="266" w:right="5200" w:firstLine="26"/>
        <w:spacing w:after="0" w:line="20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x The number of shares outstanding of the registrant’s common stock as of April 30, 2022: 29,802,280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260350</wp:posOffset>
            </wp:positionV>
            <wp:extent cx="720153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246"/>
          </w:cols>
          <w:pgMar w:left="294" w:top="41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960" w:type="dxa"/>
            <w:vAlign w:val="bottom"/>
            <w:gridSpan w:val="22"/>
          </w:tcPr>
          <w:p>
            <w:pPr>
              <w:spacing w:after="0"/>
              <w:rPr>
                <w:sz w:val="20"/>
                <w:szCs w:val="20"/>
                <w:color w:val="auto"/>
              </w:rPr>
            </w:pPr>
            <w:r>
              <w:rPr>
                <w:rFonts w:ascii="Times New Roman" w:cs="Times New Roman" w:eastAsia="Times New Roman" w:hAnsi="Times New Roman"/>
                <w:sz w:val="12"/>
                <w:szCs w:val="12"/>
                <w:b w:val="1"/>
                <w:bCs w:val="1"/>
                <w:color w:val="0563C1"/>
              </w:rPr>
              <w:t>Table of Contents</w:t>
            </w: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gridSpan w:val="6"/>
          </w:tcPr>
          <w:p>
            <w:pPr>
              <w:jc w:val="center"/>
              <w:ind w:right="24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‎No.</w:t>
            </w:r>
          </w:p>
        </w:tc>
        <w:tc>
          <w:tcPr>
            <w:tcW w:w="0" w:type="dxa"/>
            <w:vAlign w:val="bottom"/>
          </w:tcPr>
          <w:p>
            <w:pPr>
              <w:spacing w:after="0"/>
              <w:rPr>
                <w:sz w:val="1"/>
                <w:szCs w:val="1"/>
                <w:color w:val="auto"/>
              </w:rPr>
            </w:pPr>
          </w:p>
        </w:tc>
      </w:tr>
      <w:tr>
        <w:trPr>
          <w:trHeight w:val="111"/>
        </w:trPr>
        <w:tc>
          <w:tcPr>
            <w:tcW w:w="12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0563C1"/>
            </w:tcBorders>
            <w:gridSpan w:val="6"/>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0563C1"/>
              </w:rPr>
              <w:t>PART I. FINANCIAL INFORMATION</w:t>
            </w:r>
          </w:p>
        </w:tc>
        <w:tc>
          <w:tcPr>
            <w:tcW w:w="2260" w:type="dxa"/>
            <w:vAlign w:val="bottom"/>
            <w:tcBorders>
              <w:bottom w:val="single" w:sz="8" w:color="CCEEFF"/>
            </w:tcBorders>
            <w:gridSpan w:val="2"/>
            <w:shd w:val="clear" w:color="auto" w:fill="CCEEFF"/>
          </w:tcPr>
          <w:p>
            <w:pPr>
              <w:spacing w:after="0"/>
              <w:rPr>
                <w:sz w:val="9"/>
                <w:szCs w:val="9"/>
                <w:color w:val="auto"/>
              </w:rPr>
            </w:pPr>
          </w:p>
        </w:tc>
        <w:tc>
          <w:tcPr>
            <w:tcW w:w="234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40" w:type="dxa"/>
            <w:vAlign w:val="bottom"/>
            <w:tcBorders>
              <w:bottom w:val="single" w:sz="8" w:color="0563C1"/>
            </w:tcBorders>
            <w:gridSpan w:val="10"/>
          </w:tcPr>
          <w:p>
            <w:pPr>
              <w:spacing w:after="0" w:line="109" w:lineRule="exact"/>
              <w:rPr>
                <w:sz w:val="20"/>
                <w:szCs w:val="20"/>
                <w:color w:val="auto"/>
              </w:rPr>
            </w:pPr>
            <w:r>
              <w:rPr>
                <w:rFonts w:ascii="Times New Roman" w:cs="Times New Roman" w:eastAsia="Times New Roman" w:hAnsi="Times New Roman"/>
                <w:sz w:val="12"/>
                <w:szCs w:val="12"/>
                <w:color w:val="0563C1"/>
              </w:rPr>
              <w:t>Item 1. Financial Statements (unaudited):</w:t>
            </w:r>
          </w:p>
        </w:tc>
        <w:tc>
          <w:tcPr>
            <w:tcW w:w="6920" w:type="dxa"/>
            <w:vAlign w:val="bottom"/>
            <w:gridSpan w:val="12"/>
          </w:tcPr>
          <w:p>
            <w:pPr>
              <w:spacing w:after="0"/>
              <w:rPr>
                <w:sz w:val="9"/>
                <w:szCs w:val="9"/>
                <w:color w:val="auto"/>
              </w:rPr>
            </w:pPr>
          </w:p>
        </w:tc>
        <w:tc>
          <w:tcPr>
            <w:tcW w:w="23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 w:type="dxa"/>
            <w:vAlign w:val="bottom"/>
            <w:shd w:val="clear" w:color="auto" w:fill="CCEEFF"/>
          </w:tcPr>
          <w:p>
            <w:pPr>
              <w:spacing w:after="0"/>
              <w:rPr>
                <w:sz w:val="9"/>
                <w:szCs w:val="9"/>
                <w:color w:val="auto"/>
              </w:rPr>
            </w:pPr>
          </w:p>
        </w:tc>
        <w:tc>
          <w:tcPr>
            <w:tcW w:w="8840" w:type="dxa"/>
            <w:vAlign w:val="bottom"/>
            <w:gridSpan w:val="21"/>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Condensed Consolidated Balance Sheets as of March 31, 2022 and December 31, 2021</w:t>
            </w: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1060" w:type="dxa"/>
            <w:vAlign w:val="bottom"/>
            <w:shd w:val="clear" w:color="auto" w:fill="0563C1"/>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20" w:type="dxa"/>
            <w:vAlign w:val="bottom"/>
          </w:tcPr>
          <w:p>
            <w:pPr>
              <w:spacing w:after="0"/>
              <w:rPr>
                <w:sz w:val="9"/>
                <w:szCs w:val="9"/>
                <w:color w:val="auto"/>
              </w:rPr>
            </w:pPr>
          </w:p>
        </w:tc>
        <w:tc>
          <w:tcPr>
            <w:tcW w:w="8840" w:type="dxa"/>
            <w:vAlign w:val="bottom"/>
            <w:gridSpan w:val="21"/>
            <w:vMerge w:val="restart"/>
          </w:tcPr>
          <w:p>
            <w:pPr>
              <w:spacing w:after="0"/>
              <w:rPr>
                <w:sz w:val="20"/>
                <w:szCs w:val="20"/>
                <w:color w:val="auto"/>
              </w:rPr>
            </w:pPr>
            <w:r>
              <w:rPr>
                <w:rFonts w:ascii="Times New Roman" w:cs="Times New Roman" w:eastAsia="Times New Roman" w:hAnsi="Times New Roman"/>
                <w:sz w:val="12"/>
                <w:szCs w:val="12"/>
                <w:color w:val="0563C1"/>
              </w:rPr>
              <w:t>Condensed Consolidated Statements of Operations and Comprehensive Loss for the Three-Month Periods Ended March 31, 2022 and 2021</w:t>
            </w:r>
          </w:p>
        </w:tc>
        <w:tc>
          <w:tcPr>
            <w:tcW w:w="23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8840" w:type="dxa"/>
            <w:vAlign w:val="bottom"/>
            <w:gridSpan w:val="21"/>
            <w:vMerge w:val="continue"/>
          </w:tcPr>
          <w:p>
            <w:pPr>
              <w:spacing w:after="0"/>
              <w:rPr>
                <w:sz w:val="5"/>
                <w:szCs w:val="5"/>
                <w:color w:val="auto"/>
              </w:rPr>
            </w:pPr>
          </w:p>
        </w:tc>
        <w:tc>
          <w:tcPr>
            <w:tcW w:w="2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1"/>
        </w:trPr>
        <w:tc>
          <w:tcPr>
            <w:tcW w:w="120" w:type="dxa"/>
            <w:vAlign w:val="bottom"/>
          </w:tcPr>
          <w:p>
            <w:pPr>
              <w:spacing w:after="0"/>
              <w:rPr>
                <w:sz w:val="6"/>
                <w:szCs w:val="6"/>
                <w:color w:val="auto"/>
              </w:rPr>
            </w:pPr>
          </w:p>
        </w:tc>
        <w:tc>
          <w:tcPr>
            <w:tcW w:w="400" w:type="dxa"/>
            <w:vAlign w:val="bottom"/>
            <w:tcBorders>
              <w:top w:val="single" w:sz="8" w:color="0563C1"/>
            </w:tcBorders>
          </w:tcPr>
          <w:p>
            <w:pPr>
              <w:spacing w:after="0"/>
              <w:rPr>
                <w:sz w:val="6"/>
                <w:szCs w:val="6"/>
                <w:color w:val="auto"/>
              </w:rPr>
            </w:pPr>
          </w:p>
        </w:tc>
        <w:tc>
          <w:tcPr>
            <w:tcW w:w="260" w:type="dxa"/>
            <w:vAlign w:val="bottom"/>
            <w:tcBorders>
              <w:top w:val="single" w:sz="8" w:color="0563C1"/>
            </w:tcBorders>
          </w:tcPr>
          <w:p>
            <w:pPr>
              <w:spacing w:after="0"/>
              <w:rPr>
                <w:sz w:val="6"/>
                <w:szCs w:val="6"/>
                <w:color w:val="auto"/>
              </w:rPr>
            </w:pPr>
          </w:p>
        </w:tc>
        <w:tc>
          <w:tcPr>
            <w:tcW w:w="140" w:type="dxa"/>
            <w:vAlign w:val="bottom"/>
            <w:tcBorders>
              <w:top w:val="single" w:sz="8" w:color="0563C1"/>
            </w:tcBorders>
          </w:tcPr>
          <w:p>
            <w:pPr>
              <w:spacing w:after="0"/>
              <w:rPr>
                <w:sz w:val="6"/>
                <w:szCs w:val="6"/>
                <w:color w:val="auto"/>
              </w:rPr>
            </w:pPr>
          </w:p>
        </w:tc>
        <w:tc>
          <w:tcPr>
            <w:tcW w:w="160" w:type="dxa"/>
            <w:vAlign w:val="bottom"/>
            <w:tcBorders>
              <w:top w:val="single" w:sz="8" w:color="0563C1"/>
            </w:tcBorders>
          </w:tcPr>
          <w:p>
            <w:pPr>
              <w:spacing w:after="0"/>
              <w:rPr>
                <w:sz w:val="6"/>
                <w:szCs w:val="6"/>
                <w:color w:val="auto"/>
              </w:rPr>
            </w:pPr>
          </w:p>
        </w:tc>
        <w:tc>
          <w:tcPr>
            <w:tcW w:w="180" w:type="dxa"/>
            <w:vAlign w:val="bottom"/>
            <w:tcBorders>
              <w:top w:val="single" w:sz="8" w:color="0563C1"/>
            </w:tcBorders>
          </w:tcPr>
          <w:p>
            <w:pPr>
              <w:spacing w:after="0"/>
              <w:rPr>
                <w:sz w:val="6"/>
                <w:szCs w:val="6"/>
                <w:color w:val="auto"/>
              </w:rPr>
            </w:pPr>
          </w:p>
        </w:tc>
        <w:tc>
          <w:tcPr>
            <w:tcW w:w="20" w:type="dxa"/>
            <w:vAlign w:val="bottom"/>
            <w:tcBorders>
              <w:top w:val="single" w:sz="8" w:color="0563C1"/>
            </w:tcBorders>
          </w:tcPr>
          <w:p>
            <w:pPr>
              <w:spacing w:after="0"/>
              <w:rPr>
                <w:sz w:val="6"/>
                <w:szCs w:val="6"/>
                <w:color w:val="auto"/>
              </w:rPr>
            </w:pPr>
          </w:p>
        </w:tc>
        <w:tc>
          <w:tcPr>
            <w:tcW w:w="300" w:type="dxa"/>
            <w:vAlign w:val="bottom"/>
            <w:tcBorders>
              <w:top w:val="single" w:sz="8" w:color="0563C1"/>
            </w:tcBorders>
          </w:tcPr>
          <w:p>
            <w:pPr>
              <w:spacing w:after="0"/>
              <w:rPr>
                <w:sz w:val="6"/>
                <w:szCs w:val="6"/>
                <w:color w:val="auto"/>
              </w:rPr>
            </w:pPr>
          </w:p>
        </w:tc>
        <w:tc>
          <w:tcPr>
            <w:tcW w:w="340" w:type="dxa"/>
            <w:vAlign w:val="bottom"/>
            <w:tcBorders>
              <w:top w:val="single" w:sz="8" w:color="0563C1"/>
            </w:tcBorders>
          </w:tcPr>
          <w:p>
            <w:pPr>
              <w:spacing w:after="0"/>
              <w:rPr>
                <w:sz w:val="6"/>
                <w:szCs w:val="6"/>
                <w:color w:val="auto"/>
              </w:rPr>
            </w:pPr>
          </w:p>
        </w:tc>
        <w:tc>
          <w:tcPr>
            <w:tcW w:w="120" w:type="dxa"/>
            <w:vAlign w:val="bottom"/>
            <w:tcBorders>
              <w:top w:val="single" w:sz="8" w:color="0563C1"/>
            </w:tcBorders>
          </w:tcPr>
          <w:p>
            <w:pPr>
              <w:spacing w:after="0"/>
              <w:rPr>
                <w:sz w:val="6"/>
                <w:szCs w:val="6"/>
                <w:color w:val="auto"/>
              </w:rPr>
            </w:pPr>
          </w:p>
        </w:tc>
        <w:tc>
          <w:tcPr>
            <w:tcW w:w="800" w:type="dxa"/>
            <w:vAlign w:val="bottom"/>
            <w:tcBorders>
              <w:top w:val="single" w:sz="8" w:color="0563C1"/>
            </w:tcBorders>
          </w:tcPr>
          <w:p>
            <w:pPr>
              <w:spacing w:after="0"/>
              <w:rPr>
                <w:sz w:val="6"/>
                <w:szCs w:val="6"/>
                <w:color w:val="auto"/>
              </w:rPr>
            </w:pPr>
          </w:p>
        </w:tc>
        <w:tc>
          <w:tcPr>
            <w:tcW w:w="500" w:type="dxa"/>
            <w:vAlign w:val="bottom"/>
            <w:tcBorders>
              <w:top w:val="single" w:sz="8" w:color="0563C1"/>
            </w:tcBorders>
          </w:tcPr>
          <w:p>
            <w:pPr>
              <w:spacing w:after="0"/>
              <w:rPr>
                <w:sz w:val="6"/>
                <w:szCs w:val="6"/>
                <w:color w:val="auto"/>
              </w:rPr>
            </w:pPr>
          </w:p>
        </w:tc>
        <w:tc>
          <w:tcPr>
            <w:tcW w:w="1060" w:type="dxa"/>
            <w:vAlign w:val="bottom"/>
            <w:tcBorders>
              <w:top w:val="single" w:sz="8" w:color="0563C1"/>
            </w:tcBorders>
          </w:tcPr>
          <w:p>
            <w:pPr>
              <w:spacing w:after="0"/>
              <w:rPr>
                <w:sz w:val="6"/>
                <w:szCs w:val="6"/>
                <w:color w:val="auto"/>
              </w:rPr>
            </w:pPr>
          </w:p>
        </w:tc>
        <w:tc>
          <w:tcPr>
            <w:tcW w:w="200" w:type="dxa"/>
            <w:vAlign w:val="bottom"/>
            <w:tcBorders>
              <w:top w:val="single" w:sz="8" w:color="0563C1"/>
            </w:tcBorders>
          </w:tcPr>
          <w:p>
            <w:pPr>
              <w:spacing w:after="0"/>
              <w:rPr>
                <w:sz w:val="6"/>
                <w:szCs w:val="6"/>
                <w:color w:val="auto"/>
              </w:rPr>
            </w:pPr>
          </w:p>
        </w:tc>
        <w:tc>
          <w:tcPr>
            <w:tcW w:w="100" w:type="dxa"/>
            <w:vAlign w:val="bottom"/>
            <w:tcBorders>
              <w:top w:val="single" w:sz="8" w:color="0563C1"/>
            </w:tcBorders>
          </w:tcPr>
          <w:p>
            <w:pPr>
              <w:spacing w:after="0"/>
              <w:rPr>
                <w:sz w:val="6"/>
                <w:szCs w:val="6"/>
                <w:color w:val="auto"/>
              </w:rPr>
            </w:pPr>
          </w:p>
        </w:tc>
        <w:tc>
          <w:tcPr>
            <w:tcW w:w="80" w:type="dxa"/>
            <w:vAlign w:val="bottom"/>
            <w:tcBorders>
              <w:top w:val="single" w:sz="8" w:color="0563C1"/>
            </w:tcBorders>
          </w:tcPr>
          <w:p>
            <w:pPr>
              <w:spacing w:after="0"/>
              <w:rPr>
                <w:sz w:val="6"/>
                <w:szCs w:val="6"/>
                <w:color w:val="auto"/>
              </w:rPr>
            </w:pPr>
          </w:p>
        </w:tc>
        <w:tc>
          <w:tcPr>
            <w:tcW w:w="960" w:type="dxa"/>
            <w:vAlign w:val="bottom"/>
            <w:tcBorders>
              <w:top w:val="single" w:sz="8" w:color="0563C1"/>
            </w:tcBorders>
          </w:tcPr>
          <w:p>
            <w:pPr>
              <w:spacing w:after="0"/>
              <w:rPr>
                <w:sz w:val="6"/>
                <w:szCs w:val="6"/>
                <w:color w:val="auto"/>
              </w:rPr>
            </w:pPr>
          </w:p>
        </w:tc>
        <w:tc>
          <w:tcPr>
            <w:tcW w:w="460" w:type="dxa"/>
            <w:vAlign w:val="bottom"/>
            <w:tcBorders>
              <w:top w:val="single" w:sz="8" w:color="0563C1"/>
            </w:tcBorders>
          </w:tcPr>
          <w:p>
            <w:pPr>
              <w:spacing w:after="0"/>
              <w:rPr>
                <w:sz w:val="6"/>
                <w:szCs w:val="6"/>
                <w:color w:val="auto"/>
              </w:rPr>
            </w:pPr>
          </w:p>
        </w:tc>
        <w:tc>
          <w:tcPr>
            <w:tcW w:w="380" w:type="dxa"/>
            <w:vAlign w:val="bottom"/>
            <w:tcBorders>
              <w:top w:val="single" w:sz="8" w:color="0563C1"/>
            </w:tcBorders>
          </w:tcPr>
          <w:p>
            <w:pPr>
              <w:spacing w:after="0"/>
              <w:rPr>
                <w:sz w:val="6"/>
                <w:szCs w:val="6"/>
                <w:color w:val="auto"/>
              </w:rPr>
            </w:pPr>
          </w:p>
        </w:tc>
        <w:tc>
          <w:tcPr>
            <w:tcW w:w="120" w:type="dxa"/>
            <w:vAlign w:val="bottom"/>
            <w:tcBorders>
              <w:top w:val="single" w:sz="8" w:color="0563C1"/>
            </w:tcBorders>
          </w:tcPr>
          <w:p>
            <w:pPr>
              <w:spacing w:after="0"/>
              <w:rPr>
                <w:sz w:val="6"/>
                <w:szCs w:val="6"/>
                <w:color w:val="auto"/>
              </w:rPr>
            </w:pPr>
          </w:p>
        </w:tc>
        <w:tc>
          <w:tcPr>
            <w:tcW w:w="260" w:type="dxa"/>
            <w:vAlign w:val="bottom"/>
            <w:tcBorders>
              <w:top w:val="single" w:sz="8" w:color="0563C1"/>
            </w:tcBorders>
          </w:tcPr>
          <w:p>
            <w:pPr>
              <w:spacing w:after="0"/>
              <w:rPr>
                <w:sz w:val="6"/>
                <w:szCs w:val="6"/>
                <w:color w:val="auto"/>
              </w:rPr>
            </w:pPr>
          </w:p>
        </w:tc>
        <w:tc>
          <w:tcPr>
            <w:tcW w:w="200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20" w:type="dxa"/>
            <w:vAlign w:val="bottom"/>
            <w:shd w:val="clear" w:color="auto" w:fill="CCEEFF"/>
          </w:tcPr>
          <w:p>
            <w:pPr>
              <w:spacing w:after="0"/>
              <w:rPr>
                <w:sz w:val="9"/>
                <w:szCs w:val="9"/>
                <w:color w:val="auto"/>
              </w:rPr>
            </w:pPr>
          </w:p>
        </w:tc>
        <w:tc>
          <w:tcPr>
            <w:tcW w:w="8840" w:type="dxa"/>
            <w:vAlign w:val="bottom"/>
            <w:gridSpan w:val="21"/>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563C1"/>
              </w:rPr>
              <w:t>Condensed Consolidated Statements of Cash Flows for the Three-Month Periods Ended March 31, 2022 and 2021</w:t>
            </w:r>
          </w:p>
        </w:tc>
        <w:tc>
          <w:tcPr>
            <w:tcW w:w="23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18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tcBorders>
              <w:top w:val="single" w:sz="8" w:color="0563C1"/>
            </w:tcBorders>
            <w:shd w:val="clear" w:color="auto" w:fill="CCEEFF"/>
          </w:tcPr>
          <w:p>
            <w:pPr>
              <w:spacing w:after="0"/>
              <w:rPr>
                <w:sz w:val="11"/>
                <w:szCs w:val="11"/>
                <w:color w:val="auto"/>
              </w:rPr>
            </w:pPr>
          </w:p>
        </w:tc>
        <w:tc>
          <w:tcPr>
            <w:tcW w:w="120" w:type="dxa"/>
            <w:vAlign w:val="bottom"/>
            <w:tcBorders>
              <w:top w:val="single" w:sz="8" w:color="0563C1"/>
            </w:tcBorders>
            <w:shd w:val="clear" w:color="auto" w:fill="CCEEFF"/>
          </w:tcPr>
          <w:p>
            <w:pPr>
              <w:spacing w:after="0"/>
              <w:rPr>
                <w:sz w:val="11"/>
                <w:szCs w:val="11"/>
                <w:color w:val="auto"/>
              </w:rPr>
            </w:pPr>
          </w:p>
        </w:tc>
        <w:tc>
          <w:tcPr>
            <w:tcW w:w="800" w:type="dxa"/>
            <w:vAlign w:val="bottom"/>
            <w:tcBorders>
              <w:top w:val="single" w:sz="8" w:color="0563C1"/>
            </w:tcBorders>
            <w:shd w:val="clear" w:color="auto" w:fill="CCEEFF"/>
          </w:tcPr>
          <w:p>
            <w:pPr>
              <w:spacing w:after="0"/>
              <w:rPr>
                <w:sz w:val="11"/>
                <w:szCs w:val="11"/>
                <w:color w:val="auto"/>
              </w:rPr>
            </w:pPr>
          </w:p>
        </w:tc>
        <w:tc>
          <w:tcPr>
            <w:tcW w:w="500" w:type="dxa"/>
            <w:vAlign w:val="bottom"/>
            <w:tcBorders>
              <w:top w:val="single" w:sz="8" w:color="0563C1"/>
            </w:tcBorders>
            <w:shd w:val="clear" w:color="auto" w:fill="CCEEFF"/>
          </w:tcPr>
          <w:p>
            <w:pPr>
              <w:spacing w:after="0"/>
              <w:rPr>
                <w:sz w:val="11"/>
                <w:szCs w:val="11"/>
                <w:color w:val="auto"/>
              </w:rPr>
            </w:pPr>
          </w:p>
        </w:tc>
        <w:tc>
          <w:tcPr>
            <w:tcW w:w="1060" w:type="dxa"/>
            <w:vAlign w:val="bottom"/>
            <w:tcBorders>
              <w:top w:val="single" w:sz="8" w:color="0563C1"/>
            </w:tcBorders>
            <w:shd w:val="clear" w:color="auto" w:fill="CCEEFF"/>
          </w:tcPr>
          <w:p>
            <w:pPr>
              <w:spacing w:after="0"/>
              <w:rPr>
                <w:sz w:val="11"/>
                <w:szCs w:val="11"/>
                <w:color w:val="auto"/>
              </w:rPr>
            </w:pPr>
          </w:p>
        </w:tc>
        <w:tc>
          <w:tcPr>
            <w:tcW w:w="200" w:type="dxa"/>
            <w:vAlign w:val="bottom"/>
            <w:tcBorders>
              <w:top w:val="single" w:sz="8" w:color="0563C1"/>
            </w:tcBorders>
            <w:shd w:val="clear" w:color="auto" w:fill="CCEEFF"/>
          </w:tcPr>
          <w:p>
            <w:pPr>
              <w:spacing w:after="0"/>
              <w:rPr>
                <w:sz w:val="11"/>
                <w:szCs w:val="11"/>
                <w:color w:val="auto"/>
              </w:rPr>
            </w:pPr>
          </w:p>
        </w:tc>
        <w:tc>
          <w:tcPr>
            <w:tcW w:w="100" w:type="dxa"/>
            <w:vAlign w:val="bottom"/>
            <w:tcBorders>
              <w:top w:val="single" w:sz="8" w:color="0563C1"/>
            </w:tcBorders>
            <w:shd w:val="clear" w:color="auto" w:fill="CCEEFF"/>
          </w:tcPr>
          <w:p>
            <w:pPr>
              <w:spacing w:after="0"/>
              <w:rPr>
                <w:sz w:val="11"/>
                <w:szCs w:val="11"/>
                <w:color w:val="auto"/>
              </w:rPr>
            </w:pPr>
          </w:p>
        </w:tc>
        <w:tc>
          <w:tcPr>
            <w:tcW w:w="80" w:type="dxa"/>
            <w:vAlign w:val="bottom"/>
            <w:tcBorders>
              <w:top w:val="single" w:sz="8" w:color="0563C1"/>
            </w:tcBorders>
            <w:shd w:val="clear" w:color="auto" w:fill="CCEEFF"/>
          </w:tcPr>
          <w:p>
            <w:pPr>
              <w:spacing w:after="0"/>
              <w:rPr>
                <w:sz w:val="11"/>
                <w:szCs w:val="11"/>
                <w:color w:val="auto"/>
              </w:rPr>
            </w:pPr>
          </w:p>
        </w:tc>
        <w:tc>
          <w:tcPr>
            <w:tcW w:w="960" w:type="dxa"/>
            <w:vAlign w:val="bottom"/>
            <w:tcBorders>
              <w:top w:val="single" w:sz="8" w:color="0563C1"/>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6080" w:type="dxa"/>
            <w:vAlign w:val="bottom"/>
            <w:tcBorders>
              <w:bottom w:val="single" w:sz="8" w:color="0563C1"/>
            </w:tcBorders>
            <w:gridSpan w:val="17"/>
          </w:tcPr>
          <w:p>
            <w:pPr>
              <w:spacing w:after="0" w:line="111" w:lineRule="exact"/>
              <w:rPr>
                <w:sz w:val="20"/>
                <w:szCs w:val="20"/>
                <w:color w:val="auto"/>
              </w:rPr>
            </w:pPr>
            <w:r>
              <w:rPr>
                <w:rFonts w:ascii="Times New Roman" w:cs="Times New Roman" w:eastAsia="Times New Roman" w:hAnsi="Times New Roman"/>
                <w:sz w:val="12"/>
                <w:szCs w:val="12"/>
                <w:color w:val="0563C1"/>
              </w:rPr>
              <w:t>Condensed Consolidated Statements of Stockholders’ Equity for the Three-Month Periods Ended March 31, 2022 and 2021</w:t>
            </w:r>
          </w:p>
        </w:tc>
        <w:tc>
          <w:tcPr>
            <w:tcW w:w="2760" w:type="dxa"/>
            <w:vAlign w:val="bottom"/>
            <w:gridSpan w:val="4"/>
          </w:tcPr>
          <w:p>
            <w:pPr>
              <w:spacing w:after="0"/>
              <w:rPr>
                <w:sz w:val="9"/>
                <w:szCs w:val="9"/>
                <w:color w:val="auto"/>
              </w:rPr>
            </w:pPr>
          </w:p>
        </w:tc>
        <w:tc>
          <w:tcPr>
            <w:tcW w:w="234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 w:type="dxa"/>
            <w:vAlign w:val="bottom"/>
            <w:shd w:val="clear" w:color="auto" w:fill="CCEEFF"/>
          </w:tcPr>
          <w:p>
            <w:pPr>
              <w:spacing w:after="0"/>
              <w:rPr>
                <w:sz w:val="9"/>
                <w:szCs w:val="9"/>
                <w:color w:val="auto"/>
              </w:rPr>
            </w:pPr>
          </w:p>
        </w:tc>
        <w:tc>
          <w:tcPr>
            <w:tcW w:w="8840" w:type="dxa"/>
            <w:vAlign w:val="bottom"/>
            <w:gridSpan w:val="21"/>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Notes to Condensed Consolidated Financial Statements</w:t>
            </w: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960" w:type="dxa"/>
            <w:vAlign w:val="bottom"/>
            <w:gridSpan w:val="22"/>
          </w:tcPr>
          <w:p>
            <w:pPr>
              <w:spacing w:after="0" w:line="109" w:lineRule="exact"/>
              <w:rPr>
                <w:sz w:val="20"/>
                <w:szCs w:val="20"/>
                <w:color w:val="auto"/>
              </w:rPr>
            </w:pPr>
            <w:r>
              <w:rPr>
                <w:rFonts w:ascii="Times New Roman" w:cs="Times New Roman" w:eastAsia="Times New Roman" w:hAnsi="Times New Roman"/>
                <w:sz w:val="12"/>
                <w:szCs w:val="12"/>
                <w:color w:val="0563C1"/>
              </w:rPr>
              <w:t>Item 2. Management’s Discussion and Analysis of Financial Condition and Results of Operations</w:t>
            </w:r>
          </w:p>
        </w:tc>
        <w:tc>
          <w:tcPr>
            <w:tcW w:w="23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80" w:type="dxa"/>
            <w:vAlign w:val="bottom"/>
            <w:tcBorders>
              <w:top w:val="single" w:sz="8" w:color="0563C1"/>
            </w:tcBorders>
            <w:gridSpan w:val="16"/>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3. Quantitative and Qualitative Disclosures About Market Risk</w:t>
            </w:r>
          </w:p>
        </w:tc>
        <w:tc>
          <w:tcPr>
            <w:tcW w:w="4180" w:type="dxa"/>
            <w:vAlign w:val="bottom"/>
            <w:gridSpan w:val="6"/>
            <w:shd w:val="clear" w:color="auto" w:fill="CCEEFF"/>
          </w:tcPr>
          <w:p>
            <w:pPr>
              <w:spacing w:after="0"/>
              <w:rPr>
                <w:sz w:val="9"/>
                <w:szCs w:val="9"/>
                <w:color w:val="auto"/>
              </w:rPr>
            </w:pP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340" w:type="dxa"/>
            <w:vAlign w:val="bottom"/>
            <w:tcBorders>
              <w:top w:val="single" w:sz="8" w:color="0563C1"/>
            </w:tcBorders>
            <w:gridSpan w:val="12"/>
          </w:tcPr>
          <w:p>
            <w:pPr>
              <w:spacing w:after="0" w:line="109" w:lineRule="exact"/>
              <w:rPr>
                <w:sz w:val="20"/>
                <w:szCs w:val="20"/>
                <w:color w:val="auto"/>
              </w:rPr>
            </w:pPr>
            <w:r>
              <w:rPr>
                <w:rFonts w:ascii="Times New Roman" w:cs="Times New Roman" w:eastAsia="Times New Roman" w:hAnsi="Times New Roman"/>
                <w:sz w:val="12"/>
                <w:szCs w:val="12"/>
                <w:color w:val="0563C1"/>
              </w:rPr>
              <w:t>Item 4. Controls and Procedures</w:t>
            </w:r>
          </w:p>
        </w:tc>
        <w:tc>
          <w:tcPr>
            <w:tcW w:w="5620" w:type="dxa"/>
            <w:vAlign w:val="bottom"/>
            <w:tcBorders>
              <w:top w:val="single" w:sz="8" w:color="CCEEFF"/>
            </w:tcBorders>
            <w:gridSpan w:val="10"/>
          </w:tcPr>
          <w:p>
            <w:pPr>
              <w:spacing w:after="0"/>
              <w:rPr>
                <w:sz w:val="9"/>
                <w:szCs w:val="9"/>
                <w:color w:val="auto"/>
              </w:rPr>
            </w:pPr>
          </w:p>
        </w:tc>
        <w:tc>
          <w:tcPr>
            <w:tcW w:w="234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20" w:type="dxa"/>
            <w:vAlign w:val="bottom"/>
            <w:tcBorders>
              <w:top w:val="single" w:sz="8" w:color="0563C1"/>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180" w:type="dxa"/>
            <w:vAlign w:val="bottom"/>
            <w:tcBorders>
              <w:top w:val="single" w:sz="8" w:color="0563C1"/>
            </w:tcBorders>
            <w:shd w:val="clear" w:color="auto" w:fill="CCEEFF"/>
          </w:tcPr>
          <w:p>
            <w:pPr>
              <w:spacing w:after="0"/>
              <w:rPr>
                <w:sz w:val="11"/>
                <w:szCs w:val="11"/>
                <w:color w:val="auto"/>
              </w:rPr>
            </w:pPr>
          </w:p>
        </w:tc>
        <w:tc>
          <w:tcPr>
            <w:tcW w:w="2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360" w:type="dxa"/>
            <w:vAlign w:val="bottom"/>
            <w:gridSpan w:val="8"/>
          </w:tcPr>
          <w:p>
            <w:pPr>
              <w:jc w:val="center"/>
              <w:ind w:right="2280"/>
              <w:spacing w:after="0" w:line="111" w:lineRule="exact"/>
              <w:rPr>
                <w:sz w:val="20"/>
                <w:szCs w:val="20"/>
                <w:color w:val="auto"/>
              </w:rPr>
            </w:pPr>
            <w:r>
              <w:rPr>
                <w:rFonts w:ascii="Times New Roman" w:cs="Times New Roman" w:eastAsia="Times New Roman" w:hAnsi="Times New Roman"/>
                <w:sz w:val="12"/>
                <w:szCs w:val="12"/>
                <w:b w:val="1"/>
                <w:bCs w:val="1"/>
                <w:color w:val="0563C1"/>
              </w:rPr>
              <w:t>PART II. OTHER INFORMATION</w:t>
            </w: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00" w:type="dxa"/>
            <w:vAlign w:val="bottom"/>
            <w:gridSpan w:val="15"/>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1. Legal Proceedings</w:t>
            </w:r>
          </w:p>
        </w:tc>
        <w:tc>
          <w:tcPr>
            <w:tcW w:w="1880" w:type="dxa"/>
            <w:vAlign w:val="bottom"/>
            <w:tcBorders>
              <w:top w:val="single" w:sz="8" w:color="0563C1"/>
            </w:tcBorders>
            <w:gridSpan w:val="4"/>
            <w:shd w:val="clear" w:color="auto" w:fill="CCEEFF"/>
          </w:tcPr>
          <w:p>
            <w:pPr>
              <w:spacing w:after="0"/>
              <w:rPr>
                <w:sz w:val="9"/>
                <w:szCs w:val="9"/>
                <w:color w:val="auto"/>
              </w:rPr>
            </w:pPr>
          </w:p>
        </w:tc>
        <w:tc>
          <w:tcPr>
            <w:tcW w:w="2380" w:type="dxa"/>
            <w:vAlign w:val="bottom"/>
            <w:gridSpan w:val="3"/>
            <w:shd w:val="clear" w:color="auto" w:fill="CCEEFF"/>
          </w:tcPr>
          <w:p>
            <w:pPr>
              <w:spacing w:after="0"/>
              <w:rPr>
                <w:sz w:val="9"/>
                <w:szCs w:val="9"/>
                <w:color w:val="auto"/>
              </w:rPr>
            </w:pP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80" w:type="dxa"/>
            <w:vAlign w:val="bottom"/>
            <w:tcBorders>
              <w:top w:val="single" w:sz="8" w:color="0563C1"/>
              <w:bottom w:val="single" w:sz="8" w:color="0563C1"/>
            </w:tcBorders>
            <w:gridSpan w:val="5"/>
          </w:tcPr>
          <w:p>
            <w:pPr>
              <w:spacing w:after="0" w:line="109" w:lineRule="exact"/>
              <w:rPr>
                <w:sz w:val="20"/>
                <w:szCs w:val="20"/>
                <w:color w:val="auto"/>
              </w:rPr>
            </w:pPr>
            <w:r>
              <w:rPr>
                <w:rFonts w:ascii="Times New Roman" w:cs="Times New Roman" w:eastAsia="Times New Roman" w:hAnsi="Times New Roman"/>
                <w:sz w:val="12"/>
                <w:szCs w:val="12"/>
                <w:color w:val="0563C1"/>
                <w:w w:val="99"/>
              </w:rPr>
              <w:t>Item 1A. Risk Factors</w:t>
            </w:r>
          </w:p>
        </w:tc>
        <w:tc>
          <w:tcPr>
            <w:tcW w:w="200" w:type="dxa"/>
            <w:vAlign w:val="bottom"/>
            <w:tcBorders>
              <w:top w:val="single" w:sz="8" w:color="0563C1"/>
            </w:tcBorders>
            <w:gridSpan w:val="2"/>
          </w:tcPr>
          <w:p>
            <w:pPr>
              <w:spacing w:after="0"/>
              <w:rPr>
                <w:sz w:val="9"/>
                <w:szCs w:val="9"/>
                <w:color w:val="auto"/>
              </w:rPr>
            </w:pPr>
          </w:p>
        </w:tc>
        <w:tc>
          <w:tcPr>
            <w:tcW w:w="7680" w:type="dxa"/>
            <w:vAlign w:val="bottom"/>
            <w:tcBorders>
              <w:top w:val="single" w:sz="8" w:color="CCEEFF"/>
            </w:tcBorders>
            <w:gridSpan w:val="15"/>
          </w:tcPr>
          <w:p>
            <w:pPr>
              <w:spacing w:after="0"/>
              <w:rPr>
                <w:sz w:val="9"/>
                <w:szCs w:val="9"/>
                <w:color w:val="auto"/>
              </w:rPr>
            </w:pPr>
          </w:p>
        </w:tc>
        <w:tc>
          <w:tcPr>
            <w:tcW w:w="234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960" w:type="dxa"/>
            <w:vAlign w:val="bottom"/>
            <w:gridSpan w:val="2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2. Unregistered Sales of Equity Securities and Use of Proceeds</w:t>
            </w: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20" w:type="dxa"/>
            <w:vAlign w:val="bottom"/>
            <w:tcBorders>
              <w:top w:val="single" w:sz="8" w:color="0563C1"/>
              <w:bottom w:val="single" w:sz="8" w:color="0563C1"/>
            </w:tcBorders>
            <w:gridSpan w:val="9"/>
          </w:tcPr>
          <w:p>
            <w:pPr>
              <w:spacing w:after="0" w:line="109" w:lineRule="exact"/>
              <w:rPr>
                <w:sz w:val="20"/>
                <w:szCs w:val="20"/>
                <w:color w:val="auto"/>
              </w:rPr>
            </w:pPr>
            <w:r>
              <w:rPr>
                <w:rFonts w:ascii="Times New Roman" w:cs="Times New Roman" w:eastAsia="Times New Roman" w:hAnsi="Times New Roman"/>
                <w:sz w:val="12"/>
                <w:szCs w:val="12"/>
                <w:color w:val="0563C1"/>
              </w:rPr>
              <w:t>Item 3. Default Upon Senior Securities</w:t>
            </w:r>
          </w:p>
        </w:tc>
        <w:tc>
          <w:tcPr>
            <w:tcW w:w="1420" w:type="dxa"/>
            <w:vAlign w:val="bottom"/>
            <w:tcBorders>
              <w:top w:val="single" w:sz="8" w:color="0563C1"/>
            </w:tcBorders>
            <w:gridSpan w:val="3"/>
          </w:tcPr>
          <w:p>
            <w:pPr>
              <w:spacing w:after="0"/>
              <w:rPr>
                <w:sz w:val="9"/>
                <w:szCs w:val="9"/>
                <w:color w:val="auto"/>
              </w:rPr>
            </w:pPr>
          </w:p>
        </w:tc>
        <w:tc>
          <w:tcPr>
            <w:tcW w:w="5620" w:type="dxa"/>
            <w:vAlign w:val="bottom"/>
            <w:tcBorders>
              <w:top w:val="single" w:sz="8" w:color="CCEEFF"/>
            </w:tcBorders>
            <w:gridSpan w:val="10"/>
          </w:tcPr>
          <w:p>
            <w:pPr>
              <w:spacing w:after="0"/>
              <w:rPr>
                <w:sz w:val="9"/>
                <w:szCs w:val="9"/>
                <w:color w:val="auto"/>
              </w:rPr>
            </w:pPr>
          </w:p>
        </w:tc>
        <w:tc>
          <w:tcPr>
            <w:tcW w:w="234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960" w:type="dxa"/>
            <w:vAlign w:val="bottom"/>
            <w:gridSpan w:val="2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4. Mine Safety Disclosures</w:t>
            </w: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80" w:type="dxa"/>
            <w:vAlign w:val="bottom"/>
            <w:tcBorders>
              <w:top w:val="single" w:sz="8" w:color="0563C1"/>
            </w:tcBorders>
            <w:gridSpan w:val="8"/>
          </w:tcPr>
          <w:p>
            <w:pPr>
              <w:spacing w:after="0" w:line="109" w:lineRule="exact"/>
              <w:rPr>
                <w:sz w:val="20"/>
                <w:szCs w:val="20"/>
                <w:color w:val="auto"/>
              </w:rPr>
            </w:pPr>
            <w:r>
              <w:rPr>
                <w:rFonts w:ascii="Times New Roman" w:cs="Times New Roman" w:eastAsia="Times New Roman" w:hAnsi="Times New Roman"/>
                <w:sz w:val="12"/>
                <w:szCs w:val="12"/>
                <w:color w:val="0563C1"/>
              </w:rPr>
              <w:t>Item 5. Other Information</w:t>
            </w:r>
          </w:p>
        </w:tc>
        <w:tc>
          <w:tcPr>
            <w:tcW w:w="7380" w:type="dxa"/>
            <w:vAlign w:val="bottom"/>
            <w:tcBorders>
              <w:top w:val="single" w:sz="8" w:color="CCEEFF"/>
            </w:tcBorders>
            <w:gridSpan w:val="14"/>
          </w:tcPr>
          <w:p>
            <w:pPr>
              <w:spacing w:after="0"/>
              <w:rPr>
                <w:sz w:val="9"/>
                <w:szCs w:val="9"/>
                <w:color w:val="auto"/>
              </w:rPr>
            </w:pPr>
          </w:p>
        </w:tc>
        <w:tc>
          <w:tcPr>
            <w:tcW w:w="234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60" w:type="dxa"/>
            <w:vAlign w:val="bottom"/>
            <w:tcBorders>
              <w:top w:val="single" w:sz="8" w:color="0563C1"/>
            </w:tcBorders>
            <w:gridSpan w:val="6"/>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Item 6. Exhibits</w:t>
            </w:r>
          </w:p>
        </w:tc>
        <w:tc>
          <w:tcPr>
            <w:tcW w:w="7700" w:type="dxa"/>
            <w:vAlign w:val="bottom"/>
            <w:gridSpan w:val="16"/>
            <w:shd w:val="clear" w:color="auto" w:fill="CCEEFF"/>
          </w:tcPr>
          <w:p>
            <w:pPr>
              <w:spacing w:after="0"/>
              <w:rPr>
                <w:sz w:val="9"/>
                <w:szCs w:val="9"/>
                <w:color w:val="auto"/>
              </w:rPr>
            </w:pPr>
          </w:p>
        </w:tc>
        <w:tc>
          <w:tcPr>
            <w:tcW w:w="23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20" w:type="dxa"/>
            <w:vAlign w:val="bottom"/>
            <w:tcBorders>
              <w:top w:val="single" w:sz="8" w:color="0563C1"/>
              <w:bottom w:val="single" w:sz="8" w:color="0563C1"/>
            </w:tcBorders>
            <w:gridSpan w:val="2"/>
          </w:tcPr>
          <w:p>
            <w:pPr>
              <w:spacing w:after="0" w:line="109" w:lineRule="exact"/>
              <w:rPr>
                <w:sz w:val="20"/>
                <w:szCs w:val="20"/>
                <w:color w:val="auto"/>
              </w:rPr>
            </w:pPr>
            <w:r>
              <w:rPr>
                <w:rFonts w:ascii="Times New Roman" w:cs="Times New Roman" w:eastAsia="Times New Roman" w:hAnsi="Times New Roman"/>
                <w:sz w:val="12"/>
                <w:szCs w:val="12"/>
                <w:color w:val="0563C1"/>
                <w:w w:val="98"/>
              </w:rPr>
              <w:t>Signatures</w:t>
            </w:r>
          </w:p>
        </w:tc>
        <w:tc>
          <w:tcPr>
            <w:tcW w:w="260" w:type="dxa"/>
            <w:vAlign w:val="bottom"/>
            <w:tcBorders>
              <w:top w:val="single" w:sz="8" w:color="0563C1"/>
            </w:tcBorders>
          </w:tcPr>
          <w:p>
            <w:pPr>
              <w:spacing w:after="0"/>
              <w:rPr>
                <w:sz w:val="9"/>
                <w:szCs w:val="9"/>
                <w:color w:val="auto"/>
              </w:rPr>
            </w:pPr>
          </w:p>
        </w:tc>
        <w:tc>
          <w:tcPr>
            <w:tcW w:w="8180" w:type="dxa"/>
            <w:vAlign w:val="bottom"/>
            <w:tcBorders>
              <w:top w:val="single" w:sz="8" w:color="CCEEFF"/>
            </w:tcBorders>
            <w:gridSpan w:val="19"/>
          </w:tcPr>
          <w:p>
            <w:pPr>
              <w:spacing w:after="0"/>
              <w:rPr>
                <w:sz w:val="9"/>
                <w:szCs w:val="9"/>
                <w:color w:val="auto"/>
              </w:rPr>
            </w:pPr>
          </w:p>
        </w:tc>
        <w:tc>
          <w:tcPr>
            <w:tcW w:w="2340" w:type="dxa"/>
            <w:vAlign w:val="bottom"/>
            <w:tcBorders>
              <w:top w:val="single" w:sz="8" w:color="CCEEFF"/>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0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ind w:left="456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680" w:type="dxa"/>
            <w:vAlign w:val="bottom"/>
            <w:tcBorders>
              <w:bottom w:val="single" w:sz="8" w:color="CCEEFF"/>
            </w:tcBorders>
          </w:tcPr>
          <w:p>
            <w:pPr>
              <w:spacing w:after="0"/>
              <w:rPr>
                <w:sz w:val="11"/>
                <w:szCs w:val="11"/>
                <w:color w:val="auto"/>
              </w:rPr>
            </w:pPr>
          </w:p>
        </w:tc>
        <w:tc>
          <w:tcPr>
            <w:tcW w:w="74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ASSETS</w:t>
            </w:r>
          </w:p>
        </w:tc>
        <w:tc>
          <w:tcPr>
            <w:tcW w:w="7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Current assets:</w:t>
            </w: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980" w:type="dxa"/>
            <w:vAlign w:val="bottom"/>
            <w:shd w:val="clear" w:color="auto" w:fill="CCEEFF"/>
          </w:tcPr>
          <w:p>
            <w:pPr>
              <w:jc w:val="right"/>
              <w:ind w:right="843"/>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12,676</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28,614</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w:t>
            </w:r>
          </w:p>
        </w:tc>
      </w:tr>
      <w:tr>
        <w:trPr>
          <w:trHeight w:val="129"/>
        </w:trPr>
        <w:tc>
          <w:tcPr>
            <w:tcW w:w="68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7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7,487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5,824</w:t>
            </w:r>
          </w:p>
        </w:tc>
      </w:tr>
      <w:tr>
        <w:trPr>
          <w:trHeight w:val="129"/>
        </w:trPr>
        <w:tc>
          <w:tcPr>
            <w:tcW w:w="8160" w:type="dxa"/>
            <w:vAlign w:val="bottom"/>
            <w:tcBorders>
              <w:bottom w:val="single" w:sz="8" w:color="CCEEFF"/>
            </w:tcBorders>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1,979</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2,131</w:t>
            </w:r>
          </w:p>
        </w:tc>
      </w:tr>
      <w:tr>
        <w:trPr>
          <w:trHeight w:val="118"/>
        </w:trPr>
        <w:tc>
          <w:tcPr>
            <w:tcW w:w="8160" w:type="dxa"/>
            <w:vAlign w:val="bottom"/>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assets</w:t>
            </w: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22,163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36,630</w:t>
            </w: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Property and equipment, net</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2,554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2,462</w:t>
            </w: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Intangible assets, net</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3,050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3,216</w:t>
            </w:r>
          </w:p>
        </w:tc>
      </w:tr>
      <w:tr>
        <w:trPr>
          <w:trHeight w:val="129"/>
        </w:trPr>
        <w:tc>
          <w:tcPr>
            <w:tcW w:w="6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Goodwill</w:t>
            </w:r>
          </w:p>
        </w:tc>
        <w:tc>
          <w:tcPr>
            <w:tcW w:w="7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w:t>
            </w: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8,611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8,785</w:t>
            </w:r>
          </w:p>
        </w:tc>
      </w:tr>
      <w:tr>
        <w:trPr>
          <w:trHeight w:val="129"/>
        </w:trPr>
        <w:tc>
          <w:tcPr>
            <w:tcW w:w="6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74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365</w:t>
            </w:r>
          </w:p>
        </w:tc>
      </w:tr>
      <w:tr>
        <w:trPr>
          <w:trHeight w:val="126"/>
        </w:trPr>
        <w:tc>
          <w:tcPr>
            <w:tcW w:w="8160" w:type="dxa"/>
            <w:vAlign w:val="bottom"/>
            <w:tcBorders>
              <w:bottom w:val="single" w:sz="8" w:color="CCEEFF"/>
            </w:tcBorders>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assets</w:t>
            </w:r>
          </w:p>
        </w:tc>
        <w:tc>
          <w:tcPr>
            <w:tcW w:w="980" w:type="dxa"/>
            <w:vAlign w:val="bottom"/>
            <w:tcBorders>
              <w:bottom w:val="single" w:sz="8" w:color="auto"/>
            </w:tcBorders>
            <w:shd w:val="clear" w:color="auto" w:fill="CCEEFF"/>
          </w:tcPr>
          <w:p>
            <w:pPr>
              <w:jc w:val="right"/>
              <w:ind w:right="843"/>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39,534</w:t>
            </w:r>
          </w:p>
        </w:tc>
        <w:tc>
          <w:tcPr>
            <w:tcW w:w="1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54,249</w:t>
            </w:r>
          </w:p>
        </w:tc>
      </w:tr>
      <w:tr>
        <w:trPr>
          <w:trHeight w:val="129"/>
        </w:trPr>
        <w:tc>
          <w:tcPr>
            <w:tcW w:w="68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Current liabilities:</w:t>
            </w: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980" w:type="dxa"/>
            <w:vAlign w:val="bottom"/>
            <w:shd w:val="clear" w:color="auto" w:fill="CCEEFF"/>
          </w:tcPr>
          <w:p>
            <w:pPr>
              <w:jc w:val="right"/>
              <w:ind w:right="843"/>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3,486</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2,904</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4,604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4,389</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Deferred revenue</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Lease liability, current</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799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774</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Note payable, current</w:t>
            </w:r>
          </w:p>
        </w:tc>
        <w:tc>
          <w:tcPr>
            <w:tcW w:w="9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436</w:t>
            </w:r>
          </w:p>
        </w:tc>
      </w:tr>
      <w:tr>
        <w:trPr>
          <w:trHeight w:val="118"/>
        </w:trPr>
        <w:tc>
          <w:tcPr>
            <w:tcW w:w="8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current liabilities</w:t>
            </w:r>
          </w:p>
        </w:tc>
        <w:tc>
          <w:tcPr>
            <w:tcW w:w="9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8,905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8,519</w:t>
            </w:r>
          </w:p>
        </w:tc>
      </w:tr>
      <w:tr>
        <w:trPr>
          <w:trHeight w:val="129"/>
        </w:trPr>
        <w:tc>
          <w:tcPr>
            <w:tcW w:w="8160" w:type="dxa"/>
            <w:vAlign w:val="bottom"/>
            <w:gridSpan w:val="2"/>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Lease liability, less current</w:t>
            </w: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9,833</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10,040</w:t>
            </w:r>
          </w:p>
        </w:tc>
      </w:tr>
      <w:tr>
        <w:trPr>
          <w:trHeight w:val="118"/>
        </w:trPr>
        <w:tc>
          <w:tcPr>
            <w:tcW w:w="8160" w:type="dxa"/>
            <w:vAlign w:val="bottom"/>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w:t>
            </w:r>
          </w:p>
        </w:tc>
        <w:tc>
          <w:tcPr>
            <w:tcW w:w="9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18,738</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18,559</w:t>
            </w:r>
          </w:p>
        </w:tc>
      </w:tr>
      <w:tr>
        <w:trPr>
          <w:trHeight w:val="118"/>
        </w:trPr>
        <w:tc>
          <w:tcPr>
            <w:tcW w:w="68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Commitments and contingencies (Note 8)</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Stockholders’ equity:</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07"/>
        </w:trPr>
        <w:tc>
          <w:tcPr>
            <w:tcW w:w="8160" w:type="dxa"/>
            <w:vAlign w:val="bottom"/>
            <w:gridSpan w:val="2"/>
          </w:tcPr>
          <w:p>
            <w:pPr>
              <w:ind w:left="140"/>
              <w:spacing w:after="0" w:line="107" w:lineRule="exact"/>
              <w:rPr>
                <w:sz w:val="20"/>
                <w:szCs w:val="20"/>
                <w:color w:val="auto"/>
              </w:rPr>
            </w:pPr>
            <w:r>
              <w:rPr>
                <w:rFonts w:ascii="Times New Roman" w:cs="Times New Roman" w:eastAsia="Times New Roman" w:hAnsi="Times New Roman"/>
                <w:sz w:val="12"/>
                <w:szCs w:val="12"/>
                <w:color w:val="auto"/>
              </w:rPr>
              <w:t>Preferred stock, $0.001 par value;</w:t>
            </w: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60"/>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‎authorized – 50,000 shares; no shares issued and outstanding</w:t>
            </w:r>
          </w:p>
        </w:tc>
        <w:tc>
          <w:tcPr>
            <w:tcW w:w="9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7"/>
        </w:trPr>
        <w:tc>
          <w:tcPr>
            <w:tcW w:w="816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2"/>
                <w:szCs w:val="12"/>
                <w:color w:val="auto"/>
              </w:rPr>
              <w:t>Common stock, $0.001 par value:</w:t>
            </w:r>
          </w:p>
        </w:tc>
        <w:tc>
          <w:tcPr>
            <w:tcW w:w="9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60"/>
        </w:trPr>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authorized‎</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500,000 shares; issued and outstanding – 29,802 shares and 29,716 shares at March 31, 2022 and December 31, 2021, respectively</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Additional paid-in capital</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274,240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271,861</w:t>
            </w:r>
          </w:p>
        </w:tc>
      </w:tr>
      <w:tr>
        <w:trPr>
          <w:trHeight w:val="129"/>
        </w:trPr>
        <w:tc>
          <w:tcPr>
            <w:tcW w:w="816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9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980" w:type="dxa"/>
            <w:vAlign w:val="bottom"/>
          </w:tcPr>
          <w:p>
            <w:pPr>
              <w:spacing w:after="0"/>
              <w:rPr>
                <w:sz w:val="11"/>
                <w:szCs w:val="11"/>
                <w:color w:val="auto"/>
              </w:rPr>
            </w:pPr>
          </w:p>
        </w:tc>
        <w:tc>
          <w:tcPr>
            <w:tcW w:w="6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(253,473)</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(236,200)</w:t>
            </w:r>
          </w:p>
        </w:tc>
      </w:tr>
      <w:tr>
        <w:trPr>
          <w:trHeight w:val="118"/>
        </w:trPr>
        <w:tc>
          <w:tcPr>
            <w:tcW w:w="8160" w:type="dxa"/>
            <w:vAlign w:val="bottom"/>
            <w:tcBorders>
              <w:top w:val="single" w:sz="8" w:color="CCEEFF"/>
            </w:tcBorders>
            <w:gridSpan w:val="2"/>
            <w:shd w:val="clear" w:color="auto" w:fill="CCEEFF"/>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stockholders’ equity</w:t>
            </w:r>
          </w:p>
        </w:tc>
        <w:tc>
          <w:tcPr>
            <w:tcW w:w="98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20,796</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35,690</w:t>
            </w:r>
          </w:p>
        </w:tc>
      </w:tr>
      <w:tr>
        <w:trPr>
          <w:trHeight w:val="126"/>
        </w:trPr>
        <w:tc>
          <w:tcPr>
            <w:tcW w:w="8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980" w:type="dxa"/>
            <w:vAlign w:val="bottom"/>
            <w:tcBorders>
              <w:bottom w:val="single" w:sz="8" w:color="auto"/>
            </w:tcBorders>
          </w:tcPr>
          <w:p>
            <w:pPr>
              <w:jc w:val="right"/>
              <w:ind w:right="843"/>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39,534</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54,249</w:t>
            </w: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4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jc w:val="center"/>
        <w:ind w:left="440"/>
        <w:spacing w:after="0" w:line="224" w:lineRule="auto"/>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gridSpan w:val="4"/>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0"/>
                <w:szCs w:val="10"/>
                <w:color w:val="auto"/>
              </w:rPr>
            </w:pPr>
          </w:p>
        </w:tc>
      </w:tr>
      <w:tr>
        <w:trPr>
          <w:trHeight w:val="127"/>
        </w:trPr>
        <w:tc>
          <w:tcPr>
            <w:tcW w:w="81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900" w:type="dxa"/>
            <w:vAlign w:val="bottom"/>
            <w:tcBorders>
              <w:bottom w:val="single" w:sz="8" w:color="auto"/>
            </w:tcBorders>
          </w:tcPr>
          <w:p>
            <w:pPr>
              <w:spacing w:after="0"/>
              <w:rPr>
                <w:sz w:val="11"/>
                <w:szCs w:val="11"/>
                <w:color w:val="auto"/>
              </w:rPr>
            </w:pPr>
          </w:p>
        </w:tc>
      </w:tr>
      <w:tr>
        <w:trPr>
          <w:trHeight w:val="100"/>
        </w:trPr>
        <w:tc>
          <w:tcPr>
            <w:tcW w:w="816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2"/>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79"/>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Revenues:</w:t>
            </w:r>
          </w:p>
        </w:tc>
        <w:tc>
          <w:tcPr>
            <w:tcW w:w="9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Product revenues</w:t>
            </w:r>
          </w:p>
        </w:tc>
        <w:tc>
          <w:tcPr>
            <w:tcW w:w="900" w:type="dxa"/>
            <w:vAlign w:val="bottom"/>
          </w:tcPr>
          <w:p>
            <w:pPr>
              <w:jc w:val="right"/>
              <w:ind w:right="762"/>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444</w:t>
            </w:r>
          </w:p>
        </w:tc>
        <w:tc>
          <w:tcPr>
            <w:tcW w:w="80" w:type="dxa"/>
            <w:vAlign w:val="bottom"/>
          </w:tcPr>
          <w:p>
            <w:pPr>
              <w:spacing w:after="0"/>
              <w:rPr>
                <w:sz w:val="11"/>
                <w:szCs w:val="11"/>
                <w:color w:val="auto"/>
              </w:rPr>
            </w:pPr>
          </w:p>
        </w:tc>
        <w:tc>
          <w:tcPr>
            <w:tcW w:w="680" w:type="dxa"/>
            <w:vAlign w:val="bottom"/>
            <w:gridSpan w:val="2"/>
          </w:tcPr>
          <w:p>
            <w:pPr>
              <w:jc w:val="right"/>
              <w:ind w:right="4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revenues</w:t>
            </w:r>
          </w:p>
        </w:tc>
        <w:tc>
          <w:tcPr>
            <w:tcW w:w="90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444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Cost and expenses:</w:t>
            </w: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Cost of revenues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909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9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6,769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9,063</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4,146</w:t>
            </w:r>
          </w:p>
        </w:tc>
      </w:tr>
      <w:tr>
        <w:trPr>
          <w:trHeight w:val="129"/>
        </w:trPr>
        <w:tc>
          <w:tcPr>
            <w:tcW w:w="8160" w:type="dxa"/>
            <w:vAlign w:val="bottom"/>
            <w:tcBorders>
              <w:bottom w:val="single" w:sz="8" w:color="CCEEFF"/>
            </w:tcBorders>
          </w:tcPr>
          <w:p>
            <w:pPr>
              <w:ind w:left="140"/>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9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4,498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5,316</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cost and expenses</w:t>
            </w:r>
          </w:p>
        </w:tc>
        <w:tc>
          <w:tcPr>
            <w:tcW w:w="9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17,717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18,525</w:t>
            </w:r>
          </w:p>
        </w:tc>
      </w:tr>
      <w:tr>
        <w:trPr>
          <w:trHeight w:val="118"/>
        </w:trPr>
        <w:tc>
          <w:tcPr>
            <w:tcW w:w="8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Loss from operations</w:t>
            </w:r>
          </w:p>
        </w:tc>
        <w:tc>
          <w:tcPr>
            <w:tcW w:w="9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(17,273)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(18,525)</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income (expense):</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Interest income (expense), net</w:t>
            </w:r>
          </w:p>
        </w:tc>
        <w:tc>
          <w:tcPr>
            <w:tcW w:w="90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(114)</w:t>
            </w:r>
          </w:p>
        </w:tc>
      </w:tr>
      <w:tr>
        <w:trPr>
          <w:trHeight w:val="118"/>
        </w:trPr>
        <w:tc>
          <w:tcPr>
            <w:tcW w:w="816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other income (expense)</w:t>
            </w:r>
          </w:p>
        </w:tc>
        <w:tc>
          <w:tcPr>
            <w:tcW w:w="90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(114)</w:t>
            </w:r>
          </w:p>
        </w:tc>
      </w:tr>
      <w:tr>
        <w:trPr>
          <w:trHeight w:val="126"/>
        </w:trPr>
        <w:tc>
          <w:tcPr>
            <w:tcW w:w="816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(17,273)</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(18,639)</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 comprehensive gain (loss):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816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Unrealized gain (loss) on available-for-sale securities</w:t>
            </w:r>
          </w:p>
        </w:tc>
        <w:tc>
          <w:tcPr>
            <w:tcW w:w="90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r>
      <w:tr>
        <w:trPr>
          <w:trHeight w:val="138"/>
        </w:trPr>
        <w:tc>
          <w:tcPr>
            <w:tcW w:w="816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Comprehensive loss</w:t>
            </w:r>
          </w:p>
        </w:tc>
        <w:tc>
          <w:tcPr>
            <w:tcW w:w="900" w:type="dxa"/>
            <w:vAlign w:val="bottom"/>
            <w:tcBorders>
              <w:top w:val="single" w:sz="8" w:color="auto"/>
              <w:bottom w:val="single" w:sz="8" w:color="auto"/>
            </w:tcBorders>
            <w:shd w:val="clear" w:color="auto" w:fill="CCEEFF"/>
          </w:tcPr>
          <w:p>
            <w:pPr>
              <w:jc w:val="right"/>
              <w:ind w:right="762"/>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(17,273)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(18,638)</w:t>
            </w:r>
          </w:p>
        </w:tc>
      </w:tr>
      <w:tr>
        <w:trPr>
          <w:trHeight w:val="117"/>
        </w:trPr>
        <w:tc>
          <w:tcPr>
            <w:tcW w:w="816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Net loss per share:</w:t>
            </w: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Basic and diluted net loss per share</w:t>
            </w:r>
          </w:p>
        </w:tc>
        <w:tc>
          <w:tcPr>
            <w:tcW w:w="900" w:type="dxa"/>
            <w:vAlign w:val="bottom"/>
            <w:shd w:val="clear" w:color="auto" w:fill="CCEEFF"/>
          </w:tcPr>
          <w:p>
            <w:pPr>
              <w:jc w:val="right"/>
              <w:ind w:right="762"/>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(0.58)</w:t>
            </w:r>
          </w:p>
        </w:tc>
        <w:tc>
          <w:tcPr>
            <w:tcW w:w="680" w:type="dxa"/>
            <w:vAlign w:val="bottom"/>
            <w:gridSpan w:val="2"/>
            <w:shd w:val="clear" w:color="auto" w:fill="CCEEFF"/>
          </w:tcPr>
          <w:p>
            <w:pPr>
              <w:jc w:val="right"/>
              <w:ind w:right="4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(0.71)</w:t>
            </w:r>
          </w:p>
        </w:tc>
      </w:tr>
      <w:tr>
        <w:trPr>
          <w:trHeight w:val="124"/>
        </w:trPr>
        <w:tc>
          <w:tcPr>
            <w:tcW w:w="8160" w:type="dxa"/>
            <w:vAlign w:val="bottom"/>
            <w:tcBorders>
              <w:top w:val="single" w:sz="8" w:color="CCEEFF"/>
            </w:tcBorders>
          </w:tcPr>
          <w:p>
            <w:pPr>
              <w:spacing w:after="0" w:line="117" w:lineRule="exact"/>
              <w:rPr>
                <w:sz w:val="20"/>
                <w:szCs w:val="20"/>
                <w:color w:val="auto"/>
              </w:rPr>
            </w:pPr>
            <w:r>
              <w:rPr>
                <w:rFonts w:ascii="Times New Roman" w:cs="Times New Roman" w:eastAsia="Times New Roman" w:hAnsi="Times New Roman"/>
                <w:sz w:val="12"/>
                <w:szCs w:val="12"/>
                <w:color w:val="auto"/>
              </w:rPr>
              <w:t xml:space="preserve">Weighted average shares used to compute net loss per common share </w:t>
            </w:r>
            <w:r>
              <w:rPr>
                <w:rFonts w:ascii="Calibri" w:cs="Calibri" w:eastAsia="Calibri" w:hAnsi="Calibri"/>
                <w:sz w:val="12"/>
                <w:szCs w:val="12"/>
                <w:color w:val="auto"/>
              </w:rPr>
              <w:t>—</w:t>
            </w:r>
            <w:r>
              <w:rPr>
                <w:rFonts w:ascii="Times New Roman" w:cs="Times New Roman" w:eastAsia="Times New Roman" w:hAnsi="Times New Roman"/>
                <w:sz w:val="12"/>
                <w:szCs w:val="12"/>
                <w:color w:val="auto"/>
              </w:rPr>
              <w:t xml:space="preserve"> basic and diluted</w:t>
            </w:r>
          </w:p>
        </w:tc>
        <w:tc>
          <w:tcPr>
            <w:tcW w:w="9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29,745</w:t>
            </w: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26,072</w:t>
            </w:r>
          </w:p>
        </w:tc>
      </w:tr>
    </w:tbl>
    <w:p>
      <w:pPr>
        <w:spacing w:after="0" w:line="1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jc w:val="center"/>
        <w:spacing w:after="0" w:line="224" w:lineRule="auto"/>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gridSpan w:val="4"/>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0"/>
                <w:szCs w:val="10"/>
                <w:color w:val="auto"/>
              </w:rPr>
            </w:pPr>
          </w:p>
        </w:tc>
      </w:tr>
      <w:tr>
        <w:trPr>
          <w:trHeight w:val="127"/>
        </w:trPr>
        <w:tc>
          <w:tcPr>
            <w:tcW w:w="81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900" w:type="dxa"/>
            <w:vAlign w:val="bottom"/>
            <w:tcBorders>
              <w:bottom w:val="single" w:sz="8" w:color="auto"/>
            </w:tcBorders>
          </w:tcPr>
          <w:p>
            <w:pPr>
              <w:spacing w:after="0"/>
              <w:rPr>
                <w:sz w:val="11"/>
                <w:szCs w:val="11"/>
                <w:color w:val="auto"/>
              </w:rPr>
            </w:pPr>
          </w:p>
        </w:tc>
      </w:tr>
      <w:tr>
        <w:trPr>
          <w:trHeight w:val="100"/>
        </w:trPr>
        <w:tc>
          <w:tcPr>
            <w:tcW w:w="816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2"/>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579"/>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Pr>
          <w:p>
            <w:pPr>
              <w:jc w:val="right"/>
              <w:ind w:right="762"/>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(17,273)</w:t>
            </w:r>
          </w:p>
        </w:tc>
        <w:tc>
          <w:tcPr>
            <w:tcW w:w="680" w:type="dxa"/>
            <w:vAlign w:val="bottom"/>
            <w:gridSpan w:val="2"/>
          </w:tcPr>
          <w:p>
            <w:pPr>
              <w:jc w:val="right"/>
              <w:ind w:right="4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(18,639)</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Depreciation</w:t>
            </w:r>
          </w:p>
        </w:tc>
        <w:tc>
          <w:tcPr>
            <w:tcW w:w="9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113</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167</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6,965</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Net premium amortization and discount on available-for-sale securities</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w:t>
            </w: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90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(1,663)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(1,135)</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(124)</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Other receivables</w:t>
            </w:r>
          </w:p>
        </w:tc>
        <w:tc>
          <w:tcPr>
            <w:tcW w:w="90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48</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Right-of-use assets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158</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Accounts payable</w:t>
            </w:r>
          </w:p>
        </w:tc>
        <w:tc>
          <w:tcPr>
            <w:tcW w:w="9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433</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215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291</w:t>
            </w: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Lease liabilities</w:t>
            </w:r>
          </w:p>
        </w:tc>
        <w:tc>
          <w:tcPr>
            <w:tcW w:w="90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(182)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(95)</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Accrued interest on note payable</w:t>
            </w:r>
          </w:p>
        </w:tc>
        <w:tc>
          <w:tcPr>
            <w:tcW w:w="9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118</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(15,594)</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(11,687)</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90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(279)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(51)</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Maturities of investments</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8,000</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9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(279)</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7,949</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 under employee stock purchase plan</w:t>
            </w:r>
          </w:p>
        </w:tc>
        <w:tc>
          <w:tcPr>
            <w:tcW w:w="9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430</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warrants</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4,217</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exercises of stock options</w:t>
            </w:r>
          </w:p>
        </w:tc>
        <w:tc>
          <w:tcPr>
            <w:tcW w:w="90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619</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common stock</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4,892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issuance of related party note</w:t>
            </w:r>
          </w:p>
        </w:tc>
        <w:tc>
          <w:tcPr>
            <w:tcW w:w="90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41,000</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Payments made on insurance loan agreement</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(437)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9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51,158</w:t>
            </w:r>
          </w:p>
        </w:tc>
      </w:tr>
      <w:tr>
        <w:trPr>
          <w:trHeight w:val="118"/>
        </w:trPr>
        <w:tc>
          <w:tcPr>
            <w:tcW w:w="8160" w:type="dxa"/>
            <w:vAlign w:val="bottom"/>
            <w:shd w:val="clear" w:color="auto" w:fill="CCEEFF"/>
          </w:tcPr>
          <w:p>
            <w:pPr>
              <w:ind w:left="440"/>
              <w:spacing w:after="0" w:line="118"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9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(15,938)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47,420</w:t>
            </w:r>
          </w:p>
        </w:tc>
      </w:tr>
      <w:tr>
        <w:trPr>
          <w:trHeight w:val="118"/>
        </w:trPr>
        <w:tc>
          <w:tcPr>
            <w:tcW w:w="816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28,614</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12,463</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900" w:type="dxa"/>
            <w:vAlign w:val="bottom"/>
            <w:tcBorders>
              <w:bottom w:val="single" w:sz="8" w:color="auto"/>
            </w:tcBorders>
            <w:shd w:val="clear" w:color="auto" w:fill="CCEEFF"/>
          </w:tcPr>
          <w:p>
            <w:pPr>
              <w:jc w:val="right"/>
              <w:ind w:right="762"/>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12,676</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46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59,883</w:t>
            </w:r>
          </w:p>
        </w:tc>
      </w:tr>
      <w:tr>
        <w:trPr>
          <w:trHeight w:val="129"/>
        </w:trPr>
        <w:tc>
          <w:tcPr>
            <w:tcW w:w="8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8160" w:type="dxa"/>
            <w:vAlign w:val="bottom"/>
          </w:tcPr>
          <w:p>
            <w:pPr>
              <w:ind w:left="280"/>
              <w:spacing w:after="0" w:line="129" w:lineRule="exact"/>
              <w:rPr>
                <w:sz w:val="20"/>
                <w:szCs w:val="20"/>
                <w:color w:val="auto"/>
              </w:rPr>
            </w:pPr>
            <w:r>
              <w:rPr>
                <w:rFonts w:ascii="Times New Roman" w:cs="Times New Roman" w:eastAsia="Times New Roman" w:hAnsi="Times New Roman"/>
                <w:sz w:val="12"/>
                <w:szCs w:val="12"/>
                <w:color w:val="auto"/>
              </w:rPr>
              <w:t>Equipment purchases included in accounts payable and accrued expenses</w:t>
            </w:r>
          </w:p>
        </w:tc>
        <w:tc>
          <w:tcPr>
            <w:tcW w:w="900" w:type="dxa"/>
            <w:vAlign w:val="bottom"/>
          </w:tcPr>
          <w:p>
            <w:pPr>
              <w:jc w:val="right"/>
              <w:ind w:right="762"/>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1"/>
                <w:szCs w:val="11"/>
                <w:color w:val="auto"/>
              </w:rPr>
            </w:pPr>
          </w:p>
        </w:tc>
        <w:tc>
          <w:tcPr>
            <w:tcW w:w="680" w:type="dxa"/>
            <w:vAlign w:val="bottom"/>
            <w:gridSpan w:val="2"/>
          </w:tcPr>
          <w:p>
            <w:pPr>
              <w:jc w:val="right"/>
              <w:ind w:right="464"/>
              <w:spacing w:after="0" w:line="129"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2"/>
                <w:szCs w:val="12"/>
                <w:color w:val="auto"/>
              </w:rPr>
              <w:t>Change in unrealized gains on available-for-sale securities</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r>
      <w:tr>
        <w:trPr>
          <w:trHeight w:val="159"/>
        </w:trPr>
        <w:tc>
          <w:tcPr>
            <w:tcW w:w="81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receivable from issuance of common stock from at-the-market equity offering</w:t>
            </w:r>
          </w:p>
        </w:tc>
        <w:tc>
          <w:tcPr>
            <w:tcW w:w="9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bl>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jc w:val="center"/>
        <w:spacing w:after="0" w:line="236" w:lineRule="auto"/>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ectPr>
          <w:pgSz w:w="11900" w:h="16838" w:orient="portrait"/>
          <w:cols w:equalWidth="0" w:num="1">
            <w:col w:w="11300"/>
          </w:cols>
          <w:pgMar w:left="300" w:top="115" w:right="299"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December 31, 2021</w:t>
            </w: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29,716</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ind w:left="560"/>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70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Issuance of shares under employee stock purchase plan</w:t>
            </w:r>
          </w:p>
        </w:tc>
        <w:tc>
          <w:tcPr>
            <w:tcW w:w="9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86</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ind w:left="600"/>
              <w:spacing w:after="0" w:line="102" w:lineRule="exact"/>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March 31, 2022</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29,802</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ind w:left="560"/>
              <w:spacing w:after="0" w:line="109"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7176135" cy="76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7176135" cy="76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-502920</wp:posOffset>
            </wp:positionV>
            <wp:extent cx="7176135" cy="87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8763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December 31, 2020</w:t>
            </w:r>
          </w:p>
        </w:tc>
        <w:tc>
          <w:tcPr>
            <w:tcW w:w="1080" w:type="dxa"/>
            <w:vAlign w:val="bottom"/>
            <w:tcBorders>
              <w:top w:val="single" w:sz="8" w:color="auto"/>
            </w:tcBorders>
            <w:gridSpan w:val="2"/>
          </w:tcPr>
          <w:p>
            <w:pPr>
              <w:ind w:left="30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5"/>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25,550</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70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Issuance of shares upon exercise of stock options</w:t>
            </w:r>
          </w:p>
        </w:tc>
        <w:tc>
          <w:tcPr>
            <w:tcW w:w="9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jc w:val="center"/>
              <w:ind w:left="545"/>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shares under employee stock purchase plan</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shares upon exercise of warrants</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585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left="545"/>
              <w:spacing w:after="0" w:line="120"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 in an at-the-market equity offering, net of issuance</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costs of $446</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158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tcPr>
          <w:p>
            <w:pPr>
              <w:ind w:left="8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center"/>
              <w:ind w:left="465"/>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center"/>
              <w:ind w:left="465"/>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7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March 31, 2021</w:t>
            </w:r>
          </w:p>
        </w:tc>
        <w:tc>
          <w:tcPr>
            <w:tcW w:w="9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26,401</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-631190</wp:posOffset>
            </wp:positionV>
            <wp:extent cx="7176135" cy="76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-479425</wp:posOffset>
            </wp:positionV>
            <wp:extent cx="7176135" cy="152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152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-250825</wp:posOffset>
            </wp:positionV>
            <wp:extent cx="7176135" cy="76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762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76135" cy="87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876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-807085</wp:posOffset>
            </wp:positionV>
            <wp:extent cx="7176135" cy="87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9"/>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40"/>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7"/>
        </w:trPr>
        <w:tc>
          <w:tcPr>
            <w:tcW w:w="98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1"/>
                <w:szCs w:val="11"/>
                <w:color w:val="auto"/>
              </w:rPr>
              <w:t>271,861</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(236,200)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35,690</w:t>
            </w:r>
          </w:p>
        </w:tc>
      </w:tr>
      <w:tr>
        <w:trPr>
          <w:trHeight w:val="101"/>
        </w:trPr>
        <w:tc>
          <w:tcPr>
            <w:tcW w:w="980" w:type="dxa"/>
            <w:vAlign w:val="bottom"/>
          </w:tcPr>
          <w:p>
            <w:pPr>
              <w:jc w:val="right"/>
              <w:ind w:right="125"/>
              <w:spacing w:after="0" w:line="102" w:lineRule="exact"/>
              <w:rPr>
                <w:sz w:val="20"/>
                <w:szCs w:val="20"/>
                <w:color w:val="auto"/>
              </w:rPr>
            </w:pPr>
            <w:r>
              <w:rPr>
                <w:rFonts w:ascii="Times New Roman" w:cs="Times New Roman" w:eastAsia="Times New Roman" w:hAnsi="Times New Roman"/>
                <w:sz w:val="11"/>
                <w:szCs w:val="11"/>
                <w:color w:val="auto"/>
              </w:rPr>
              <w:t>372</w:t>
            </w:r>
          </w:p>
        </w:tc>
        <w:tc>
          <w:tcPr>
            <w:tcW w:w="1340" w:type="dxa"/>
            <w:vAlign w:val="bottom"/>
          </w:tcPr>
          <w:p>
            <w:pPr>
              <w:spacing w:after="0"/>
              <w:rPr>
                <w:sz w:val="8"/>
                <w:szCs w:val="8"/>
                <w:color w:val="auto"/>
              </w:rPr>
            </w:pPr>
          </w:p>
        </w:tc>
        <w:tc>
          <w:tcPr>
            <w:tcW w:w="20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372</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2,007</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2,007</w:t>
            </w:r>
          </w:p>
        </w:tc>
      </w:tr>
      <w:tr>
        <w:trPr>
          <w:trHeight w:val="120"/>
        </w:trPr>
        <w:tc>
          <w:tcPr>
            <w:tcW w:w="980" w:type="dxa"/>
            <w:vAlign w:val="bottom"/>
          </w:tcPr>
          <w:p>
            <w:pPr>
              <w:jc w:val="right"/>
              <w:ind w:right="85"/>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r>
      <w:tr>
        <w:trPr>
          <w:trHeight w:val="138"/>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(17,273)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(17,273)</w:t>
            </w:r>
          </w:p>
        </w:tc>
      </w:tr>
      <w:tr>
        <w:trPr>
          <w:trHeight w:val="117"/>
        </w:trPr>
        <w:tc>
          <w:tcPr>
            <w:tcW w:w="980" w:type="dxa"/>
            <w:vAlign w:val="bottom"/>
          </w:tcPr>
          <w:p>
            <w:pPr>
              <w:jc w:val="right"/>
              <w:ind w:right="85"/>
              <w:spacing w:after="0" w:line="109" w:lineRule="exact"/>
              <w:rPr>
                <w:sz w:val="20"/>
                <w:szCs w:val="20"/>
                <w:color w:val="auto"/>
              </w:rPr>
            </w:pPr>
            <w:r>
              <w:rPr>
                <w:rFonts w:ascii="Times New Roman" w:cs="Times New Roman" w:eastAsia="Times New Roman" w:hAnsi="Times New Roman"/>
                <w:sz w:val="11"/>
                <w:szCs w:val="11"/>
                <w:color w:val="auto"/>
              </w:rPr>
              <w:t>274,240</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(253,473)</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20,796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-17145</wp:posOffset>
            </wp:positionV>
            <wp:extent cx="74358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-5080</wp:posOffset>
            </wp:positionV>
            <wp:extent cx="74358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-99060</wp:posOffset>
            </wp:positionV>
            <wp:extent cx="74358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-408940</wp:posOffset>
            </wp:positionV>
            <wp:extent cx="74358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3585" cy="571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9"/>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40"/>
        </w:trPr>
        <w:tc>
          <w:tcPr>
            <w:tcW w:w="98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3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7"/>
        </w:trPr>
        <w:tc>
          <w:tcPr>
            <w:tcW w:w="98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1"/>
                <w:szCs w:val="11"/>
                <w:color w:val="auto"/>
              </w:rPr>
              <w:t>195,410</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color w:val="auto"/>
                <w:w w:val="77"/>
              </w:rPr>
              <w:t>(1)</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(172,540)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22,894</w:t>
            </w:r>
          </w:p>
        </w:tc>
      </w:tr>
      <w:tr>
        <w:trPr>
          <w:trHeight w:val="101"/>
        </w:trPr>
        <w:tc>
          <w:tcPr>
            <w:tcW w:w="980" w:type="dxa"/>
            <w:vAlign w:val="bottom"/>
          </w:tcPr>
          <w:p>
            <w:pPr>
              <w:jc w:val="right"/>
              <w:ind w:right="125"/>
              <w:spacing w:after="0" w:line="102" w:lineRule="exact"/>
              <w:rPr>
                <w:sz w:val="20"/>
                <w:szCs w:val="20"/>
                <w:color w:val="auto"/>
              </w:rPr>
            </w:pPr>
            <w:r>
              <w:rPr>
                <w:rFonts w:ascii="Times New Roman" w:cs="Times New Roman" w:eastAsia="Times New Roman" w:hAnsi="Times New Roman"/>
                <w:sz w:val="11"/>
                <w:szCs w:val="11"/>
                <w:color w:val="auto"/>
              </w:rPr>
              <w:t>449</w:t>
            </w:r>
          </w:p>
        </w:tc>
        <w:tc>
          <w:tcPr>
            <w:tcW w:w="1340" w:type="dxa"/>
            <w:vAlign w:val="bottom"/>
          </w:tcPr>
          <w:p>
            <w:pPr>
              <w:spacing w:after="0"/>
              <w:rPr>
                <w:sz w:val="8"/>
                <w:szCs w:val="8"/>
                <w:color w:val="auto"/>
              </w:rPr>
            </w:pPr>
          </w:p>
        </w:tc>
        <w:tc>
          <w:tcPr>
            <w:tcW w:w="20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449</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430</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430</w:t>
            </w:r>
          </w:p>
        </w:tc>
      </w:tr>
      <w:tr>
        <w:trPr>
          <w:trHeight w:val="143"/>
        </w:trPr>
        <w:tc>
          <w:tcPr>
            <w:tcW w:w="9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3,333</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3,334</w:t>
            </w:r>
          </w:p>
        </w:tc>
      </w:tr>
      <w:tr>
        <w:trPr>
          <w:trHeight w:val="217"/>
        </w:trPr>
        <w:tc>
          <w:tcPr>
            <w:tcW w:w="9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4,963</w:t>
            </w:r>
          </w:p>
        </w:tc>
        <w:tc>
          <w:tcPr>
            <w:tcW w:w="134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4,963</w:t>
            </w:r>
          </w:p>
        </w:tc>
      </w:tr>
      <w:tr>
        <w:trPr>
          <w:trHeight w:val="120"/>
        </w:trPr>
        <w:tc>
          <w:tcPr>
            <w:tcW w:w="98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1"/>
                <w:szCs w:val="11"/>
                <w:color w:val="auto"/>
              </w:rPr>
              <w:t>6,965</w:t>
            </w:r>
          </w:p>
        </w:tc>
        <w:tc>
          <w:tcPr>
            <w:tcW w:w="1340" w:type="dxa"/>
            <w:vAlign w:val="bottom"/>
          </w:tcPr>
          <w:p>
            <w:pPr>
              <w:spacing w:after="0"/>
              <w:rPr>
                <w:sz w:val="10"/>
                <w:szCs w:val="10"/>
                <w:color w:val="auto"/>
              </w:rPr>
            </w:pPr>
          </w:p>
        </w:tc>
        <w:tc>
          <w:tcPr>
            <w:tcW w:w="36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6,965</w:t>
            </w:r>
          </w:p>
        </w:tc>
      </w:tr>
      <w:tr>
        <w:trPr>
          <w:trHeight w:val="120"/>
        </w:trPr>
        <w:tc>
          <w:tcPr>
            <w:tcW w:w="980" w:type="dxa"/>
            <w:vAlign w:val="bottom"/>
          </w:tcPr>
          <w:p>
            <w:pPr>
              <w:jc w:val="right"/>
              <w:ind w:right="85"/>
              <w:spacing w:after="0" w:line="120"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0"/>
                <w:szCs w:val="10"/>
                <w:color w:val="auto"/>
              </w:rPr>
            </w:pPr>
          </w:p>
        </w:tc>
        <w:tc>
          <w:tcPr>
            <w:tcW w:w="200" w:type="dxa"/>
            <w:vAlign w:val="bottom"/>
          </w:tcPr>
          <w:p>
            <w:pPr>
              <w:ind w:left="120"/>
              <w:spacing w:after="0" w:line="120"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w:t>
            </w:r>
          </w:p>
        </w:tc>
      </w:tr>
      <w:tr>
        <w:trPr>
          <w:trHeight w:val="138"/>
        </w:trPr>
        <w:tc>
          <w:tcPr>
            <w:tcW w:w="9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(18,639)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(18,639)</w:t>
            </w:r>
          </w:p>
        </w:tc>
      </w:tr>
      <w:tr>
        <w:trPr>
          <w:trHeight w:val="117"/>
        </w:trPr>
        <w:tc>
          <w:tcPr>
            <w:tcW w:w="980" w:type="dxa"/>
            <w:vAlign w:val="bottom"/>
          </w:tcPr>
          <w:p>
            <w:pPr>
              <w:jc w:val="right"/>
              <w:ind w:right="125"/>
              <w:spacing w:after="0" w:line="109" w:lineRule="exact"/>
              <w:rPr>
                <w:sz w:val="20"/>
                <w:szCs w:val="20"/>
                <w:color w:val="auto"/>
              </w:rPr>
            </w:pPr>
            <w:r>
              <w:rPr>
                <w:rFonts w:ascii="Times New Roman" w:cs="Times New Roman" w:eastAsia="Times New Roman" w:hAnsi="Times New Roman"/>
                <w:sz w:val="11"/>
                <w:szCs w:val="11"/>
                <w:color w:val="auto"/>
              </w:rPr>
              <w:t>211,550</w:t>
            </w:r>
          </w:p>
        </w:tc>
        <w:tc>
          <w:tcPr>
            <w:tcW w:w="1340" w:type="dxa"/>
            <w:vAlign w:val="bottom"/>
            <w:tcBorders>
              <w:top w:val="single" w:sz="8" w:color="auto"/>
              <w:bottom w:val="single" w:sz="8" w:color="auto"/>
            </w:tcBorders>
          </w:tcPr>
          <w:p>
            <w:pPr>
              <w:jc w:val="right"/>
              <w:ind w:right="122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100"/>
              <w:spacing w:after="0" w:line="109" w:lineRule="exact"/>
              <w:rPr>
                <w:sz w:val="20"/>
                <w:szCs w:val="20"/>
                <w:color w:val="auto"/>
              </w:rPr>
            </w:pPr>
            <w:r>
              <w:rPr>
                <w:rFonts w:ascii="Times New Roman" w:cs="Times New Roman" w:eastAsia="Times New Roman" w:hAnsi="Times New Roman"/>
                <w:sz w:val="11"/>
                <w:szCs w:val="11"/>
                <w:color w:val="auto"/>
                <w:w w:val="72"/>
              </w:rPr>
              <w:t>—</w:t>
            </w:r>
          </w:p>
        </w:tc>
        <w:tc>
          <w:tcPr>
            <w:tcW w:w="1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5"/>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(191,179)</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20,397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-5080</wp:posOffset>
            </wp:positionV>
            <wp:extent cx="74358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3585" cy="571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-713740</wp:posOffset>
            </wp:positionV>
            <wp:extent cx="74358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358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5" w:right="299" w:bottom="1440" w:gutter="0" w:footer="0" w:header="0"/>
          <w:type w:val="continuous"/>
        </w:sectPr>
      </w:pP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the Business</w:t>
      </w:r>
    </w:p>
    <w:p>
      <w:pPr>
        <w:spacing w:after="0" w:line="131"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Pulse Biosciences, Inc. is a novel bioelectric medicine company committed to health innovation using an entirely new and proprietary energy modality. The Company’s CellFX System is the first commercial product to harness the distinctive advantages of the Company’s proprietary NPS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6"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 xml:space="preserve">In February 2021, the Company received 510(k) clearance from the FDA for the CellFX System for dermatologic procedures requiring ablation and resurfacing of the skin. In January 2021, the Company received CE marking approval for the CellFX System, which allows for marketing of the system in the EU and, in June 2021, the Company received Health Canada approval for the CellFX System, which allows for marketing of the system in Canada. The CE mark and Health Canada approvals allow for use of the CellFX System in dermatological procedures requiring ablation and resurfacing of the skin for the reduction, removal, and/or clearance of cellular-based benign lesions, including SH, SK, and cutaneous non-genital warts. The Company will continue to pursue specific indications for the CellFX System in the United States similar to the regulatory clearances already received in Europe and Canada. This will require additional 510(k) submissions for each subsequent indication, and will likely be based on comparative clinical data. </w:t>
      </w:r>
      <w:r>
        <w:rPr>
          <w:rFonts w:ascii="Times New Roman" w:cs="Times New Roman" w:eastAsia="Times New Roman" w:hAnsi="Times New Roman"/>
          <w:sz w:val="12"/>
          <w:szCs w:val="12"/>
          <w:color w:val="231F20"/>
        </w:rPr>
        <w:t>In December 2021,</w:t>
      </w:r>
      <w:r>
        <w:rPr>
          <w:rFonts w:ascii="Times New Roman" w:cs="Times New Roman" w:eastAsia="Times New Roman" w:hAnsi="Times New Roman"/>
          <w:sz w:val="12"/>
          <w:szCs w:val="12"/>
          <w:color w:val="auto"/>
        </w:rPr>
        <w:t xml:space="preserve"> the Company submitted a 510(k) to add the treatment of SH to the CellFX System’s indications for use in the United States. In February 2022 the Company received an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FDA-approved IDE study. The Company met with the FDA at the end of April 2022 to gain clarification regarding the AI letter and to discuss the appropriate next steps. Following the meeting and at the FDA’s request, the Company provided additional analysis of the sebaceous hyperplasia comparative clinical data. The Company anticipates a follow-on discussion with the FDA to review the additional datasets and expects to continue to collaborate with the FDA to formally respond to the AI letter.</w:t>
      </w:r>
    </w:p>
    <w:p>
      <w:pPr>
        <w:spacing w:after="0" w:line="111"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In February 2021, the Company initiated controlled launch programs (Note 9) in the United States and the European Union and in June 2021 the Company initiated a controlled launch program in Canada (collectively, our “Controlled Launch”). In August 2021, the Company began to convert Controlled Launch program participants into sales agreements, thereby triggering revenue recognition.</w:t>
      </w:r>
    </w:p>
    <w:p>
      <w:pPr>
        <w:spacing w:after="0" w:line="78"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On March 31, 2022, the Company initiated a plan to reduce its operating expenses, preserve financial resources, and focus its sales and marketing efforts on increasing utilization of CellFX Systems. The Company’s Board of Directors has approved changes to the Company’s commercial leadership, restructuring of its commercial field organization and reductions in other personnel and expenses across the Company. The Company announced a reduction in force effective as of March 31, 2022. See Note 13 for additional details.</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was incorporated in Nevada on May 19, 2014. On June 18, 2018, the Company reincorporated from the State of Nevada to the State of Delaware. The Company is located in Hayward, California.</w:t>
      </w:r>
    </w:p>
    <w:p>
      <w:pPr>
        <w:spacing w:after="0" w:line="12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Company’s activities are subject to significant risks and uncertainties, including the need for additional capital. The Company does not currently have any cash flows from operations. It has recently commenced revenue-generating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Going Concern</w:t>
      </w:r>
    </w:p>
    <w:p>
      <w:pPr>
        <w:spacing w:after="0" w:line="122"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 xml:space="preserve">As of March 31, 2022, the Company had an accumulated deficit of $253.5 million, cash outflows from operations of $15.6 million for the three months then ended, cash and cash equivalents of $12.7 million and a net loss of $17.3 million. The Company has recently begun to generate revenue from product sales, but anticipates net losses for the next several years or until it can generate substantial product revenue and achieve profitability. Based on the Company’s current operating plan, the Company has determined that, with its current financial resources, the Company would be able to operate through the second quarter of 2022. As the Company’s operating plan does not allow the Company to operate for a period of twelve months from the date the condensed consolidated financial statements are issued without additional financing, based on the Accounting Standards Codification (“ASC”) 205-40, </w:t>
      </w:r>
      <w:r>
        <w:rPr>
          <w:rFonts w:ascii="Times New Roman" w:cs="Times New Roman" w:eastAsia="Times New Roman" w:hAnsi="Times New Roman"/>
          <w:sz w:val="12"/>
          <w:szCs w:val="12"/>
          <w:i w:val="1"/>
          <w:iCs w:val="1"/>
          <w:color w:val="auto"/>
        </w:rPr>
        <w:t>Presentation of Financial Statements – Going Concern</w:t>
      </w:r>
      <w:r>
        <w:rPr>
          <w:rFonts w:ascii="Times New Roman" w:cs="Times New Roman" w:eastAsia="Times New Roman" w:hAnsi="Times New Roman"/>
          <w:sz w:val="12"/>
          <w:szCs w:val="12"/>
          <w:color w:val="auto"/>
        </w:rPr>
        <w:t>, the Company is required to disclose that substantial doubt regarding the Company’s ability to continue as a going concern exists. This evaluation initially cannot take into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consideration the potential mitigating effects of plans that have not been fully implemented as of the date the financial statements are issued. To continue to fund the operations of the Company beyond this time period, management has developed plans, which primarily consist of raising additional capital through some combination of public or private equity offerings, debt financings, the Company’s at-the-market equity offering program, and/or potential new collaborations. Refer to Note 14 for details of a rights offering announced on April 14, 2022 to raise additional capital. There is no assurance, however, that any additional financing or any revenue-generating collaboration will be available when needed or that management of the Company will be able to obtain financing or enter into a collaboration on terms acceptable to the Company. 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have been prepared on a basis consistent with the Company’s December 31, 2021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2021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2020. The results of operations for the three-month periods ended March 31, 2022, are not necessarily indicative of the results to be expected for the entire year or any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and investments, the valuation and recognition of share-based compensation, inventory valuation, warranty obligations,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Company’s significant accounting policies are described in the Company’s Annual Report on Form 10-K for the year ended December 31, 2021. The Company continually evaluates the accounting policies and estimates used in preparing the consolidated financial statements. There have been no material changes to the Company’s significant accounting policies during the three-month period ended March 31, 2022, as compared to the significant accounting policies described in the Company’s Annual Report on Form 10-K for the year ended December 31, 2021.</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Valuation of Inventory</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March 31, 2022, there is no reduction to the balance of inventory for excessive and obsolete inventory.</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Revenue from Contracts with Customers</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the Company sells these products on a stand-alone basis at their respective stand-alone selling prices (“SSP”), initial customer contracts will primarily involve the bundling of products which will be delivered concurrently to the customer. In such instances, the full consideration of the contract will be recognized upon shipment of the products. The Company generally requires receipt of full payment prior to shipment, however, from time to time, payment terms may be extended to customers upon which the Company will perform a necessary credit evaluation to ensure future collectability of the outstanding balance. The Company does not believe any portion of the outstanding accounts receivable balance to be uncollectible, and has therefore not recorded an allowance against the accounts receivable balance. Refer to Note 10 for further details.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Product Warranty</w:t>
      </w:r>
    </w:p>
    <w:p>
      <w:pPr>
        <w:spacing w:after="0" w:line="122"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accrues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is recorded as a component of Cost of Revenues in the consolidated statements of operations and comprehensive loss.</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Warranty accrual activity consisted of the following for the three-month periods ended March 31, 2022 and 2021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3"/>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1360" w:type="dxa"/>
            <w:vAlign w:val="bottom"/>
          </w:tcPr>
          <w:p>
            <w:pPr>
              <w:spacing w:after="0"/>
              <w:rPr>
                <w:sz w:val="10"/>
                <w:szCs w:val="10"/>
                <w:color w:val="auto"/>
              </w:rPr>
            </w:pPr>
          </w:p>
        </w:tc>
      </w:tr>
      <w:tr>
        <w:trPr>
          <w:trHeight w:val="127"/>
        </w:trPr>
        <w:tc>
          <w:tcPr>
            <w:tcW w:w="42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60" w:type="dxa"/>
            <w:vAlign w:val="bottom"/>
            <w:tcBorders>
              <w:bottom w:val="single" w:sz="8" w:color="auto"/>
            </w:tcBorders>
          </w:tcPr>
          <w:p>
            <w:pPr>
              <w:spacing w:after="0"/>
              <w:rPr>
                <w:sz w:val="11"/>
                <w:szCs w:val="11"/>
                <w:color w:val="auto"/>
              </w:rPr>
            </w:pPr>
          </w:p>
        </w:tc>
      </w:tr>
      <w:tr>
        <w:trPr>
          <w:trHeight w:val="100"/>
        </w:trPr>
        <w:tc>
          <w:tcPr>
            <w:tcW w:w="4200" w:type="dxa"/>
            <w:vAlign w:val="bottom"/>
            <w:tcBorders>
              <w:bottom w:val="single" w:sz="8" w:color="CCEEFF"/>
            </w:tcBorders>
          </w:tcPr>
          <w:p>
            <w:pPr>
              <w:spacing w:after="0"/>
              <w:rPr>
                <w:sz w:val="8"/>
                <w:szCs w:val="8"/>
                <w:color w:val="auto"/>
              </w:rPr>
            </w:pPr>
          </w:p>
        </w:tc>
        <w:tc>
          <w:tcPr>
            <w:tcW w:w="2700" w:type="dxa"/>
            <w:vAlign w:val="bottom"/>
            <w:tcBorders>
              <w:bottom w:val="single" w:sz="8" w:color="CCEEFF"/>
            </w:tcBorders>
          </w:tcPr>
          <w:p>
            <w:pPr>
              <w:spacing w:after="0"/>
              <w:rPr>
                <w:sz w:val="8"/>
                <w:szCs w:val="8"/>
                <w:color w:val="auto"/>
              </w:rPr>
            </w:pPr>
          </w:p>
        </w:tc>
        <w:tc>
          <w:tcPr>
            <w:tcW w:w="1380" w:type="dxa"/>
            <w:vAlign w:val="bottom"/>
            <w:tcBorders>
              <w:bottom w:val="single" w:sz="8" w:color="auto"/>
            </w:tcBorders>
          </w:tcPr>
          <w:p>
            <w:pPr>
              <w:jc w:val="right"/>
              <w:ind w:right="18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ind w:left="22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4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Beginning balance</w:t>
            </w:r>
          </w:p>
        </w:tc>
        <w:tc>
          <w:tcPr>
            <w:tcW w:w="2700" w:type="dxa"/>
            <w:vAlign w:val="bottom"/>
            <w:shd w:val="clear" w:color="auto" w:fill="CCEEFF"/>
          </w:tcPr>
          <w:p>
            <w:pPr>
              <w:spacing w:after="0"/>
              <w:rPr>
                <w:sz w:val="10"/>
                <w:szCs w:val="10"/>
                <w:color w:val="auto"/>
              </w:rPr>
            </w:pPr>
          </w:p>
        </w:tc>
        <w:tc>
          <w:tcPr>
            <w:tcW w:w="1380" w:type="dxa"/>
            <w:vAlign w:val="bottom"/>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80</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ind w:left="118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200" w:type="dxa"/>
            <w:vAlign w:val="bottom"/>
          </w:tcPr>
          <w:p>
            <w:pPr>
              <w:ind w:left="140"/>
              <w:spacing w:after="0" w:line="129" w:lineRule="exact"/>
              <w:rPr>
                <w:sz w:val="20"/>
                <w:szCs w:val="20"/>
                <w:color w:val="auto"/>
              </w:rPr>
            </w:pPr>
            <w:r>
              <w:rPr>
                <w:rFonts w:ascii="Times New Roman" w:cs="Times New Roman" w:eastAsia="Times New Roman" w:hAnsi="Times New Roman"/>
                <w:sz w:val="12"/>
                <w:szCs w:val="12"/>
                <w:color w:val="auto"/>
              </w:rPr>
              <w:t>Add: Accruals for warranties issued during the period</w:t>
            </w:r>
          </w:p>
        </w:tc>
        <w:tc>
          <w:tcPr>
            <w:tcW w:w="2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ind w:left="118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42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Less: Settlements made during the period</w:t>
            </w:r>
          </w:p>
        </w:tc>
        <w:tc>
          <w:tcPr>
            <w:tcW w:w="27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ind w:left="118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42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Ending balance</w:t>
            </w:r>
          </w:p>
        </w:tc>
        <w:tc>
          <w:tcPr>
            <w:tcW w:w="2700" w:type="dxa"/>
            <w:vAlign w:val="bottom"/>
          </w:tcPr>
          <w:p>
            <w:pPr>
              <w:spacing w:after="0"/>
              <w:rPr>
                <w:sz w:val="10"/>
                <w:szCs w:val="10"/>
                <w:color w:val="auto"/>
              </w:rPr>
            </w:pPr>
          </w:p>
        </w:tc>
        <w:tc>
          <w:tcPr>
            <w:tcW w:w="1380" w:type="dxa"/>
            <w:vAlign w:val="bottom"/>
            <w:tcBorders>
              <w:top w:val="single" w:sz="8" w:color="auto"/>
              <w:bottom w:val="single" w:sz="8" w:color="auto"/>
            </w:tcBorders>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97</w:t>
            </w:r>
          </w:p>
        </w:tc>
        <w:tc>
          <w:tcPr>
            <w:tcW w:w="2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ind w:left="118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405"/>
        </w:trPr>
        <w:tc>
          <w:tcPr>
            <w:tcW w:w="4200" w:type="dxa"/>
            <w:vAlign w:val="bottom"/>
          </w:tcPr>
          <w:p>
            <w:pPr>
              <w:spacing w:after="0"/>
              <w:rPr>
                <w:sz w:val="24"/>
                <w:szCs w:val="24"/>
                <w:color w:val="auto"/>
              </w:rPr>
            </w:pPr>
          </w:p>
        </w:tc>
        <w:tc>
          <w:tcPr>
            <w:tcW w:w="2700" w:type="dxa"/>
            <w:vAlign w:val="bottom"/>
          </w:tcPr>
          <w:p>
            <w:pPr>
              <w:jc w:val="right"/>
              <w:ind w:right="1159"/>
              <w:spacing w:after="0"/>
              <w:rPr>
                <w:sz w:val="20"/>
                <w:szCs w:val="20"/>
                <w:color w:val="auto"/>
              </w:rPr>
            </w:pPr>
            <w:r>
              <w:rPr>
                <w:rFonts w:ascii="Times New Roman" w:cs="Times New Roman" w:eastAsia="Times New Roman" w:hAnsi="Times New Roman"/>
                <w:sz w:val="12"/>
                <w:szCs w:val="12"/>
                <w:color w:val="auto"/>
              </w:rPr>
              <w:t>9</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420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13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ind w:right="40" w:firstLine="301"/>
        <w:spacing w:after="0" w:line="261" w:lineRule="auto"/>
        <w:rPr>
          <w:sz w:val="20"/>
          <w:szCs w:val="20"/>
          <w:color w:val="auto"/>
        </w:rPr>
      </w:pPr>
      <w:r>
        <w:rPr>
          <w:rFonts w:ascii="Times New Roman" w:cs="Times New Roman" w:eastAsia="Times New Roman" w:hAnsi="Times New Roman"/>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3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Three-Month Periods Ended</w:t>
      </w:r>
    </w:p>
    <w:p>
      <w:pPr>
        <w:spacing w:after="0" w:line="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100"/>
        </w:trPr>
        <w:tc>
          <w:tcPr>
            <w:tcW w:w="818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11"/>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CCEEFF"/>
            </w:tcBorders>
          </w:tcPr>
          <w:p>
            <w:pPr>
              <w:spacing w:after="0"/>
              <w:rPr>
                <w:sz w:val="8"/>
                <w:szCs w:val="8"/>
                <w:color w:val="auto"/>
              </w:rPr>
            </w:pPr>
          </w:p>
        </w:tc>
        <w:tc>
          <w:tcPr>
            <w:tcW w:w="1480" w:type="dxa"/>
            <w:vAlign w:val="bottom"/>
            <w:tcBorders>
              <w:top w:val="single" w:sz="8" w:color="auto"/>
              <w:bottom w:val="single" w:sz="8" w:color="auto"/>
            </w:tcBorders>
          </w:tcPr>
          <w:p>
            <w:pPr>
              <w:jc w:val="right"/>
              <w:ind w:right="581"/>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Common stock warrants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600</w:t>
            </w:r>
          </w:p>
        </w:tc>
      </w:tr>
      <w:tr>
        <w:trPr>
          <w:trHeight w:val="129"/>
        </w:trPr>
        <w:tc>
          <w:tcPr>
            <w:tcW w:w="90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Common stock options</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5,558,884</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5,476,636</w:t>
            </w:r>
          </w:p>
        </w:tc>
      </w:tr>
      <w:tr>
        <w:trPr>
          <w:trHeight w:val="129"/>
        </w:trPr>
        <w:tc>
          <w:tcPr>
            <w:tcW w:w="90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Restricted stock units</w:t>
            </w:r>
          </w:p>
        </w:tc>
        <w:tc>
          <w:tcPr>
            <w:tcW w:w="76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111,305</w:t>
            </w:r>
          </w:p>
        </w:tc>
      </w:tr>
      <w:tr>
        <w:trPr>
          <w:trHeight w:val="126"/>
        </w:trPr>
        <w:tc>
          <w:tcPr>
            <w:tcW w:w="818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5,558,884</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5,588,541</w:t>
            </w: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There are no recent accounting pronouncements that impact the Company’s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Fair Value of Financial Instruments</w:t>
      </w:r>
    </w:p>
    <w:p>
      <w:pPr>
        <w:spacing w:after="0" w:line="122" w:lineRule="exact"/>
        <w:rPr>
          <w:sz w:val="20"/>
          <w:szCs w:val="20"/>
          <w:color w:val="auto"/>
        </w:rPr>
      </w:pPr>
    </w:p>
    <w:p>
      <w:pPr>
        <w:jc w:val="both"/>
        <w:ind w:right="20" w:firstLine="274"/>
        <w:spacing w:after="0" w:line="261" w:lineRule="auto"/>
        <w:rPr>
          <w:sz w:val="20"/>
          <w:szCs w:val="20"/>
          <w:color w:val="auto"/>
        </w:rPr>
      </w:pPr>
      <w:r>
        <w:rPr>
          <w:rFonts w:ascii="Times New Roman" w:cs="Times New Roman" w:eastAsia="Times New Roman" w:hAnsi="Times New Roman"/>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87"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87"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87"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following table sets forth the fair value of the Company’s financial assets measured on a recurring basis as of March 31, 2022 and December 31, 2021, respectively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Classification</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 2022</w:t>
            </w: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b w:val="1"/>
                <w:bCs w:val="1"/>
                <w:color w:val="auto"/>
              </w:rPr>
              <w:t>Level 1</w:t>
            </w:r>
          </w:p>
        </w:tc>
        <w:tc>
          <w:tcPr>
            <w:tcW w:w="120" w:type="dxa"/>
            <w:vAlign w:val="bottom"/>
          </w:tcPr>
          <w:p>
            <w:pPr>
              <w:spacing w:after="0"/>
              <w:rPr>
                <w:sz w:val="8"/>
                <w:szCs w:val="8"/>
                <w:color w:val="auto"/>
              </w:rPr>
            </w:pPr>
          </w:p>
        </w:tc>
        <w:tc>
          <w:tcPr>
            <w:tcW w:w="860" w:type="dxa"/>
            <w:vAlign w:val="bottom"/>
            <w:gridSpan w:val="2"/>
          </w:tcPr>
          <w:p>
            <w:pPr>
              <w:ind w:left="240"/>
              <w:spacing w:after="0" w:line="100"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Pr>
          <w:p>
            <w:pPr>
              <w:spacing w:after="0"/>
              <w:rPr>
                <w:sz w:val="8"/>
                <w:szCs w:val="8"/>
                <w:color w:val="auto"/>
              </w:rPr>
            </w:pPr>
          </w:p>
        </w:tc>
        <w:tc>
          <w:tcPr>
            <w:tcW w:w="62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60" w:type="dxa"/>
            <w:vAlign w:val="bottom"/>
          </w:tcPr>
          <w:p>
            <w:pPr>
              <w:spacing w:after="0"/>
              <w:rPr>
                <w:sz w:val="8"/>
                <w:szCs w:val="8"/>
                <w:color w:val="auto"/>
              </w:rPr>
            </w:pPr>
          </w:p>
        </w:tc>
        <w:tc>
          <w:tcPr>
            <w:tcW w:w="700" w:type="dxa"/>
            <w:vAlign w:val="bottom"/>
          </w:tcPr>
          <w:p>
            <w:pPr>
              <w:jc w:val="right"/>
              <w:ind w:right="231"/>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200"/>
              <w:spacing w:after="0" w:line="100" w:lineRule="exact"/>
              <w:rPr>
                <w:sz w:val="20"/>
                <w:szCs w:val="20"/>
                <w:color w:val="auto"/>
              </w:rPr>
            </w:pPr>
            <w:r>
              <w:rPr>
                <w:rFonts w:ascii="Times New Roman" w:cs="Times New Roman" w:eastAsia="Times New Roman" w:hAnsi="Times New Roman"/>
                <w:sz w:val="10"/>
                <w:szCs w:val="10"/>
                <w:b w:val="1"/>
                <w:bCs w:val="1"/>
                <w:color w:val="auto"/>
              </w:rPr>
              <w:t>Level 1</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tcPr>
          <w:p>
            <w:pPr>
              <w:ind w:left="180"/>
              <w:spacing w:after="0" w:line="100" w:lineRule="exact"/>
              <w:rPr>
                <w:sz w:val="20"/>
                <w:szCs w:val="20"/>
                <w:color w:val="auto"/>
              </w:rPr>
            </w:pPr>
            <w:r>
              <w:rPr>
                <w:rFonts w:ascii="Times New Roman" w:cs="Times New Roman" w:eastAsia="Times New Roman" w:hAnsi="Times New Roman"/>
                <w:sz w:val="10"/>
                <w:szCs w:val="10"/>
                <w:b w:val="1"/>
                <w:bCs w:val="1"/>
                <w:color w:val="auto"/>
              </w:rPr>
              <w:t>Level 2</w:t>
            </w:r>
          </w:p>
        </w:tc>
        <w:tc>
          <w:tcPr>
            <w:tcW w:w="780" w:type="dxa"/>
            <w:vAlign w:val="bottom"/>
          </w:tcPr>
          <w:p>
            <w:pPr>
              <w:jc w:val="right"/>
              <w:ind w:right="11"/>
              <w:spacing w:after="0" w:line="100"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jc w:val="right"/>
              <w:ind w:right="251"/>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0"/>
        </w:trPr>
        <w:tc>
          <w:tcPr>
            <w:tcW w:w="2000" w:type="dxa"/>
            <w:vAlign w:val="bottom"/>
            <w:tcBorders>
              <w:top w:val="single" w:sz="8" w:color="auto"/>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Money market funds</w:t>
            </w:r>
          </w:p>
        </w:tc>
        <w:tc>
          <w:tcPr>
            <w:tcW w:w="8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center"/>
              <w:spacing w:after="0" w:line="100" w:lineRule="exact"/>
              <w:rPr>
                <w:sz w:val="20"/>
                <w:szCs w:val="20"/>
                <w:color w:val="auto"/>
              </w:rPr>
            </w:pPr>
            <w:r>
              <w:rPr>
                <w:rFonts w:ascii="Times New Roman" w:cs="Times New Roman" w:eastAsia="Times New Roman" w:hAnsi="Times New Roman"/>
                <w:sz w:val="10"/>
                <w:szCs w:val="10"/>
                <w:color w:val="auto"/>
                <w:w w:val="98"/>
              </w:rPr>
              <w:t>Cash and cash equivalents</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2,675</w:t>
            </w: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jc w:val="right"/>
              <w:ind w:right="1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ind w:left="46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2,675</w:t>
            </w: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ind w:left="62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ind w:right="67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ind w:left="4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0" w:type="dxa"/>
            <w:vAlign w:val="bottom"/>
          </w:tcPr>
          <w:p>
            <w:pPr>
              <w:spacing w:after="0"/>
              <w:rPr>
                <w:sz w:val="1"/>
                <w:szCs w:val="1"/>
                <w:color w:val="auto"/>
              </w:rPr>
            </w:pPr>
          </w:p>
        </w:tc>
      </w:tr>
      <w:tr>
        <w:trPr>
          <w:trHeight w:val="111"/>
        </w:trPr>
        <w:tc>
          <w:tcPr>
            <w:tcW w:w="2080" w:type="dxa"/>
            <w:vAlign w:val="bottom"/>
            <w:gridSpan w:val="2"/>
          </w:tcPr>
          <w:p>
            <w:pPr>
              <w:spacing w:after="0" w:line="111" w:lineRule="exact"/>
              <w:rPr>
                <w:sz w:val="20"/>
                <w:szCs w:val="20"/>
                <w:color w:val="auto"/>
              </w:rPr>
            </w:pPr>
            <w:r>
              <w:rPr>
                <w:rFonts w:ascii="Times New Roman" w:cs="Times New Roman" w:eastAsia="Times New Roman" w:hAnsi="Times New Roman"/>
                <w:sz w:val="10"/>
                <w:szCs w:val="10"/>
                <w:color w:val="auto"/>
              </w:rPr>
              <w:t>U.S. Treasury securities</w:t>
            </w:r>
          </w:p>
        </w:tc>
        <w:tc>
          <w:tcPr>
            <w:tcW w:w="1460" w:type="dxa"/>
            <w:vAlign w:val="bottom"/>
            <w:gridSpan w:val="3"/>
          </w:tcPr>
          <w:p>
            <w:pPr>
              <w:jc w:val="center"/>
              <w:ind w:right="251"/>
              <w:spacing w:after="0" w:line="111" w:lineRule="exact"/>
              <w:rPr>
                <w:sz w:val="20"/>
                <w:szCs w:val="20"/>
                <w:color w:val="auto"/>
              </w:rPr>
            </w:pPr>
            <w:r>
              <w:rPr>
                <w:rFonts w:ascii="Times New Roman" w:cs="Times New Roman" w:eastAsia="Times New Roman" w:hAnsi="Times New Roman"/>
                <w:sz w:val="10"/>
                <w:szCs w:val="10"/>
                <w:color w:val="auto"/>
                <w:w w:val="98"/>
              </w:rPr>
              <w:t>Cash and cash equivalents</w:t>
            </w:r>
          </w:p>
        </w:tc>
        <w:tc>
          <w:tcPr>
            <w:tcW w:w="780" w:type="dxa"/>
            <w:vAlign w:val="bottom"/>
            <w:gridSpan w:val="2"/>
          </w:tcPr>
          <w:p>
            <w:pPr>
              <w:ind w:left="620"/>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5,000</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ind w:left="46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5,000</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2"/>
          </w:tcPr>
          <w:p>
            <w:pPr>
              <w:ind w:left="660"/>
              <w:spacing w:after="0" w:line="111" w:lineRule="exact"/>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2"/>
          </w:tcPr>
          <w:p>
            <w:pPr>
              <w:ind w:left="620"/>
              <w:spacing w:after="0" w:line="11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spacing w:after="0"/>
              <w:rPr>
                <w:sz w:val="9"/>
                <w:szCs w:val="9"/>
                <w:color w:val="auto"/>
              </w:rPr>
            </w:pPr>
          </w:p>
        </w:tc>
        <w:tc>
          <w:tcPr>
            <w:tcW w:w="200" w:type="dxa"/>
            <w:vAlign w:val="bottom"/>
            <w:gridSpan w:val="2"/>
          </w:tcPr>
          <w:p>
            <w:pPr>
              <w:ind w:left="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7"/>
        </w:trPr>
        <w:tc>
          <w:tcPr>
            <w:tcW w:w="2080" w:type="dxa"/>
            <w:vAlign w:val="bottom"/>
            <w:tcBorders>
              <w:top w:val="single" w:sz="8" w:color="CCEEFF"/>
              <w:bottom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Total assets measured at fair value</w:t>
            </w:r>
          </w:p>
        </w:tc>
        <w:tc>
          <w:tcPr>
            <w:tcW w:w="1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2,675</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1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5,000</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shd w:val="clear" w:color="auto" w:fill="CCEEFF"/>
          </w:tcPr>
          <w:p>
            <w:pPr>
              <w:ind w:left="46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7,675</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jc w:val="right"/>
              <w:ind w:right="13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ind w:left="62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auto"/>
            </w:tcBorders>
            <w:shd w:val="clear" w:color="auto" w:fill="CCEEFF"/>
          </w:tcPr>
          <w:p>
            <w:pPr>
              <w:jc w:val="right"/>
              <w:ind w:right="67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shd w:val="clear" w:color="auto" w:fill="CCEEFF"/>
          </w:tcPr>
          <w:p>
            <w:pPr>
              <w:ind w:left="40"/>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jc w:val="right"/>
              <w:ind w:right="151"/>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23,675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did not have any financial liabilities measured on a recurring basis as of March 31, 2022 or December 31, 2021.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right="320" w:firstLine="301"/>
        <w:spacing w:after="0" w:line="277" w:lineRule="auto"/>
        <w:rPr>
          <w:sz w:val="20"/>
          <w:szCs w:val="20"/>
          <w:color w:val="auto"/>
        </w:rPr>
      </w:pPr>
      <w:r>
        <w:rPr>
          <w:rFonts w:ascii="Times New Roman" w:cs="Times New Roman" w:eastAsia="Times New Roman" w:hAnsi="Times New Roman"/>
          <w:sz w:val="12"/>
          <w:szCs w:val="12"/>
          <w:color w:val="auto"/>
        </w:rPr>
        <w:t>During the three-month period ended March 31, 2022, there were no transfers between Level 1, Level 2 or Level 3 assets or liabilities reported at fair value on a recurring basis and the valuation techniques used did not change compared to the Company’s established practice.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Balance Sheet Components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Inventory</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Inventory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Raw materials</w:t>
            </w:r>
          </w:p>
        </w:tc>
        <w:tc>
          <w:tcPr>
            <w:tcW w:w="300" w:type="dxa"/>
            <w:vAlign w:val="bottom"/>
            <w:shd w:val="clear" w:color="auto" w:fill="CCEEFF"/>
          </w:tcPr>
          <w:p>
            <w:pPr>
              <w:jc w:val="right"/>
              <w:ind w:right="15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3,073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2,010</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Work in process</w:t>
            </w:r>
          </w:p>
        </w:tc>
        <w:tc>
          <w:tcPr>
            <w:tcW w:w="3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1,676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1,371</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Finished goods</w:t>
            </w:r>
          </w:p>
        </w:tc>
        <w:tc>
          <w:tcPr>
            <w:tcW w:w="3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2,738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2,443</w:t>
            </w:r>
          </w:p>
        </w:tc>
      </w:tr>
      <w:tr>
        <w:trPr>
          <w:trHeight w:val="126"/>
        </w:trPr>
        <w:tc>
          <w:tcPr>
            <w:tcW w:w="81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inventory</w:t>
            </w:r>
          </w:p>
        </w:tc>
        <w:tc>
          <w:tcPr>
            <w:tcW w:w="300" w:type="dxa"/>
            <w:vAlign w:val="bottom"/>
            <w:tcBorders>
              <w:bottom w:val="single" w:sz="8" w:color="auto"/>
            </w:tcBorders>
          </w:tcPr>
          <w:p>
            <w:pPr>
              <w:jc w:val="right"/>
              <w:ind w:right="15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7,487</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5,824</w:t>
            </w:r>
          </w:p>
        </w:tc>
      </w:tr>
      <w:tr>
        <w:trPr>
          <w:trHeight w:val="266"/>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8"/>
        </w:trPr>
        <w:tc>
          <w:tcPr>
            <w:tcW w:w="81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Property and equipment, net consisted of the following (in thousands):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23"/>
        </w:trPr>
        <w:tc>
          <w:tcPr>
            <w:tcW w:w="8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Leasehold improvements</w:t>
            </w:r>
          </w:p>
        </w:tc>
        <w:tc>
          <w:tcPr>
            <w:tcW w:w="300" w:type="dxa"/>
            <w:vAlign w:val="bottom"/>
            <w:shd w:val="clear" w:color="auto" w:fill="CCEEFF"/>
          </w:tcPr>
          <w:p>
            <w:pPr>
              <w:jc w:val="right"/>
              <w:ind w:right="15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2,519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2,519</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Laboratory equipment</w:t>
            </w:r>
          </w:p>
        </w:tc>
        <w:tc>
          <w:tcPr>
            <w:tcW w:w="3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1,310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1,019</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Furniture, fixtures, and equipment</w:t>
            </w: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Software</w:t>
            </w:r>
          </w:p>
        </w:tc>
        <w:tc>
          <w:tcPr>
            <w:tcW w:w="3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202</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Construction in progress</w:t>
            </w:r>
          </w:p>
        </w:tc>
        <w:tc>
          <w:tcPr>
            <w:tcW w:w="3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186</w:t>
            </w:r>
          </w:p>
        </w:tc>
      </w:tr>
      <w:tr>
        <w:trPr>
          <w:trHeight w:val="118"/>
        </w:trPr>
        <w:tc>
          <w:tcPr>
            <w:tcW w:w="81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5,110</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4,858</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30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(2,556)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(2,396)</w:t>
            </w:r>
          </w:p>
        </w:tc>
      </w:tr>
      <w:tr>
        <w:trPr>
          <w:trHeight w:val="126"/>
        </w:trPr>
        <w:tc>
          <w:tcPr>
            <w:tcW w:w="81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Property and equipment, net</w:t>
            </w:r>
          </w:p>
        </w:tc>
        <w:tc>
          <w:tcPr>
            <w:tcW w:w="300" w:type="dxa"/>
            <w:vAlign w:val="bottom"/>
            <w:tcBorders>
              <w:bottom w:val="single" w:sz="8" w:color="auto"/>
            </w:tcBorders>
          </w:tcPr>
          <w:p>
            <w:pPr>
              <w:jc w:val="right"/>
              <w:ind w:right="159"/>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2,554</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2,462</w:t>
            </w:r>
          </w:p>
        </w:tc>
      </w:tr>
    </w:tbl>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Depreciation expense was $0.2 million for the three-month period ended March 31, 2022 and $0.1 million for the three-month period ended March 31, 2021.</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Intangible Assets, Net</w:t>
      </w:r>
    </w:p>
    <w:p>
      <w:pPr>
        <w:spacing w:after="0" w:line="12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Intangible assets, net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Acquired patents and licenses</w:t>
            </w:r>
          </w:p>
        </w:tc>
        <w:tc>
          <w:tcPr>
            <w:tcW w:w="1040" w:type="dxa"/>
            <w:vAlign w:val="bottom"/>
            <w:shd w:val="clear" w:color="auto" w:fill="CCEEFF"/>
          </w:tcPr>
          <w:p>
            <w:pPr>
              <w:jc w:val="right"/>
              <w:ind w:right="90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Less: Accumulated amortization</w:t>
            </w:r>
          </w:p>
        </w:tc>
        <w:tc>
          <w:tcPr>
            <w:tcW w:w="104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(4,935)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(4,769)</w:t>
            </w:r>
          </w:p>
        </w:tc>
      </w:tr>
      <w:tr>
        <w:trPr>
          <w:trHeight w:val="126"/>
        </w:trPr>
        <w:tc>
          <w:tcPr>
            <w:tcW w:w="816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Intangible assets, net</w:t>
            </w:r>
          </w:p>
        </w:tc>
        <w:tc>
          <w:tcPr>
            <w:tcW w:w="1040" w:type="dxa"/>
            <w:vAlign w:val="bottom"/>
            <w:tcBorders>
              <w:top w:val="single" w:sz="8" w:color="auto"/>
              <w:bottom w:val="single" w:sz="8" w:color="auto"/>
            </w:tcBorders>
            <w:shd w:val="clear" w:color="auto" w:fill="CCEEFF"/>
          </w:tcPr>
          <w:p>
            <w:pPr>
              <w:jc w:val="right"/>
              <w:ind w:right="90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3,050</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3,216</w:t>
            </w:r>
          </w:p>
        </w:tc>
      </w:tr>
    </w:tbl>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 schedule of the amortization of intangible assets for the remainder of 2022 and the succeeding four fiscal years is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5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2022 (remaining 9 months)</w:t>
            </w:r>
          </w:p>
        </w:tc>
        <w:tc>
          <w:tcPr>
            <w:tcW w:w="6660" w:type="dxa"/>
            <w:vAlign w:val="bottom"/>
            <w:gridSpan w:val="2"/>
            <w:shd w:val="clear" w:color="auto" w:fill="CCEEFF"/>
          </w:tcPr>
          <w:p>
            <w:pPr>
              <w:jc w:val="right"/>
              <w:ind w:right="7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499</w:t>
            </w:r>
          </w:p>
        </w:tc>
      </w:tr>
      <w:tr>
        <w:trPr>
          <w:trHeight w:val="129"/>
        </w:trPr>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2023</w:t>
            </w:r>
          </w:p>
        </w:tc>
        <w:tc>
          <w:tcPr>
            <w:tcW w:w="5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57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5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665</w:t>
            </w: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576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556</w:t>
            </w:r>
          </w:p>
        </w:tc>
      </w:tr>
      <w:tr>
        <w:trPr>
          <w:trHeight w:val="126"/>
        </w:trPr>
        <w:tc>
          <w:tcPr>
            <w:tcW w:w="34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Total</w:t>
            </w:r>
          </w:p>
        </w:tc>
        <w:tc>
          <w:tcPr>
            <w:tcW w:w="5760" w:type="dxa"/>
            <w:vAlign w:val="bottom"/>
          </w:tcPr>
          <w:p>
            <w:pPr>
              <w:spacing w:after="0"/>
              <w:rPr>
                <w:sz w:val="10"/>
                <w:szCs w:val="10"/>
                <w:color w:val="auto"/>
              </w:rPr>
            </w:pPr>
          </w:p>
        </w:tc>
        <w:tc>
          <w:tcPr>
            <w:tcW w:w="900" w:type="dxa"/>
            <w:vAlign w:val="bottom"/>
            <w:tcBorders>
              <w:bottom w:val="single" w:sz="8" w:color="auto"/>
            </w:tcBorders>
          </w:tcPr>
          <w:p>
            <w:pPr>
              <w:jc w:val="right"/>
              <w:ind w:right="7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3,050</w:t>
            </w:r>
          </w:p>
        </w:tc>
      </w:tr>
      <w:tr>
        <w:trPr>
          <w:trHeight w:val="405"/>
        </w:trPr>
        <w:tc>
          <w:tcPr>
            <w:tcW w:w="3460" w:type="dxa"/>
            <w:vAlign w:val="bottom"/>
          </w:tcPr>
          <w:p>
            <w:pPr>
              <w:spacing w:after="0"/>
              <w:rPr>
                <w:sz w:val="24"/>
                <w:szCs w:val="24"/>
                <w:color w:val="auto"/>
              </w:rPr>
            </w:pPr>
          </w:p>
        </w:tc>
        <w:tc>
          <w:tcPr>
            <w:tcW w:w="5760" w:type="dxa"/>
            <w:vAlign w:val="bottom"/>
          </w:tcPr>
          <w:p>
            <w:pPr>
              <w:jc w:val="right"/>
              <w:ind w:right="3459"/>
              <w:spacing w:after="0"/>
              <w:rPr>
                <w:sz w:val="20"/>
                <w:szCs w:val="20"/>
                <w:color w:val="auto"/>
              </w:rPr>
            </w:pPr>
            <w:r>
              <w:rPr>
                <w:rFonts w:ascii="Times New Roman" w:cs="Times New Roman" w:eastAsia="Times New Roman" w:hAnsi="Times New Roman"/>
                <w:sz w:val="12"/>
                <w:szCs w:val="12"/>
                <w:color w:val="auto"/>
              </w:rPr>
              <w:t>11</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3"/>
        </w:trPr>
        <w:tc>
          <w:tcPr>
            <w:tcW w:w="3460" w:type="dxa"/>
            <w:vAlign w:val="bottom"/>
            <w:tcBorders>
              <w:bottom w:val="single" w:sz="8" w:color="9A9A9A"/>
            </w:tcBorders>
          </w:tcPr>
          <w:p>
            <w:pPr>
              <w:spacing w:after="0"/>
              <w:rPr>
                <w:sz w:val="18"/>
                <w:szCs w:val="18"/>
                <w:color w:val="auto"/>
              </w:rPr>
            </w:pPr>
          </w:p>
        </w:tc>
        <w:tc>
          <w:tcPr>
            <w:tcW w:w="57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Accrued Expenses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Accrued expenses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1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Compensation</w:t>
            </w:r>
          </w:p>
        </w:tc>
        <w:tc>
          <w:tcPr>
            <w:tcW w:w="1060" w:type="dxa"/>
            <w:vAlign w:val="bottom"/>
            <w:shd w:val="clear" w:color="auto" w:fill="CCEEFF"/>
          </w:tcPr>
          <w:p>
            <w:pPr>
              <w:jc w:val="right"/>
              <w:ind w:right="92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3,588</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2,932</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Controlled launch (Note 9)</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534</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Clinical trial costs and fees</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245</w:t>
            </w: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Professional fees</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85</w:t>
            </w:r>
          </w:p>
        </w:tc>
      </w:tr>
      <w:tr>
        <w:trPr>
          <w:trHeight w:val="13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Warranty</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80</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Other</w:t>
            </w: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295</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513</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accrued expenses</w:t>
            </w:r>
          </w:p>
        </w:tc>
        <w:tc>
          <w:tcPr>
            <w:tcW w:w="1060" w:type="dxa"/>
            <w:vAlign w:val="bottom"/>
            <w:tcBorders>
              <w:bottom w:val="single" w:sz="8" w:color="auto"/>
            </w:tcBorders>
            <w:shd w:val="clear" w:color="auto" w:fill="CCEEFF"/>
          </w:tcPr>
          <w:p>
            <w:pPr>
              <w:jc w:val="right"/>
              <w:ind w:right="925"/>
              <w:spacing w:after="0" w:line="118"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4,604</w:t>
            </w:r>
          </w:p>
        </w:tc>
        <w:tc>
          <w:tcPr>
            <w:tcW w:w="1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4,389</w:t>
            </w:r>
          </w:p>
        </w:tc>
      </w:tr>
    </w:tbl>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Accrued compensation at March 31, 2022, includes a discrete charge of $0.7 million related to a reduction in force initiated on March 31, 2022. See Note 13 for additional details.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Goodwill</w:t>
      </w:r>
    </w:p>
    <w:p>
      <w:pPr>
        <w:spacing w:after="0" w:line="120"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recorded goodwill of $2.8 million in connection with the Acquisitions as the consideration paid exceeded the fair value of the net tangible assets and the intangible assets acquired.</w:t>
      </w:r>
    </w:p>
    <w:p>
      <w:pPr>
        <w:spacing w:after="0" w:line="84"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Company reviews goodwill for impairment at least annually or whenever changes in circumstances indicate that the carrying amount of goodwill may not be recoverable. Based on the Company’s annual impairment test as of December 31, 2021 the Company determined that no impairment of goodwill existed and was not aware of any indicators of impairment at such date. In addition, there were no indicators of impairment at March 31,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Stockholders’ Equity and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Placement Securities Purchase Agreement</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June 30, 2021, the Company entered into a Securities Purchase Agreement with Robert W. Duggan, the Company’s largest stockholder and Board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$41.0 million aggregate principal amount,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 The cash proceeds of approximately $8.4 million were received by the Company in July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At-the-Market Equity Offering</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February 4, 2021, the Company entered into a sales agreement (the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During the three-month period ended March 31, 2022, the Company did not issue or sell any shares of common stock under the Sales Agreement. During the three-month period ended March 31, 2021,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 Warrants</w:t>
      </w:r>
    </w:p>
    <w:p>
      <w:pPr>
        <w:spacing w:after="0" w:line="131"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2"/>
          <w:szCs w:val="12"/>
          <w:color w:val="auto"/>
        </w:rPr>
        <w:t>In connection with a private placement in November 2014 of the Company’s common stock, par value $0.001 per share, the Company issued warrants as compensation to the placement agent to purchase a total of 299,625 shares of its common stock at an exercise price of $2.67 per share (the “Private Placement Warrants”). The Private Placement Warrants are exercisable for a period of seven years from issuance. In March 2021, warrants to purchase 45,638 shares of common stock were net exercised, resulting in the issuance of 40,563 shares of common stock. As of March 31, 2022, there were no Private Placement Warrants outstanding.</w:t>
      </w:r>
    </w:p>
    <w:p>
      <w:pPr>
        <w:spacing w:after="0" w:line="115"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2"/>
          <w:szCs w:val="12"/>
          <w:color w:val="auto"/>
        </w:rPr>
        <w:t>In connection with the closing of the Company’s initial public offering in May 2016, the Company issued warrants as compensation to its underwriters, to purchase a total of 574,985 shares of its common stock at an exercise price of $5.00 per share (the “IPO Warrants”). The IPO Warrants were exercisable for a period of five years from issuance. In March 2021, warrants to purchase 85,385 shares of common stock were net exercised, resulting in the issuance of 68,958 shares of common stock. As of March 31, 2022, there were no IPO Warrants outstanding.</w:t>
      </w:r>
    </w:p>
    <w:p>
      <w:pPr>
        <w:spacing w:after="0" w:line="106" w:lineRule="exact"/>
        <w:rPr>
          <w:sz w:val="20"/>
          <w:szCs w:val="20"/>
          <w:color w:val="auto"/>
        </w:rPr>
      </w:pPr>
    </w:p>
    <w:p>
      <w:pPr>
        <w:jc w:val="both"/>
        <w:ind w:firstLine="336"/>
        <w:spacing w:after="0" w:line="238" w:lineRule="auto"/>
        <w:rPr>
          <w:sz w:val="20"/>
          <w:szCs w:val="20"/>
          <w:color w:val="auto"/>
        </w:rPr>
      </w:pPr>
      <w:r>
        <w:rPr>
          <w:rFonts w:ascii="Times New Roman" w:cs="Times New Roman" w:eastAsia="Times New Roman" w:hAnsi="Times New Roman"/>
          <w:sz w:val="12"/>
          <w:szCs w:val="12"/>
          <w:color w:val="auto"/>
        </w:rPr>
        <w:t>In connection with a June 2020 rights offering, the Company issued warrants (the “Rights Offering Warrants”) to purchase a total of 641,571 shares of its common stock at an exercise price of $7.01. These Rights Offering Warrants were exercisable immediately and expired on the fifth anniversary of the completion of the Rights Offering, or June 16, 2025, subject to certain redemption rights by the Company. The Rights Offering Warrants were subject to redemption by the Company, on or after December 16, 2020, six months after the issuance date, for $0.01 per warrant, with not less than 30 days written notice, if the volume weighted average price of our common stock equaled or exceeded 200% of the exercise price for the Rights Offering Warrants for 10 consecutive trading days. On December 31, 2020, the Company met the requirements for redemption of these warrants and delivered a notice of redemption to redeem all of the outstanding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March 31, 2022, there were no Rights Offering Warrants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Plans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2017 Equity Incentive Plan and 2017 Inducement Equity Incentive Plan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Board of Directors of the Company (the “Board”) previously adopted, and the Company’s stockholders approved, the Company’s 2017 Equity Incentive Plan (the “2017 Plan”).</w:t>
      </w:r>
    </w:p>
    <w:p>
      <w:pPr>
        <w:spacing w:after="0" w:line="129" w:lineRule="exact"/>
        <w:rPr>
          <w:sz w:val="20"/>
          <w:szCs w:val="20"/>
          <w:color w:val="auto"/>
        </w:rPr>
      </w:pPr>
    </w:p>
    <w:p>
      <w:pPr>
        <w:jc w:val="both"/>
        <w:ind w:firstLine="336"/>
        <w:spacing w:after="0" w:line="242" w:lineRule="auto"/>
        <w:rPr>
          <w:sz w:val="20"/>
          <w:szCs w:val="20"/>
          <w:color w:val="auto"/>
        </w:rPr>
      </w:pPr>
      <w:r>
        <w:rPr>
          <w:rFonts w:ascii="Times New Roman" w:cs="Times New Roman" w:eastAsia="Times New Roman" w:hAnsi="Times New Roman"/>
          <w:sz w:val="12"/>
          <w:szCs w:val="12"/>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w:t>
      </w:r>
    </w:p>
    <w:p>
      <w:pPr>
        <w:spacing w:after="0" w:line="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2"/>
          <w:szCs w:val="12"/>
          <w:color w:val="auto"/>
        </w:rPr>
        <w:t>the shares of common stock available for issuance under the 2017 Plan. The 2017 Plan is administered by the Board’s Compensation Committee. Effective January 1, 2022, the number of shares of common stock available under the 2017 Plan increased automatically by 1,188,657 shares pursuant to the evergreen provision of the 2017 Plan, which provides that the number of shares available to grant under the 2017 Plan will increase each year by the lesser of (i) 1,200,000 shares, (ii) 4% of the Company’s common stock outstanding at December 31 of the immediately preceding year, or (iii) such number of shares as determined by the Board. As of March 31, 2022, 2,339,229 shares of common stock remained available for issuance under the 2017 Plan.</w:t>
      </w:r>
    </w:p>
    <w:p>
      <w:pPr>
        <w:spacing w:after="0" w:line="109" w:lineRule="exact"/>
        <w:rPr>
          <w:sz w:val="20"/>
          <w:szCs w:val="20"/>
          <w:color w:val="auto"/>
        </w:rPr>
      </w:pPr>
    </w:p>
    <w:p>
      <w:pPr>
        <w:jc w:val="both"/>
        <w:ind w:firstLine="336"/>
        <w:spacing w:after="0" w:line="277" w:lineRule="auto"/>
        <w:rPr>
          <w:sz w:val="20"/>
          <w:szCs w:val="20"/>
          <w:color w:val="auto"/>
        </w:rPr>
      </w:pPr>
      <w:r>
        <w:rPr>
          <w:rFonts w:ascii="Times New Roman" w:cs="Times New Roman" w:eastAsia="Times New Roman" w:hAnsi="Times New Roman"/>
          <w:sz w:val="12"/>
          <w:szCs w:val="12"/>
          <w:color w:val="auto"/>
        </w:rPr>
        <w:t>In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jc w:val="both"/>
        <w:ind w:firstLine="336"/>
        <w:spacing w:after="0" w:line="238" w:lineRule="auto"/>
        <w:rPr>
          <w:sz w:val="20"/>
          <w:szCs w:val="20"/>
          <w:color w:val="auto"/>
        </w:rPr>
      </w:pPr>
      <w:r>
        <w:rPr>
          <w:rFonts w:ascii="Times New Roman" w:cs="Times New Roman" w:eastAsia="Times New Roman" w:hAnsi="Times New Roman"/>
          <w:sz w:val="12"/>
          <w:szCs w:val="12"/>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as non-employee directors of the Company prior to the Inducement Plan’s adoption date. In May 2021, the Board approved an amendment to the Inducement Plan to reserve an additional 1,000,000 shares of the Company’s common stock for issuance pursuant to the Inducement Plan. As of March 31, 2022, 775,066 shares of common stock remained available for issuance under the Inducement Plan.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summary of stock option activity under the 2015 Plan, 2017 Plan and Inducement Plan for the three-months ended March 31, 2022 is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940" w:type="dxa"/>
            <w:vAlign w:val="bottom"/>
            <w:tcBorders>
              <w:bottom w:val="single" w:sz="8" w:color="auto"/>
            </w:tcBorders>
          </w:tcPr>
          <w:p>
            <w:pPr>
              <w:spacing w:after="0"/>
              <w:rPr>
                <w:sz w:val="11"/>
                <w:szCs w:val="11"/>
                <w:color w:val="auto"/>
              </w:rPr>
            </w:pPr>
          </w:p>
        </w:tc>
      </w:tr>
      <w:tr>
        <w:trPr>
          <w:trHeight w:val="83"/>
        </w:trPr>
        <w:tc>
          <w:tcPr>
            <w:tcW w:w="53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40" w:type="dxa"/>
            <w:vAlign w:val="bottom"/>
          </w:tcPr>
          <w:p>
            <w:pPr>
              <w:jc w:val="center"/>
              <w:ind w:right="3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5340" w:type="dxa"/>
            <w:vAlign w:val="bottom"/>
          </w:tcPr>
          <w:p>
            <w:pPr>
              <w:spacing w:after="0"/>
              <w:rPr>
                <w:sz w:val="9"/>
                <w:szCs w:val="9"/>
                <w:color w:val="auto"/>
              </w:rPr>
            </w:pPr>
          </w:p>
        </w:tc>
        <w:tc>
          <w:tcPr>
            <w:tcW w:w="2080" w:type="dxa"/>
            <w:vAlign w:val="bottom"/>
          </w:tcPr>
          <w:p>
            <w:pPr>
              <w:ind w:left="136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40" w:type="dxa"/>
            <w:vAlign w:val="bottom"/>
          </w:tcPr>
          <w:p>
            <w:pPr>
              <w:jc w:val="center"/>
              <w:ind w:right="34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5340" w:type="dxa"/>
            <w:vAlign w:val="bottom"/>
            <w:tcBorders>
              <w:bottom w:val="single" w:sz="8" w:color="CCEEFF"/>
            </w:tcBorders>
          </w:tcPr>
          <w:p>
            <w:pPr>
              <w:spacing w:after="0"/>
              <w:rPr>
                <w:sz w:val="11"/>
                <w:szCs w:val="11"/>
                <w:color w:val="auto"/>
              </w:rPr>
            </w:pPr>
          </w:p>
        </w:tc>
        <w:tc>
          <w:tcPr>
            <w:tcW w:w="20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center"/>
              <w:ind w:right="34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20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5,996,813</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15.77</w:t>
            </w:r>
          </w:p>
        </w:tc>
      </w:tr>
      <w:tr>
        <w:trPr>
          <w:trHeight w:val="129"/>
        </w:trPr>
        <w:tc>
          <w:tcPr>
            <w:tcW w:w="7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381,300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9"/>
        </w:trPr>
        <w:tc>
          <w:tcPr>
            <w:tcW w:w="7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(819,229)</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6"/>
        </w:trPr>
        <w:tc>
          <w:tcPr>
            <w:tcW w:w="53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March 31, 2022</w:t>
            </w:r>
          </w:p>
        </w:tc>
        <w:tc>
          <w:tcPr>
            <w:tcW w:w="208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5,558,884</w:t>
            </w:r>
          </w:p>
        </w:tc>
        <w:tc>
          <w:tcPr>
            <w:tcW w:w="920" w:type="dxa"/>
            <w:vAlign w:val="bottom"/>
            <w:tcBorders>
              <w:bottom w:val="single" w:sz="8" w:color="CCEEFF"/>
            </w:tcBorders>
            <w:gridSpan w:val="2"/>
          </w:tcPr>
          <w:p>
            <w:pPr>
              <w:jc w:val="right"/>
              <w:ind w:right="644"/>
              <w:spacing w:after="0" w:line="118" w:lineRule="exact"/>
              <w:rPr>
                <w:sz w:val="20"/>
                <w:szCs w:val="20"/>
                <w:color w:val="auto"/>
              </w:rPr>
            </w:pPr>
            <w:r>
              <w:rPr>
                <w:rFonts w:ascii="Times New Roman" w:cs="Times New Roman" w:eastAsia="Times New Roman" w:hAnsi="Times New Roman"/>
                <w:sz w:val="12"/>
                <w:szCs w:val="12"/>
                <w:color w:val="auto"/>
              </w:rPr>
              <w:t>$</w:t>
            </w:r>
          </w:p>
        </w:tc>
        <w:tc>
          <w:tcPr>
            <w:tcW w:w="194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15.62</w:t>
            </w:r>
          </w:p>
        </w:tc>
      </w:tr>
      <w:tr>
        <w:trPr>
          <w:trHeight w:val="137"/>
        </w:trPr>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March 31, 2022</w:t>
            </w:r>
          </w:p>
        </w:tc>
        <w:tc>
          <w:tcPr>
            <w:tcW w:w="20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3,670,055</w:t>
            </w:r>
          </w:p>
        </w:tc>
        <w:tc>
          <w:tcPr>
            <w:tcW w:w="920" w:type="dxa"/>
            <w:vAlign w:val="bottom"/>
            <w:tcBorders>
              <w:bottom w:val="single" w:sz="8" w:color="CCEEFF"/>
            </w:tcBorders>
            <w:gridSpan w:val="2"/>
            <w:shd w:val="clear" w:color="auto" w:fill="CCEEFF"/>
          </w:tcPr>
          <w:p>
            <w:pPr>
              <w:jc w:val="right"/>
              <w:ind w:right="64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94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15.99</w:t>
            </w:r>
          </w:p>
        </w:tc>
      </w:tr>
    </w:tbl>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Time-based Options</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time-based stock option activity under the 2015 Plan, 2017 Plan and Inducement Plan for the three-months ended March 31, 2022 is presented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24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680" w:type="dxa"/>
            <w:vAlign w:val="bottom"/>
            <w:tcBorders>
              <w:bottom w:val="single" w:sz="8" w:color="auto"/>
            </w:tcBorders>
          </w:tcPr>
          <w:p>
            <w:pPr>
              <w:spacing w:after="0"/>
              <w:rPr>
                <w:sz w:val="10"/>
                <w:szCs w:val="10"/>
                <w:color w:val="auto"/>
              </w:rPr>
            </w:pPr>
          </w:p>
        </w:tc>
      </w:tr>
      <w:tr>
        <w:trPr>
          <w:trHeight w:val="83"/>
        </w:trPr>
        <w:tc>
          <w:tcPr>
            <w:tcW w:w="6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jc w:val="center"/>
              <w:ind w:right="4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6240" w:type="dxa"/>
            <w:vAlign w:val="bottom"/>
          </w:tcPr>
          <w:p>
            <w:pPr>
              <w:spacing w:after="0"/>
              <w:rPr>
                <w:sz w:val="9"/>
                <w:szCs w:val="9"/>
                <w:color w:val="auto"/>
              </w:rPr>
            </w:pPr>
          </w:p>
        </w:tc>
        <w:tc>
          <w:tcPr>
            <w:tcW w:w="1460" w:type="dxa"/>
            <w:vAlign w:val="bottom"/>
          </w:tcPr>
          <w:p>
            <w:pPr>
              <w:ind w:left="90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center"/>
              <w:ind w:right="48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62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48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6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14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4,796,716</w:t>
            </w:r>
          </w:p>
        </w:tc>
        <w:tc>
          <w:tcPr>
            <w:tcW w:w="680" w:type="dxa"/>
            <w:vAlign w:val="bottom"/>
            <w:shd w:val="clear" w:color="auto" w:fill="CCEEFF"/>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16.44</w:t>
            </w: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231,300</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(203,354)</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6"/>
        </w:trPr>
        <w:tc>
          <w:tcPr>
            <w:tcW w:w="62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March 31, 2022</w:t>
            </w:r>
          </w:p>
        </w:tc>
        <w:tc>
          <w:tcPr>
            <w:tcW w:w="14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4,824,662</w:t>
            </w:r>
          </w:p>
        </w:tc>
        <w:tc>
          <w:tcPr>
            <w:tcW w:w="680" w:type="dxa"/>
            <w:vAlign w:val="bottom"/>
            <w:tcBorders>
              <w:bottom w:val="single" w:sz="8" w:color="CCEEFF"/>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15.94</w:t>
            </w:r>
          </w:p>
        </w:tc>
      </w:tr>
      <w:tr>
        <w:trPr>
          <w:trHeight w:val="137"/>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March 31, 2022</w:t>
            </w:r>
          </w:p>
        </w:tc>
        <w:tc>
          <w:tcPr>
            <w:tcW w:w="14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3,367,508</w:t>
            </w:r>
          </w:p>
        </w:tc>
        <w:tc>
          <w:tcPr>
            <w:tcW w:w="680" w:type="dxa"/>
            <w:vAlign w:val="bottom"/>
            <w:tcBorders>
              <w:bottom w:val="single" w:sz="8" w:color="CCEEFF"/>
            </w:tcBorders>
            <w:shd w:val="clear" w:color="auto" w:fill="CCEEFF"/>
          </w:tcPr>
          <w:p>
            <w:pPr>
              <w:jc w:val="right"/>
              <w:ind w:right="2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16.39</w:t>
            </w:r>
          </w:p>
        </w:tc>
      </w:tr>
    </w:tbl>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Performance Options</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Certain stock options awarded to the Company’s executives and other key employees contain performance conditions related to certain financial measures and achievements of strategic/operational milestones. The options will vest and become exercisable once the specific performance condition is fulfilled.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 summary of the performance option activity under the 2017 Plan and Inducement Plan for the three-months ended March 31, 2022 is presented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4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rPr>
              <w:t>Stock Options Outstanding</w:t>
            </w:r>
          </w:p>
        </w:tc>
        <w:tc>
          <w:tcPr>
            <w:tcW w:w="1680" w:type="dxa"/>
            <w:vAlign w:val="bottom"/>
            <w:tcBorders>
              <w:bottom w:val="single" w:sz="8" w:color="auto"/>
            </w:tcBorders>
          </w:tcPr>
          <w:p>
            <w:pPr>
              <w:spacing w:after="0"/>
              <w:rPr>
                <w:sz w:val="11"/>
                <w:szCs w:val="11"/>
                <w:color w:val="auto"/>
              </w:rPr>
            </w:pPr>
          </w:p>
        </w:tc>
      </w:tr>
      <w:tr>
        <w:trPr>
          <w:trHeight w:val="83"/>
        </w:trPr>
        <w:tc>
          <w:tcPr>
            <w:tcW w:w="6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jc w:val="center"/>
              <w:ind w:right="466"/>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11"/>
        </w:trPr>
        <w:tc>
          <w:tcPr>
            <w:tcW w:w="6240" w:type="dxa"/>
            <w:vAlign w:val="bottom"/>
          </w:tcPr>
          <w:p>
            <w:pPr>
              <w:spacing w:after="0"/>
              <w:rPr>
                <w:sz w:val="9"/>
                <w:szCs w:val="9"/>
                <w:color w:val="auto"/>
              </w:rPr>
            </w:pPr>
          </w:p>
        </w:tc>
        <w:tc>
          <w:tcPr>
            <w:tcW w:w="1460" w:type="dxa"/>
            <w:vAlign w:val="bottom"/>
          </w:tcPr>
          <w:p>
            <w:pPr>
              <w:ind w:left="900"/>
              <w:spacing w:after="0" w:line="111" w:lineRule="exact"/>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center"/>
              <w:ind w:right="486"/>
              <w:spacing w:after="0" w:line="111" w:lineRule="exact"/>
              <w:rPr>
                <w:sz w:val="20"/>
                <w:szCs w:val="20"/>
                <w:color w:val="auto"/>
              </w:rPr>
            </w:pPr>
            <w:r>
              <w:rPr>
                <w:rFonts w:ascii="Times New Roman" w:cs="Times New Roman" w:eastAsia="Times New Roman" w:hAnsi="Times New Roman"/>
                <w:sz w:val="10"/>
                <w:szCs w:val="10"/>
                <w:b w:val="1"/>
                <w:bCs w:val="1"/>
                <w:color w:val="auto"/>
              </w:rPr>
              <w:t>average</w:t>
            </w:r>
          </w:p>
        </w:tc>
      </w:tr>
      <w:tr>
        <w:trPr>
          <w:trHeight w:val="127"/>
        </w:trPr>
        <w:tc>
          <w:tcPr>
            <w:tcW w:w="62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center"/>
              <w:ind w:right="486"/>
              <w:spacing w:after="0"/>
              <w:rPr>
                <w:sz w:val="20"/>
                <w:szCs w:val="20"/>
                <w:color w:val="auto"/>
              </w:rPr>
            </w:pPr>
            <w:r>
              <w:rPr>
                <w:rFonts w:ascii="Times New Roman" w:cs="Times New Roman" w:eastAsia="Times New Roman" w:hAnsi="Times New Roman"/>
                <w:sz w:val="10"/>
                <w:szCs w:val="10"/>
                <w:b w:val="1"/>
                <w:bCs w:val="1"/>
                <w:color w:val="auto"/>
                <w:w w:val="99"/>
              </w:rPr>
              <w:t>exercise price</w:t>
            </w:r>
          </w:p>
        </w:tc>
      </w:tr>
      <w:tr>
        <w:trPr>
          <w:trHeight w:val="118"/>
        </w:trPr>
        <w:tc>
          <w:tcPr>
            <w:tcW w:w="6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Balances — December 31, 2021</w:t>
            </w:r>
          </w:p>
        </w:tc>
        <w:tc>
          <w:tcPr>
            <w:tcW w:w="14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1,200,097</w:t>
            </w:r>
          </w:p>
        </w:tc>
        <w:tc>
          <w:tcPr>
            <w:tcW w:w="680" w:type="dxa"/>
            <w:vAlign w:val="bottom"/>
            <w:shd w:val="clear" w:color="auto" w:fill="CCEEFF"/>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13.11</w:t>
            </w: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granted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150,000</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exercised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9"/>
        </w:trPr>
        <w:tc>
          <w:tcPr>
            <w:tcW w:w="770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Options canceled</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(615,875)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29"/>
        </w:trPr>
        <w:tc>
          <w:tcPr>
            <w:tcW w:w="77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Options expired</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26"/>
        </w:trPr>
        <w:tc>
          <w:tcPr>
            <w:tcW w:w="6240" w:type="dxa"/>
            <w:vAlign w:val="bottom"/>
            <w:tcBorders>
              <w:bottom w:val="single" w:sz="8" w:color="CCEEFF"/>
            </w:tcBorders>
          </w:tcPr>
          <w:p>
            <w:pPr>
              <w:spacing w:after="0" w:line="118" w:lineRule="exact"/>
              <w:rPr>
                <w:sz w:val="20"/>
                <w:szCs w:val="20"/>
                <w:color w:val="auto"/>
              </w:rPr>
            </w:pPr>
            <w:r>
              <w:rPr>
                <w:rFonts w:ascii="Times New Roman" w:cs="Times New Roman" w:eastAsia="Times New Roman" w:hAnsi="Times New Roman"/>
                <w:sz w:val="12"/>
                <w:szCs w:val="12"/>
                <w:color w:val="auto"/>
              </w:rPr>
              <w:t>Balances — March 31, 2022</w:t>
            </w:r>
          </w:p>
        </w:tc>
        <w:tc>
          <w:tcPr>
            <w:tcW w:w="14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734,222</w:t>
            </w:r>
          </w:p>
        </w:tc>
        <w:tc>
          <w:tcPr>
            <w:tcW w:w="680" w:type="dxa"/>
            <w:vAlign w:val="bottom"/>
            <w:tcBorders>
              <w:bottom w:val="single" w:sz="8" w:color="CCEEFF"/>
            </w:tcBorders>
          </w:tcPr>
          <w:p>
            <w:pPr>
              <w:jc w:val="right"/>
              <w:ind w:right="219"/>
              <w:spacing w:after="0" w:line="11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13.51</w:t>
            </w:r>
          </w:p>
        </w:tc>
      </w:tr>
      <w:tr>
        <w:trPr>
          <w:trHeight w:val="137"/>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Exercisable — March 31, 2022</w:t>
            </w:r>
          </w:p>
        </w:tc>
        <w:tc>
          <w:tcPr>
            <w:tcW w:w="14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302,547</w:t>
            </w:r>
          </w:p>
        </w:tc>
        <w:tc>
          <w:tcPr>
            <w:tcW w:w="680" w:type="dxa"/>
            <w:vAlign w:val="bottom"/>
            <w:tcBorders>
              <w:bottom w:val="single" w:sz="8" w:color="CCEEFF"/>
            </w:tcBorders>
            <w:shd w:val="clear" w:color="auto" w:fill="CCEEFF"/>
          </w:tcPr>
          <w:p>
            <w:pPr>
              <w:jc w:val="right"/>
              <w:ind w:right="2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11.48</w:t>
            </w:r>
          </w:p>
        </w:tc>
      </w:tr>
    </w:tbl>
    <w:p>
      <w:pPr>
        <w:spacing w:after="0" w:line="107"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The Company estimates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4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Three-Month Periods Ended March 31,</w:t>
            </w:r>
          </w:p>
        </w:tc>
      </w:tr>
      <w:tr>
        <w:trPr>
          <w:trHeight w:val="100"/>
        </w:trPr>
        <w:tc>
          <w:tcPr>
            <w:tcW w:w="6240" w:type="dxa"/>
            <w:vAlign w:val="bottom"/>
          </w:tcPr>
          <w:p>
            <w:pPr>
              <w:spacing w:after="0"/>
              <w:rPr>
                <w:sz w:val="8"/>
                <w:szCs w:val="8"/>
                <w:color w:val="auto"/>
              </w:rPr>
            </w:pPr>
          </w:p>
        </w:tc>
        <w:tc>
          <w:tcPr>
            <w:tcW w:w="1500" w:type="dxa"/>
            <w:vAlign w:val="bottom"/>
          </w:tcPr>
          <w:p>
            <w:pPr>
              <w:jc w:val="center"/>
              <w:ind w:left="621"/>
              <w:spacing w:after="0" w:line="100"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3560" w:type="dxa"/>
            <w:vAlign w:val="bottom"/>
            <w:gridSpan w:val="3"/>
          </w:tcPr>
          <w:p>
            <w:pPr>
              <w:jc w:val="center"/>
              <w:ind w:left="1305"/>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624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1500" w:type="dxa"/>
            <w:vAlign w:val="bottom"/>
            <w:tcBorders>
              <w:top w:val="single" w:sz="8" w:color="auto"/>
            </w:tcBorders>
            <w:shd w:val="clear" w:color="auto" w:fill="CCEEFF"/>
          </w:tcPr>
          <w:p>
            <w:pPr>
              <w:jc w:val="center"/>
              <w:ind w:left="621"/>
              <w:spacing w:after="0" w:line="118" w:lineRule="exact"/>
              <w:rPr>
                <w:sz w:val="20"/>
                <w:szCs w:val="20"/>
                <w:color w:val="auto"/>
              </w:rPr>
            </w:pPr>
            <w:r>
              <w:rPr>
                <w:rFonts w:ascii="Times New Roman" w:cs="Times New Roman" w:eastAsia="Times New Roman" w:hAnsi="Times New Roman"/>
                <w:sz w:val="12"/>
                <w:szCs w:val="12"/>
                <w:color w:val="auto"/>
              </w:rPr>
              <w:t>6.3 - 6.8</w:t>
            </w:r>
          </w:p>
        </w:tc>
        <w:tc>
          <w:tcPr>
            <w:tcW w:w="6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200" w:type="dxa"/>
            <w:vAlign w:val="bottom"/>
            <w:tcBorders>
              <w:top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3"/>
              </w:rPr>
              <w:t>6.1</w:t>
            </w:r>
          </w:p>
        </w:tc>
      </w:tr>
      <w:tr>
        <w:trPr>
          <w:trHeight w:val="129"/>
        </w:trPr>
        <w:tc>
          <w:tcPr>
            <w:tcW w:w="6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1500" w:type="dxa"/>
            <w:vAlign w:val="bottom"/>
          </w:tcPr>
          <w:p>
            <w:pPr>
              <w:jc w:val="center"/>
              <w:ind w:left="621"/>
              <w:spacing w:after="0" w:line="129" w:lineRule="exact"/>
              <w:rPr>
                <w:sz w:val="20"/>
                <w:szCs w:val="20"/>
                <w:color w:val="auto"/>
              </w:rPr>
            </w:pPr>
            <w:r>
              <w:rPr>
                <w:rFonts w:ascii="Times New Roman" w:cs="Times New Roman" w:eastAsia="Times New Roman" w:hAnsi="Times New Roman"/>
                <w:sz w:val="12"/>
                <w:szCs w:val="12"/>
                <w:color w:val="auto"/>
                <w:w w:val="99"/>
              </w:rPr>
              <w:t>83%</w:t>
            </w:r>
          </w:p>
        </w:tc>
        <w:tc>
          <w:tcPr>
            <w:tcW w:w="3560" w:type="dxa"/>
            <w:vAlign w:val="bottom"/>
            <w:gridSpan w:val="3"/>
          </w:tcPr>
          <w:p>
            <w:pPr>
              <w:jc w:val="center"/>
              <w:ind w:left="1285"/>
              <w:spacing w:after="0" w:line="129" w:lineRule="exact"/>
              <w:rPr>
                <w:sz w:val="20"/>
                <w:szCs w:val="20"/>
                <w:color w:val="auto"/>
              </w:rPr>
            </w:pPr>
            <w:r>
              <w:rPr>
                <w:rFonts w:ascii="Times New Roman" w:cs="Times New Roman" w:eastAsia="Times New Roman" w:hAnsi="Times New Roman"/>
                <w:sz w:val="12"/>
                <w:szCs w:val="12"/>
                <w:color w:val="auto"/>
                <w:w w:val="99"/>
              </w:rPr>
              <w:t>78%</w:t>
            </w:r>
          </w:p>
        </w:tc>
      </w:tr>
      <w:tr>
        <w:trPr>
          <w:trHeight w:val="129"/>
        </w:trPr>
        <w:tc>
          <w:tcPr>
            <w:tcW w:w="6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1500" w:type="dxa"/>
            <w:vAlign w:val="bottom"/>
            <w:shd w:val="clear" w:color="auto" w:fill="CCEEFF"/>
          </w:tcPr>
          <w:p>
            <w:pPr>
              <w:jc w:val="center"/>
              <w:ind w:left="621"/>
              <w:spacing w:after="0" w:line="129" w:lineRule="exact"/>
              <w:rPr>
                <w:sz w:val="20"/>
                <w:szCs w:val="20"/>
                <w:color w:val="auto"/>
              </w:rPr>
            </w:pPr>
            <w:r>
              <w:rPr>
                <w:rFonts w:ascii="Times New Roman" w:cs="Times New Roman" w:eastAsia="Times New Roman" w:hAnsi="Times New Roman"/>
                <w:sz w:val="12"/>
                <w:szCs w:val="12"/>
                <w:color w:val="auto"/>
              </w:rPr>
              <w:t>1.9%</w:t>
            </w:r>
          </w:p>
        </w:tc>
        <w:tc>
          <w:tcPr>
            <w:tcW w:w="3560" w:type="dxa"/>
            <w:vAlign w:val="bottom"/>
            <w:gridSpan w:val="3"/>
            <w:shd w:val="clear" w:color="auto" w:fill="CCEEFF"/>
          </w:tcPr>
          <w:p>
            <w:pPr>
              <w:jc w:val="center"/>
              <w:ind w:left="1285"/>
              <w:spacing w:after="0" w:line="129" w:lineRule="exact"/>
              <w:rPr>
                <w:sz w:val="20"/>
                <w:szCs w:val="20"/>
                <w:color w:val="auto"/>
              </w:rPr>
            </w:pPr>
            <w:r>
              <w:rPr>
                <w:rFonts w:ascii="Times New Roman" w:cs="Times New Roman" w:eastAsia="Times New Roman" w:hAnsi="Times New Roman"/>
                <w:sz w:val="12"/>
                <w:szCs w:val="12"/>
                <w:color w:val="auto"/>
                <w:w w:val="99"/>
              </w:rPr>
              <w:t>1.0 - 1.1%</w:t>
            </w:r>
          </w:p>
        </w:tc>
      </w:tr>
      <w:tr>
        <w:trPr>
          <w:trHeight w:val="159"/>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500" w:type="dxa"/>
            <w:vAlign w:val="bottom"/>
          </w:tcPr>
          <w:p>
            <w:pPr>
              <w:jc w:val="center"/>
              <w:ind w:left="621"/>
              <w:spacing w:after="0"/>
              <w:rPr>
                <w:sz w:val="20"/>
                <w:szCs w:val="20"/>
                <w:color w:val="auto"/>
              </w:rPr>
            </w:pPr>
            <w:r>
              <w:rPr>
                <w:rFonts w:ascii="Calibri" w:cs="Calibri" w:eastAsia="Calibri" w:hAnsi="Calibri"/>
                <w:sz w:val="12"/>
                <w:szCs w:val="12"/>
                <w:color w:val="auto"/>
                <w:w w:val="91"/>
              </w:rPr>
              <w:t>—</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Calibri" w:cs="Calibri" w:eastAsia="Calibri" w:hAnsi="Calibri"/>
                <w:sz w:val="12"/>
                <w:szCs w:val="12"/>
                <w:color w:val="auto"/>
                <w:w w:val="91"/>
              </w:rPr>
              <w:t>—</w:t>
            </w:r>
          </w:p>
        </w:tc>
      </w:tr>
    </w:tbl>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2017 Employee Stock Purchase Plan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Board previously adopted and the stockholders approved the Company’s 2017 Employee Stock Purchase Plan (the “2017 ESPP”).</w:t>
      </w:r>
    </w:p>
    <w:p>
      <w:pPr>
        <w:spacing w:after="0" w:line="129" w:lineRule="exact"/>
        <w:rPr>
          <w:sz w:val="20"/>
          <w:szCs w:val="20"/>
          <w:color w:val="auto"/>
        </w:rPr>
      </w:pPr>
    </w:p>
    <w:p>
      <w:pPr>
        <w:jc w:val="both"/>
        <w:ind w:firstLine="336"/>
        <w:spacing w:after="0"/>
        <w:rPr>
          <w:sz w:val="20"/>
          <w:szCs w:val="20"/>
          <w:color w:val="auto"/>
        </w:rPr>
      </w:pPr>
      <w:r>
        <w:rPr>
          <w:rFonts w:ascii="Times New Roman" w:cs="Times New Roman" w:eastAsia="Times New Roman" w:hAnsi="Times New Roman"/>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The Board waived the evergreen provision for 2022 and no additional shares were reserved under the 2017 ESPP. During the three-month period ended March 31, 2022, the Company issued 85,844 shares of common stock under the 2017 ESPP. As of March 31, 2022, 563,252 shares of common stock remained available for issuance under the 2017 ESPP.</w:t>
      </w:r>
    </w:p>
    <w:p>
      <w:pPr>
        <w:spacing w:after="0" w:line="232"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3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Three-Month Periods Ended March 31,</w:t>
            </w:r>
          </w:p>
        </w:tc>
      </w:tr>
      <w:tr>
        <w:trPr>
          <w:trHeight w:val="100"/>
        </w:trPr>
        <w:tc>
          <w:tcPr>
            <w:tcW w:w="33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Pr>
          <w:p>
            <w:pPr>
              <w:jc w:val="center"/>
              <w:ind w:left="603"/>
              <w:spacing w:after="0" w:line="100"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3540" w:type="dxa"/>
            <w:vAlign w:val="bottom"/>
            <w:gridSpan w:val="3"/>
          </w:tcPr>
          <w:p>
            <w:pPr>
              <w:jc w:val="center"/>
              <w:ind w:left="1285"/>
              <w:spacing w:after="0" w:line="100" w:lineRule="exact"/>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18"/>
        </w:trPr>
        <w:tc>
          <w:tcPr>
            <w:tcW w:w="336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Expected term in years</w:t>
            </w:r>
          </w:p>
        </w:tc>
        <w:tc>
          <w:tcPr>
            <w:tcW w:w="288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jc w:val="center"/>
              <w:ind w:left="603"/>
              <w:spacing w:after="0" w:line="118" w:lineRule="exact"/>
              <w:rPr>
                <w:sz w:val="20"/>
                <w:szCs w:val="20"/>
                <w:color w:val="auto"/>
              </w:rPr>
            </w:pPr>
            <w:r>
              <w:rPr>
                <w:rFonts w:ascii="Times New Roman" w:cs="Times New Roman" w:eastAsia="Times New Roman" w:hAnsi="Times New Roman"/>
                <w:sz w:val="12"/>
                <w:szCs w:val="12"/>
                <w:color w:val="auto"/>
              </w:rPr>
              <w:t>0.5 - 1.0</w:t>
            </w:r>
          </w:p>
        </w:tc>
        <w:tc>
          <w:tcPr>
            <w:tcW w:w="6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200" w:type="dxa"/>
            <w:vAlign w:val="bottom"/>
            <w:tcBorders>
              <w:top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rPr>
              <w:t>0.5 - 1.0</w:t>
            </w:r>
          </w:p>
        </w:tc>
      </w:tr>
      <w:tr>
        <w:trPr>
          <w:trHeight w:val="129"/>
        </w:trPr>
        <w:tc>
          <w:tcPr>
            <w:tcW w:w="33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Expected volatility</w:t>
            </w:r>
          </w:p>
        </w:tc>
        <w:tc>
          <w:tcPr>
            <w:tcW w:w="4400" w:type="dxa"/>
            <w:vAlign w:val="bottom"/>
            <w:gridSpan w:val="2"/>
          </w:tcPr>
          <w:p>
            <w:pPr>
              <w:jc w:val="center"/>
              <w:ind w:left="3479"/>
              <w:spacing w:after="0" w:line="129" w:lineRule="exact"/>
              <w:rPr>
                <w:sz w:val="20"/>
                <w:szCs w:val="20"/>
                <w:color w:val="auto"/>
              </w:rPr>
            </w:pPr>
            <w:r>
              <w:rPr>
                <w:rFonts w:ascii="Times New Roman" w:cs="Times New Roman" w:eastAsia="Times New Roman" w:hAnsi="Times New Roman"/>
                <w:sz w:val="12"/>
                <w:szCs w:val="12"/>
                <w:color w:val="auto"/>
                <w:w w:val="99"/>
              </w:rPr>
              <w:t>83%</w:t>
            </w:r>
          </w:p>
        </w:tc>
        <w:tc>
          <w:tcPr>
            <w:tcW w:w="3540" w:type="dxa"/>
            <w:vAlign w:val="bottom"/>
            <w:gridSpan w:val="3"/>
          </w:tcPr>
          <w:p>
            <w:pPr>
              <w:jc w:val="center"/>
              <w:ind w:left="1265"/>
              <w:spacing w:after="0" w:line="129" w:lineRule="exact"/>
              <w:rPr>
                <w:sz w:val="20"/>
                <w:szCs w:val="20"/>
                <w:color w:val="auto"/>
              </w:rPr>
            </w:pPr>
            <w:r>
              <w:rPr>
                <w:rFonts w:ascii="Times New Roman" w:cs="Times New Roman" w:eastAsia="Times New Roman" w:hAnsi="Times New Roman"/>
                <w:sz w:val="12"/>
                <w:szCs w:val="12"/>
                <w:color w:val="auto"/>
                <w:w w:val="99"/>
              </w:rPr>
              <w:t>91%</w:t>
            </w:r>
          </w:p>
        </w:tc>
      </w:tr>
      <w:tr>
        <w:trPr>
          <w:trHeight w:val="129"/>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Risk-free interest rate</w:t>
            </w:r>
          </w:p>
        </w:tc>
        <w:tc>
          <w:tcPr>
            <w:tcW w:w="4400" w:type="dxa"/>
            <w:vAlign w:val="bottom"/>
            <w:gridSpan w:val="2"/>
            <w:shd w:val="clear" w:color="auto" w:fill="CCEEFF"/>
          </w:tcPr>
          <w:p>
            <w:pPr>
              <w:jc w:val="center"/>
              <w:ind w:left="3479"/>
              <w:spacing w:after="0" w:line="129" w:lineRule="exact"/>
              <w:rPr>
                <w:sz w:val="20"/>
                <w:szCs w:val="20"/>
                <w:color w:val="auto"/>
              </w:rPr>
            </w:pPr>
            <w:r>
              <w:rPr>
                <w:rFonts w:ascii="Times New Roman" w:cs="Times New Roman" w:eastAsia="Times New Roman" w:hAnsi="Times New Roman"/>
                <w:sz w:val="12"/>
                <w:szCs w:val="12"/>
                <w:color w:val="auto"/>
                <w:w w:val="99"/>
              </w:rPr>
              <w:t>0.6 - 0.9%</w:t>
            </w:r>
          </w:p>
        </w:tc>
        <w:tc>
          <w:tcPr>
            <w:tcW w:w="3540" w:type="dxa"/>
            <w:vAlign w:val="bottom"/>
            <w:gridSpan w:val="3"/>
            <w:shd w:val="clear" w:color="auto" w:fill="CCEEFF"/>
          </w:tcPr>
          <w:p>
            <w:pPr>
              <w:jc w:val="center"/>
              <w:ind w:left="1285"/>
              <w:spacing w:after="0" w:line="129" w:lineRule="exact"/>
              <w:rPr>
                <w:sz w:val="20"/>
                <w:szCs w:val="20"/>
                <w:color w:val="auto"/>
              </w:rPr>
            </w:pPr>
            <w:r>
              <w:rPr>
                <w:rFonts w:ascii="Times New Roman" w:cs="Times New Roman" w:eastAsia="Times New Roman" w:hAnsi="Times New Roman"/>
                <w:sz w:val="12"/>
                <w:szCs w:val="12"/>
                <w:color w:val="auto"/>
              </w:rPr>
              <w:t>0.07 - 0.08%</w:t>
            </w:r>
          </w:p>
        </w:tc>
      </w:tr>
      <w:tr>
        <w:trPr>
          <w:trHeight w:val="159"/>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2880" w:type="dxa"/>
            <w:vAlign w:val="bottom"/>
          </w:tcPr>
          <w:p>
            <w:pPr>
              <w:spacing w:after="0"/>
              <w:rPr>
                <w:sz w:val="13"/>
                <w:szCs w:val="13"/>
                <w:color w:val="auto"/>
              </w:rPr>
            </w:pPr>
          </w:p>
        </w:tc>
        <w:tc>
          <w:tcPr>
            <w:tcW w:w="1520" w:type="dxa"/>
            <w:vAlign w:val="bottom"/>
          </w:tcPr>
          <w:p>
            <w:pPr>
              <w:jc w:val="center"/>
              <w:ind w:left="603"/>
              <w:spacing w:after="0"/>
              <w:rPr>
                <w:sz w:val="20"/>
                <w:szCs w:val="20"/>
                <w:color w:val="auto"/>
              </w:rPr>
            </w:pPr>
            <w:r>
              <w:rPr>
                <w:rFonts w:ascii="Calibri" w:cs="Calibri" w:eastAsia="Calibri" w:hAnsi="Calibri"/>
                <w:sz w:val="12"/>
                <w:szCs w:val="12"/>
                <w:color w:val="auto"/>
                <w:w w:val="91"/>
              </w:rPr>
              <w:t>—</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Calibri" w:cs="Calibri" w:eastAsia="Calibri" w:hAnsi="Calibri"/>
                <w:sz w:val="12"/>
                <w:szCs w:val="12"/>
                <w:color w:val="auto"/>
                <w:w w:val="91"/>
              </w:rPr>
              <w:t>—</w:t>
            </w:r>
          </w:p>
        </w:tc>
      </w:tr>
      <w:tr>
        <w:trPr>
          <w:trHeight w:val="236"/>
        </w:trPr>
        <w:tc>
          <w:tcPr>
            <w:tcW w:w="3360" w:type="dxa"/>
            <w:vAlign w:val="bottom"/>
          </w:tcPr>
          <w:p>
            <w:pPr>
              <w:spacing w:after="0"/>
              <w:rPr>
                <w:sz w:val="20"/>
                <w:szCs w:val="20"/>
                <w:color w:val="auto"/>
              </w:rPr>
            </w:pPr>
          </w:p>
        </w:tc>
        <w:tc>
          <w:tcPr>
            <w:tcW w:w="288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rPr>
              <w:t>15</w:t>
            </w: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22"/>
        </w:trPr>
        <w:tc>
          <w:tcPr>
            <w:tcW w:w="3360" w:type="dxa"/>
            <w:vAlign w:val="bottom"/>
            <w:tcBorders>
              <w:bottom w:val="single" w:sz="8" w:color="9A9A9A"/>
            </w:tcBorders>
          </w:tcPr>
          <w:p>
            <w:pPr>
              <w:spacing w:after="0"/>
              <w:rPr>
                <w:sz w:val="19"/>
                <w:szCs w:val="19"/>
                <w:color w:val="auto"/>
              </w:rPr>
            </w:pPr>
          </w:p>
        </w:tc>
        <w:tc>
          <w:tcPr>
            <w:tcW w:w="288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2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Total stock-based compensation expense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3"/>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1360" w:type="dxa"/>
            <w:vAlign w:val="bottom"/>
          </w:tcPr>
          <w:p>
            <w:pPr>
              <w:spacing w:after="0"/>
              <w:rPr>
                <w:sz w:val="10"/>
                <w:szCs w:val="10"/>
                <w:color w:val="auto"/>
              </w:rPr>
            </w:pPr>
          </w:p>
        </w:tc>
      </w:tr>
      <w:tr>
        <w:trPr>
          <w:trHeight w:val="127"/>
        </w:trPr>
        <w:tc>
          <w:tcPr>
            <w:tcW w:w="69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60" w:type="dxa"/>
            <w:vAlign w:val="bottom"/>
            <w:tcBorders>
              <w:bottom w:val="single" w:sz="8" w:color="auto"/>
            </w:tcBorders>
          </w:tcPr>
          <w:p>
            <w:pPr>
              <w:spacing w:after="0"/>
              <w:rPr>
                <w:sz w:val="11"/>
                <w:szCs w:val="11"/>
                <w:color w:val="auto"/>
              </w:rPr>
            </w:pPr>
          </w:p>
        </w:tc>
      </w:tr>
      <w:tr>
        <w:trPr>
          <w:trHeight w:val="100"/>
        </w:trPr>
        <w:tc>
          <w:tcPr>
            <w:tcW w:w="6900" w:type="dxa"/>
            <w:vAlign w:val="bottom"/>
            <w:tcBorders>
              <w:bottom w:val="single" w:sz="8" w:color="CCEEFF"/>
            </w:tcBorders>
          </w:tcPr>
          <w:p>
            <w:pPr>
              <w:spacing w:after="0"/>
              <w:rPr>
                <w:sz w:val="8"/>
                <w:szCs w:val="8"/>
                <w:color w:val="auto"/>
              </w:rPr>
            </w:pPr>
          </w:p>
        </w:tc>
        <w:tc>
          <w:tcPr>
            <w:tcW w:w="1380" w:type="dxa"/>
            <w:vAlign w:val="bottom"/>
            <w:tcBorders>
              <w:bottom w:val="single" w:sz="8" w:color="auto"/>
            </w:tcBorders>
          </w:tcPr>
          <w:p>
            <w:pPr>
              <w:jc w:val="right"/>
              <w:ind w:right="18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881"/>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Cost of revenues</w:t>
            </w:r>
          </w:p>
        </w:tc>
        <w:tc>
          <w:tcPr>
            <w:tcW w:w="1380" w:type="dxa"/>
            <w:vAlign w:val="bottom"/>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90</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6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13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457</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3,166</w:t>
            </w:r>
          </w:p>
        </w:tc>
      </w:tr>
      <w:tr>
        <w:trPr>
          <w:trHeight w:val="129"/>
        </w:trPr>
        <w:tc>
          <w:tcPr>
            <w:tcW w:w="6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Sales and marketing</w:t>
            </w:r>
          </w:p>
        </w:tc>
        <w:tc>
          <w:tcPr>
            <w:tcW w:w="13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454</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1,761</w:t>
            </w:r>
          </w:p>
        </w:tc>
      </w:tr>
      <w:tr>
        <w:trPr>
          <w:trHeight w:val="129"/>
        </w:trPr>
        <w:tc>
          <w:tcPr>
            <w:tcW w:w="69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General and administrative</w:t>
            </w:r>
          </w:p>
        </w:tc>
        <w:tc>
          <w:tcPr>
            <w:tcW w:w="1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1,006</w:t>
            </w:r>
          </w:p>
        </w:tc>
        <w:tc>
          <w:tcPr>
            <w:tcW w:w="2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2,038</w:t>
            </w:r>
          </w:p>
        </w:tc>
      </w:tr>
      <w:tr>
        <w:trPr>
          <w:trHeight w:val="126"/>
        </w:trPr>
        <w:tc>
          <w:tcPr>
            <w:tcW w:w="6900" w:type="dxa"/>
            <w:vAlign w:val="bottom"/>
            <w:tcBorders>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1380" w:type="dxa"/>
            <w:vAlign w:val="bottom"/>
            <w:tcBorders>
              <w:bottom w:val="single" w:sz="8" w:color="auto"/>
            </w:tcBorders>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2,007</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6,965</w:t>
            </w:r>
          </w:p>
        </w:tc>
      </w:tr>
    </w:tbl>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March 31, 2022, not all of the performance conditions of the performance options are probable to be achieved. Compensation expense has only been recognized for those conditions that are assumed to be probable.</w:t>
      </w:r>
    </w:p>
    <w:p>
      <w:pPr>
        <w:spacing w:after="0" w:line="129" w:lineRule="exact"/>
        <w:rPr>
          <w:sz w:val="20"/>
          <w:szCs w:val="20"/>
          <w:color w:val="auto"/>
        </w:rPr>
      </w:pPr>
    </w:p>
    <w:p>
      <w:pPr>
        <w:jc w:val="both"/>
        <w:ind w:firstLine="336"/>
        <w:spacing w:after="0" w:line="251" w:lineRule="auto"/>
        <w:rPr>
          <w:sz w:val="20"/>
          <w:szCs w:val="20"/>
          <w:color w:val="auto"/>
        </w:rPr>
      </w:pPr>
      <w:r>
        <w:rPr>
          <w:rFonts w:ascii="Times New Roman" w:cs="Times New Roman" w:eastAsia="Times New Roman" w:hAnsi="Times New Roman"/>
          <w:sz w:val="12"/>
          <w:szCs w:val="12"/>
          <w:color w:val="auto"/>
        </w:rPr>
        <w:t>In February 2021,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are now deemed probable and fully vested. As such, during the three-month period ended March 31, 2021, the full expense in relation to the amended performance conditions was recognized resulting in $4.2 million of additional stock-compensation expense.</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stock-based compensation expense by type was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3"/>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1360" w:type="dxa"/>
            <w:vAlign w:val="bottom"/>
          </w:tcPr>
          <w:p>
            <w:pPr>
              <w:spacing w:after="0"/>
              <w:rPr>
                <w:sz w:val="10"/>
                <w:szCs w:val="10"/>
                <w:color w:val="auto"/>
              </w:rPr>
            </w:pPr>
          </w:p>
        </w:tc>
      </w:tr>
      <w:tr>
        <w:trPr>
          <w:trHeight w:val="127"/>
        </w:trPr>
        <w:tc>
          <w:tcPr>
            <w:tcW w:w="69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60" w:type="dxa"/>
            <w:vAlign w:val="bottom"/>
            <w:tcBorders>
              <w:bottom w:val="single" w:sz="8" w:color="auto"/>
            </w:tcBorders>
          </w:tcPr>
          <w:p>
            <w:pPr>
              <w:spacing w:after="0"/>
              <w:rPr>
                <w:sz w:val="11"/>
                <w:szCs w:val="11"/>
                <w:color w:val="auto"/>
              </w:rPr>
            </w:pPr>
          </w:p>
        </w:tc>
      </w:tr>
      <w:tr>
        <w:trPr>
          <w:trHeight w:val="100"/>
        </w:trPr>
        <w:tc>
          <w:tcPr>
            <w:tcW w:w="6900" w:type="dxa"/>
            <w:vAlign w:val="bottom"/>
            <w:tcBorders>
              <w:bottom w:val="single" w:sz="8" w:color="CCEEFF"/>
            </w:tcBorders>
          </w:tcPr>
          <w:p>
            <w:pPr>
              <w:spacing w:after="0"/>
              <w:rPr>
                <w:sz w:val="8"/>
                <w:szCs w:val="8"/>
                <w:color w:val="auto"/>
              </w:rPr>
            </w:pPr>
          </w:p>
        </w:tc>
        <w:tc>
          <w:tcPr>
            <w:tcW w:w="1380" w:type="dxa"/>
            <w:vAlign w:val="bottom"/>
            <w:tcBorders>
              <w:bottom w:val="single" w:sz="8" w:color="auto"/>
            </w:tcBorders>
          </w:tcPr>
          <w:p>
            <w:pPr>
              <w:jc w:val="right"/>
              <w:ind w:right="18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881"/>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Time-based options</w:t>
            </w:r>
          </w:p>
        </w:tc>
        <w:tc>
          <w:tcPr>
            <w:tcW w:w="1380" w:type="dxa"/>
            <w:vAlign w:val="bottom"/>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1,807</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1,770</w:t>
            </w:r>
          </w:p>
        </w:tc>
      </w:tr>
      <w:tr>
        <w:trPr>
          <w:trHeight w:val="129"/>
        </w:trPr>
        <w:tc>
          <w:tcPr>
            <w:tcW w:w="6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Performance options</w:t>
            </w:r>
          </w:p>
        </w:tc>
        <w:tc>
          <w:tcPr>
            <w:tcW w:w="13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5,141</w:t>
            </w:r>
          </w:p>
        </w:tc>
      </w:tr>
      <w:tr>
        <w:trPr>
          <w:trHeight w:val="129"/>
        </w:trPr>
        <w:tc>
          <w:tcPr>
            <w:tcW w:w="6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ESPP</w:t>
            </w:r>
          </w:p>
        </w:tc>
        <w:tc>
          <w:tcPr>
            <w:tcW w:w="13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116</w:t>
            </w:r>
          </w:p>
        </w:tc>
        <w:tc>
          <w:tcPr>
            <w:tcW w:w="2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54</w:t>
            </w:r>
          </w:p>
        </w:tc>
      </w:tr>
      <w:tr>
        <w:trPr>
          <w:trHeight w:val="126"/>
        </w:trPr>
        <w:tc>
          <w:tcPr>
            <w:tcW w:w="690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1380" w:type="dxa"/>
            <w:vAlign w:val="bottom"/>
            <w:tcBorders>
              <w:bottom w:val="single" w:sz="8" w:color="auto"/>
            </w:tcBorders>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2,007</w:t>
            </w:r>
          </w:p>
        </w:tc>
        <w:tc>
          <w:tcPr>
            <w:tcW w:w="260" w:type="dxa"/>
            <w:vAlign w:val="bottom"/>
          </w:tcPr>
          <w:p>
            <w:pPr>
              <w:spacing w:after="0"/>
              <w:rPr>
                <w:sz w:val="10"/>
                <w:szCs w:val="10"/>
                <w:color w:val="auto"/>
              </w:rPr>
            </w:pPr>
          </w:p>
        </w:tc>
        <w:tc>
          <w:tcPr>
            <w:tcW w:w="700" w:type="dxa"/>
            <w:vAlign w:val="bottom"/>
            <w:tcBorders>
              <w:bottom w:val="single" w:sz="8" w:color="auto"/>
            </w:tcBorders>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6,965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Research Grants and Agreements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Sponsored Research Agreement</w:t>
      </w:r>
    </w:p>
    <w:p>
      <w:pPr>
        <w:spacing w:after="0" w:line="131" w:lineRule="exact"/>
        <w:rPr>
          <w:sz w:val="20"/>
          <w:szCs w:val="20"/>
          <w:color w:val="auto"/>
        </w:rPr>
      </w:pPr>
    </w:p>
    <w:p>
      <w:pPr>
        <w:jc w:val="both"/>
        <w:ind w:firstLine="336"/>
        <w:spacing w:after="0" w:line="236" w:lineRule="auto"/>
        <w:rPr>
          <w:sz w:val="20"/>
          <w:szCs w:val="20"/>
          <w:color w:val="auto"/>
        </w:rPr>
      </w:pPr>
      <w:r>
        <w:rPr>
          <w:rFonts w:ascii="Times New Roman" w:cs="Times New Roman" w:eastAsia="Times New Roman" w:hAnsi="Times New Roman"/>
          <w:sz w:val="12"/>
          <w:szCs w:val="12"/>
          <w:color w:val="auto"/>
        </w:rPr>
        <w:t>The Company may sponsor research activities (“SRAs”) performed by ODURF. ODURF is compensated by the Company for its conduct of each study in accordance with the budget and payment terms set forth in the applicable task order. In March 2021, the Company agreed to sponsor a task order in the amount of $0.3 million for research performed during the subsequent 12-month period to be funded through monthly payments to ODURF. In May 2021, the Company agreed to sponsor an additional task order in the amount of $0.3 million for research performed during the subsequent 12-month period. These SRAs are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the three-month period ended March 31, 2022, the Company incurred costs relating to the SRAs equal to $0.1 million. During the three-month period ended March 31, 2021, there were no costs incurred relating to the SRAs. As of March 31, 2022, there is approximately $0.1 million of unbilled SRAs left under the task orders.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6" w:name="page17"/>
    <w:bookmarkEnd w:id="16"/>
    <w:p>
      <w:pPr>
        <w:ind w:left="6"/>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ind w:left="306" w:right="9420" w:hanging="306"/>
        <w:spacing w:after="0" w:line="466" w:lineRule="auto"/>
        <w:tabs>
          <w:tab w:leader="none" w:pos="159"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Contingencies </w:t>
      </w:r>
      <w:r>
        <w:rPr>
          <w:rFonts w:ascii="Times New Roman" w:cs="Times New Roman" w:eastAsia="Times New Roman" w:hAnsi="Times New Roman"/>
          <w:sz w:val="12"/>
          <w:szCs w:val="12"/>
          <w:b w:val="1"/>
          <w:bCs w:val="1"/>
          <w:i w:val="1"/>
          <w:iCs w:val="1"/>
          <w:color w:val="auto"/>
        </w:rPr>
        <w:t>Loan Agreement</w:t>
      </w:r>
    </w:p>
    <w:p>
      <w:pPr>
        <w:spacing w:after="0" w:line="1" w:lineRule="exact"/>
        <w:rPr>
          <w:sz w:val="20"/>
          <w:szCs w:val="20"/>
          <w:color w:val="auto"/>
        </w:rPr>
      </w:pPr>
    </w:p>
    <w:p>
      <w:pPr>
        <w:jc w:val="both"/>
        <w:ind w:left="6" w:firstLine="301"/>
        <w:spacing w:after="0" w:line="241" w:lineRule="auto"/>
        <w:rPr>
          <w:sz w:val="20"/>
          <w:szCs w:val="20"/>
          <w:color w:val="auto"/>
        </w:rPr>
      </w:pPr>
      <w:r>
        <w:rPr>
          <w:rFonts w:ascii="Times New Roman" w:cs="Times New Roman" w:eastAsia="Times New Roman" w:hAnsi="Times New Roman"/>
          <w:sz w:val="12"/>
          <w:szCs w:val="12"/>
          <w:color w:val="auto"/>
        </w:rPr>
        <w:t>On March 11, 2021, the Company and Robert W. Duggan, the Board Chairman, entered into a Loan Agreement in connection with Mr. Duggan lending the principal sum of $41.0 million to the Company. The Loan Agreement bore interest at a rate per annum equal to 5.0%, payable quarterly commencing on July 1, 2021. During the three-month period ended March 31, 2021, the Company recorded $0.1 million of interest expense in relation to this Loan Agreement. During the three-month period ended March 31, 2022, there was no interest expense recorded in relation to this Loan Agreement. In June 2021, the Loan Agreement was terminated and $41.0 million principal, together with approximately $0.6 million of accrued and unpaid interest, was fully settled via issuance of the Company’s common stock at a price per share of $16.40. Refer to Note 6 for additional details of the private placement sale.</w:t>
      </w:r>
    </w:p>
    <w:p>
      <w:pPr>
        <w:spacing w:after="0" w:line="227"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b w:val="1"/>
          <w:bCs w:val="1"/>
          <w:i w:val="1"/>
          <w:iCs w:val="1"/>
          <w:color w:val="auto"/>
        </w:rPr>
        <w:t>Insurance Loan Agreement</w:t>
      </w:r>
    </w:p>
    <w:p>
      <w:pPr>
        <w:spacing w:after="0" w:line="150" w:lineRule="exact"/>
        <w:rPr>
          <w:sz w:val="20"/>
          <w:szCs w:val="20"/>
          <w:color w:val="auto"/>
        </w:rPr>
      </w:pPr>
    </w:p>
    <w:p>
      <w:pPr>
        <w:jc w:val="both"/>
        <w:ind w:left="6" w:firstLine="301"/>
        <w:spacing w:after="0" w:line="243" w:lineRule="auto"/>
        <w:rPr>
          <w:sz w:val="20"/>
          <w:szCs w:val="20"/>
          <w:color w:val="auto"/>
        </w:rPr>
      </w:pPr>
      <w:r>
        <w:rPr>
          <w:rFonts w:ascii="Times New Roman" w:cs="Times New Roman" w:eastAsia="Times New Roman" w:hAnsi="Times New Roman"/>
          <w:sz w:val="12"/>
          <w:szCs w:val="12"/>
          <w:color w:val="auto"/>
        </w:rPr>
        <w:t>On May 13, 2021, the Company secured its annual director and officer liability insurance policy. The total premiums for the policy are approximately $2.6 million, of which the Company made a down payment of $0.7 million and financed the balance of $1.9 million via an Insurance Loan Agreement. The Insurance Loan Agreement has an annual interest rate of 3.69% and requires monthly payments through February 2022, upon which the Insurance Loan Agreement was paid in full. At March 31, 2022, there was no outstanding portion of this Insurance Loan Agreement recorded on the balance sheet.</w:t>
      </w:r>
    </w:p>
    <w:p>
      <w:pPr>
        <w:spacing w:after="0" w:line="95" w:lineRule="exact"/>
        <w:rPr>
          <w:sz w:val="20"/>
          <w:szCs w:val="20"/>
          <w:color w:val="auto"/>
        </w:rPr>
      </w:pPr>
    </w:p>
    <w:p>
      <w:pPr>
        <w:ind w:left="266"/>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w:t>
      </w:r>
    </w:p>
    <w:p>
      <w:pPr>
        <w:spacing w:after="0" w:line="131"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color w:val="auto"/>
        </w:rPr>
        <w:t>In January 2017, the Company entered into a five-year lease (the “Existing Lease”) for approximately 15,700 square feet for its corporate headquarters located in Hayward, California. The lease commenced in July 2017.</w:t>
      </w:r>
    </w:p>
    <w:p>
      <w:pPr>
        <w:spacing w:after="0" w:line="129" w:lineRule="exact"/>
        <w:rPr>
          <w:sz w:val="20"/>
          <w:szCs w:val="20"/>
          <w:color w:val="auto"/>
        </w:rPr>
      </w:pPr>
    </w:p>
    <w:p>
      <w:pPr>
        <w:jc w:val="both"/>
        <w:ind w:left="6" w:right="20" w:firstLine="301"/>
        <w:spacing w:after="0" w:line="261" w:lineRule="auto"/>
        <w:rPr>
          <w:sz w:val="20"/>
          <w:szCs w:val="20"/>
          <w:color w:val="auto"/>
        </w:rPr>
      </w:pPr>
      <w:r>
        <w:rPr>
          <w:rFonts w:ascii="Times New Roman" w:cs="Times New Roman" w:eastAsia="Times New Roman" w:hAnsi="Times New Roman"/>
          <w:sz w:val="12"/>
          <w:szCs w:val="12"/>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96" w:lineRule="exact"/>
        <w:rPr>
          <w:sz w:val="20"/>
          <w:szCs w:val="20"/>
          <w:color w:val="auto"/>
        </w:rPr>
      </w:pPr>
    </w:p>
    <w:p>
      <w:pPr>
        <w:jc w:val="both"/>
        <w:ind w:left="6" w:right="20" w:firstLine="301"/>
        <w:spacing w:after="0" w:line="242" w:lineRule="auto"/>
        <w:rPr>
          <w:sz w:val="20"/>
          <w:szCs w:val="20"/>
          <w:color w:val="auto"/>
        </w:rPr>
      </w:pPr>
      <w:r>
        <w:rPr>
          <w:rFonts w:ascii="Times New Roman" w:cs="Times New Roman" w:eastAsia="Times New Roman" w:hAnsi="Times New Roman"/>
          <w:sz w:val="12"/>
          <w:szCs w:val="12"/>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98"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2"/>
          <w:szCs w:val="12"/>
          <w:color w:val="auto"/>
        </w:rPr>
        <w:t>Information related to the Company’s right-of-use assets and related lease liabilities are as follows (in thousands, except for remaining lease term and discount rate):</w:t>
      </w:r>
    </w:p>
    <w:p>
      <w:pPr>
        <w:spacing w:after="0" w:line="148" w:lineRule="exact"/>
        <w:rPr>
          <w:sz w:val="20"/>
          <w:szCs w:val="20"/>
          <w:color w:val="auto"/>
        </w:rPr>
      </w:pPr>
    </w:p>
    <w:tbl>
      <w:tblPr>
        <w:tblLayout w:type="fixed"/>
        <w:tblInd w:w="6" w:type="dxa"/>
        <w:tblCellMar>
          <w:top w:w="0" w:type="dxa"/>
          <w:left w:w="0" w:type="dxa"/>
          <w:bottom w:w="0" w:type="dxa"/>
          <w:right w:w="0" w:type="dxa"/>
        </w:tblCellMar>
      </w:tblPr>
      <w:tr>
        <w:trPr>
          <w:trHeight w:val="151"/>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5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2022 (remaining 9 months)</w:t>
            </w:r>
          </w:p>
        </w:tc>
        <w:tc>
          <w:tcPr>
            <w:tcW w:w="6720" w:type="dxa"/>
            <w:vAlign w:val="bottom"/>
            <w:gridSpan w:val="2"/>
            <w:shd w:val="clear" w:color="auto" w:fill="CCEEFF"/>
          </w:tcPr>
          <w:p>
            <w:pPr>
              <w:jc w:val="right"/>
              <w:ind w:right="704"/>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1,359</w:t>
            </w:r>
          </w:p>
        </w:tc>
      </w:tr>
      <w:tr>
        <w:trPr>
          <w:trHeight w:val="129"/>
        </w:trPr>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2023</w:t>
            </w:r>
          </w:p>
        </w:tc>
        <w:tc>
          <w:tcPr>
            <w:tcW w:w="5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1,845</w:t>
            </w: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5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1,910</w:t>
            </w:r>
          </w:p>
        </w:tc>
      </w:tr>
      <w:tr>
        <w:trPr>
          <w:trHeight w:val="129"/>
        </w:trPr>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5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1,977</w:t>
            </w:r>
          </w:p>
        </w:tc>
      </w:tr>
      <w:tr>
        <w:trPr>
          <w:trHeight w:val="129"/>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2026</w:t>
            </w:r>
          </w:p>
        </w:tc>
        <w:tc>
          <w:tcPr>
            <w:tcW w:w="5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2,046</w:t>
            </w:r>
          </w:p>
        </w:tc>
      </w:tr>
      <w:tr>
        <w:trPr>
          <w:trHeight w:val="129"/>
        </w:trPr>
        <w:tc>
          <w:tcPr>
            <w:tcW w:w="34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Thereafter</w:t>
            </w:r>
          </w:p>
        </w:tc>
        <w:tc>
          <w:tcPr>
            <w:tcW w:w="59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6,191</w:t>
            </w:r>
          </w:p>
        </w:tc>
      </w:tr>
      <w:tr>
        <w:trPr>
          <w:trHeight w:val="118"/>
        </w:trPr>
        <w:tc>
          <w:tcPr>
            <w:tcW w:w="34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lease payments</w:t>
            </w:r>
          </w:p>
        </w:tc>
        <w:tc>
          <w:tcPr>
            <w:tcW w:w="59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15,328</w:t>
            </w:r>
          </w:p>
        </w:tc>
      </w:tr>
      <w:tr>
        <w:trPr>
          <w:trHeight w:val="129"/>
        </w:trPr>
        <w:tc>
          <w:tcPr>
            <w:tcW w:w="34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Less imputed interest</w:t>
            </w:r>
          </w:p>
        </w:tc>
        <w:tc>
          <w:tcPr>
            <w:tcW w:w="59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(4,696)</w:t>
            </w:r>
          </w:p>
        </w:tc>
      </w:tr>
      <w:tr>
        <w:trPr>
          <w:trHeight w:val="138"/>
        </w:trPr>
        <w:tc>
          <w:tcPr>
            <w:tcW w:w="34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lease liabilities</w:t>
            </w:r>
          </w:p>
        </w:tc>
        <w:tc>
          <w:tcPr>
            <w:tcW w:w="59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0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10,632</w:t>
            </w:r>
          </w:p>
        </w:tc>
      </w:tr>
      <w:tr>
        <w:trPr>
          <w:trHeight w:val="420"/>
        </w:trPr>
        <w:tc>
          <w:tcPr>
            <w:tcW w:w="3460" w:type="dxa"/>
            <w:vAlign w:val="bottom"/>
          </w:tcPr>
          <w:p>
            <w:pPr>
              <w:spacing w:after="0"/>
              <w:rPr>
                <w:sz w:val="24"/>
                <w:szCs w:val="24"/>
                <w:color w:val="auto"/>
              </w:rPr>
            </w:pPr>
          </w:p>
        </w:tc>
        <w:tc>
          <w:tcPr>
            <w:tcW w:w="5900" w:type="dxa"/>
            <w:vAlign w:val="bottom"/>
          </w:tcPr>
          <w:p>
            <w:pPr>
              <w:jc w:val="right"/>
              <w:ind w:right="3599"/>
              <w:spacing w:after="0"/>
              <w:rPr>
                <w:sz w:val="20"/>
                <w:szCs w:val="20"/>
                <w:color w:val="auto"/>
              </w:rPr>
            </w:pPr>
            <w:r>
              <w:rPr>
                <w:rFonts w:ascii="Times New Roman" w:cs="Times New Roman" w:eastAsia="Times New Roman" w:hAnsi="Times New Roman"/>
                <w:sz w:val="12"/>
                <w:szCs w:val="12"/>
                <w:color w:val="auto"/>
              </w:rPr>
              <w:t>17</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3"/>
        </w:trPr>
        <w:tc>
          <w:tcPr>
            <w:tcW w:w="3460" w:type="dxa"/>
            <w:vAlign w:val="bottom"/>
            <w:tcBorders>
              <w:bottom w:val="single" w:sz="8" w:color="9A9A9A"/>
            </w:tcBorders>
          </w:tcPr>
          <w:p>
            <w:pPr>
              <w:spacing w:after="0"/>
              <w:rPr>
                <w:sz w:val="18"/>
                <w:szCs w:val="18"/>
                <w:color w:val="auto"/>
              </w:rPr>
            </w:pPr>
          </w:p>
        </w:tc>
        <w:tc>
          <w:tcPr>
            <w:tcW w:w="59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6"/>
          </w:cols>
          <w:pgMar w:left="294" w:top="116"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supplemental information:</w:t>
      </w:r>
    </w:p>
    <w:p>
      <w:pPr>
        <w:spacing w:after="0" w:line="236" w:lineRule="auto"/>
        <w:rPr>
          <w:sz w:val="20"/>
          <w:szCs w:val="20"/>
          <w:color w:val="auto"/>
        </w:rPr>
      </w:pPr>
      <w:r>
        <w:rPr>
          <w:rFonts w:ascii="Times New Roman" w:cs="Times New Roman" w:eastAsia="Times New Roman" w:hAnsi="Times New Roman"/>
          <w:sz w:val="12"/>
          <w:szCs w:val="12"/>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6135" cy="81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76135" cy="93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9334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2"/>
          <w:szCs w:val="12"/>
          <w:color w:val="auto"/>
        </w:rPr>
        <w:t>Total lease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76135" cy="81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76135" cy="81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Weighted average discount rate</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Rent expense, including common area maintenance charges, was $0.5 million for each of the three-month periods ended March 31, 2022 and 2021.</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20" w:type="dxa"/>
            <w:vAlign w:val="bottom"/>
            <w:gridSpan w:val="2"/>
          </w:tcPr>
          <w:p>
            <w:pPr>
              <w:jc w:val="right"/>
              <w:ind w:right="7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w:t>
            </w:r>
          </w:p>
        </w:tc>
      </w:tr>
      <w:tr>
        <w:trPr>
          <w:trHeight w:val="151"/>
        </w:trPr>
        <w:tc>
          <w:tcPr>
            <w:tcW w:w="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9,833</w:t>
            </w:r>
          </w:p>
        </w:tc>
      </w:tr>
      <w:tr>
        <w:trPr>
          <w:trHeight w:val="126"/>
        </w:trPr>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10,632</w:t>
            </w:r>
          </w:p>
        </w:tc>
      </w:tr>
      <w:tr>
        <w:trPr>
          <w:trHeight w:val="266"/>
        </w:trPr>
        <w:tc>
          <w:tcPr>
            <w:tcW w:w="820" w:type="dxa"/>
            <w:vAlign w:val="bottom"/>
            <w:gridSpan w:val="2"/>
          </w:tcPr>
          <w:p>
            <w:pPr>
              <w:jc w:val="right"/>
              <w:ind w:right="7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w:t>
            </w: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bl>
    <w:p>
      <w:pPr>
        <w:spacing w:after="0" w:line="614" w:lineRule="exact"/>
        <w:rPr>
          <w:sz w:val="20"/>
          <w:szCs w:val="20"/>
          <w:color w:val="auto"/>
        </w:rPr>
      </w:pPr>
    </w:p>
    <w:p>
      <w:pPr>
        <w:sectPr>
          <w:pgSz w:w="11900" w:h="16838" w:orient="portrait"/>
          <w:cols w:equalWidth="0" w:num="2">
            <w:col w:w="8640" w:space="720"/>
            <w:col w:w="1940"/>
          </w:cols>
          <w:pgMar w:left="300" w:top="116" w:right="299" w:bottom="1440" w:gutter="0" w:footer="0" w:header="0"/>
        </w:sect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96"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From time to time, the Company may be involved in a variety of claims, lawsuits, investigations, and proceedings relating to securities laws, corporate governance, product liability and promotion, patent infringement, contract disputes, employment disputes, and other matters relating to various claims that arise in the normal course of the Company’s business, such as demands to inspect Company records and correspondence from the SEC and other government officials. The Company currently believes that these ordinary course matters are not material to the consolidated financial statements of the business; however, the results of litigation and claims are inherently unpredictable.</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Additional Information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lawsuit seeks class certification, unspecified damages, fees, costs, and expenses. Based upon currently available information, the Company believes the allegations in this case are without merit and will defend itself vigorously against them; however, litigation is inherently uncertain. The Company expects to file a motion to dismiss the case later this year, and an estimate of possible loss or range of loss, if any, cannot be made at this time.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Controlled Launch</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February 2021, the Company received 510(k) clearance from the U.S. FDA for its proprietary CellFX System for dermatologic procedures requiring ablation and resurfacing of the skin.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In February 2021, the Company commenced a controlled launch of the CellFX System in the United States and European Union via its CellFX Expectations Excelled Program (the “Controlled Launch”). Subsequent to receiving Health Canada approval in June 2021, the Company also commenced its Controlled Launch in Canada.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As part of the Controlled Launch, the Company selected 70 physicians and their practices to be the first physician consultants to launch the CellFX System and the associated CellFX commercial procedures into their respective markets and geographies. According to the Controlled Launch program, the Company provides and sets up a CellFX System at each physician site and provides the physician with the necessary related products and components, free of charge, to complete the requirements of the Controlled Launch. Each CellFX System and any unused component products remain the property of the Company throughout the Controlled Launch. Each physician identifies and recruits up to 40 or 50 patients, depending on the contract, for participation in the Controlled Launch, performing a CellFX procedure on each of the appropriately selected patients. Under the Controlled Launch, the physician and their patients complete evaluation surveys about their experiences with the CellFX System and provide other information helpful to the Company. Upon completion of the procedures and the survey feedback, the physician earns either credits which can be used towards the future purchase of the CellFX System or, in some jurisdictions, fair payment for their time and effort completing the paperwork required under the Controlled Launch program. Credits earned and, if applicable, any other payments earned are limited to a maximum amount dependent on the number of surveys received by the Company. Upon completion of the Controlled Launch, each physician may choose to either enter into a purchase agreement with the Company, under which the physician may use the credits earned (or other payments earned, as applicable) towards the purchase of the already-delivered CellFX System, or the physician must return the CellFX System to the Company.</w:t>
      </w:r>
    </w:p>
    <w:p>
      <w:pPr>
        <w:spacing w:after="0" w:line="111"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As patient procedures and surveys are completed under the Controlled Launch program, the Company accrues the value of the credits earned, which are recorded in accrued expenses, with a corresponding charge to sales and marketing expense. During the three-month periods ended March 31, 2022 and 2021, the Company recorded $0.3 million and $0.1 million, respectively, of sales and marketing expense in relation to the Controlled Launch.</w:t>
      </w:r>
    </w:p>
    <w:p>
      <w:pPr>
        <w:spacing w:after="0" w:line="78"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During the three-month period ended March 31, 2022, certain consultants completed the Controlled Launch and entered into purchase agreements with the Company, whereby they used their credits or other earned payments towards the purchase of a CellFX System. Accordingly, approximately $0.3 million of the accrued liability related to the Controlled Launch was relieved and recognized as revenue on a non-cash basis as a result of these purchases. See Note 10 for additional detail of revenue transactions.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Revenue</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This consideration may include non-cash services performed, as is the case with revenue recognized in connection with the Controlled Launch. Total revenue recognized for the three-month period ended March 31, 2022 was $0.4 million, of which approximately $0.3 million was driven by the redemption of non-cash credits earned as part of the Controlled Launch, with the balance of approximately $0.1 million driven by cash purchases of cycle units (“CUs”) and one CellFX commercial console.</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Sales contracts often involve the sale and delivery of multiple performance obligations in the contract.</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Performance Obligations</w:t>
      </w:r>
    </w:p>
    <w:p>
      <w:pPr>
        <w:spacing w:after="0" w:line="12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Systems consist of the CellFX console and its embedded software, handpieces, and disposable tips. The console is a physical piece of hardware used by the customer to perform patient procedures. Individually the console and software are not distinct, therefore the Company combines the console and embedded software to form one distinct system performance obligation. Payment for systems is generally due prior to shipment, and the system performance obligation is satisfied upon shipment of the system to the customer.</w:t>
      </w:r>
    </w:p>
    <w:p>
      <w:pPr>
        <w:spacing w:after="0" w:line="92"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Handpieces are attached to the console and used in conjunction with tips to perform patient procedures. Generally, upon initial sale of a system to a customer, the Company will include two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spacing w:after="0" w:line="9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no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upon delivery of the CUs to CellFX CloudConnect.</w:t>
      </w:r>
    </w:p>
    <w:p>
      <w:pPr>
        <w:spacing w:after="0" w:line="98"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Shipping and handling activities are not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Transaction Price</w:t>
      </w:r>
    </w:p>
    <w:p>
      <w:pPr>
        <w:spacing w:after="0" w:line="11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no impact to revenue recognition timing, and the Company has determined allocations are not necessary. Should the customer purchase additional CUs, handpieces, or tips at a later time, those purchases will be made under separate purchase agreements, generally containing only one performance obligation each, therefore no price allocation is necessary in that scenario either.</w:t>
      </w:r>
    </w:p>
    <w:p>
      <w:pPr>
        <w:spacing w:after="0" w:line="100"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The Company evaluates the possible impact of variable consideration in determining the transaction price, in particular the possibility of future returns or credits.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w:t>
      </w:r>
    </w:p>
    <w:p>
      <w:pPr>
        <w:spacing w:after="0" w:line="9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Controlled Launch Agreements</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 August 2021 the Company began to recognize revenue in relation to the conversion of Controlled Launch program participants into sales agreements (Note 9).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Segment Reporting</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Company operates and manages the business as one reportable and operating segment. The Company’s Chief Executive Officer and Chief Financial Officer act as the chief operating decision makers (“CODM”) of the Company. The CODM reviews the results of the Company on a consolidated basis, however in making certain operating decisions and assessing performance, the CODM will additionally review the disaggregated revenue results by product and geography. All of the Company’s long-lived assets are based in the United States.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Revenue by product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Three-Month Periods Ended</w:t>
            </w:r>
          </w:p>
        </w:tc>
        <w:tc>
          <w:tcPr>
            <w:tcW w:w="1360" w:type="dxa"/>
            <w:vAlign w:val="bottom"/>
          </w:tcPr>
          <w:p>
            <w:pPr>
              <w:spacing w:after="0"/>
              <w:rPr>
                <w:sz w:val="10"/>
                <w:szCs w:val="10"/>
                <w:color w:val="auto"/>
              </w:rPr>
            </w:pPr>
          </w:p>
        </w:tc>
      </w:tr>
      <w:tr>
        <w:trPr>
          <w:trHeight w:val="127"/>
        </w:trPr>
        <w:tc>
          <w:tcPr>
            <w:tcW w:w="69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60" w:type="dxa"/>
            <w:vAlign w:val="bottom"/>
            <w:tcBorders>
              <w:bottom w:val="single" w:sz="8" w:color="auto"/>
            </w:tcBorders>
          </w:tcPr>
          <w:p>
            <w:pPr>
              <w:spacing w:after="0"/>
              <w:rPr>
                <w:sz w:val="11"/>
                <w:szCs w:val="11"/>
                <w:color w:val="auto"/>
              </w:rPr>
            </w:pPr>
          </w:p>
        </w:tc>
      </w:tr>
      <w:tr>
        <w:trPr>
          <w:trHeight w:val="100"/>
        </w:trPr>
        <w:tc>
          <w:tcPr>
            <w:tcW w:w="6900" w:type="dxa"/>
            <w:vAlign w:val="bottom"/>
            <w:tcBorders>
              <w:bottom w:val="single" w:sz="8" w:color="CCEEFF"/>
            </w:tcBorders>
          </w:tcPr>
          <w:p>
            <w:pPr>
              <w:spacing w:after="0"/>
              <w:rPr>
                <w:sz w:val="8"/>
                <w:szCs w:val="8"/>
                <w:color w:val="auto"/>
              </w:rPr>
            </w:pPr>
          </w:p>
        </w:tc>
        <w:tc>
          <w:tcPr>
            <w:tcW w:w="1380" w:type="dxa"/>
            <w:vAlign w:val="bottom"/>
            <w:tcBorders>
              <w:bottom w:val="single" w:sz="8" w:color="auto"/>
            </w:tcBorders>
          </w:tcPr>
          <w:p>
            <w:pPr>
              <w:jc w:val="right"/>
              <w:ind w:right="18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ind w:left="22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Systems</w:t>
            </w:r>
          </w:p>
        </w:tc>
        <w:tc>
          <w:tcPr>
            <w:tcW w:w="1380" w:type="dxa"/>
            <w:vAlign w:val="bottom"/>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367</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ind w:left="118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69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Cycle units</w:t>
            </w:r>
          </w:p>
        </w:tc>
        <w:tc>
          <w:tcPr>
            <w:tcW w:w="1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77</w:t>
            </w:r>
          </w:p>
        </w:tc>
        <w:tc>
          <w:tcPr>
            <w:tcW w:w="2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ind w:left="118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38"/>
        </w:trPr>
        <w:tc>
          <w:tcPr>
            <w:tcW w:w="6900" w:type="dxa"/>
            <w:vAlign w:val="bottom"/>
            <w:tcBorders>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consolidated revenue</w:t>
            </w:r>
          </w:p>
        </w:tc>
        <w:tc>
          <w:tcPr>
            <w:tcW w:w="1380" w:type="dxa"/>
            <w:vAlign w:val="bottom"/>
            <w:tcBorders>
              <w:bottom w:val="single" w:sz="8" w:color="auto"/>
            </w:tcBorders>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444</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ind w:left="118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245"/>
        </w:trPr>
        <w:tc>
          <w:tcPr>
            <w:tcW w:w="69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Revenue by geography consisted of the following (in thousands):</w:t>
            </w:r>
          </w:p>
        </w:tc>
        <w:tc>
          <w:tcPr>
            <w:tcW w:w="1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123"/>
        </w:trPr>
        <w:tc>
          <w:tcPr>
            <w:tcW w:w="6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Three-Month Periods Ended</w:t>
            </w:r>
          </w:p>
        </w:tc>
        <w:tc>
          <w:tcPr>
            <w:tcW w:w="1360" w:type="dxa"/>
            <w:vAlign w:val="bottom"/>
          </w:tcPr>
          <w:p>
            <w:pPr>
              <w:spacing w:after="0"/>
              <w:rPr>
                <w:sz w:val="10"/>
                <w:szCs w:val="10"/>
                <w:color w:val="auto"/>
              </w:rPr>
            </w:pPr>
          </w:p>
        </w:tc>
      </w:tr>
      <w:tr>
        <w:trPr>
          <w:trHeight w:val="127"/>
        </w:trPr>
        <w:tc>
          <w:tcPr>
            <w:tcW w:w="69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60" w:type="dxa"/>
            <w:vAlign w:val="bottom"/>
            <w:tcBorders>
              <w:bottom w:val="single" w:sz="8" w:color="auto"/>
            </w:tcBorders>
          </w:tcPr>
          <w:p>
            <w:pPr>
              <w:spacing w:after="0"/>
              <w:rPr>
                <w:sz w:val="11"/>
                <w:szCs w:val="11"/>
                <w:color w:val="auto"/>
              </w:rPr>
            </w:pPr>
          </w:p>
        </w:tc>
      </w:tr>
      <w:tr>
        <w:trPr>
          <w:trHeight w:val="100"/>
        </w:trPr>
        <w:tc>
          <w:tcPr>
            <w:tcW w:w="6900" w:type="dxa"/>
            <w:vAlign w:val="bottom"/>
            <w:tcBorders>
              <w:bottom w:val="single" w:sz="8" w:color="CCEEFF"/>
            </w:tcBorders>
          </w:tcPr>
          <w:p>
            <w:pPr>
              <w:spacing w:after="0"/>
              <w:rPr>
                <w:sz w:val="8"/>
                <w:szCs w:val="8"/>
                <w:color w:val="auto"/>
              </w:rPr>
            </w:pPr>
          </w:p>
        </w:tc>
        <w:tc>
          <w:tcPr>
            <w:tcW w:w="1380" w:type="dxa"/>
            <w:vAlign w:val="bottom"/>
            <w:tcBorders>
              <w:bottom w:val="single" w:sz="8" w:color="auto"/>
            </w:tcBorders>
          </w:tcPr>
          <w:p>
            <w:pPr>
              <w:jc w:val="right"/>
              <w:ind w:right="186"/>
              <w:spacing w:after="0" w:line="100"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ind w:left="220"/>
              <w:spacing w:after="0" w:line="10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6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North America</w:t>
            </w:r>
          </w:p>
        </w:tc>
        <w:tc>
          <w:tcPr>
            <w:tcW w:w="1380" w:type="dxa"/>
            <w:vAlign w:val="bottom"/>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312</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ind w:left="1180"/>
              <w:spacing w:after="0" w:line="118"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69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Rest of World</w:t>
            </w:r>
          </w:p>
        </w:tc>
        <w:tc>
          <w:tcPr>
            <w:tcW w:w="1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132</w:t>
            </w:r>
          </w:p>
        </w:tc>
        <w:tc>
          <w:tcPr>
            <w:tcW w:w="2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ind w:left="118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6900" w:type="dxa"/>
            <w:vAlign w:val="bottom"/>
            <w:tcBorders>
              <w:bottom w:val="single" w:sz="8" w:color="CCEEFF"/>
            </w:tcBorders>
            <w:shd w:val="clear" w:color="auto" w:fill="CCEEFF"/>
          </w:tcPr>
          <w:p>
            <w:pPr>
              <w:ind w:left="140"/>
              <w:spacing w:after="0" w:line="118" w:lineRule="exact"/>
              <w:rPr>
                <w:sz w:val="20"/>
                <w:szCs w:val="20"/>
                <w:color w:val="auto"/>
              </w:rPr>
            </w:pPr>
            <w:r>
              <w:rPr>
                <w:rFonts w:ascii="Times New Roman" w:cs="Times New Roman" w:eastAsia="Times New Roman" w:hAnsi="Times New Roman"/>
                <w:sz w:val="12"/>
                <w:szCs w:val="12"/>
                <w:color w:val="auto"/>
              </w:rPr>
              <w:t>Total consolidated revenue</w:t>
            </w:r>
          </w:p>
        </w:tc>
        <w:tc>
          <w:tcPr>
            <w:tcW w:w="1380" w:type="dxa"/>
            <w:vAlign w:val="bottom"/>
            <w:tcBorders>
              <w:bottom w:val="single" w:sz="8" w:color="auto"/>
            </w:tcBorders>
            <w:shd w:val="clear" w:color="auto" w:fill="CCEEFF"/>
          </w:tcPr>
          <w:p>
            <w:pPr>
              <w:jc w:val="right"/>
              <w:ind w:right="1266"/>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444</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58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ind w:left="1180"/>
              <w:spacing w:after="0" w:line="118" w:lineRule="exact"/>
              <w:rPr>
                <w:sz w:val="20"/>
                <w:szCs w:val="20"/>
                <w:color w:val="auto"/>
              </w:rPr>
            </w:pPr>
            <w:r>
              <w:rPr>
                <w:rFonts w:ascii="Times New Roman" w:cs="Times New Roman" w:eastAsia="Times New Roman" w:hAnsi="Times New Roman"/>
                <w:sz w:val="12"/>
                <w:szCs w:val="12"/>
                <w:color w:val="auto"/>
              </w:rPr>
              <w:t>—</w:t>
            </w: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Related Party Transactions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On March 11, 2021, the Company and Robert W. Duggan, majority stockholder and Board Chairman, entered into a Loan Agreement in connection with Mr. Duggan lending the principal sum of $41.0 million to the Company (Note 8).</w:t>
      </w:r>
    </w:p>
    <w:p>
      <w:pPr>
        <w:spacing w:after="0" w:line="8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June 30, 2021, the Company and Mr. Duggan entered into a Securities Purchase Agreement (Note 6),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the $41 million aggregate principal amount under the Loan Agreement, together with all accrued and unpaid interest outstanding, owed to Mr. Duggan under the Loan Agreement by and between the Company and Mr. Duggan (Note 8),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Restructuring Charges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March 31, 2022, the Company initiated a plan to reduce its operating expenses, preserve financial resources, and focus its sales and marketing efforts on increasing utilization of CellFX Systems. The Company’s Board of Directors has approved changes to the Company’s commercial leadership, restructuring of its commercial field organization and reductions in other personnel and expenses across the Company. The Company announced a reduction in force effective as of March 31, 2022. The affected employees were offered separation benefits, including severance payments along with temporary healthcare coverage assistance. The Company has accrued a discrete restructuring related charge of $0.7 million on the condensed consolidated balance sheet as of March 31, 2022 and the related expenses are included within total cost and expenses on the condensed consolidated statement of operations for the three-month period ended March 31, 2022. This charge represents the total expected amount to be incurred in connection with the activity. The balance of $0.7 million is expected to be paid throughout 2022.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Subsequent Events</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April 14, 2022, the Company announced that the Board of Directors approved a rights offering (the “2022 Rights Offering”) available to all holders of record of the Company’s common stock, par value $0.001 per share (the “Common Stock”) as of the close of market on April 25, 2022. The 2022 Rights Offering will be made through the distribution of non-transferable subscription rights to purchase up to an aggregate of $15,000,000 worth of units (“Units”), with each Unit consisting of (i) one share of Common Stock, and (ii) a warrant to purchase one share of Common Stock (the “Warrants”), in a public offering that commenced on May 4, 2022. The subscription price for each Unit will be equal to the lesser of (i) $3.72, the closing price of the Common Stock on April 13, 2022, and (ii) the volume weighted average price of the Common Stock for the five trading day period through and including the expiration date of the offering, May 23, 2022. The 2022 Rights Offering includes an over-subscription right to permit each rights holder that exercises its basic subscription rights in full to purchase additional Units that remain unsubscribed at the expiration of the offering, subject to availability on a pro rata basis.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4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Special Note Regarding Forward-Looking Statements</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Quarterly Report, actual results may differ from the projections.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Special Note Regarding Key Metrics</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i w:val="1"/>
          <w:iCs w:val="1"/>
          <w:color w:val="auto"/>
        </w:rPr>
        <w:t>We review a number of metrics, including weekly utilization rates, to evaluate our business, measure our performance, identify trends affecting our business, formulate business plans and make strategic decisions. See the section titled “Management’s Discussion and Analysis of Financial Condition and Results of Operations—Overview” for a discussion of how we calculate and use weekly utilization rates..</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i w:val="1"/>
          <w:iCs w:val="1"/>
          <w:color w:val="auto"/>
        </w:rPr>
        <w:t>Our calculation of these metrics is not based on any standardized industry methodology and is not necessarily calculated in the same manner or comparable to similarly titled measures presented by other companies. Similarly, our measures of utilization rates may differ from estimates published by third parties or from similarly-titled metrics in the medical device industry due to differences in methodology. While these numbers are based on what we believe to be reasonable estimates for the applicable period of measurement, there are inherent challenges in measuring usage and engagement by our commercial customers around the world.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are a novel bioelectric medicine company committed to health innovation using an entirely new and proprietary energy modality. The CellFX System is the first commercial product to harness the distinctive advantages of our proprietary Nano-Pulse Stimulation technology. The CellFX System delivers nano 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January 2021, we received CE marking approval for the CellFX System, which allows us to market the system in the European Union and, in June 2021, we received Health Canada approval for the CellFX System, which allows for marketing of the system in Canada. The CE mark and Health Canada approvals allow us to market the CellFX System for use in dermatological procedures requiring ablation and resurfacing of the skin for the reduction, removal, and/or clearance of cellular-based benign lesions, including SH, SK, and cutaneous non-genital warts. In February 2021, we received 510(k) clearance from the FDA for the CellFX System for dermatologic procedures requiring ablation and resurfacing of the skin.</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February 2021, we initiated controlled launch programs in the United States and the European Union and in June 2021 we initiated a controlled launch program in Canada (collectively, our “Controlled Launch”). Under the Controlled Launch program, the physicians and their patients complete evaluation surveys about their experiences with the CellFX System and provide other information helpful to defining best practices for the introduction of the CellFX System into the clinic practice. A total of seventy clinics agreed to participate and were onboarded under the Controlled Launch program across the United States, Europe, and Canada. In August 2021, we began to convert Controlled Launch program participants into sales agreements, triggering revenue recognition. During the three-month period ended March 31, 2022, ten Controlled Launch program participants opted to purchase their CellFX System and five clinics opted out of the program. As of March 31, 2022, a total of thirty-nine Controlled Launch program participants have opted to purchase their CellFX System and eleven clinics have opted out of the program. An objective of the Controlled Launch program is to turn participating clinics into high utilization commercial customers that will serve as important reference clinics for future commercial customers.</w:t>
      </w:r>
    </w:p>
    <w:p>
      <w:pPr>
        <w:spacing w:after="0" w:line="11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initially expected clinics to complete the program requirements within three to five months. However, the average time for clinics that have completed the Controlled Launch program has been seven months. We continue to gain valuable information from the Controlled Launch process. While the real-world delivery of NPS technology through the CellFX System has proven to clear benign lesions in clinical studies, we have learned that the market development for benign lesions and the integration of this procedure into the practice workflow will require a higher touch model to generate the system utilization we are expecting. We now expect clinics to continue to move through the program throughout 2022, as they complete the program requirements.</w:t>
      </w:r>
    </w:p>
    <w:p>
      <w:pPr>
        <w:spacing w:after="0" w:line="107"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We completed the commercial sale of one CellFX System in the three-month period ended March 31, 2022. The majority of our revenue for the three-month period ended March 31, 2022, was recognized on a non-cash basis when Controlled Launch program participants applied their earned credits towards the purchase of a CellFX System. See Note 9 for additional details of the Controlled Launch program and Note 10 for additional details of the revenue transactions.</w:t>
      </w:r>
    </w:p>
    <w:p>
      <w:pPr>
        <w:spacing w:after="0" w:line="10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were forty-two CellFX commercial clinics as of March 31, 2022. Commercial clinics include Controlled Launch program participant conversions and clinics that have purchased a CellFX System outside of the Controlled Launch program. These commercial clinics performed a total of 700 patient sessions during the first quarter of 2022. While we generated increasing average commercial clinic utilization throughout the first quarter of 2022, we were not satisfied with the rate the utilization was increasing, leading to our change in commercial leadership and strategy.</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Since the first conversion in the Controlled Launch program, we have been tracking weekly utilization of the CellFX Systems owned by the commercial accounts. The 4-week moving average presented below is an example of the types of reports we have used to conclude that utilization has been slower than we had anticipated given the CellFX System’s many clinical successes. The below graph was prepared using data from our commercial accounts only. We have excluded data from clinics still participating in the Controlled Launch program, as well as practice sessions and similar non-revenue generating procedures. Utilization was measured as commercial sessions defined as individual patient treatments, regardless of the number of lesions treated, performed using CellFX Systems that have been purchased or converted to commercial use from the Controlled Launch program.</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161925</wp:posOffset>
            </wp:positionV>
            <wp:extent cx="3933190" cy="2346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33190"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It is now our priority to drive more consistent and accelerating commercial utilization of CellFX Systems. We have initially partnered with nine of our commercial clinics across the United States, the European Union and Canada to collaborate on developing commercial best practices to demonstrate the clinical and economic value of a CellFX System completely integrated in a dermatology practice. During the first quarter of 2022, these nine clinics averaged fourteen commercial sessions per month. Our goal for these clinics is forty commercial sessions per month on a consistent basis. Once this initial group has achieved this level of utilization, we expect to have a blueprint for the necessary training, education, and marketing required and will be in a position to apply this blueprint to the rest of our commercial clinics and new clinic sales going forward.</w:t>
      </w:r>
    </w:p>
    <w:p>
      <w:pPr>
        <w:spacing w:after="0" w:line="107"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Until we achieve our utilization goals, we will have a reduced emphasis on CellFX System sales into new clinics. We will continue to develop and build our capital sales pipeline and believe that as we reach our utilization goals, we will be well positioned to begin focusing on capital sales.</w:t>
      </w:r>
    </w:p>
    <w:p>
      <w:pPr>
        <w:spacing w:after="0" w:line="96"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In February 2022, we appointed Kevin Danahy as Chief Commercial Officer. Mr. Danahy has a proven track record of building exceptional commercial teams and implementing strategies to drive market penetration and significant growth with disruptive medical technologies across a variety of medical disciplines.</w:t>
      </w:r>
    </w:p>
    <w:p>
      <w:pPr>
        <w:spacing w:after="0" w:line="78"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March 31, 2022, we initiated a plan to reduce our operating expenses, preserve financial resources, and focus our sales and marketing efforts on increasing utilization of CellFX Systems. As a result of this focus, we initiated operating expense reduction programs across the Company. Our Board of Directors has approved changes to our commercial leadership, restructuring of our commercial field organization and reductions in other personnel and expenses. We announced a reduction in force effective as of March 31, 2022. The affected employees were offered separation benefits, including severance payments along with temporary healthcare coverage assistance. We have accrued a discrete restructuring related charge of $0.7 million on the condensed consolidated balance sheet as of March 31, 2022, (Note 4) and the related expenses are included within total cost and expenses on the condensed consolidated statement of operations for the three-month period ended March 31, 2022.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are pursuing specific indications for the CellFX System in the United States similar to the regulatory clearances we have received in Europe and Canada, requiring additional 510(k) submissions, and likely based on comparative clinical data. In December 2021, we submitted a 510(k) to add the treatment of SH to the CellFX System’s indications for use in the United States. In February 2022 we received an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FDA-approved IDE study. The Company met with the FDA at the end of April 2022 to gain clarification regarding the AI letter and to discuss the appropriate next steps. Following the meeting and at the FDA’s request, the Company provided additional analysis of the sebaceous hyperplasia comparative clinical data. The Company anticipates a follow-on discussion with the FDA to review the additional datasets and expects to continue to collaborate with the FDA to formally respond to the AI letter.</w:t>
      </w:r>
    </w:p>
    <w:p>
      <w:pPr>
        <w:spacing w:after="0" w:line="11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have incurred substantial operating losses and have used cash in our operating activities since inception. Based on our current operating plan, we believe we do not have sufficient cash and cash equivalents on hand to support current operations for the twelve months following the filing of this Quarterly Report. Therefore, to finance our ongoing operations, we will need to raise additional capital or enter into a revenue-generating collaboration, which cannot be assured. We plan to seek to raise capital from time to time through public or private equity offerings, debt financings, our at-the-market equity offering program, or to enter into collaborations with third parties, to fund our future operations.</w:t>
      </w:r>
    </w:p>
    <w:p>
      <w:pPr>
        <w:spacing w:after="0" w:line="107"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May 4, 2022, the Company commenced its 2022 Rights Offering to sell up to an aggregate of $15,000,000 worth of Units. Each Unit consists of (i) one share of Common Stock, and (ii) a Warrant to purchase one share of Common Stock. The subscription price for each Unit in the 2022 Rights Offering will be equal to the lesser of (i) $3.72, the closing price of the Common Stock on April 13, 2022, and (ii) the volume weighted average price of the Common Stock for the five trading day period through and including the expiration date of the offering, May 23, 2022. The 2022 Rights Offering includes an over-subscription right to permit each rights holder that exercises its basic subscription rights in full to purchase additional Units on a pro rata basis, subject to availability. Mr. Duggan, our majority stockholder and Board Chairman, has indicated that he intends to exercise all of his basic subscription rights in the 2022 Rights Offering, but he has not made any formal binding commitment to do so.</w:t>
      </w:r>
    </w:p>
    <w:p>
      <w:pPr>
        <w:spacing w:after="0" w:line="100"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Over the past few years, Mr. Duggan has made significant investments in our Company to fund its operations. Mr. Duggan may or may not elect to participate in any number of our future fundraisings, as described above, and he may choose to invest more than his current pro rata share in any of these fundraisings, or alternatively he may offer to provide debt financing as may be needed in order to maintain the Company as a going concern.</w:t>
      </w:r>
    </w:p>
    <w:p>
      <w:pPr>
        <w:spacing w:after="0" w:line="87"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The source, timing and availability of any future financing will depend largely upon market conditions and perceived progress in the CellFX commercial program,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of Operation</w:t>
      </w:r>
    </w:p>
    <w:p>
      <w:pPr>
        <w:spacing w:after="0" w:line="131"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We plan to establish ourselves as a medical therapy company with a local, nonthermal, and drug-free treatment platform that initiates cell death in targeted tissue by a process of cell signaling. In order to accomplish this, we plan to:</w:t>
      </w:r>
    </w:p>
    <w:p>
      <w:pPr>
        <w:spacing w:after="0" w:line="96"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Improve our technology by continuing our research and product development efforts. We expect to develop interchangeable tissue applicators to target different tissue types that will leverage the novel characteristics of our NPS technology platform.</w:t>
      </w:r>
    </w:p>
    <w:p>
      <w:pPr>
        <w:spacing w:after="0" w:line="28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Further explore and understand the benefits of our NPS technology platform with the objectives of broadening the currently planned cosmetic and therapeutic applications, while also identifying new applications. We anticipate that results of our clinical studies will enable us to recognize certain unmet medical needs that may be addressed by our technology.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77"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2"/>
          <w:szCs w:val="12"/>
          <w:color w:val="auto"/>
        </w:rPr>
        <w:t>Partner with medical or biomedical device companies for certain applications which we anticipate may accelerate product development and acceptance into target market areas and allow us to gain the sales and marketing advantages of one or more established distribution infrastructures.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Pandemic</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adversely affected global economies and financial markets and will likely continue to do so,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48" w:lineRule="exact"/>
        <w:rPr>
          <w:sz w:val="20"/>
          <w:szCs w:val="20"/>
          <w:color w:val="auto"/>
        </w:rPr>
      </w:pPr>
    </w:p>
    <w:p>
      <w:pPr>
        <w:jc w:val="both"/>
        <w:ind w:right="20" w:firstLine="301"/>
        <w:spacing w:after="0" w:line="243" w:lineRule="auto"/>
        <w:rPr>
          <w:sz w:val="20"/>
          <w:szCs w:val="20"/>
          <w:color w:val="auto"/>
        </w:rPr>
      </w:pPr>
      <w:r>
        <w:rPr>
          <w:rFonts w:ascii="Times New Roman" w:cs="Times New Roman" w:eastAsia="Times New Roman" w:hAnsi="Times New Roman"/>
          <w:sz w:val="12"/>
          <w:szCs w:val="12"/>
          <w:color w:val="auto"/>
        </w:rPr>
        <w:t>Our significant accounting policies and estimates are described in our Annual Report on Form 10-K for the year ended December 31, 2021. We continually evaluate the accounting policies and estimates used in preparing our consolidated financial statements. There have been no material changes to the Company’s significant accounting policies during the three-month period ended March 31, 2022, as compared to the significant accounting policies described in the Company’s Annual Report on Form 10-K for the year ended December 31, 2021.</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Valuation of Inventory</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At March 31, 2022, there is no reduction to the balance of inventory for excessive and obsolete inventory.</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Revenue from Contracts with Customers</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recognize revenue at a point in time as we satisfy performance obligations by transferring control of promised goods to our customers. The amount of revenue recognized is equal to the consideration which we are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we sell these products on a stand-alone basis at a particular stand-alone selling price (“SSP”), initial customer contracts will likely involve the bundling of products which will be delivered concurrently to the customer and have the same pattern of transfer. In such instances, the full consideration of the contract will be recognized upon delivery of the products. We include a standard warranty on our products which provides assurances that the products comply with agreed-upon specifications.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Refer to “Recent Accounting Pronouncements” in Note 2 of Notes to Condensed Consolidated Financial Statements of this Quarterly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and Geographical Information</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three-month periods ended March 31, 2022 and 2021</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operations as discussed herein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gridSpan w:val="3"/>
          </w:tcPr>
          <w:p>
            <w:pPr>
              <w:ind w:left="600"/>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8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jc w:val="right"/>
              <w:ind w:right="580"/>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80" w:type="dxa"/>
            <w:vAlign w:val="bottom"/>
            <w:tcBorders>
              <w:top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Revenues:</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Product revenues</w:t>
            </w:r>
          </w:p>
        </w:tc>
        <w:tc>
          <w:tcPr>
            <w:tcW w:w="2800" w:type="dxa"/>
            <w:vAlign w:val="bottom"/>
            <w:gridSpan w:val="2"/>
          </w:tcPr>
          <w:p>
            <w:pPr>
              <w:jc w:val="right"/>
              <w:ind w:right="224"/>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180" w:type="dxa"/>
            <w:vAlign w:val="bottom"/>
          </w:tcPr>
          <w:p>
            <w:pPr>
              <w:spacing w:after="0"/>
              <w:rPr>
                <w:sz w:val="12"/>
                <w:szCs w:val="12"/>
                <w:color w:val="auto"/>
              </w:rPr>
            </w:pPr>
          </w:p>
        </w:tc>
        <w:tc>
          <w:tcPr>
            <w:tcW w:w="5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0" w:type="dxa"/>
            <w:vAlign w:val="bottom"/>
          </w:tcPr>
          <w:p>
            <w:pPr>
              <w:spacing w:after="0"/>
              <w:rPr>
                <w:sz w:val="1"/>
                <w:szCs w:val="1"/>
                <w:color w:val="auto"/>
              </w:rPr>
            </w:pPr>
          </w:p>
        </w:tc>
      </w:tr>
      <w:tr>
        <w:trPr>
          <w:trHeight w:val="127"/>
        </w:trPr>
        <w:tc>
          <w:tcPr>
            <w:tcW w:w="408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revenues</w:t>
            </w:r>
          </w:p>
        </w:tc>
        <w:tc>
          <w:tcPr>
            <w:tcW w:w="24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444</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444</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Cost and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revenues</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w:t>
            </w: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6,769</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w:t>
            </w:r>
          </w:p>
        </w:tc>
        <w:tc>
          <w:tcPr>
            <w:tcW w:w="0" w:type="dxa"/>
            <w:vAlign w:val="bottom"/>
          </w:tcPr>
          <w:p>
            <w:pPr>
              <w:spacing w:after="0"/>
              <w:rPr>
                <w:sz w:val="1"/>
                <w:szCs w:val="1"/>
                <w:color w:val="auto"/>
              </w:rPr>
            </w:pPr>
          </w:p>
        </w:tc>
      </w:tr>
      <w:tr>
        <w:trPr>
          <w:trHeight w:val="138"/>
        </w:trPr>
        <w:tc>
          <w:tcPr>
            <w:tcW w:w="4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4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4,498</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0" w:type="dxa"/>
            <w:vAlign w:val="bottom"/>
          </w:tcPr>
          <w:p>
            <w:pPr>
              <w:spacing w:after="0"/>
              <w:rPr>
                <w:sz w:val="1"/>
                <w:szCs w:val="1"/>
                <w:color w:val="auto"/>
              </w:rPr>
            </w:pPr>
          </w:p>
        </w:tc>
      </w:tr>
      <w:tr>
        <w:trPr>
          <w:trHeight w:val="127"/>
        </w:trPr>
        <w:tc>
          <w:tcPr>
            <w:tcW w:w="40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cost and expenses</w:t>
            </w:r>
          </w:p>
        </w:tc>
        <w:tc>
          <w:tcPr>
            <w:tcW w:w="24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17,717</w:t>
            </w:r>
          </w:p>
        </w:tc>
        <w:tc>
          <w:tcPr>
            <w:tcW w:w="1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18,525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(808)</w:t>
            </w:r>
          </w:p>
        </w:tc>
        <w:tc>
          <w:tcPr>
            <w:tcW w:w="0" w:type="dxa"/>
            <w:vAlign w:val="bottom"/>
          </w:tcPr>
          <w:p>
            <w:pPr>
              <w:spacing w:after="0"/>
              <w:rPr>
                <w:sz w:val="1"/>
                <w:szCs w:val="1"/>
                <w:color w:val="auto"/>
              </w:rPr>
            </w:pPr>
          </w:p>
        </w:tc>
      </w:tr>
      <w:tr>
        <w:trPr>
          <w:trHeight w:val="127"/>
        </w:trPr>
        <w:tc>
          <w:tcPr>
            <w:tcW w:w="4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Loss from operations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(17,273)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(18,525)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1,252</w:t>
            </w:r>
          </w:p>
        </w:tc>
        <w:tc>
          <w:tcPr>
            <w:tcW w:w="0" w:type="dxa"/>
            <w:vAlign w:val="bottom"/>
          </w:tcPr>
          <w:p>
            <w:pPr>
              <w:spacing w:after="0"/>
              <w:rPr>
                <w:sz w:val="1"/>
                <w:szCs w:val="1"/>
                <w:color w:val="auto"/>
              </w:rPr>
            </w:pPr>
          </w:p>
        </w:tc>
      </w:tr>
      <w:tr>
        <w:trPr>
          <w:trHeight w:val="13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2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27"/>
        </w:trPr>
        <w:tc>
          <w:tcPr>
            <w:tcW w:w="408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other income (expense)</w:t>
            </w:r>
          </w:p>
        </w:tc>
        <w:tc>
          <w:tcPr>
            <w:tcW w:w="24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ind w:left="100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35"/>
        </w:trPr>
        <w:tc>
          <w:tcPr>
            <w:tcW w:w="4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Net loss</w:t>
            </w:r>
          </w:p>
        </w:tc>
        <w:tc>
          <w:tcPr>
            <w:tcW w:w="2460" w:type="dxa"/>
            <w:vAlign w:val="bottom"/>
          </w:tcPr>
          <w:p>
            <w:pPr>
              <w:spacing w:after="0"/>
              <w:rPr>
                <w:sz w:val="11"/>
                <w:szCs w:val="11"/>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(17,273)</w:t>
            </w:r>
          </w:p>
        </w:tc>
        <w:tc>
          <w:tcPr>
            <w:tcW w:w="180" w:type="dxa"/>
            <w:vAlign w:val="bottom"/>
          </w:tcPr>
          <w:p>
            <w:pPr>
              <w:spacing w:after="0"/>
              <w:rPr>
                <w:sz w:val="11"/>
                <w:szCs w:val="11"/>
                <w:color w:val="auto"/>
              </w:rPr>
            </w:pPr>
          </w:p>
        </w:tc>
        <w:tc>
          <w:tcPr>
            <w:tcW w:w="5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(18,639)</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1,366</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122"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Revenues increased by $0.4 million to $0.4 million for the three-month period ended March 31, 2022, from zero during the same period in 2021 because we commenced sales agreement activity in August 2021 which triggered the recognition of revenue.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 of Revenues</w:t>
      </w:r>
    </w:p>
    <w:p>
      <w:pPr>
        <w:spacing w:after="0" w:line="15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Cost of revenues increased by $0.9 million to $0.9 million for the three-month period ended March 31, 2022, from zero during the same period in 2021. Prior to commercialization in August 2021, all uncapitalized manufacturing related overhead costs were recorded as research and development expenses. Upon commercialization, these costs are recorded as cost of revenue. Cost of revenue for the three-month period ended March 31, 2022 consisted primarily of the uncapitalized manufacturing related overhead costs for products assembled during the quarter. Substantially all of the inventory sold during the three-month period ended March 31, 2022, was previously reserved.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22"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decreased by $2.3 million to $6.8 million for the three-month period ended March 31, 2022, from $9.1 million during the same period in 2021 primarily due to decreases of $2.7 million in stock-based compensation, partially offset by $0.1 million of increased compensation and other employee related expenses, and $0.1 million related to restructuring related initiatives.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$1.4 million to $5.5 million for the three-month period ended March 31, 2022, from $4.1 million during the same period in 2021 primarily due to $1.6 million of increased compensation and other employee related expenses related primarily due to increased headcount, discrete restructuring related charge of $0.5 million, $0.2 million of increased non-cash Controlled Launch expenses, and $0.2 million of increased promotional activities. The increases were offset by a decrease of $1.3 million in stock-based compensation. The increases in sales and marketing activities are attributable to our FDA clearance, CE marking approval, and Health Canada clearance as we commercialize our CellFX System. The reduction in force was announced and effective as of March 31, 2022, therefore the headcount reduction and associated expense reductions were not yet reflected in the activity for the three-month period ended March 31,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2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$0.8 million to $4.5 million for the three-month period ended March 31, 2022, from $5.3 million during the same period in 2021 primarily due to $1.0 million of decreased stock-based compensation partially offset by $0.3 million of increased compensation and other employee related expenses driven largely by headcount growth to support commercial growth.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p>
      <w:pPr>
        <w:spacing w:after="0" w:line="122"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Interest expense decreased by $0.1 million to zero for the three-month period ended March 31, 2022, from $0.1 million during the same period in 2021 primarily due to the interest associated with the Loan Agreement which was terminated in June 2021. Interest income was flat when comparing the three-month period ended March 31, 2022 to the same period in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3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 Additionally, we expect that our general and administrative expenses will increase as we continue to incur incremental costs associated with being a public company and our sales and marketing expenses will increase as we continue to commercialize the CellFX System.</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three-month period ended March 31, 2022, we did not issue or sell any shares of common stock under the Sales Agreement. During the three-month period ended March 31, 2021, we issued and sold 288,490 shares of common stock under the Sales Agreement. The shares were sold at a weighted average price of $27.73 per share for aggregate net proceeds of approximately $7.4 million, after deducting sales commissions and offering costs payable by us.</w:t>
      </w:r>
    </w:p>
    <w:p>
      <w:pPr>
        <w:spacing w:after="0" w:line="10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March 2021 we entered into a Loan Agreement with Robert W. Duggan, our Board Chairman, in connection with Mr. Duggan lending the principal sum of $41.0 million to the Company. The Loan Agreement had a maturity date of June 11, 2022. Under the Loan Agreement, Mr. Duggan provided us, subject to certain conditions, an unsecured term loan facility in an original aggregate principal amount of $41.0 million. The Loan Agreement bore interest at a rate per annum equal to 5.0%, payable quarterly commencing on July 1, 2021. The Loan Agreement contained certain covenants and Events of Default.</w:t>
      </w:r>
    </w:p>
    <w:p>
      <w:pPr>
        <w:spacing w:after="0" w:line="10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On June 30, 2021, we entered into a Securities Purchase Agreement with Mr. Duggan, pursuant to which we issued and sold to Mr. Duggan 3,048,780 shares of our common stock, par value $0.001 per share, in a private placement, at a price per share of $16.40. The shares were paid for through (i) the conversion of the $41 million aggregate principal amount, together with all accrued and unpaid interest outstanding, pursuant to the Loan Agreement by and between us and Mr. Duggan (Note 8), and (ii) additional cash in the amount of approximately $8.4 million. Upon closing of this Private Placement and satisfaction of the outstanding debt, the Loan Agreement was terminated, without early termination fees or penalties being owed by us, and no additional amounts were owed to Mr. Duggan under the Loan Agreement. The cash proceeds of approximately $8.4 million were received by us in July 2021.</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condensed consolidated statements of cash flows as discussed herein are presented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gridSpan w:val="4"/>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Three-Month Periods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7580" w:type="dxa"/>
            <w:vAlign w:val="bottom"/>
            <w:vMerge w:val="restart"/>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75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jc w:val="right"/>
              <w:ind w:right="582"/>
              <w:spacing w:after="0" w:line="82" w:lineRule="exact"/>
              <w:rPr>
                <w:sz w:val="20"/>
                <w:szCs w:val="20"/>
                <w:color w:val="auto"/>
              </w:rPr>
            </w:pPr>
            <w:r>
              <w:rPr>
                <w:rFonts w:ascii="Times New Roman" w:cs="Times New Roman" w:eastAsia="Times New Roman" w:hAnsi="Times New Roman"/>
                <w:sz w:val="9"/>
                <w:szCs w:val="9"/>
                <w:b w:val="1"/>
                <w:bCs w:val="1"/>
                <w:color w:val="auto"/>
              </w:rPr>
              <w:t>2021</w:t>
            </w:r>
          </w:p>
        </w:tc>
        <w:tc>
          <w:tcPr>
            <w:tcW w:w="0" w:type="dxa"/>
            <w:vAlign w:val="bottom"/>
          </w:tcPr>
          <w:p>
            <w:pPr>
              <w:spacing w:after="0"/>
              <w:rPr>
                <w:sz w:val="1"/>
                <w:szCs w:val="1"/>
                <w:color w:val="auto"/>
              </w:rPr>
            </w:pPr>
          </w:p>
        </w:tc>
      </w:tr>
      <w:tr>
        <w:trPr>
          <w:trHeight w:val="117"/>
        </w:trPr>
        <w:tc>
          <w:tcPr>
            <w:tcW w:w="8180" w:type="dxa"/>
            <w:vAlign w:val="bottom"/>
            <w:tcBorders>
              <w:top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340" w:type="dxa"/>
            <w:vAlign w:val="bottom"/>
            <w:tcBorders>
              <w:top w:val="single" w:sz="8" w:color="auto"/>
            </w:tcBorders>
            <w:shd w:val="clear" w:color="auto" w:fill="CCEEFF"/>
          </w:tcPr>
          <w:p>
            <w:pPr>
              <w:jc w:val="right"/>
              <w:ind w:right="224"/>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(15,594)</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(11,687)</w:t>
            </w:r>
          </w:p>
        </w:tc>
        <w:tc>
          <w:tcPr>
            <w:tcW w:w="0" w:type="dxa"/>
            <w:vAlign w:val="bottom"/>
          </w:tcPr>
          <w:p>
            <w:pPr>
              <w:spacing w:after="0"/>
              <w:rPr>
                <w:sz w:val="1"/>
                <w:szCs w:val="1"/>
                <w:color w:val="auto"/>
              </w:rPr>
            </w:pPr>
          </w:p>
        </w:tc>
      </w:tr>
      <w:tr>
        <w:trPr>
          <w:trHeight w:val="129"/>
        </w:trPr>
        <w:tc>
          <w:tcPr>
            <w:tcW w:w="81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7,949</w:t>
            </w:r>
          </w:p>
        </w:tc>
        <w:tc>
          <w:tcPr>
            <w:tcW w:w="0" w:type="dxa"/>
            <w:vAlign w:val="bottom"/>
          </w:tcPr>
          <w:p>
            <w:pPr>
              <w:spacing w:after="0"/>
              <w:rPr>
                <w:sz w:val="1"/>
                <w:szCs w:val="1"/>
                <w:color w:val="auto"/>
              </w:rPr>
            </w:pPr>
          </w:p>
        </w:tc>
      </w:tr>
      <w:tr>
        <w:trPr>
          <w:trHeight w:val="129"/>
        </w:trPr>
        <w:tc>
          <w:tcPr>
            <w:tcW w:w="81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51,158</w:t>
            </w:r>
          </w:p>
        </w:tc>
        <w:tc>
          <w:tcPr>
            <w:tcW w:w="0" w:type="dxa"/>
            <w:vAlign w:val="bottom"/>
          </w:tcPr>
          <w:p>
            <w:pPr>
              <w:spacing w:after="0"/>
              <w:rPr>
                <w:sz w:val="1"/>
                <w:szCs w:val="1"/>
                <w:color w:val="auto"/>
              </w:rPr>
            </w:pPr>
          </w:p>
        </w:tc>
      </w:tr>
      <w:tr>
        <w:trPr>
          <w:trHeight w:val="126"/>
        </w:trPr>
        <w:tc>
          <w:tcPr>
            <w:tcW w:w="81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340" w:type="dxa"/>
            <w:vAlign w:val="bottom"/>
            <w:tcBorders>
              <w:bottom w:val="single" w:sz="8" w:color="auto"/>
            </w:tcBorders>
          </w:tcPr>
          <w:p>
            <w:pPr>
              <w:jc w:val="right"/>
              <w:ind w:right="224"/>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(15,938)</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2"/>
                <w:szCs w:val="12"/>
                <w:color w:val="auto"/>
              </w:rPr>
              <w:t>47,420</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 xml:space="preserve">To date, we have generated limited revenue and used cash in our operating activities. As a result, we have incurred significant operating losses in each year since our inception and we may continue to incur additional losses for the next several years. As of March 31, 2022, the Company had an accumulated deficit of $253.5 million, cash outflows from operations of $15.6 million for the three months then ended, cash and cash equivalents of $12.7 million and a net loss of $17.3 million. These factors, combined with the Company’s forecast of cash required to fund operations for a period of at least twelve months from the date of issuance of the accompanying consolidated financial statements, raise substantial doubt under ASC 205-40, </w:t>
      </w:r>
      <w:r>
        <w:rPr>
          <w:rFonts w:ascii="Times New Roman" w:cs="Times New Roman" w:eastAsia="Times New Roman" w:hAnsi="Times New Roman"/>
          <w:sz w:val="12"/>
          <w:szCs w:val="12"/>
          <w:i w:val="1"/>
          <w:iCs w:val="1"/>
          <w:color w:val="auto"/>
        </w:rPr>
        <w:t>Presentation of Financial Statements – Going Concern</w:t>
      </w:r>
      <w:r>
        <w:rPr>
          <w:rFonts w:ascii="Times New Roman" w:cs="Times New Roman" w:eastAsia="Times New Roman" w:hAnsi="Times New Roman"/>
          <w:sz w:val="12"/>
          <w:szCs w:val="12"/>
          <w:color w:val="auto"/>
        </w:rPr>
        <w:t xml:space="preserve"> about the Company’s ability to continue as a going concern within one year after the issuance of these consolidated financial statements. We plan to raise additional capital in the future to fund our operations through public or private equity offerings, debt financings, or our at-the-market equity offering program, or by entering into revenue-generating collaborations. Refer to Note 14 for details of a rights offering that management announced on April 14, 2022, to raise additional capital. Mr. Duggan, our majority stockholder, may elect to participate in any number of our future financings, or alternatively he may offer to provide debt financing as may be needed in order to maintain the Company as a going concern. We can give no assurance, at this time, that additional financing or a collaboration will be available when needed on terms acceptable to us, however.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primary uses of cash in operating activities are for ongoing product development and commercialization activities relating to our product and product candidates.</w:t>
      </w:r>
    </w:p>
    <w:p>
      <w:pPr>
        <w:spacing w:after="0" w:line="120"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During the three-month period ended March 31, 2022, we used cash in the amount of $15.6 million in operating activities. The difference between cash used in operating activities and net loss consisted primarily of stock-based compensation, depreciation and amortization, as well as increases in inventory and accounts payable.</w:t>
      </w:r>
    </w:p>
    <w:p>
      <w:pPr>
        <w:spacing w:after="0" w:line="69"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During the three-month period ended March 31, 2021, we used cash of $11.7 million in operating activities. The difference between cash used in operating activities and net loss consisted primarily of stock-based compensation, depreciation and amortization, as well as increases in inventory, accounts payable and accrued liabilities.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investing activities consist primarily of investment purchases, sales and maturities and capital expenditures.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During the three-month period ended March 31, 2022, $0.3 million of cash used in investing activities was driven by the purchase of property and equipment.</w:t>
      </w:r>
    </w:p>
    <w:p>
      <w:pPr>
        <w:spacing w:after="0" w:line="111"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During the three-month period ended March 31, 2021, $7.9 million of cash provided by investing activities was primarily from $8.0 million of cash proceeds from the maturities of investments, partially offset by the purchase of property and equipment.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22"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During the three-month period ended March 31, 2022, cash used in financing activities was $0.1 million, primarily due to $0.4 million of payments made on the Insurance Loan Agreement, partially offset by cash received from the sale of stock under our employee stock purchase plan.</w:t>
      </w:r>
    </w:p>
    <w:p>
      <w:pPr>
        <w:spacing w:after="0" w:line="87"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During the three-month period ended March 31, 2021, cash provided from financing activities was $51.2 million, primarily due to $41.0 million net cash received from our Loan Agreement, $4.9 million net cash received from our at-the-market equity offering, $4.8 million received from stock option and warrant exercises, and $0.4 million received from the sale of stock under our employee stock purchase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There have been no material changes outside the ordinary course of our business to the contractual obligations disclosed in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 March 31, 2022, we did not have any transactions, obligations or relationships that constitute off-balance sheet arrangements.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98"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Trends, Events and Uncertainties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commercialization of the CellFX System, including, but not limited to, additional financing through follow-on stock offerings, debt financings, or co-development agreements and /or other alternatives.</w:t>
      </w:r>
    </w:p>
    <w:p>
      <w:pPr>
        <w:spacing w:after="0" w:line="92"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6"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87"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1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have been no material changes in market risk from the information provided in our Annual Report on Form 10-K for the year ended December 31, 2021.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1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March 31, 2022,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13"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identified in connection with the evaluation required by Rule 13a-15(d) and 15d-15(d) of the Exchange Act, as amended, that occurred during the quarter ended March 31, 2022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Limitations on Effectiveness of Controls</w:t>
      </w:r>
    </w:p>
    <w:p>
      <w:pPr>
        <w:spacing w:after="0" w:line="12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may not be detected.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w:t>
      </w:r>
    </w:p>
    <w:p>
      <w:pPr>
        <w:spacing w:after="0" w:line="9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Additional Information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lawsuit seeks class certification, unspecified damages, fees, costs, and expenses. Based upon currently available information, we believe the allegations in this case are without merit and we will defend vigorously against them. The Company expects to file a motion to dismiss the case later this year, and an estimate of possible loss or range of loss, if any, cannot be made at this time.</w:t>
      </w:r>
    </w:p>
    <w:p>
      <w:pPr>
        <w:spacing w:after="0" w:line="109"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results of legal proceedings and claims are inherently unpredictable. However, we do not believe any currently pending matters will have a material adverse effect on our business based on our current understanding of such matters.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2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96" w:lineRule="exact"/>
        <w:rPr>
          <w:sz w:val="20"/>
          <w:szCs w:val="20"/>
          <w:color w:val="auto"/>
        </w:rPr>
      </w:pPr>
    </w:p>
    <w:p>
      <w:pPr>
        <w:ind w:left="440" w:right="7120"/>
        <w:spacing w:after="0" w:line="464" w:lineRule="auto"/>
        <w:rPr>
          <w:sz w:val="20"/>
          <w:szCs w:val="20"/>
          <w:color w:val="auto"/>
        </w:rPr>
      </w:pPr>
      <w:r>
        <w:rPr>
          <w:rFonts w:ascii="Times New Roman" w:cs="Times New Roman" w:eastAsia="Times New Roman" w:hAnsi="Times New Roman"/>
          <w:sz w:val="12"/>
          <w:szCs w:val="12"/>
          <w:color w:val="auto"/>
        </w:rPr>
        <w:t>Our limited operating history and our limited revenue producing operations; Our inability to operate without additional fundraising;</w:t>
      </w:r>
    </w:p>
    <w:p>
      <w:pPr>
        <w:spacing w:after="0" w:line="1" w:lineRule="exact"/>
        <w:rPr>
          <w:sz w:val="20"/>
          <w:szCs w:val="20"/>
          <w:color w:val="auto"/>
        </w:rPr>
      </w:pPr>
    </w:p>
    <w:p>
      <w:pPr>
        <w:ind w:left="440" w:right="7600"/>
        <w:spacing w:after="0" w:line="456" w:lineRule="auto"/>
        <w:rPr>
          <w:sz w:val="20"/>
          <w:szCs w:val="20"/>
          <w:color w:val="auto"/>
        </w:rPr>
      </w:pPr>
      <w:r>
        <w:rPr>
          <w:rFonts w:ascii="Times New Roman" w:cs="Times New Roman" w:eastAsia="Times New Roman" w:hAnsi="Times New Roman"/>
          <w:sz w:val="12"/>
          <w:szCs w:val="12"/>
          <w:color w:val="auto"/>
        </w:rPr>
        <w:t>Substantial doubt about our ability to continue as a going concern; Competition within our industry;</w:t>
      </w:r>
    </w:p>
    <w:p>
      <w:pPr>
        <w:spacing w:after="0" w:line="1" w:lineRule="exact"/>
        <w:rPr>
          <w:sz w:val="20"/>
          <w:szCs w:val="20"/>
          <w:color w:val="auto"/>
        </w:rPr>
      </w:pPr>
    </w:p>
    <w:p>
      <w:pPr>
        <w:ind w:left="440" w:right="8000"/>
        <w:spacing w:after="0" w:line="464" w:lineRule="auto"/>
        <w:rPr>
          <w:sz w:val="20"/>
          <w:szCs w:val="20"/>
          <w:color w:val="auto"/>
        </w:rPr>
      </w:pPr>
      <w:r>
        <w:rPr>
          <w:rFonts w:ascii="Times New Roman" w:cs="Times New Roman" w:eastAsia="Times New Roman" w:hAnsi="Times New Roman"/>
          <w:sz w:val="12"/>
          <w:szCs w:val="12"/>
          <w:color w:val="auto"/>
        </w:rPr>
        <w:t>Health epidemics, including the coronavirus pandemic; Our reliance on certain third parties such as key suppliers; Potential loss of key management personnel;</w:t>
      </w:r>
    </w:p>
    <w:p>
      <w:pPr>
        <w:spacing w:after="0" w:line="1" w:lineRule="exact"/>
        <w:rPr>
          <w:sz w:val="20"/>
          <w:szCs w:val="20"/>
          <w:color w:val="auto"/>
        </w:rPr>
      </w:pPr>
    </w:p>
    <w:p>
      <w:pPr>
        <w:ind w:left="440" w:right="3420"/>
        <w:spacing w:after="0" w:line="456" w:lineRule="auto"/>
        <w:rPr>
          <w:sz w:val="20"/>
          <w:szCs w:val="20"/>
          <w:color w:val="auto"/>
        </w:rPr>
      </w:pPr>
      <w:r>
        <w:rPr>
          <w:rFonts w:ascii="Times New Roman" w:cs="Times New Roman" w:eastAsia="Times New Roman" w:hAnsi="Times New Roman"/>
          <w:sz w:val="12"/>
          <w:szCs w:val="12"/>
          <w:color w:val="auto"/>
        </w:rPr>
        <w:t>Potential security breaches, loss of data, and other disruptions to us or to our third-party service providers that could compromise sensitive information; Potential product liability lawsuits and other litigation;</w:t>
      </w:r>
    </w:p>
    <w:p>
      <w:pPr>
        <w:spacing w:after="0" w:line="1" w:lineRule="exact"/>
        <w:rPr>
          <w:sz w:val="20"/>
          <w:szCs w:val="20"/>
          <w:color w:val="auto"/>
        </w:rPr>
      </w:pPr>
    </w:p>
    <w:p>
      <w:pPr>
        <w:ind w:left="440" w:right="6320"/>
        <w:spacing w:after="0" w:line="464" w:lineRule="auto"/>
        <w:rPr>
          <w:sz w:val="20"/>
          <w:szCs w:val="20"/>
          <w:color w:val="auto"/>
        </w:rPr>
      </w:pPr>
      <w:r>
        <w:rPr>
          <w:rFonts w:ascii="Times New Roman" w:cs="Times New Roman" w:eastAsia="Times New Roman" w:hAnsi="Times New Roman"/>
          <w:sz w:val="12"/>
          <w:szCs w:val="12"/>
          <w:color w:val="auto"/>
        </w:rPr>
        <w:t>The timing, unpredictability, and expense of our clinical and product development activities; The possibility of adverse trial results and unfavorable long-term trial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Potential failure to obtain and maintain necessary regulatory clearances or approvals;</w:t>
      </w:r>
    </w:p>
    <w:p>
      <w:pPr>
        <w:spacing w:after="0" w:line="120" w:lineRule="exact"/>
        <w:rPr>
          <w:sz w:val="20"/>
          <w:szCs w:val="20"/>
          <w:color w:val="auto"/>
        </w:rPr>
      </w:pPr>
    </w:p>
    <w:p>
      <w:pPr>
        <w:ind w:left="440" w:right="3380"/>
        <w:spacing w:after="0" w:line="277" w:lineRule="auto"/>
        <w:rPr>
          <w:sz w:val="20"/>
          <w:szCs w:val="20"/>
          <w:color w:val="auto"/>
        </w:rPr>
      </w:pPr>
      <w:r>
        <w:rPr>
          <w:rFonts w:ascii="Times New Roman" w:cs="Times New Roman" w:eastAsia="Times New Roman" w:hAnsi="Times New Roman"/>
          <w:sz w:val="12"/>
          <w:szCs w:val="12"/>
          <w:color w:val="auto"/>
        </w:rPr>
        <w:t>Uncertainties concerning the long-term safety and effectiveness of our CellFX System and product candidates, and the potential for adverse side effects; The commercial uncertainties concerning whether there will be broad adoption of our CellFX System and NPS technology;</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Possible challenges enrolling patients in our clinical trials;</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Uncertainties concerning our ability to obtain an adequate level of reimbursement by Medicare and other third-party payers;</w:t>
      </w:r>
    </w:p>
    <w:p>
      <w:pPr>
        <w:spacing w:after="0" w:line="129" w:lineRule="exact"/>
        <w:rPr>
          <w:sz w:val="20"/>
          <w:szCs w:val="20"/>
          <w:color w:val="auto"/>
        </w:rPr>
      </w:pPr>
    </w:p>
    <w:p>
      <w:pPr>
        <w:ind w:left="440" w:right="3960"/>
        <w:spacing w:after="0" w:line="464" w:lineRule="auto"/>
        <w:rPr>
          <w:sz w:val="20"/>
          <w:szCs w:val="20"/>
          <w:color w:val="auto"/>
        </w:rPr>
      </w:pPr>
      <w:r>
        <w:rPr>
          <w:rFonts w:ascii="Times New Roman" w:cs="Times New Roman" w:eastAsia="Times New Roman" w:hAnsi="Times New Roman"/>
          <w:sz w:val="12"/>
          <w:szCs w:val="12"/>
          <w:color w:val="auto"/>
        </w:rPr>
        <w:t>Protection of intellectual property, potential litigation related to intellectual property, and obligations under intellectual property agreements; Stringent domestic and foreign regulation in respect of any potential devices and products, including healthcare laws and regulations;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Healthcare policy changes;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Volatility of the price of our common stock;</w:t>
      </w:r>
    </w:p>
    <w:p>
      <w:pPr>
        <w:spacing w:after="0" w:line="120" w:lineRule="exact"/>
        <w:rPr>
          <w:sz w:val="20"/>
          <w:szCs w:val="20"/>
          <w:color w:val="auto"/>
        </w:rPr>
      </w:pPr>
    </w:p>
    <w:p>
      <w:pPr>
        <w:ind w:left="440" w:right="6000"/>
        <w:spacing w:after="0" w:line="464" w:lineRule="auto"/>
        <w:rPr>
          <w:sz w:val="20"/>
          <w:szCs w:val="20"/>
          <w:color w:val="auto"/>
        </w:rPr>
      </w:pPr>
      <w:r>
        <w:rPr>
          <w:rFonts w:ascii="Times New Roman" w:cs="Times New Roman" w:eastAsia="Times New Roman" w:hAnsi="Times New Roman"/>
          <w:sz w:val="12"/>
          <w:szCs w:val="12"/>
          <w:color w:val="auto"/>
        </w:rPr>
        <w:t>Concentration of ownership by our principal stockholder and Board Chairman, Robert W. Duggan; Unfavorable global economic or political conditions;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Potential material weaknesses and uncertainties concerning our ability to maintain an effective system of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 Industry and Financial Condition</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Because we have a limited operating history and have recently commenced revenue producing operations, it is difficult to evaluate the future of our business</w:t>
      </w:r>
      <w:r>
        <w:rPr>
          <w:rFonts w:ascii="Times New Roman" w:cs="Times New Roman" w:eastAsia="Times New Roman" w:hAnsi="Times New Roman"/>
          <w:sz w:val="12"/>
          <w:szCs w:val="12"/>
          <w:color w:val="auto"/>
        </w:rPr>
        <w:t>.</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a bioelectric medicine technology company and have recently commenced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currently have very limited product revenue and we may never become profitable.</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To date, we have not generated significant revenue and we have historically relied on financing from the sale of equity securities to fund our operations. We expect that our future financial results will depend primarily on our success in launching, selling, and supporting our therapies and procedures using the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10"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There is substantial doubt about our ability to continue as a going concern, and such doubt will remain even if the 2022 Rights Offering is fully subscribed unless we are able to raise additional capital by other means.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To date, we have generated limited revenue from product sales and have incurred significant operating losses in each year since our inception and we anticipate that losses may continue for the next several years or until such time as we can generate substantial product revenue and achieve profitability. In connection with the preparation of this Quarterly Report for the three months ended March 31, 2022, our management has concluded that there is substantial doubt as to whether we can continue as a going concern for the twelve months following the issuance of this Quarterly Report. Our ability to continue as a going concern is dependent upon raising capital to maintain current operations and continue research and development efforts. We plan to raise additional capital to fund our operations through public or private equity offerings, debt financings, our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w:t>
      </w:r>
    </w:p>
    <w:p>
      <w:pPr>
        <w:spacing w:after="0" w:line="11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Based on our current operating plan, even if the 2022 Rights Offering contemplated by the Prospectus Supplement filed by the Company is fully subscribed, we will not be able to continue as a going concern over the next twelve months unless we raise additional capital by other means. These factors raise substantial doubt about our ability to continue as a going concern.</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can give no assurance that our internal and external sources of liquidity will be sufficient for our cash requirements.</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Accordingly,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will need to raise additional capital in order to continue to execute our business plan. If we are unable to raise sufficient additional funds, we will have to scale back our operations. Also, the ongoing hostilities between Russia and Ukraine and the ongoing COVID-19 pandemic and resulting negative impact on the global macroeconomic environment and capital markets may make it more difficult for us to raise additional funds. We may be required to incur debt in the future.</w:t>
      </w:r>
    </w:p>
    <w:p>
      <w:pPr>
        <w:spacing w:after="0" w:line="106"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09"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If we are unable to obtain adequate financing or financing on terms satisfactory to us when we require it, we may be required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corporate restructuring and the associated headcount reduction announced in March 2022 may not result in anticipated savings, could result in total costs and expenses and attrition that are greater than expected and could disrupt our business.</w:t>
      </w:r>
    </w:p>
    <w:p>
      <w:pPr>
        <w:spacing w:after="0" w:line="75"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On March 31, 2022, we announced an approximate 20% reduction in headcount as part of a corporate restructuring plan.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plan, our operating results and financial condition would be adversely affected. We may have to undertake additional headcount reductions or restructuring activities in the future. Furthermore, our restructuring activities may be disruptive to our operations and could result in material delays in our new product development programs. For example, our headcount reductions could yield unanticipated consequences, such as attrition beyond planned staff reductions, or increase difficulties in our day-to-day operations, our CellFX System production efforts, servicing of commercial accounts, and product development activities. Our headcount reductions could also harm our ability to attract and retain qualified management, scientific, clinical, regulatory, manufacturing, and other personnel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spacing w:after="0" w:line="109"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9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For example,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and other personnel who are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revenues and future profitability are entirely dependent upon one family of products, the CellFX System, and one platform technology, Nano-pulse Stimulation.</w:t>
      </w:r>
    </w:p>
    <w:p>
      <w:pPr>
        <w:spacing w:after="0" w:line="12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revenue is generated entirely from the CellFX System, which consists of a console, handpieces and tips, and both these products and all our potential products under development are based upon the same patented platform technology, Nano-pulse Stimulation (“NPS”). Our revenue is therefore dependent on the success of these products and platform technology, and if these products are not widely adopted by dermatologists or if we suffer any disruptions in our ability to sell these products, our business will suffer. Reliance on a single family of products and single platform technology could negatively affect our results of operations and financial condition. Our ability to become profitable will depend upon the commercial success of these products and platform technology.</w:t>
      </w:r>
    </w:p>
    <w:p>
      <w:pPr>
        <w:spacing w:after="0" w:line="107"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We market the CellFX System primarily to aesthetic and medical dermatologists who may be slow or fail to adopt our products or who may use our products in only a small percentage of their eligible patients for a variety of reasons, including, among others: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lack of experience with our products;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lack of adequate reimbursement or cost to the patient;</w:t>
      </w:r>
    </w:p>
    <w:p>
      <w:pPr>
        <w:spacing w:after="0" w:line="129" w:lineRule="exact"/>
        <w:rPr>
          <w:sz w:val="20"/>
          <w:szCs w:val="20"/>
          <w:color w:val="auto"/>
        </w:rPr>
      </w:pPr>
    </w:p>
    <w:p>
      <w:pPr>
        <w:ind w:left="440" w:right="4700"/>
        <w:spacing w:after="0" w:line="464" w:lineRule="auto"/>
        <w:rPr>
          <w:sz w:val="20"/>
          <w:szCs w:val="20"/>
          <w:color w:val="auto"/>
        </w:rPr>
      </w:pPr>
      <w:r>
        <w:rPr>
          <w:rFonts w:ascii="Times New Roman" w:cs="Times New Roman" w:eastAsia="Times New Roman" w:hAnsi="Times New Roman"/>
          <w:sz w:val="12"/>
          <w:szCs w:val="12"/>
          <w:color w:val="auto"/>
        </w:rPr>
        <w:t>lack of conviction regarding evidence supporting cost benefits or cost effectiveness of our products over existing alternatives; lack of clinical data showing longer-term patient benefits;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possible introduction of new technologies competitive to our products; and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liability risks generally associated with the use of new products and procedures.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our products, including our platform NPS technology, could be rendered obsolete or economically impractical by numerous factors, many of which are beyond our control, including but not limited to:</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entrance of new competitors into our markets;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technological advancements of alternative technologies, such as laser ablation technologies;</w:t>
      </w:r>
    </w:p>
    <w:p>
      <w:pPr>
        <w:spacing w:after="0" w:line="120" w:lineRule="exact"/>
        <w:rPr>
          <w:sz w:val="20"/>
          <w:szCs w:val="20"/>
          <w:color w:val="auto"/>
        </w:rPr>
      </w:pPr>
    </w:p>
    <w:p>
      <w:pPr>
        <w:ind w:left="440" w:right="6160"/>
        <w:spacing w:after="0" w:line="464" w:lineRule="auto"/>
        <w:rPr>
          <w:sz w:val="20"/>
          <w:szCs w:val="20"/>
          <w:color w:val="auto"/>
        </w:rPr>
      </w:pPr>
      <w:r>
        <w:rPr>
          <w:rFonts w:ascii="Times New Roman" w:cs="Times New Roman" w:eastAsia="Times New Roman" w:hAnsi="Times New Roman"/>
          <w:sz w:val="12"/>
          <w:szCs w:val="12"/>
          <w:color w:val="auto"/>
        </w:rPr>
        <w:t>loss of key relationships with suppliers, group purchasing organizations, or end-user customers; manufacturing or supply interruptions;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product liability claims;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reputation and product market acceptance;</w:t>
      </w:r>
    </w:p>
    <w:p>
      <w:pPr>
        <w:spacing w:after="0" w:line="129" w:lineRule="exact"/>
        <w:rPr>
          <w:sz w:val="20"/>
          <w:szCs w:val="20"/>
          <w:color w:val="auto"/>
        </w:rPr>
      </w:pPr>
    </w:p>
    <w:p>
      <w:pPr>
        <w:ind w:left="440" w:right="5580"/>
        <w:spacing w:after="0" w:line="455" w:lineRule="auto"/>
        <w:rPr>
          <w:sz w:val="20"/>
          <w:szCs w:val="20"/>
          <w:color w:val="auto"/>
        </w:rPr>
      </w:pPr>
      <w:r>
        <w:rPr>
          <w:rFonts w:ascii="Times New Roman" w:cs="Times New Roman" w:eastAsia="Times New Roman" w:hAnsi="Times New Roman"/>
          <w:sz w:val="12"/>
          <w:szCs w:val="12"/>
          <w:color w:val="auto"/>
        </w:rPr>
        <w:t>loss of existing regulatory approvals or the imposition of new requirements to maintain such approvals; and product recalls or safety alerts.</w:t>
      </w: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fail to meet our publicly announced guidance or other expectations about our business and future operating results, which could cause our stock price to decline.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Company may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aesthetic device market,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87" w:lineRule="exact"/>
        <w:rPr>
          <w:sz w:val="20"/>
          <w:szCs w:val="20"/>
          <w:color w:val="auto"/>
        </w:rPr>
      </w:pPr>
    </w:p>
    <w:p>
      <w:pPr>
        <w:ind w:left="440" w:right="1420"/>
        <w:spacing w:after="0" w:line="456" w:lineRule="auto"/>
        <w:rPr>
          <w:sz w:val="20"/>
          <w:szCs w:val="20"/>
          <w:color w:val="auto"/>
        </w:rPr>
      </w:pPr>
      <w:r>
        <w:rPr>
          <w:rFonts w:ascii="Times New Roman" w:cs="Times New Roman" w:eastAsia="Times New Roman" w:hAnsi="Times New Roman"/>
          <w:sz w:val="12"/>
          <w:szCs w:val="12"/>
          <w:color w:val="auto"/>
        </w:rPr>
        <w:t>the timing and cost of, and level of investment in, research, development, and commercialization activities relating to our product and product candidates, which may change from time to time; the timing of receipt of approvals or clearances for our product candidates from regulatory authorities in the United States or internationally;</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timing and status of enrollment for our clinical trials;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96"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the costs of manufacturing our product, as well as building out our supply chain, which may vary depending on the quantity of production and which will vary significantly depending upon the terms of our agreements with manufacturers;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jc w:val="both"/>
        <w:ind w:left="440" w:right="4580"/>
        <w:spacing w:after="0" w:line="464" w:lineRule="auto"/>
        <w:rPr>
          <w:sz w:val="20"/>
          <w:szCs w:val="20"/>
          <w:color w:val="auto"/>
        </w:rPr>
      </w:pPr>
      <w:r>
        <w:rPr>
          <w:rFonts w:ascii="Times New Roman" w:cs="Times New Roman" w:eastAsia="Times New Roman" w:hAnsi="Times New Roman"/>
          <w:sz w:val="12"/>
          <w:szCs w:val="12"/>
          <w:color w:val="auto"/>
        </w:rPr>
        <w:t>the level of demand for our product and any product candidates, if approved or cleared, which may vary significantly over time; litigation, including patent, employment, securities class action, stockholder derivative, general commercial, and other lawsuits; future accounting pronouncements or changes in our accounting policies; and</w:t>
      </w:r>
    </w:p>
    <w:p>
      <w:pPr>
        <w:spacing w:after="0" w:line="1"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00"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Because we operate in a highly competitive market, we can expect to face competition from large, well-established manufacturers of medical technologies, devices and similar products; we may not be able to compete effectively against companies with significantly more resources.</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significantly greater name recognition;</w:t>
      </w:r>
    </w:p>
    <w:p>
      <w:pPr>
        <w:spacing w:after="0" w:line="129" w:lineRule="exact"/>
        <w:rPr>
          <w:sz w:val="20"/>
          <w:szCs w:val="20"/>
          <w:color w:val="auto"/>
        </w:rPr>
      </w:pPr>
    </w:p>
    <w:p>
      <w:pPr>
        <w:ind w:left="440" w:right="6460"/>
        <w:spacing w:after="0" w:line="464" w:lineRule="auto"/>
        <w:rPr>
          <w:sz w:val="20"/>
          <w:szCs w:val="20"/>
          <w:color w:val="auto"/>
        </w:rPr>
      </w:pPr>
      <w:r>
        <w:rPr>
          <w:rFonts w:ascii="Times New Roman" w:cs="Times New Roman" w:eastAsia="Times New Roman" w:hAnsi="Times New Roman"/>
          <w:sz w:val="12"/>
          <w:szCs w:val="12"/>
          <w:color w:val="auto"/>
        </w:rPr>
        <w:t>established relationships with healthcare professionals, customers, and third-party payers; competitive products with greater efficacy or better safety profiles;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established distribution networks;</w:t>
      </w:r>
    </w:p>
    <w:p>
      <w:pPr>
        <w:spacing w:after="0" w:line="129" w:lineRule="exact"/>
        <w:rPr>
          <w:sz w:val="20"/>
          <w:szCs w:val="20"/>
          <w:color w:val="auto"/>
        </w:rPr>
      </w:pPr>
    </w:p>
    <w:p>
      <w:pPr>
        <w:ind w:left="440" w:right="4820"/>
        <w:spacing w:after="0" w:line="456" w:lineRule="auto"/>
        <w:rPr>
          <w:sz w:val="20"/>
          <w:szCs w:val="20"/>
          <w:color w:val="auto"/>
        </w:rPr>
      </w:pPr>
      <w:r>
        <w:rPr>
          <w:rFonts w:ascii="Times New Roman" w:cs="Times New Roman" w:eastAsia="Times New Roman" w:hAnsi="Times New Roman"/>
          <w:sz w:val="12"/>
          <w:szCs w:val="12"/>
          <w:color w:val="auto"/>
        </w:rPr>
        <w:t>additional lines of products and the ability to offer rebates, higher discounts, or incentives to gain a competitive advantage; greater experience in obtaining patents and regulatory approvals for product candidates;</w:t>
      </w:r>
    </w:p>
    <w:p>
      <w:pPr>
        <w:spacing w:after="0" w:line="1" w:lineRule="exact"/>
        <w:rPr>
          <w:sz w:val="20"/>
          <w:szCs w:val="20"/>
          <w:color w:val="auto"/>
        </w:rPr>
      </w:pPr>
    </w:p>
    <w:p>
      <w:pPr>
        <w:ind w:left="440" w:right="800"/>
        <w:spacing w:after="0" w:line="502" w:lineRule="auto"/>
        <w:rPr>
          <w:sz w:val="20"/>
          <w:szCs w:val="20"/>
          <w:color w:val="auto"/>
        </w:rPr>
      </w:pPr>
      <w:r>
        <w:rPr>
          <w:rFonts w:ascii="Times New Roman" w:cs="Times New Roman" w:eastAsia="Times New Roman" w:hAnsi="Times New Roman"/>
          <w:sz w:val="12"/>
          <w:szCs w:val="12"/>
          <w:color w:val="auto"/>
        </w:rPr>
        <w:t>greater experience conducting new product research and development, manufacturing therapies, conducting clinical trials, obtaining regulatory approval for products, and marketing approved products; and greater financial and human resources for product development, sales and marketing.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rely on third parties for our sales, marketing, manufacturing, and/or distribution activities, and these third parties may not perform satisfactorily.</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These third parties may also be adversely impacted by COVID-19 which could affect their ability to perform satisfactorily.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0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have recently commenced revenue-producing operations; however,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05"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249" w:lineRule="exact"/>
        <w:rPr>
          <w:sz w:val="20"/>
          <w:szCs w:val="20"/>
          <w:color w:val="auto"/>
        </w:rPr>
      </w:pPr>
    </w:p>
    <w:p>
      <w:pPr>
        <w:jc w:val="both"/>
        <w:ind w:firstLine="301"/>
        <w:spacing w:after="0" w:line="248" w:lineRule="auto"/>
        <w:rPr>
          <w:sz w:val="20"/>
          <w:szCs w:val="20"/>
          <w:color w:val="auto"/>
        </w:rPr>
      </w:pPr>
      <w:r>
        <w:rPr>
          <w:rFonts w:ascii="Times New Roman" w:cs="Times New Roman" w:eastAsia="Times New Roman" w:hAnsi="Times New Roman"/>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very limited experience selling the CellFX System.</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Successfully commercializing medical devices such as ours is a complex and uncertain process. We began marketing and selling the CellFX System in the United States, Canada, and certain limited European markets in late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2021 to dermatologists through a limited direct sales force. In January 2022, we established an operating company in the Netherlands to further enhance our operations in Europe. As of December 31, 2021, our U.S. sales force consisted of 7 sales managers and directors and 3 clinical support specialists directly employed by us. As of December 31, 2021, our international sales force consisted of 3 sales managers and directors and 7 clinical support specialists, all of whom are employed by Globalization Partners, a third-party employer of record engaged by us. We therefore have limited experience marketing and selling the CellFX System and our revenues and cash flows have been volatile and difficult to predict.</w:t>
      </w:r>
    </w:p>
    <w:p>
      <w:pPr>
        <w:spacing w:after="0" w:line="109"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We hire and train sales representatives and clinical specialists with backgrounds and experience in the aesthetic dermatology market, especially those familiar with energy-based therapies and who have existing relationships with dermatologist.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06" w:lineRule="exact"/>
        <w:rPr>
          <w:sz w:val="20"/>
          <w:szCs w:val="20"/>
          <w:color w:val="auto"/>
        </w:rPr>
      </w:pPr>
    </w:p>
    <w:p>
      <w:pPr>
        <w:jc w:val="both"/>
        <w:ind w:right="20" w:firstLine="301"/>
        <w:spacing w:after="0" w:line="277" w:lineRule="auto"/>
        <w:rPr>
          <w:sz w:val="20"/>
          <w:szCs w:val="20"/>
          <w:color w:val="auto"/>
        </w:rPr>
      </w:pPr>
      <w:r>
        <w:rPr>
          <w:rFonts w:ascii="Times New Roman" w:cs="Times New Roman" w:eastAsia="Times New Roman" w:hAnsi="Times New Roman"/>
          <w:sz w:val="12"/>
          <w:szCs w:val="12"/>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effectiveness of our marketing and sales efforts in the United States and internationally;</w:t>
      </w:r>
    </w:p>
    <w:p>
      <w:pPr>
        <w:spacing w:after="0" w:line="129" w:lineRule="exact"/>
        <w:rPr>
          <w:sz w:val="20"/>
          <w:szCs w:val="20"/>
          <w:color w:val="auto"/>
        </w:rPr>
      </w:pPr>
    </w:p>
    <w:p>
      <w:pPr>
        <w:ind w:left="440" w:right="5600"/>
        <w:spacing w:after="0" w:line="464" w:lineRule="auto"/>
        <w:rPr>
          <w:sz w:val="20"/>
          <w:szCs w:val="20"/>
          <w:color w:val="auto"/>
        </w:rPr>
      </w:pPr>
      <w:r>
        <w:rPr>
          <w:rFonts w:ascii="Times New Roman" w:cs="Times New Roman" w:eastAsia="Times New Roman" w:hAnsi="Times New Roman"/>
          <w:sz w:val="12"/>
          <w:szCs w:val="12"/>
          <w:color w:val="auto"/>
        </w:rPr>
        <w:t>our success in educating physicians and patients about the benefits, administration and use of our products; the acceptance by physicians and patients of the safety and effectiveness of our products;</w:t>
      </w:r>
    </w:p>
    <w:p>
      <w:pPr>
        <w:spacing w:after="0" w:line="1" w:lineRule="exact"/>
        <w:rPr>
          <w:sz w:val="20"/>
          <w:szCs w:val="20"/>
          <w:color w:val="auto"/>
        </w:rPr>
      </w:pPr>
    </w:p>
    <w:p>
      <w:pPr>
        <w:ind w:left="440" w:right="4600"/>
        <w:spacing w:after="0" w:line="456" w:lineRule="auto"/>
        <w:rPr>
          <w:sz w:val="20"/>
          <w:szCs w:val="20"/>
          <w:color w:val="auto"/>
        </w:rPr>
      </w:pPr>
      <w:r>
        <w:rPr>
          <w:rFonts w:ascii="Times New Roman" w:cs="Times New Roman" w:eastAsia="Times New Roman" w:hAnsi="Times New Roman"/>
          <w:sz w:val="12"/>
          <w:szCs w:val="12"/>
          <w:color w:val="auto"/>
        </w:rPr>
        <w:t>the availability, perceived advantages, relative cost, relative safety, and relative efficacy of alternative and competing therapies; our ability to obtain, maintain, and enforce our intellectual property rights in and to our CellFX System;</w:t>
      </w:r>
    </w:p>
    <w:p>
      <w:pPr>
        <w:spacing w:after="0" w:line="1" w:lineRule="exact"/>
        <w:rPr>
          <w:sz w:val="20"/>
          <w:szCs w:val="20"/>
          <w:color w:val="auto"/>
        </w:rPr>
      </w:pPr>
    </w:p>
    <w:p>
      <w:pPr>
        <w:ind w:left="440" w:right="4460"/>
        <w:spacing w:after="0" w:line="464" w:lineRule="auto"/>
        <w:rPr>
          <w:sz w:val="20"/>
          <w:szCs w:val="20"/>
          <w:color w:val="auto"/>
        </w:rPr>
      </w:pPr>
      <w:r>
        <w:rPr>
          <w:rFonts w:ascii="Times New Roman" w:cs="Times New Roman" w:eastAsia="Times New Roman" w:hAnsi="Times New Roman"/>
          <w:sz w:val="12"/>
          <w:szCs w:val="12"/>
          <w:color w:val="auto"/>
        </w:rPr>
        <w:t>our ability to raise additional capital on acceptable terms, or at all, if needed to support the commercialization of our products; and our ability to achieve and maintain compliance with all regulatory requirements applicable to our products.</w:t>
      </w:r>
    </w:p>
    <w:p>
      <w:pPr>
        <w:spacing w:after="0" w:line="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intention is for our direct sales representatives to develop long-lasting relationships with the dermatologists they serve. Our future success will depend largely on our ability to continue to hire, train, retain and motivate skilled direct sales representatives with significant technical knowledge in various areas, such as dermatology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Rapidly changing technology in life sciences could make the products we are developing obsolete.</w:t>
      </w:r>
    </w:p>
    <w:p>
      <w:pPr>
        <w:spacing w:after="0" w:line="122"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manage the anticipated growth of our business, our future revenue and operating results may be harmed.</w:t>
      </w:r>
    </w:p>
    <w:p>
      <w:pPr>
        <w:spacing w:after="0" w:line="131"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worldwide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must successfully educate and train dermatologists and their staff on the proper use of the CellFX System.</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Although most dermatologists may have adequate knowledge on how to use our novel CellFX System based on their clinical training and experience, we believe that the most effective way to introduce and build market demand for our products is by directly training dermatologists in the use of our products. Convincing dermatologists to dedicate the time and energy necessary for adequate training is challenging, and we cannot assure you that we will succeed in these efforts. If dermatologists are not properly trained, they may not use our products and, as a result, we may not maintain or grow our sales or achieve or sustain profitability. If dermatologists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08" w:lineRule="exact"/>
        <w:rPr>
          <w:sz w:val="20"/>
          <w:szCs w:val="20"/>
          <w:color w:val="auto"/>
        </w:rPr>
      </w:pPr>
    </w:p>
    <w:p>
      <w:pPr>
        <w:jc w:val="both"/>
        <w:ind w:firstLine="301"/>
        <w:spacing w:after="0" w:line="254" w:lineRule="auto"/>
        <w:rPr>
          <w:sz w:val="20"/>
          <w:szCs w:val="20"/>
          <w:color w:val="auto"/>
        </w:rPr>
      </w:pPr>
      <w:r>
        <w:rPr>
          <w:rFonts w:ascii="Times New Roman" w:cs="Times New Roman" w:eastAsia="Times New Roman" w:hAnsi="Times New Roman"/>
          <w:sz w:val="12"/>
          <w:szCs w:val="12"/>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w:t>
      </w:r>
    </w:p>
    <w:p>
      <w:pPr>
        <w:spacing w:after="0" w:line="24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Although we believe our training methods for dermatologists are conducted in compliance with FDA and other applicable regulations developed both nationally and in other countries, if the FDA or other regulatory agency determines that our training constitutes promotion of an unapproved use or promotion of an intended purpose not covered by the CE mark affixed to our products or FDA approved labeling, they could request that we modify our training or subject us to regulatory enforcement actions, including the issuance of a warning letter, injunction, seizure, civil fine, or criminal penalty.</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results of operations could be materially harmed if we are unable to accurately forecast customer demand for our products and manage our inventory.</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To ensure adequate inventory supply, we must forecast inventory needs and place orders with suppliers based on our estimates of future demand for our products. Our ability to accurately forecast demand for our products could be negatively affected by many factors, including our failure to adequately manage our expansion efforts, product introductions by competitors, an increase or decrease in customer demand for our products or for products of our competitors, our failure to accurately forecast customer acceptance of new product enhancements, unanticipated changes in general market conditions or regulatory matters, and weakening of economic conditions or consumer confidence in future economic conditions.</w:t>
      </w:r>
    </w:p>
    <w:p>
      <w:pPr>
        <w:spacing w:after="0" w:line="107"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Inventory levels in excess of customer demand may result in inventory write-downs or write-offs, which would cause our gross margin to be adversely affected and could impair the strength of our brand. Similarly, a portion of our inventory could become obsolete or expire, which could have a material and adverse effect on our earnings and cash flows due to the resulting costs associated with inventory impairment charges and costs required to replace obsolete inventory. Any of these occurrences could negatively impact our financial performance.</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Conversely, if we underestimate customer demand for our products, we may not be able to deliver sufficient products to meet our customers’ requirements, which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resources to meet our increased requirements, which could have an adverse effect on our ability to meet customer demand for our products and our results of operations.</w:t>
      </w:r>
    </w:p>
    <w:p>
      <w:pPr>
        <w:spacing w:after="0" w:line="105"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have limited experience in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Hayward, California where we produce, package and warehouse the CellFX System. We also rely on third-party manufacturers for production of some of the components used in the CellFX System. If our facility, or the facilities of our third-party contract manufacturers, suffer damage, or a force majeure event, this could materially impact our ability to operate.</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We are also subject to other risks relating to our manufacturing capabilities, including:</w:t>
      </w:r>
    </w:p>
    <w:p>
      <w:pPr>
        <w:spacing w:after="0" w:line="120"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2"/>
          <w:szCs w:val="12"/>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87" w:lineRule="exact"/>
        <w:rPr>
          <w:sz w:val="20"/>
          <w:szCs w:val="20"/>
          <w:color w:val="auto"/>
        </w:rPr>
      </w:pPr>
    </w:p>
    <w:p>
      <w:pPr>
        <w:ind w:left="440" w:right="3920"/>
        <w:spacing w:after="0" w:line="459" w:lineRule="auto"/>
        <w:rPr>
          <w:sz w:val="20"/>
          <w:szCs w:val="20"/>
          <w:color w:val="auto"/>
        </w:rPr>
      </w:pPr>
      <w:r>
        <w:rPr>
          <w:rFonts w:ascii="Times New Roman" w:cs="Times New Roman" w:eastAsia="Times New Roman" w:hAnsi="Times New Roman"/>
          <w:sz w:val="12"/>
          <w:szCs w:val="12"/>
          <w:color w:val="auto"/>
        </w:rPr>
        <w:t>failure to secure raw materials, components and materials in a timely manner, in sufficient quantities or on commercially reasonable terms; inability to secure raw materials, components and materials of sufficient quality to meet the exacting needs of medical device manufacturing; failure to maintain compliance with quality system requirements or pass regulatory quality inspections;</w:t>
      </w:r>
    </w:p>
    <w:p>
      <w:pPr>
        <w:ind w:left="220"/>
        <w:spacing w:after="0"/>
        <w:rPr>
          <w:sz w:val="20"/>
          <w:szCs w:val="20"/>
          <w:color w:val="auto"/>
        </w:rPr>
      </w:pPr>
      <w:r>
        <w:rPr>
          <w:rFonts w:ascii="Times New Roman" w:cs="Times New Roman" w:eastAsia="Times New Roman" w:hAnsi="Times New Roman"/>
          <w:sz w:val="12"/>
          <w:szCs w:val="12"/>
          <w:color w:val="auto"/>
        </w:rPr>
        <w:t>inability to increase production capacity or volumes to meet demand;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inability to design or modify production processes to enable us to produce future products efficiently or implement changes in current products in response to design or regulatory requirements.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Certain parts used in the manufacturing of our equipment may experience shortages in global supply which could impact our ability to manufacture our device for customers or maintain research and development timelines.</w:t>
      </w:r>
    </w:p>
    <w:p>
      <w:pPr>
        <w:spacing w:after="0" w:line="75"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There are several component parts used in the manufacture of our device that are used by many manufacturers in a variety of products. We will compete with other manufacturers for the supply of these components. Additionally, certain parts that are currently in our design may be discontinued by our suppliers requiring us to find alternative parts. This issue may require us to change the design of our device or purchase significant inventories of these parts in order to protect against manufacturing delays. We may not be able to procure alternative components or adequate raw material inventories which would result in an inability to produce our device.</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As our international sales and operations grow, we could become increasingly subject to additional economic, political, and other risks that could harm our business.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sales and operations both inside and outside the United States, including a limited sales and marketing organization outside the United States. Our short-term international sales strategy is to increase our presence in Europe and Canada. To successfully market and sell our products in markets outside of the United States, we must address many international business risks with which we have limited experience, and failure to manage these risks may adversely affect our operating results and financial condition. These risks include:</w:t>
      </w:r>
    </w:p>
    <w:p>
      <w:pPr>
        <w:spacing w:after="0" w:line="92" w:lineRule="exact"/>
        <w:rPr>
          <w:sz w:val="20"/>
          <w:szCs w:val="20"/>
          <w:color w:val="auto"/>
        </w:rPr>
      </w:pPr>
    </w:p>
    <w:p>
      <w:pPr>
        <w:ind w:left="440" w:right="4020"/>
        <w:spacing w:after="0" w:line="464" w:lineRule="auto"/>
        <w:rPr>
          <w:sz w:val="20"/>
          <w:szCs w:val="20"/>
          <w:color w:val="auto"/>
        </w:rPr>
      </w:pPr>
      <w:r>
        <w:rPr>
          <w:rFonts w:ascii="Times New Roman" w:cs="Times New Roman" w:eastAsia="Times New Roman" w:hAnsi="Times New Roman"/>
          <w:sz w:val="12"/>
          <w:szCs w:val="12"/>
          <w:color w:val="auto"/>
        </w:rPr>
        <w:t>the impact of recessions and other economic conditions in economies, including impact of COVID-19 pandemic, outside the United States; instability of foreign economic, political and labor conditions;</w:t>
      </w:r>
    </w:p>
    <w:p>
      <w:pPr>
        <w:spacing w:after="0" w:line="1" w:lineRule="exact"/>
        <w:rPr>
          <w:sz w:val="20"/>
          <w:szCs w:val="20"/>
          <w:color w:val="auto"/>
        </w:rPr>
      </w:pPr>
    </w:p>
    <w:p>
      <w:pPr>
        <w:ind w:left="440" w:right="2620"/>
        <w:spacing w:after="0" w:line="464" w:lineRule="auto"/>
        <w:rPr>
          <w:sz w:val="20"/>
          <w:szCs w:val="20"/>
          <w:color w:val="auto"/>
        </w:rPr>
      </w:pPr>
      <w:r>
        <w:rPr>
          <w:rFonts w:ascii="Times New Roman" w:cs="Times New Roman" w:eastAsia="Times New Roman" w:hAnsi="Times New Roman"/>
          <w:sz w:val="12"/>
          <w:szCs w:val="12"/>
          <w:color w:val="auto"/>
        </w:rPr>
        <w:t>unfavorable labor regulations applicable to our European operations, such as severance and the unenforceability of non-competition agreements in the European Union; difficulties in complying with restrictions imposed by regulatory or market requirements, tariffs, or other trade barriers or by U.S. export laws;</w:t>
      </w:r>
    </w:p>
    <w:p>
      <w:pPr>
        <w:spacing w:after="0" w:line="1" w:lineRule="exact"/>
        <w:rPr>
          <w:sz w:val="20"/>
          <w:szCs w:val="20"/>
          <w:color w:val="auto"/>
        </w:rPr>
      </w:pPr>
    </w:p>
    <w:p>
      <w:pPr>
        <w:ind w:left="440" w:right="1760"/>
        <w:spacing w:after="0" w:line="456" w:lineRule="auto"/>
        <w:rPr>
          <w:sz w:val="20"/>
          <w:szCs w:val="20"/>
          <w:color w:val="auto"/>
        </w:rPr>
      </w:pPr>
      <w:r>
        <w:rPr>
          <w:rFonts w:ascii="Times New Roman" w:cs="Times New Roman" w:eastAsia="Times New Roman" w:hAnsi="Times New Roman"/>
          <w:sz w:val="12"/>
          <w:szCs w:val="12"/>
          <w:color w:val="auto"/>
        </w:rPr>
        <w:t>potentially adverse tax consequences, including, if required or applicable, difficulties transferring funds generated in non-U.S. jurisdictions to the United States in a tax efficient manner; difficulties in protecting intellectual property, especially in international jurisdictions;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foreign certification and regulatory clearance or approval requirements;</w:t>
      </w:r>
    </w:p>
    <w:p>
      <w:pPr>
        <w:spacing w:after="0" w:line="129" w:lineRule="exact"/>
        <w:rPr>
          <w:sz w:val="20"/>
          <w:szCs w:val="20"/>
          <w:color w:val="auto"/>
        </w:rPr>
      </w:pPr>
    </w:p>
    <w:p>
      <w:pPr>
        <w:ind w:left="440" w:right="6520"/>
        <w:spacing w:after="0" w:line="456" w:lineRule="auto"/>
        <w:rPr>
          <w:sz w:val="20"/>
          <w:szCs w:val="20"/>
          <w:color w:val="auto"/>
        </w:rPr>
      </w:pPr>
      <w:r>
        <w:rPr>
          <w:rFonts w:ascii="Times New Roman" w:cs="Times New Roman" w:eastAsia="Times New Roman" w:hAnsi="Times New Roman"/>
          <w:sz w:val="12"/>
          <w:szCs w:val="12"/>
          <w:color w:val="auto"/>
        </w:rPr>
        <w:t>difficulties in developing effective marketing campaigns in unfamiliar foreign countries; customs clearance and shipping delays;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difficulties in managing international operations;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burdens of complying with a wide variety of foreign laws.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Our success depends, in part, on our ability to anticipate and address these and any new risks. We cannot guarantee that these or other factors will not adversely affect our business or operating results.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could be negatively impacted by actual or perceived violations of applicable anti-corruption law or our own internal policies designed to ensure ethical business practices.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0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08"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08"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75"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both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 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in November 2020, California voters approved a new privacy law, the California Privacy Rights Act (“CPRA”), which significantly modifies the CCPA, resulting in further uncertainty and requiring us to incur additional costs and expenses in an effort to comply. Most of the substantive provisions of the CPRA will not take effect until January 2023, however.</w:t>
      </w:r>
    </w:p>
    <w:p>
      <w:pPr>
        <w:spacing w:after="0" w:line="206"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Unauthorized access, loss or dissemination of data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In addition, the interpretation and application of federal and state consumer, health-related and data protection laws in the United States and internationally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environmental regulations and any failure to comply with applicable laws could subject us to significant liabilities and harm our business.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fail to meet expectations relating to environmental, social and governance factors.</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Market participants, including investors, analysts, customers, and other key stakeholders are increasingly focused on environmental, social and governance (“ESG”) factors. We have never had a comprehensive ESG initiative at the Company. Moreover, the ESG factors by which companies’ corporate responsibility practices are assessed differ among market participants, are constantly evolving and could result in greater expectations of us and/or cause us to undertake costly initiatives to satisfy such new criteria. We risk damage to our brand and reputation if our corporate responsibility procedures or standards do not meet the standards expected by us. Furthermore, we could fail, or be perceived to fail, in our achievement of any ESG initiatives or goals we may establish in the future and we could also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 lawsuits against us could cause us to incur substantial liabilities and limit commercialization of our product or any future products that we may develop.</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09" w:lineRule="exact"/>
        <w:rPr>
          <w:sz w:val="20"/>
          <w:szCs w:val="20"/>
          <w:color w:val="auto"/>
        </w:rPr>
      </w:pPr>
    </w:p>
    <w:p>
      <w:pPr>
        <w:ind w:left="440" w:right="6880"/>
        <w:spacing w:after="0" w:line="456" w:lineRule="auto"/>
        <w:rPr>
          <w:sz w:val="20"/>
          <w:szCs w:val="20"/>
          <w:color w:val="auto"/>
        </w:rPr>
      </w:pPr>
      <w:r>
        <w:rPr>
          <w:rFonts w:ascii="Times New Roman" w:cs="Times New Roman" w:eastAsia="Times New Roman" w:hAnsi="Times New Roman"/>
          <w:sz w:val="12"/>
          <w:szCs w:val="12"/>
          <w:color w:val="auto"/>
        </w:rPr>
        <w:t>decreased demand for our product or any planned products that we may develop; injury to our reputation and significant negative media attention;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withdrawal of patients from our clinical studies or cancellation of studies;</w:t>
      </w:r>
    </w:p>
    <w:p>
      <w:pPr>
        <w:spacing w:after="0" w:line="129" w:lineRule="exact"/>
        <w:rPr>
          <w:sz w:val="20"/>
          <w:szCs w:val="20"/>
          <w:color w:val="auto"/>
        </w:rPr>
      </w:pPr>
    </w:p>
    <w:p>
      <w:pPr>
        <w:ind w:left="440" w:right="6520"/>
        <w:spacing w:after="0" w:line="456" w:lineRule="auto"/>
        <w:rPr>
          <w:sz w:val="20"/>
          <w:szCs w:val="20"/>
          <w:color w:val="auto"/>
        </w:rPr>
      </w:pPr>
      <w:r>
        <w:rPr>
          <w:rFonts w:ascii="Times New Roman" w:cs="Times New Roman" w:eastAsia="Times New Roman" w:hAnsi="Times New Roman"/>
          <w:sz w:val="12"/>
          <w:szCs w:val="12"/>
          <w:color w:val="auto"/>
        </w:rPr>
        <w:t>significant costs to defend the related litigation and distraction to our management team; substantial monetary awards to patients;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loss of revenue;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inability to commercialize any future products that we may develop.</w:t>
      </w:r>
    </w:p>
    <w:p>
      <w:pPr>
        <w:spacing w:after="0" w:line="129"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00"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02"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Product Development</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w:t>
      </w:r>
    </w:p>
    <w:p>
      <w:pPr>
        <w:spacing w:after="0" w:line="96"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Our long-term growth depends on our ability to commercialize our products in development and to develop and commercialize additional products through our research and development efforts, and if we fail to do so we may be unable to compete effectively.</w:t>
      </w:r>
    </w:p>
    <w:p>
      <w:pPr>
        <w:spacing w:after="0" w:line="8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medical device industry is characterized by intense competition, rapid technological changes, new product introductions and enhancements, and evolving industry standards. Our business prospects depend in part on our ability to develop and commercialize new products and applications for our NPS technology, including in new markets that develop as a result of technological and scientific advances, while improving the performance and cost-effectiveness of our products in the dermatology market.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We might be unable to successfully commercialize our current products with domestic or international regulatory clearances or approvals or develop or obtain regulatory clearances or approvals to market new products. Additionally, these products and any future products might not be accepted by dermatologists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properly identify and anticipate clinician and patient needs;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develop and introduce new products or product enhancements in a timely manner;</w:t>
      </w:r>
    </w:p>
    <w:p>
      <w:pPr>
        <w:spacing w:after="0" w:line="120" w:lineRule="exact"/>
        <w:rPr>
          <w:sz w:val="20"/>
          <w:szCs w:val="20"/>
          <w:color w:val="auto"/>
        </w:rPr>
      </w:pPr>
    </w:p>
    <w:p>
      <w:pPr>
        <w:ind w:left="440" w:right="5120"/>
        <w:spacing w:after="0" w:line="464" w:lineRule="auto"/>
        <w:rPr>
          <w:sz w:val="20"/>
          <w:szCs w:val="20"/>
          <w:color w:val="auto"/>
        </w:rPr>
      </w:pPr>
      <w:r>
        <w:rPr>
          <w:rFonts w:ascii="Times New Roman" w:cs="Times New Roman" w:eastAsia="Times New Roman" w:hAnsi="Times New Roman"/>
          <w:sz w:val="12"/>
          <w:szCs w:val="12"/>
          <w:color w:val="auto"/>
        </w:rPr>
        <w:t>adequately protect our intellectual property and avoid infringing upon the intellectual property rights of third parties; demonstrate the safety and efficacy of new products;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obtain the necessary regulatory clearances or approvals for new products or product enhancements.</w:t>
      </w:r>
    </w:p>
    <w:p>
      <w:pPr>
        <w:spacing w:after="0" w:line="12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05"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maintain necessary regulatory clearance for our product, or if clearances or approvals for future devices and indications are delayed or not issued, our commercial operations would be harmed.</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device design, development and manufacture;</w:t>
      </w:r>
    </w:p>
    <w:p>
      <w:pPr>
        <w:spacing w:after="0" w:line="129" w:lineRule="exact"/>
        <w:rPr>
          <w:sz w:val="20"/>
          <w:szCs w:val="20"/>
          <w:color w:val="auto"/>
        </w:rPr>
      </w:pPr>
    </w:p>
    <w:p>
      <w:pPr>
        <w:ind w:left="440" w:right="7140"/>
        <w:spacing w:after="0" w:line="456" w:lineRule="auto"/>
        <w:rPr>
          <w:sz w:val="20"/>
          <w:szCs w:val="20"/>
          <w:color w:val="auto"/>
        </w:rPr>
      </w:pPr>
      <w:r>
        <w:rPr>
          <w:rFonts w:ascii="Times New Roman" w:cs="Times New Roman" w:eastAsia="Times New Roman" w:hAnsi="Times New Roman"/>
          <w:sz w:val="12"/>
          <w:szCs w:val="12"/>
          <w:color w:val="auto"/>
        </w:rPr>
        <w:t>laboratory, preclinical and clinical testing, labeling, packaging, and storage; premarketing clearance or approval;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record keeping;</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device marketing, promotion and advertising, sales and distribution;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post-marketing surveillance, including reporting of deaths and serious injuries and recalls and correction and removals.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10"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In February 2021, we received a 510(k) clearance from the FDA for the CellFX System for dermatologic procedures requiring ablation and resurfacing of the skin. We plan to pursue specific indications for the CellFX System, starting with an indication for the treatment of SH lesions, requiring additional 510(k) submissions for each indication, and will likely be based on comparative clinical data. In February 2022, we received an Additional Information (“AI”) letter from the FDA in response to a 510(k) submission to the FDA to add the specific indication for the treatment of sebaceous hyperplasia to expand the CellFX System’s current labeling. In the AI letter, the FDA stated it did not believe the Company provided sufficient clinical evidence at this time to support the expanded indication for use, and that the Company had not met the primary endpoints of the sebaceous hyperplasia FDA-approved IDE study. The Company anticipates meeting with the FDA to discuss the contents of the AI letter and potential next steps, which may require additional clinical data and potentially a new 510(k) submission.</w:t>
      </w:r>
    </w:p>
    <w:p>
      <w:pPr>
        <w:spacing w:after="0" w:line="100"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Any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the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96"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02"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24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adverse publicity, warning letters, fines, injunctions, consent decrees, and civil penalties;</w:t>
      </w:r>
    </w:p>
    <w:p>
      <w:pPr>
        <w:spacing w:after="0" w:line="129" w:lineRule="exact"/>
        <w:rPr>
          <w:sz w:val="20"/>
          <w:szCs w:val="20"/>
          <w:color w:val="auto"/>
        </w:rPr>
      </w:pPr>
    </w:p>
    <w:p>
      <w:pPr>
        <w:ind w:left="440" w:right="5920"/>
        <w:spacing w:after="0" w:line="456" w:lineRule="auto"/>
        <w:rPr>
          <w:sz w:val="20"/>
          <w:szCs w:val="20"/>
          <w:color w:val="auto"/>
        </w:rPr>
      </w:pPr>
      <w:r>
        <w:rPr>
          <w:rFonts w:ascii="Times New Roman" w:cs="Times New Roman" w:eastAsia="Times New Roman" w:hAnsi="Times New Roman"/>
          <w:sz w:val="12"/>
          <w:szCs w:val="12"/>
          <w:color w:val="auto"/>
        </w:rPr>
        <w:t>obligations to repair, replace, refund, or recall our marketed devices, or government seizure of them; operating restrictions, partial suspension, or total shutdown of production;</w:t>
      </w:r>
    </w:p>
    <w:p>
      <w:pPr>
        <w:spacing w:after="0" w:line="1" w:lineRule="exact"/>
        <w:rPr>
          <w:sz w:val="20"/>
          <w:szCs w:val="20"/>
          <w:color w:val="auto"/>
        </w:rPr>
      </w:pPr>
    </w:p>
    <w:p>
      <w:pPr>
        <w:ind w:left="440" w:right="4140"/>
        <w:spacing w:after="0" w:line="464" w:lineRule="auto"/>
        <w:rPr>
          <w:sz w:val="20"/>
          <w:szCs w:val="20"/>
          <w:color w:val="auto"/>
        </w:rPr>
      </w:pPr>
      <w:r>
        <w:rPr>
          <w:rFonts w:ascii="Times New Roman" w:cs="Times New Roman" w:eastAsia="Times New Roman" w:hAnsi="Times New Roman"/>
          <w:sz w:val="12"/>
          <w:szCs w:val="12"/>
          <w:color w:val="auto"/>
        </w:rPr>
        <w:t>refusing our requests for 510(k) clearance or premarket approval of new devices, new intended uses or modifications to existing devices; withdrawing 510(k) clearance or premarket approvals that have already been granted; and</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criminal prosecution.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any of these events were to occur, our business and financial condition would be harmed.</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mechanism of action of NPS technology platform has not been fully determined or validated.</w:t>
      </w:r>
    </w:p>
    <w:p>
      <w:pPr>
        <w:spacing w:after="0" w:line="122"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 exact mechanism(s) of action(s) of the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00"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Our product and any future product candidates may cause serious adverse side effects or have other properties that could delay or prevent their regulatory approval, limit their commercial desirability or result in significant negative consequences.</w:t>
      </w:r>
    </w:p>
    <w:p>
      <w:pPr>
        <w:spacing w:after="0" w:line="94"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The risk of failure of clinical development is high. For example, the vast majority of our in vivo data has been a result of animal testing, and we have only completed a limited number of feasibility studies in humans. Undesirable side effects caused by the CellFX System, NPS pulses, or any of our planned future products could cause us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Additionally, if we or others identify undesirable side effects caused by the CellFX System, a number of potentially significant negative consequences could result, including:</w:t>
      </w:r>
    </w:p>
    <w:p>
      <w:pPr>
        <w:spacing w:after="0" w:line="129" w:lineRule="exact"/>
        <w:rPr>
          <w:sz w:val="20"/>
          <w:szCs w:val="20"/>
          <w:color w:val="auto"/>
        </w:rPr>
      </w:pPr>
    </w:p>
    <w:p>
      <w:pPr>
        <w:ind w:left="440" w:right="6720"/>
        <w:spacing w:after="0" w:line="456" w:lineRule="auto"/>
        <w:rPr>
          <w:sz w:val="20"/>
          <w:szCs w:val="20"/>
          <w:color w:val="auto"/>
        </w:rPr>
      </w:pPr>
      <w:r>
        <w:rPr>
          <w:rFonts w:ascii="Times New Roman" w:cs="Times New Roman" w:eastAsia="Times New Roman" w:hAnsi="Times New Roman"/>
          <w:sz w:val="12"/>
          <w:szCs w:val="12"/>
          <w:color w:val="auto"/>
        </w:rPr>
        <w:t>we may be forced to recall such product and suspend the marketing of such product; regulatory authorities may withdraw their approvals of such product;</w:t>
      </w:r>
    </w:p>
    <w:p>
      <w:pPr>
        <w:spacing w:after="0" w:line="1" w:lineRule="exact"/>
        <w:rPr>
          <w:sz w:val="20"/>
          <w:szCs w:val="20"/>
          <w:color w:val="auto"/>
        </w:rPr>
      </w:pPr>
    </w:p>
    <w:p>
      <w:pPr>
        <w:ind w:left="440" w:right="560"/>
        <w:spacing w:after="0" w:line="464" w:lineRule="auto"/>
        <w:rPr>
          <w:sz w:val="20"/>
          <w:szCs w:val="20"/>
          <w:color w:val="auto"/>
        </w:rPr>
      </w:pPr>
      <w:r>
        <w:rPr>
          <w:rFonts w:ascii="Times New Roman" w:cs="Times New Roman" w:eastAsia="Times New Roman" w:hAnsi="Times New Roman"/>
          <w:sz w:val="12"/>
          <w:szCs w:val="12"/>
          <w:color w:val="auto"/>
        </w:rPr>
        <w:t>regulatory authorities may require additional warnings on the label and/or narrow the indication of use for the product which could diminish the usage or otherwise limit the commercial success of such product; the FDA or other regulatory authorities may issue safety alerts, “Dear Healthcare Provider” letters, press releases, or other communications containing warnings about such product;</w:t>
      </w:r>
    </w:p>
    <w:p>
      <w:pPr>
        <w:spacing w:after="0" w:line="1" w:lineRule="exact"/>
        <w:rPr>
          <w:sz w:val="20"/>
          <w:szCs w:val="20"/>
          <w:color w:val="auto"/>
        </w:rPr>
      </w:pPr>
    </w:p>
    <w:p>
      <w:pPr>
        <w:ind w:left="440" w:right="5460"/>
        <w:spacing w:after="0" w:line="456" w:lineRule="auto"/>
        <w:rPr>
          <w:sz w:val="20"/>
          <w:szCs w:val="20"/>
          <w:color w:val="auto"/>
        </w:rPr>
      </w:pPr>
      <w:r>
        <w:rPr>
          <w:rFonts w:ascii="Times New Roman" w:cs="Times New Roman" w:eastAsia="Times New Roman" w:hAnsi="Times New Roman"/>
          <w:sz w:val="12"/>
          <w:szCs w:val="12"/>
          <w:color w:val="auto"/>
        </w:rPr>
        <w:t>the FDA may restrict distribution of our product and impose burdensome implementation requirements on us; we may be required to change the way the product is administered or conduct additional clinical trials;</w:t>
      </w:r>
    </w:p>
    <w:p>
      <w:pPr>
        <w:spacing w:after="0" w:line="1" w:lineRule="exact"/>
        <w:rPr>
          <w:sz w:val="20"/>
          <w:szCs w:val="20"/>
          <w:color w:val="auto"/>
        </w:rPr>
      </w:pPr>
    </w:p>
    <w:p>
      <w:pPr>
        <w:ind w:left="440" w:right="7100"/>
        <w:spacing w:after="0" w:line="464" w:lineRule="auto"/>
        <w:rPr>
          <w:sz w:val="20"/>
          <w:szCs w:val="20"/>
          <w:color w:val="auto"/>
        </w:rPr>
      </w:pPr>
      <w:r>
        <w:rPr>
          <w:rFonts w:ascii="Times New Roman" w:cs="Times New Roman" w:eastAsia="Times New Roman" w:hAnsi="Times New Roman"/>
          <w:sz w:val="12"/>
          <w:szCs w:val="12"/>
          <w:color w:val="auto"/>
        </w:rPr>
        <w:t>we could be sued and held liable for harm caused to subjects or patients; and our reputation could suffer.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Any of these events could prevent us from achieving or maintaining market acceptance of the CellFX System or of any future particular planned product, if approved.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dependent upon physicians adopting the CellFX System and NPS technology, and if we fail to obtain broad adoption, our business would be adversely affected.</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the CellFX System or NPS technology with alternative treatments may be expensive, time consuming or may not yield positive results. Additionally, adoption will be directly influenced by a number of financial factors, including the ability of providers to use the CellFX System profitably and to attract cash payments from patients or to obtain sufficient reimbursement from third-party commercial payors and from the Centers for Medicare &amp; Medicaid Services (“CMS”) for the professional services they provide in administering CellFX procedures. The efficacy, safety, performance, and cost-effectiveness of the CellFX System, NPS technology, or other potential products based on NPS technology, on a stand-alone basis and relative to competing services, will determine the availability and level of reimbursement received by us and providers. If physicians do not adopt and prescribe the CellFX System or future products using our NPS technology, we may never become profitable.</w:t>
      </w:r>
    </w:p>
    <w:p>
      <w:pPr>
        <w:spacing w:after="0" w:line="108"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75"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2" w:lineRule="exact"/>
        <w:rPr>
          <w:sz w:val="20"/>
          <w:szCs w:val="20"/>
          <w:color w:val="auto"/>
        </w:rPr>
      </w:pPr>
    </w:p>
    <w:p>
      <w:pPr>
        <w:jc w:val="both"/>
        <w:ind w:right="20" w:firstLine="301"/>
        <w:spacing w:after="0" w:line="238" w:lineRule="auto"/>
        <w:rPr>
          <w:sz w:val="20"/>
          <w:szCs w:val="20"/>
          <w:color w:val="auto"/>
        </w:rPr>
      </w:pPr>
      <w:r>
        <w:rPr>
          <w:rFonts w:ascii="Times New Roman" w:cs="Times New Roman" w:eastAsia="Times New Roman" w:hAnsi="Times New Roman"/>
          <w:sz w:val="12"/>
          <w:szCs w:val="12"/>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CellFX procedures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Issues with our firmware and software may negatively affect the function of our devices.</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right="20"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We may encounter manufacturing problems or delays that could result in lost revenue.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75"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are in the process of commencing commercial-scale manufacturing of our product, and we currently rely upon third-party suppliers to manufacture and supply components for the CellFX System. We perform final assembly of our devices at our facility in California. We believe we have an adequate inventory of materials and manufacturing capacity to support all our anticipated commercial launch activities. However, if demand for our product increases significantly, we will need to either expand our manufacturing capabilities or outsource to other manufacturers.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09" w:lineRule="exact"/>
        <w:rPr>
          <w:sz w:val="20"/>
          <w:szCs w:val="20"/>
          <w:color w:val="auto"/>
        </w:rPr>
      </w:pPr>
    </w:p>
    <w:p>
      <w:pPr>
        <w:jc w:val="both"/>
        <w:ind w:firstLine="301"/>
        <w:spacing w:after="0"/>
        <w:rPr>
          <w:sz w:val="20"/>
          <w:szCs w:val="20"/>
          <w:color w:val="auto"/>
        </w:rPr>
      </w:pPr>
      <w:r>
        <w:rPr>
          <w:rFonts w:ascii="Times New Roman" w:cs="Times New Roman" w:eastAsia="Times New Roman" w:hAnsi="Times New Roman"/>
          <w:sz w:val="12"/>
          <w:szCs w:val="12"/>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 in a manner that conforms to our specifications and these strict regulatory requirements,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24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currently purchase components for the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9"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0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7"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We work with scientific advisors and collaborators at academic research institutions in connection with our product development efforts. These scientists and collaborators are not our employees, but they serve as either independent contractors or researchers under research agreements that we have with their sponsoring clinic, academic institution or research institution. These scientists and collaborators may have other commitments limiting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could cause competitive harm to our business. To the extent these scientists and collaborators, including those assisting us with our clinical trials, may receive cash or equity compensation in connection with such services from time to time, these relationships and any related compensation may result in perceived or actual conflicts of interest, or cause a regulatory authority to conclude that the financial relationship may have affected the interpretation of the trial, such that the integrity of the data generated by them or by their institutions may be questioned and the utility of the data itself may be jeopardized, which could result in the delay or rejection of any marketing application we submit.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31"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75"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0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rights will not necessarily provide us with competitive advantages.</w:t>
      </w:r>
    </w:p>
    <w:p>
      <w:pPr>
        <w:spacing w:after="0" w:line="131" w:lineRule="exact"/>
        <w:rPr>
          <w:sz w:val="20"/>
          <w:szCs w:val="20"/>
          <w:color w:val="auto"/>
        </w:rPr>
      </w:pPr>
    </w:p>
    <w:p>
      <w:pPr>
        <w:jc w:val="both"/>
        <w:ind w:right="20" w:firstLine="301"/>
        <w:spacing w:after="0" w:line="261"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6" w:lineRule="exact"/>
        <w:rPr>
          <w:sz w:val="20"/>
          <w:szCs w:val="20"/>
          <w:color w:val="auto"/>
        </w:rPr>
      </w:pPr>
    </w:p>
    <w:p>
      <w:pPr>
        <w:ind w:left="440" w:right="2360"/>
        <w:spacing w:after="0" w:line="464" w:lineRule="auto"/>
        <w:rPr>
          <w:sz w:val="20"/>
          <w:szCs w:val="20"/>
          <w:color w:val="auto"/>
        </w:rPr>
      </w:pPr>
      <w:r>
        <w:rPr>
          <w:rFonts w:ascii="Times New Roman" w:cs="Times New Roman" w:eastAsia="Times New Roman" w:hAnsi="Times New Roman"/>
          <w:sz w:val="12"/>
          <w:szCs w:val="12"/>
          <w:color w:val="auto"/>
        </w:rPr>
        <w:t>others may be able to make products that are similar to our product candidates but that are not covered by the claims of the patents that we own or have exclusively licensed; others may independently develop similar or alternative technologies without infringing on our intellectual property rights;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0"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8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may fail to develop additional proprietary technologies that are patentable;</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patents of others may have an adverse effect on our business, for example by preventing us from marketing one or more of our product candidates for one or more indications.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 aforementioned threats to our competitive advantage could harm our business.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1"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0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even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If we are unable to establish name recognition based on our trademarks and trade names, then our marketing abilities may be impacted.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spacing w:after="0" w:line="129"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94" w:lineRule="exact"/>
        <w:rPr>
          <w:sz w:val="20"/>
          <w:szCs w:val="20"/>
          <w:color w:val="auto"/>
        </w:rPr>
      </w:pPr>
    </w:p>
    <w:p>
      <w:pPr>
        <w:jc w:val="both"/>
        <w:ind w:right="20" w:firstLine="301"/>
        <w:spacing w:after="0" w:line="242" w:lineRule="auto"/>
        <w:rPr>
          <w:sz w:val="20"/>
          <w:szCs w:val="20"/>
          <w:color w:val="auto"/>
        </w:rPr>
      </w:pPr>
      <w:r>
        <w:rPr>
          <w:rFonts w:ascii="Times New Roman" w:cs="Times New Roman" w:eastAsia="Times New Roman" w:hAnsi="Times New Roman"/>
          <w:sz w:val="12"/>
          <w:szCs w:val="12"/>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7" w:lineRule="exact"/>
        <w:rPr>
          <w:sz w:val="20"/>
          <w:szCs w:val="20"/>
          <w:color w:val="auto"/>
        </w:rPr>
      </w:pPr>
    </w:p>
    <w:p>
      <w:pPr>
        <w:jc w:val="both"/>
        <w:ind w:left="440" w:right="8500"/>
        <w:spacing w:after="0" w:line="456" w:lineRule="auto"/>
        <w:rPr>
          <w:sz w:val="20"/>
          <w:szCs w:val="20"/>
          <w:color w:val="auto"/>
        </w:rPr>
      </w:pPr>
      <w:r>
        <w:rPr>
          <w:rFonts w:ascii="Times New Roman" w:cs="Times New Roman" w:eastAsia="Times New Roman" w:hAnsi="Times New Roman"/>
          <w:sz w:val="12"/>
          <w:szCs w:val="12"/>
          <w:color w:val="auto"/>
        </w:rPr>
        <w:t>take a significant indeterminate amount of time; require the expenditure of substantial resources;</w:t>
      </w:r>
    </w:p>
    <w:p>
      <w:pPr>
        <w:spacing w:after="0" w:line="1" w:lineRule="exact"/>
        <w:rPr>
          <w:sz w:val="20"/>
          <w:szCs w:val="20"/>
          <w:color w:val="auto"/>
        </w:rPr>
      </w:pPr>
    </w:p>
    <w:p>
      <w:pPr>
        <w:ind w:left="440" w:right="6600"/>
        <w:spacing w:after="0" w:line="464" w:lineRule="auto"/>
        <w:rPr>
          <w:sz w:val="20"/>
          <w:szCs w:val="20"/>
          <w:color w:val="auto"/>
        </w:rPr>
      </w:pPr>
      <w:r>
        <w:rPr>
          <w:rFonts w:ascii="Times New Roman" w:cs="Times New Roman" w:eastAsia="Times New Roman" w:hAnsi="Times New Roman"/>
          <w:sz w:val="12"/>
          <w:szCs w:val="12"/>
          <w:color w:val="auto"/>
        </w:rPr>
        <w:t>involve rigorous preclinical and clinical testing, and possibly post-market surveillance; involve modifications, repairs or replacements of our products;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require design changes of our products;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 in limitations on the indicated uses of our products;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 in our never being granted the regulatory approval or clearance we seek.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experience any of these occurrences, our operations may suffer and we might experience harm to our competitive standing, which could adversely affect our financial condition.</w:t>
      </w:r>
    </w:p>
    <w:p>
      <w:pPr>
        <w:spacing w:after="0" w:line="129"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continuing development of the CellFX System and other products depends upon maintaining strong working relationships with physicians.</w:t>
      </w:r>
    </w:p>
    <w:p>
      <w:pPr>
        <w:spacing w:after="0" w:line="122"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The development, marketing, and sale of the CellFX System,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9"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07"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08" w:lineRule="exact"/>
        <w:rPr>
          <w:sz w:val="20"/>
          <w:szCs w:val="20"/>
          <w:color w:val="auto"/>
        </w:rPr>
      </w:pPr>
    </w:p>
    <w:p>
      <w:pPr>
        <w:ind w:left="440" w:right="20"/>
        <w:spacing w:after="0" w:line="242" w:lineRule="auto"/>
        <w:rPr>
          <w:sz w:val="20"/>
          <w:szCs w:val="20"/>
          <w:color w:val="auto"/>
        </w:rPr>
      </w:pPr>
      <w:r>
        <w:rPr>
          <w:rFonts w:ascii="Times New Roman" w:cs="Times New Roman" w:eastAsia="Times New Roman" w:hAnsi="Times New Roman"/>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246"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1" w:lineRule="exact"/>
        <w:rPr>
          <w:sz w:val="20"/>
          <w:szCs w:val="20"/>
          <w:color w:val="auto"/>
        </w:rPr>
      </w:pPr>
    </w:p>
    <w:p>
      <w:pPr>
        <w:ind w:left="440"/>
        <w:spacing w:after="0" w:line="243" w:lineRule="auto"/>
        <w:rPr>
          <w:sz w:val="20"/>
          <w:szCs w:val="20"/>
          <w:color w:val="auto"/>
        </w:rPr>
      </w:pPr>
      <w:r>
        <w:rPr>
          <w:rFonts w:ascii="Times New Roman" w:cs="Times New Roman" w:eastAsia="Times New Roman" w:hAnsi="Times New Roman"/>
          <w:sz w:val="12"/>
          <w:szCs w:val="12"/>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06" w:lineRule="exact"/>
        <w:rPr>
          <w:sz w:val="20"/>
          <w:szCs w:val="20"/>
          <w:color w:val="auto"/>
        </w:rPr>
      </w:pPr>
    </w:p>
    <w:p>
      <w:pPr>
        <w:ind w:left="440"/>
        <w:spacing w:after="0" w:line="242" w:lineRule="auto"/>
        <w:rPr>
          <w:sz w:val="20"/>
          <w:szCs w:val="20"/>
          <w:color w:val="auto"/>
        </w:rPr>
      </w:pPr>
      <w:r>
        <w:rPr>
          <w:rFonts w:ascii="Times New Roman" w:cs="Times New Roman" w:eastAsia="Times New Roman" w:hAnsi="Times New Roman"/>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07"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2"/>
          <w:szCs w:val="12"/>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spacing w:after="0" w:line="238" w:lineRule="auto"/>
        <w:rPr>
          <w:sz w:val="20"/>
          <w:szCs w:val="20"/>
          <w:color w:val="auto"/>
        </w:rPr>
      </w:pPr>
      <w:r>
        <w:rPr>
          <w:rFonts w:ascii="Times New Roman" w:cs="Times New Roman" w:eastAsia="Times New Roman" w:hAnsi="Times New Roman"/>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We have implemented compliance related programs and procedures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 In addition, we are subject to the risk that a person or government could allege violations of such laws, regulations and other obligations, or allege that fraud or other misconduct has taken place, even if no misconduct has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Also, any material change to any of the laws or regulations applicable to our business could harm our business, financial condition and results of operations.</w:t>
      </w:r>
    </w:p>
    <w:p>
      <w:pPr>
        <w:spacing w:after="0" w:line="127"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92" w:lineRule="exact"/>
        <w:rPr>
          <w:sz w:val="20"/>
          <w:szCs w:val="20"/>
          <w:color w:val="auto"/>
        </w:rPr>
      </w:pPr>
    </w:p>
    <w:p>
      <w:pPr>
        <w:ind w:left="440" w:right="5640"/>
        <w:spacing w:after="0" w:line="464" w:lineRule="auto"/>
        <w:rPr>
          <w:sz w:val="20"/>
          <w:szCs w:val="20"/>
          <w:color w:val="auto"/>
        </w:rPr>
      </w:pPr>
      <w:r>
        <w:rPr>
          <w:rFonts w:ascii="Times New Roman" w:cs="Times New Roman" w:eastAsia="Times New Roman" w:hAnsi="Times New Roman"/>
          <w:sz w:val="12"/>
          <w:szCs w:val="12"/>
          <w:color w:val="auto"/>
        </w:rPr>
        <w:t>may not deem a technology or device to be reasonably safe or effective for any intended use or indication; may interpret data from preclinical and clinical testing differently than we do;</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may determine our manufacturing facility or processes do not comply with quality system regulations;</w:t>
      </w:r>
    </w:p>
    <w:p>
      <w:pPr>
        <w:spacing w:after="0" w:line="129" w:lineRule="exact"/>
        <w:rPr>
          <w:sz w:val="20"/>
          <w:szCs w:val="20"/>
          <w:color w:val="auto"/>
        </w:rPr>
      </w:pPr>
    </w:p>
    <w:p>
      <w:pPr>
        <w:ind w:left="440" w:right="2600"/>
        <w:spacing w:after="0" w:line="456" w:lineRule="auto"/>
        <w:rPr>
          <w:sz w:val="20"/>
          <w:szCs w:val="20"/>
          <w:color w:val="auto"/>
        </w:rPr>
      </w:pPr>
      <w:r>
        <w:rPr>
          <w:rFonts w:ascii="Times New Roman" w:cs="Times New Roman" w:eastAsia="Times New Roman" w:hAnsi="Times New Roman"/>
          <w:sz w:val="12"/>
          <w:szCs w:val="12"/>
          <w:color w:val="auto"/>
        </w:rPr>
        <w:t>may conclude that our products do not meet quality standards for durability, long-term reliability, biocompatibility, electromagnetic compatibility, or electrical safety; or may change their approval or clearance policies or adopt new regulations in a manner that is adverse to us.</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2"/>
          <w:szCs w:val="12"/>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will be subject to ongoing requirements and inspections that could lead to the restriction, suspension or revocation of our clearance.</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00" w:lineRule="exact"/>
        <w:rPr>
          <w:sz w:val="20"/>
          <w:szCs w:val="20"/>
          <w:color w:val="auto"/>
        </w:rPr>
      </w:pPr>
    </w:p>
    <w:p>
      <w:pPr>
        <w:jc w:val="both"/>
        <w:ind w:right="20" w:firstLine="301"/>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258"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Healthcare policy changes, including recent federal legislation to reform the U.S. healthcare system, may have a material adverse effect on us.</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Owning Our Common Stock</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2" w:lineRule="exact"/>
        <w:rPr>
          <w:sz w:val="20"/>
          <w:szCs w:val="20"/>
          <w:color w:val="auto"/>
        </w:rPr>
      </w:pPr>
    </w:p>
    <w:p>
      <w:pPr>
        <w:jc w:val="both"/>
        <w:ind w:firstLine="301"/>
        <w:spacing w:after="0" w:line="277" w:lineRule="auto"/>
        <w:rPr>
          <w:sz w:val="20"/>
          <w:szCs w:val="20"/>
          <w:color w:val="auto"/>
        </w:rPr>
      </w:pPr>
      <w:r>
        <w:rPr>
          <w:rFonts w:ascii="Times New Roman" w:cs="Times New Roman" w:eastAsia="Times New Roman" w:hAnsi="Times New Roman"/>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results of clinical trials of our planned products or those of our competitors;</w:t>
      </w:r>
    </w:p>
    <w:p>
      <w:pPr>
        <w:spacing w:after="0" w:line="120" w:lineRule="exact"/>
        <w:rPr>
          <w:sz w:val="20"/>
          <w:szCs w:val="20"/>
          <w:color w:val="auto"/>
        </w:rPr>
      </w:pPr>
    </w:p>
    <w:p>
      <w:pPr>
        <w:ind w:left="440" w:right="3020"/>
        <w:spacing w:after="0" w:line="464" w:lineRule="auto"/>
        <w:rPr>
          <w:sz w:val="20"/>
          <w:szCs w:val="20"/>
          <w:color w:val="auto"/>
        </w:rPr>
      </w:pPr>
      <w:r>
        <w:rPr>
          <w:rFonts w:ascii="Times New Roman" w:cs="Times New Roman" w:eastAsia="Times New Roman" w:hAnsi="Times New Roman"/>
          <w:sz w:val="12"/>
          <w:szCs w:val="12"/>
          <w:color w:val="auto"/>
        </w:rPr>
        <w:t>actions by regulatory bodies, such as the FDA, that affect our business or have the effect of delaying or rejecting approval or clearance of our planned products; actual or anticipated fluctuations in our financial condition and operating results;</w:t>
      </w:r>
    </w:p>
    <w:p>
      <w:pPr>
        <w:spacing w:after="0" w:line="1" w:lineRule="exact"/>
        <w:rPr>
          <w:sz w:val="20"/>
          <w:szCs w:val="20"/>
          <w:color w:val="auto"/>
        </w:rPr>
      </w:pPr>
    </w:p>
    <w:p>
      <w:pPr>
        <w:ind w:left="440" w:right="4660"/>
        <w:spacing w:after="0" w:line="456" w:lineRule="auto"/>
        <w:rPr>
          <w:sz w:val="20"/>
          <w:szCs w:val="20"/>
          <w:color w:val="auto"/>
        </w:rPr>
      </w:pPr>
      <w:r>
        <w:rPr>
          <w:rFonts w:ascii="Times New Roman" w:cs="Times New Roman" w:eastAsia="Times New Roman" w:hAnsi="Times New Roman"/>
          <w:sz w:val="12"/>
          <w:szCs w:val="12"/>
          <w:color w:val="auto"/>
        </w:rPr>
        <w:t>announcements by our customers, partners or suppliers relating directly or indirectly to our products, services or technologies; announcements of technological innovations by us or our competitors;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changes in laws or regulations applicable to the CellFX System or to our planned products;</w:t>
      </w:r>
    </w:p>
    <w:p>
      <w:pPr>
        <w:spacing w:after="0" w:line="129" w:lineRule="exact"/>
        <w:rPr>
          <w:sz w:val="20"/>
          <w:szCs w:val="20"/>
          <w:color w:val="auto"/>
        </w:rPr>
      </w:pPr>
    </w:p>
    <w:p>
      <w:pPr>
        <w:ind w:left="440" w:right="2540"/>
        <w:spacing w:after="0" w:line="464" w:lineRule="auto"/>
        <w:rPr>
          <w:sz w:val="20"/>
          <w:szCs w:val="20"/>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capital commitments, or achievement of significant milestones; additions or departures of key personnel;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120" w:lineRule="exact"/>
        <w:rPr>
          <w:sz w:val="20"/>
          <w:szCs w:val="20"/>
          <w:color w:val="auto"/>
        </w:rPr>
      </w:pPr>
    </w:p>
    <w:p>
      <w:pPr>
        <w:ind w:left="440" w:right="2400"/>
        <w:spacing w:after="0" w:line="502" w:lineRule="auto"/>
        <w:rPr>
          <w:sz w:val="20"/>
          <w:szCs w:val="20"/>
          <w:color w:val="auto"/>
        </w:rPr>
      </w:pPr>
      <w:r>
        <w:rPr>
          <w:rFonts w:ascii="Times New Roman" w:cs="Times New Roman" w:eastAsia="Times New Roman" w:hAnsi="Times New Roman"/>
          <w:sz w:val="12"/>
          <w:szCs w:val="12"/>
          <w:color w:val="auto"/>
        </w:rPr>
        <w:t>disputes or other developments related to proprietary rights, including patents, litigation matters or our ability to obtain intellectual property protection for our technologies; actual or alleged security breaches;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71" w:lineRule="exact"/>
        <w:rPr>
          <w:sz w:val="20"/>
          <w:szCs w:val="20"/>
          <w:color w:val="auto"/>
        </w:rPr>
      </w:pPr>
    </w:p>
    <w:p>
      <w:pPr>
        <w:ind w:left="440" w:right="7780"/>
        <w:spacing w:after="0" w:line="456" w:lineRule="auto"/>
        <w:rPr>
          <w:sz w:val="20"/>
          <w:szCs w:val="20"/>
          <w:color w:val="auto"/>
        </w:rPr>
      </w:pPr>
      <w:r>
        <w:rPr>
          <w:rFonts w:ascii="Times New Roman" w:cs="Times New Roman" w:eastAsia="Times New Roman" w:hAnsi="Times New Roman"/>
          <w:sz w:val="12"/>
          <w:szCs w:val="12"/>
          <w:color w:val="auto"/>
        </w:rPr>
        <w:t>announcements or expectations of additional financing efforts; sales of our common stock by us or our stockholders;</w:t>
      </w:r>
    </w:p>
    <w:p>
      <w:pPr>
        <w:spacing w:after="0" w:line="1" w:lineRule="exact"/>
        <w:rPr>
          <w:sz w:val="20"/>
          <w:szCs w:val="20"/>
          <w:color w:val="auto"/>
        </w:rPr>
      </w:pPr>
    </w:p>
    <w:p>
      <w:pPr>
        <w:ind w:left="440" w:right="5980"/>
        <w:spacing w:after="0" w:line="464" w:lineRule="auto"/>
        <w:rPr>
          <w:sz w:val="20"/>
          <w:szCs w:val="20"/>
          <w:color w:val="auto"/>
        </w:rPr>
      </w:pPr>
      <w:r>
        <w:rPr>
          <w:rFonts w:ascii="Times New Roman" w:cs="Times New Roman" w:eastAsia="Times New Roman" w:hAnsi="Times New Roman"/>
          <w:sz w:val="12"/>
          <w:szCs w:val="12"/>
          <w:color w:val="auto"/>
        </w:rPr>
        <w:t>stock price and volume fluctuations attributable to inconsistent trading volume levels of our shares; reports, guidance and ratings issued by securities or industry analysts;</w:t>
      </w:r>
    </w:p>
    <w:p>
      <w:pPr>
        <w:spacing w:after="0" w:line="1" w:lineRule="exact"/>
        <w:rPr>
          <w:sz w:val="20"/>
          <w:szCs w:val="20"/>
          <w:color w:val="auto"/>
        </w:rPr>
      </w:pPr>
    </w:p>
    <w:p>
      <w:pPr>
        <w:ind w:left="440" w:right="4420"/>
        <w:spacing w:after="0" w:line="456" w:lineRule="auto"/>
        <w:rPr>
          <w:sz w:val="20"/>
          <w:szCs w:val="20"/>
          <w:color w:val="auto"/>
        </w:rPr>
      </w:pPr>
      <w:r>
        <w:rPr>
          <w:rFonts w:ascii="Times New Roman" w:cs="Times New Roman" w:eastAsia="Times New Roman" w:hAnsi="Times New Roman"/>
          <w:sz w:val="12"/>
          <w:szCs w:val="12"/>
          <w:color w:val="auto"/>
        </w:rPr>
        <w:t>overall conditions in our industry and market including the negative impact of COVID-19 on the global economy and markets; and general economic and market conditions.</w:t>
      </w:r>
    </w:p>
    <w:p>
      <w:pPr>
        <w:spacing w:after="0" w:line="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Sales or purchases of shares of our common stock may adversely affect the market for our common stock.</w:t>
      </w:r>
    </w:p>
    <w:p>
      <w:pPr>
        <w:spacing w:after="0" w:line="122"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Board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09"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Additionally, we maintain a shelf registration statement on Form S-3 pursuant to which we may, from time to time, sell up to an aggregate of $190.0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do not know whether an active, liquid and orderly trading market will exist for our common stock and as a result it may be difficult for you to sell your common stock.</w:t>
      </w:r>
    </w:p>
    <w:p>
      <w:pPr>
        <w:spacing w:after="0" w:line="122"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94" w:lineRule="exact"/>
        <w:rPr>
          <w:sz w:val="20"/>
          <w:szCs w:val="20"/>
          <w:color w:val="auto"/>
        </w:rPr>
      </w:pPr>
    </w:p>
    <w:p>
      <w:pPr>
        <w:ind w:firstLine="301"/>
        <w:spacing w:after="0" w:line="261" w:lineRule="auto"/>
        <w:rPr>
          <w:sz w:val="20"/>
          <w:szCs w:val="20"/>
          <w:color w:val="auto"/>
        </w:rPr>
      </w:pPr>
      <w:r>
        <w:rPr>
          <w:rFonts w:ascii="Times New Roman" w:cs="Times New Roman" w:eastAsia="Times New Roman" w:hAnsi="Times New Roman"/>
          <w:sz w:val="12"/>
          <w:szCs w:val="12"/>
          <w:color w:val="auto"/>
        </w:rPr>
        <w:t>A majority percentage of our outstanding stock is held by Robert W. Duggan, Chairman of our Board, who beneficially owns approximately 51% of our common stock outstanding as of the date of this Quarterly Report. As a result, Mr. Duggan has control over corporate actions requiring stockholder approval, including the following actions: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to elect or defeat the election of our directors;</w:t>
      </w:r>
    </w:p>
    <w:p>
      <w:pPr>
        <w:spacing w:after="0" w:line="129" w:lineRule="exact"/>
        <w:rPr>
          <w:sz w:val="20"/>
          <w:szCs w:val="20"/>
          <w:color w:val="auto"/>
        </w:rPr>
      </w:pPr>
    </w:p>
    <w:p>
      <w:pPr>
        <w:ind w:left="440" w:right="6860"/>
        <w:spacing w:after="0" w:line="459" w:lineRule="auto"/>
        <w:rPr>
          <w:sz w:val="20"/>
          <w:szCs w:val="20"/>
          <w:color w:val="auto"/>
        </w:rPr>
      </w:pPr>
      <w:r>
        <w:rPr>
          <w:rFonts w:ascii="Times New Roman" w:cs="Times New Roman" w:eastAsia="Times New Roman" w:hAnsi="Times New Roman"/>
          <w:sz w:val="12"/>
          <w:szCs w:val="12"/>
          <w:color w:val="auto"/>
        </w:rPr>
        <w:t>to amend or prevent amendment of our certificate of incorporation or bylaws; to effect or prevent a merger, sale of assets or other corporate transaction; and to control the outcome of any other matter submitted to our stockholders for vote.</w:t>
      </w:r>
    </w:p>
    <w:p>
      <w:pPr>
        <w:spacing w:after="0" w:line="1"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96" w:lineRule="exact"/>
        <w:rPr>
          <w:sz w:val="20"/>
          <w:szCs w:val="20"/>
          <w:color w:val="auto"/>
        </w:rPr>
      </w:pPr>
    </w:p>
    <w:p>
      <w:pPr>
        <w:jc w:val="both"/>
        <w:ind w:firstLine="301"/>
        <w:spacing w:after="0" w:line="247" w:lineRule="auto"/>
        <w:rPr>
          <w:sz w:val="20"/>
          <w:szCs w:val="20"/>
          <w:color w:val="auto"/>
        </w:rPr>
      </w:pPr>
      <w:r>
        <w:rPr>
          <w:rFonts w:ascii="Times New Roman" w:cs="Times New Roman" w:eastAsia="Times New Roman" w:hAnsi="Times New Roman"/>
          <w:sz w:val="12"/>
          <w:szCs w:val="12"/>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96"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07"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Mr. Duggan has indicated that he intends to exercise all of his basic subscription rights in the 2022 Rights Offering, but he has not made any formal binding commitment to do so. Mr. Duggan has also reserved the right to exercise any over-subscription rights to purchase additional Units that remain unsubscribed at the expiration of the 2022 Rights Offering, subject to availability, but he has not made a decision with respect to such over-subscription at this time. If other stockholders do not exercise their subscription rights and Mr. Duggan exercises only exercises his basic subscription rights, Mr. Duggan would become the beneficial owner of approximately 54% of our common stock (assuming no exercise of any Warrants to purchase shares of common stock acquired in the 2022 Rights Offering). If no other stockholder exercises their basic subscription rights, and Mr. Duggan exercises all of his basic subscription rights and all of his over-subscription rights, Mr. Duggan would become the beneficial owner of approximately 61% of our common stock.</w:t>
      </w:r>
    </w:p>
    <w:p>
      <w:pPr>
        <w:spacing w:after="0" w:line="109"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Robert W. Duggan’s controlling ownership position may impact our stock price and may deter or prevent efforts by others to acquire us, which could prevent our stockholders from realizing a control premium.</w:t>
      </w:r>
    </w:p>
    <w:p>
      <w:pPr>
        <w:spacing w:after="0" w:line="131" w:lineRule="exact"/>
        <w:rPr>
          <w:sz w:val="20"/>
          <w:szCs w:val="20"/>
          <w:color w:val="auto"/>
        </w:rPr>
      </w:pPr>
    </w:p>
    <w:p>
      <w:pPr>
        <w:jc w:val="both"/>
        <w:ind w:firstLine="301"/>
        <w:spacing w:after="0" w:line="241" w:lineRule="auto"/>
        <w:rPr>
          <w:sz w:val="20"/>
          <w:szCs w:val="20"/>
          <w:color w:val="auto"/>
        </w:rPr>
      </w:pPr>
      <w:r>
        <w:rPr>
          <w:rFonts w:ascii="Times New Roman" w:cs="Times New Roman" w:eastAsia="Times New Roman" w:hAnsi="Times New Roman"/>
          <w:sz w:val="12"/>
          <w:szCs w:val="12"/>
          <w:color w:val="auto"/>
        </w:rPr>
        <w:t>Robert W. Duggan is our Board Chairman, and beneficially owns approximately 51%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controlling ownership and position as Board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31"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02" w:lineRule="exact"/>
        <w:rPr>
          <w:sz w:val="20"/>
          <w:szCs w:val="20"/>
          <w:color w:val="auto"/>
        </w:rPr>
      </w:pPr>
    </w:p>
    <w:p>
      <w:pPr>
        <w:jc w:val="both"/>
        <w:ind w:firstLine="301"/>
        <w:spacing w:after="0" w:line="236" w:lineRule="auto"/>
        <w:rPr>
          <w:sz w:val="20"/>
          <w:szCs w:val="20"/>
          <w:color w:val="auto"/>
        </w:rPr>
      </w:pPr>
      <w:r>
        <w:rPr>
          <w:rFonts w:ascii="Times New Roman" w:cs="Times New Roman" w:eastAsia="Times New Roman" w:hAnsi="Times New Roman"/>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10" w:lineRule="exact"/>
        <w:rPr>
          <w:sz w:val="20"/>
          <w:szCs w:val="20"/>
          <w:color w:val="auto"/>
        </w:rPr>
      </w:pPr>
    </w:p>
    <w:p>
      <w:pPr>
        <w:jc w:val="both"/>
        <w:ind w:firstLine="301"/>
        <w:spacing w:after="0" w:line="251" w:lineRule="auto"/>
        <w:rPr>
          <w:sz w:val="20"/>
          <w:szCs w:val="20"/>
          <w:color w:val="auto"/>
        </w:rPr>
      </w:pPr>
      <w:r>
        <w:rPr>
          <w:rFonts w:ascii="Times New Roman" w:cs="Times New Roman" w:eastAsia="Times New Roman" w:hAnsi="Times New Roman"/>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are a “smaller reporting company”; we cannot be certain if the applicable reduced disclosure requirements will make our common stock less attractive to investors.</w:t>
      </w:r>
    </w:p>
    <w:p>
      <w:pPr>
        <w:spacing w:after="0" w:line="131" w:lineRule="exact"/>
        <w:rPr>
          <w:sz w:val="20"/>
          <w:szCs w:val="20"/>
          <w:color w:val="auto"/>
        </w:rPr>
      </w:pPr>
    </w:p>
    <w:p>
      <w:pPr>
        <w:jc w:val="both"/>
        <w:ind w:firstLine="301"/>
        <w:spacing w:after="0" w:line="237" w:lineRule="auto"/>
        <w:rPr>
          <w:sz w:val="20"/>
          <w:szCs w:val="20"/>
          <w:color w:val="auto"/>
        </w:rPr>
      </w:pPr>
      <w:r>
        <w:rPr>
          <w:rFonts w:ascii="Times New Roman" w:cs="Times New Roman" w:eastAsia="Times New Roman" w:hAnsi="Times New Roman"/>
          <w:sz w:val="12"/>
          <w:szCs w:val="12"/>
          <w:color w:val="auto"/>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are no longer an emerging growth company, however,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31"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have not paid dividends in the past and have no plans to pay dividends</w:t>
      </w:r>
      <w:r>
        <w:rPr>
          <w:rFonts w:ascii="Times New Roman" w:cs="Times New Roman" w:eastAsia="Times New Roman" w:hAnsi="Times New Roman"/>
          <w:sz w:val="12"/>
          <w:szCs w:val="12"/>
          <w:color w:val="auto"/>
        </w:rPr>
        <w:t>.</w:t>
      </w:r>
    </w:p>
    <w:p>
      <w:pPr>
        <w:spacing w:after="0" w:line="131" w:lineRule="exact"/>
        <w:rPr>
          <w:sz w:val="20"/>
          <w:szCs w:val="20"/>
          <w:color w:val="auto"/>
        </w:rPr>
      </w:pPr>
    </w:p>
    <w:p>
      <w:pPr>
        <w:jc w:val="both"/>
        <w:ind w:right="20" w:firstLine="301"/>
        <w:spacing w:after="0" w:line="251" w:lineRule="auto"/>
        <w:rPr>
          <w:sz w:val="20"/>
          <w:szCs w:val="20"/>
          <w:color w:val="auto"/>
        </w:rPr>
      </w:pPr>
      <w:r>
        <w:rPr>
          <w:rFonts w:ascii="Times New Roman" w:cs="Times New Roman" w:eastAsia="Times New Roman" w:hAnsi="Times New Roman"/>
          <w:sz w:val="12"/>
          <w:szCs w:val="12"/>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90" w:lineRule="exact"/>
        <w:rPr>
          <w:sz w:val="20"/>
          <w:szCs w:val="20"/>
          <w:color w:val="auto"/>
        </w:rPr>
      </w:pPr>
    </w:p>
    <w:p>
      <w:pPr>
        <w:jc w:val="both"/>
        <w:ind w:firstLine="301"/>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84" w:lineRule="exact"/>
        <w:rPr>
          <w:sz w:val="20"/>
          <w:szCs w:val="20"/>
          <w:color w:val="auto"/>
        </w:rPr>
      </w:pPr>
    </w:p>
    <w:p>
      <w:pPr>
        <w:jc w:val="both"/>
        <w:ind w:firstLine="301"/>
        <w:spacing w:after="0" w:line="243" w:lineRule="auto"/>
        <w:rPr>
          <w:sz w:val="20"/>
          <w:szCs w:val="20"/>
          <w:color w:val="auto"/>
        </w:rPr>
      </w:pPr>
      <w:r>
        <w:rPr>
          <w:rFonts w:ascii="Times New Roman" w:cs="Times New Roman" w:eastAsia="Times New Roman" w:hAnsi="Times New Roman"/>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06"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require that any action to be taken by our stockholders be effected at a duly called annual or special meeting and not by written consent;</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establish an advance notice procedure for stockholder approvals to be brought before an annual meeting of our stockholders, including proposed nominations of persons for election to our board of directors;</w:t>
      </w:r>
    </w:p>
    <w:p>
      <w:pPr>
        <w:spacing w:after="0" w:line="1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2"/>
          <w:szCs w:val="12"/>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give our board of directors the ability to amend our bylaws by majority vote; and</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provide that vacancies on our board of directors may be filled only by a majority of directors then in office, even though less than a quorum.</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General Risk Factors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Unfavorable global economic or political conditions could adversely affect our business, financial condition or results of operations.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the CellFX System,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08" w:lineRule="exact"/>
        <w:rPr>
          <w:sz w:val="20"/>
          <w:szCs w:val="20"/>
          <w:color w:val="auto"/>
        </w:rPr>
      </w:pPr>
    </w:p>
    <w:p>
      <w:pPr>
        <w:jc w:val="both"/>
        <w:ind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4" w:lineRule="exact"/>
        <w:rPr>
          <w:sz w:val="20"/>
          <w:szCs w:val="20"/>
          <w:color w:val="auto"/>
        </w:rPr>
      </w:pPr>
    </w:p>
    <w:p>
      <w:pPr>
        <w:jc w:val="both"/>
        <w:ind w:firstLine="301"/>
        <w:spacing w:after="0" w:line="235" w:lineRule="auto"/>
        <w:rPr>
          <w:sz w:val="20"/>
          <w:szCs w:val="20"/>
          <w:color w:val="auto"/>
        </w:rPr>
      </w:pPr>
      <w:r>
        <w:rPr>
          <w:rFonts w:ascii="Times New Roman" w:cs="Times New Roman" w:eastAsia="Times New Roman" w:hAnsi="Times New Roman"/>
          <w:sz w:val="12"/>
          <w:szCs w:val="12"/>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3"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litigation that may materially adversely affect us.</w:t>
      </w:r>
    </w:p>
    <w:p>
      <w:pPr>
        <w:spacing w:after="0" w:line="131"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adversely affected by health epidemics including the coronavirus pandemic.</w:t>
      </w:r>
    </w:p>
    <w:p>
      <w:pPr>
        <w:spacing w:after="0" w:line="131"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2"/>
          <w:szCs w:val="12"/>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96"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For most of 2020 and much of 2021, we required, in accordance with local and state guidelines regarding the COVID-19 pandemic, all of our employees to work remotely unless they could not perform their essential functions remotely. We also suspended all non-essential travel for our employees. While many of our employees are accustomed to working remotely or working with other remote employees, much of our workforce has not historically been remote. We continue to monitor the situation and may adjust our current policies as more information and public health guidance becomes available. Operational restrictions as a result of the COVD-19 pandemic could harm our business, financial condition and results of operations.</w:t>
      </w:r>
    </w:p>
    <w:p>
      <w:pPr>
        <w:spacing w:after="0" w:line="107" w:lineRule="exact"/>
        <w:rPr>
          <w:sz w:val="20"/>
          <w:szCs w:val="20"/>
          <w:color w:val="auto"/>
        </w:rPr>
      </w:pPr>
    </w:p>
    <w:p>
      <w:pPr>
        <w:jc w:val="both"/>
        <w:ind w:firstLine="301"/>
        <w:spacing w:after="0" w:line="238" w:lineRule="auto"/>
        <w:rPr>
          <w:sz w:val="20"/>
          <w:szCs w:val="20"/>
          <w:color w:val="auto"/>
        </w:rPr>
      </w:pPr>
      <w:r>
        <w:rPr>
          <w:rFonts w:ascii="Times New Roman" w:cs="Times New Roman" w:eastAsia="Times New Roman" w:hAnsi="Times New Roman"/>
          <w:sz w:val="12"/>
          <w:szCs w:val="12"/>
          <w:color w:val="auto"/>
        </w:rPr>
        <w:t>In addition, our clinical trials may be affected by the continuing COVID-19 pandemic. Site initiation and patient enrollment may be delayed, for example, due to prioritization of hospital resources toward the COVID-19 pandemic, travel restrictions imposed by governments, and the inability to access sites for initiation and monitoring. Some of our suppliers of certain materials used in the production of the CellFX System are located in areas heavily impacted by COVID-19 which could limit our ability to obtain sufficient materials. COVID-19 has and will continue to adversely affect global economies and financial markets of many countries, resulting in an economic downturn that could affect demand for the CellFX System and other product candidates, if approved, and impact our operating results. Even after the COVID-19 pandemic has subsided, we may continue to experience an adverse impact to our business as a result of the continued global economic impact of the pandemic. Although we are continuing to monitor and assess the effects of the COVID-19 pandemic on our business, the ultimate impact of the COVID-19 pandemic or a similar health epidemic is highly uncertain and subject to change.</w:t>
      </w:r>
    </w:p>
    <w:p>
      <w:pPr>
        <w:spacing w:after="0" w:line="108" w:lineRule="exact"/>
        <w:rPr>
          <w:sz w:val="20"/>
          <w:szCs w:val="20"/>
          <w:color w:val="auto"/>
        </w:rPr>
      </w:pPr>
    </w:p>
    <w:p>
      <w:pPr>
        <w:jc w:val="both"/>
        <w:ind w:right="20" w:firstLine="301"/>
        <w:spacing w:after="0" w:line="265" w:lineRule="auto"/>
        <w:rPr>
          <w:sz w:val="20"/>
          <w:szCs w:val="20"/>
          <w:color w:val="auto"/>
        </w:rPr>
      </w:pPr>
      <w:r>
        <w:rPr>
          <w:rFonts w:ascii="Times New Roman" w:cs="Times New Roman" w:eastAsia="Times New Roman" w:hAnsi="Times New Roman"/>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94" w:lineRule="exact"/>
        <w:rPr>
          <w:sz w:val="20"/>
          <w:szCs w:val="20"/>
          <w:color w:val="auto"/>
        </w:rPr>
      </w:pPr>
    </w:p>
    <w:p>
      <w:pPr>
        <w:jc w:val="both"/>
        <w:ind w:firstLine="301"/>
        <w:spacing w:after="0" w:line="242" w:lineRule="auto"/>
        <w:rPr>
          <w:sz w:val="20"/>
          <w:szCs w:val="20"/>
          <w:color w:val="auto"/>
        </w:rPr>
      </w:pPr>
      <w:r>
        <w:rPr>
          <w:rFonts w:ascii="Times New Roman" w:cs="Times New Roman" w:eastAsia="Times New Roman" w:hAnsi="Times New Roman"/>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142240</wp:posOffset>
            </wp:positionV>
            <wp:extent cx="720153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 Upon Senior Securities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Exhibit</w:t>
            </w:r>
          </w:p>
        </w:tc>
        <w:tc>
          <w:tcPr>
            <w:tcW w:w="10120" w:type="dxa"/>
            <w:vAlign w:val="bottom"/>
            <w:gridSpan w:val="4"/>
            <w:vMerge w:val="restart"/>
          </w:tcPr>
          <w:p>
            <w:pPr>
              <w:spacing w:after="0"/>
              <w:rPr>
                <w:sz w:val="20"/>
                <w:szCs w:val="20"/>
                <w:color w:val="auto"/>
              </w:rPr>
            </w:pPr>
            <w:r>
              <w:rPr>
                <w:rFonts w:ascii="Times New Roman" w:cs="Times New Roman" w:eastAsia="Times New Roman" w:hAnsi="Times New Roman"/>
                <w:sz w:val="9"/>
                <w:szCs w:val="9"/>
                <w:b w:val="1"/>
                <w:bCs w:val="1"/>
                <w:color w:val="auto"/>
              </w:rPr>
              <w:t>Exhibit Description</w:t>
            </w:r>
          </w:p>
        </w:tc>
        <w:tc>
          <w:tcPr>
            <w:tcW w:w="0" w:type="dxa"/>
            <w:vAlign w:val="bottom"/>
          </w:tcPr>
          <w:p>
            <w:pPr>
              <w:spacing w:after="0"/>
              <w:rPr>
                <w:sz w:val="1"/>
                <w:szCs w:val="1"/>
                <w:color w:val="auto"/>
              </w:rPr>
            </w:pPr>
          </w:p>
        </w:tc>
      </w:tr>
      <w:tr>
        <w:trPr>
          <w:trHeight w:val="126"/>
        </w:trPr>
        <w:tc>
          <w:tcPr>
            <w:tcW w:w="11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Number</w:t>
            </w:r>
          </w:p>
        </w:tc>
        <w:tc>
          <w:tcPr>
            <w:tcW w:w="101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20" w:type="dxa"/>
            <w:vAlign w:val="bottom"/>
            <w:tcBorders>
              <w:top w:val="single" w:sz="8" w:color="auto"/>
              <w:bottom w:val="single" w:sz="8" w:color="0563C1"/>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0563C1"/>
              </w:rPr>
              <w:t>31.</w:t>
            </w:r>
            <w:r>
              <w:rPr>
                <w:rFonts w:ascii="Times New Roman" w:cs="Times New Roman" w:eastAsia="Times New Roman" w:hAnsi="Times New Roman"/>
                <w:sz w:val="11"/>
                <w:szCs w:val="11"/>
                <w:u w:val="single" w:color="auto"/>
                <w:color w:val="0563C1"/>
              </w:rPr>
              <w:t>1</w:t>
            </w: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4940" w:type="dxa"/>
            <w:vAlign w:val="bottom"/>
            <w:tcBorders>
              <w:top w:val="single" w:sz="8" w:color="auto"/>
              <w:bottom w:val="single" w:sz="8" w:color="0563C1"/>
            </w:tcBorders>
            <w:gridSpan w:val="2"/>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0563C1"/>
              </w:rPr>
              <w:t>Certification of Chief Executive Officer pursuant to Section 302 of the Sarbanes-Oxley Act of 2002.</w:t>
            </w:r>
          </w:p>
        </w:tc>
        <w:tc>
          <w:tcPr>
            <w:tcW w:w="5180" w:type="dxa"/>
            <w:vAlign w:val="bottom"/>
            <w:tcBorders>
              <w:top w:val="single" w:sz="8" w:color="auto"/>
              <w:bottom w:val="single" w:sz="8" w:color="CCEEFF"/>
            </w:tcBorders>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0" w:type="dxa"/>
            <w:vAlign w:val="bottom"/>
          </w:tcPr>
          <w:p>
            <w:pPr>
              <w:spacing w:after="0" w:line="109" w:lineRule="exact"/>
              <w:rPr>
                <w:sz w:val="20"/>
                <w:szCs w:val="20"/>
                <w:color w:val="auto"/>
              </w:rPr>
            </w:pPr>
            <w:r>
              <w:rPr>
                <w:rFonts w:ascii="Times New Roman" w:cs="Times New Roman" w:eastAsia="Times New Roman" w:hAnsi="Times New Roman"/>
                <w:sz w:val="12"/>
                <w:szCs w:val="12"/>
                <w:color w:val="0563C1"/>
                <w:w w:val="94"/>
              </w:rPr>
              <w:t>31.</w:t>
            </w:r>
            <w:r>
              <w:rPr>
                <w:rFonts w:ascii="Times New Roman" w:cs="Times New Roman" w:eastAsia="Times New Roman" w:hAnsi="Times New Roman"/>
                <w:sz w:val="12"/>
                <w:szCs w:val="12"/>
                <w:u w:val="single" w:color="auto"/>
                <w:color w:val="0563C1"/>
                <w:w w:val="94"/>
              </w:rPr>
              <w:t>2</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120" w:type="dxa"/>
            <w:vAlign w:val="bottom"/>
            <w:gridSpan w:val="4"/>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32.</w:t>
            </w:r>
            <w:r>
              <w:rPr>
                <w:rFonts w:ascii="Times New Roman" w:cs="Times New Roman" w:eastAsia="Times New Roman" w:hAnsi="Times New Roman"/>
                <w:sz w:val="12"/>
                <w:szCs w:val="12"/>
                <w:u w:val="single" w:color="auto"/>
                <w:color w:val="0563C1"/>
              </w:rPr>
              <w:t>1</w:t>
            </w:r>
            <w:r>
              <w:rPr>
                <w:rFonts w:ascii="Times New Roman" w:cs="Times New Roman" w:eastAsia="Times New Roman" w:hAnsi="Times New Roman"/>
                <w:sz w:val="12"/>
                <w:szCs w:val="12"/>
                <w:color w:val="000000"/>
              </w:rPr>
              <w:t>*</w:t>
            </w:r>
          </w:p>
        </w:tc>
        <w:tc>
          <w:tcPr>
            <w:tcW w:w="180" w:type="dxa"/>
            <w:vAlign w:val="bottom"/>
            <w:shd w:val="clear" w:color="auto" w:fill="CCEEFF"/>
          </w:tcPr>
          <w:p>
            <w:pPr>
              <w:spacing w:after="0"/>
              <w:rPr>
                <w:sz w:val="9"/>
                <w:szCs w:val="9"/>
                <w:color w:val="auto"/>
              </w:rPr>
            </w:pPr>
          </w:p>
        </w:tc>
        <w:tc>
          <w:tcPr>
            <w:tcW w:w="10120" w:type="dxa"/>
            <w:vAlign w:val="bottom"/>
            <w:gridSpan w:val="4"/>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563C1"/>
              </w:rPr>
              <w:t>Certification of the Chief Executive and Chief Financial Officers pursuant to Section 906 of the Sarbanes-Oxley Act of 2002 (18 U.S.C. Section 1350).</w:t>
            </w:r>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rPr>
              <w:t>101.INS</w:t>
            </w:r>
          </w:p>
        </w:tc>
        <w:tc>
          <w:tcPr>
            <w:tcW w:w="10120" w:type="dxa"/>
            <w:vAlign w:val="bottom"/>
            <w:gridSpan w:val="4"/>
          </w:tcPr>
          <w:p>
            <w:pPr>
              <w:spacing w:after="0" w:line="128" w:lineRule="exact"/>
              <w:rPr>
                <w:sz w:val="20"/>
                <w:szCs w:val="20"/>
                <w:color w:val="auto"/>
              </w:rPr>
            </w:pPr>
            <w:r>
              <w:rPr>
                <w:rFonts w:ascii="Times New Roman" w:cs="Times New Roman" w:eastAsia="Times New Roman" w:hAnsi="Times New Roman"/>
                <w:sz w:val="12"/>
                <w:szCs w:val="12"/>
                <w:color w:val="auto"/>
              </w:rPr>
              <w:t>XBRL Instance Document</w:t>
            </w:r>
          </w:p>
        </w:tc>
        <w:tc>
          <w:tcPr>
            <w:tcW w:w="0" w:type="dxa"/>
            <w:vAlign w:val="bottom"/>
          </w:tcPr>
          <w:p>
            <w:pPr>
              <w:spacing w:after="0"/>
              <w:rPr>
                <w:sz w:val="1"/>
                <w:szCs w:val="1"/>
                <w:color w:val="auto"/>
              </w:rPr>
            </w:pPr>
          </w:p>
        </w:tc>
      </w:tr>
      <w:tr>
        <w:trPr>
          <w:trHeight w:val="129"/>
        </w:trPr>
        <w:tc>
          <w:tcPr>
            <w:tcW w:w="118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101.SCH</w:t>
            </w:r>
          </w:p>
        </w:tc>
        <w:tc>
          <w:tcPr>
            <w:tcW w:w="101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18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101.CAL</w:t>
            </w:r>
          </w:p>
        </w:tc>
        <w:tc>
          <w:tcPr>
            <w:tcW w:w="10120" w:type="dxa"/>
            <w:vAlign w:val="bottom"/>
            <w:gridSpan w:val="4"/>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18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101.DEF</w:t>
            </w:r>
          </w:p>
        </w:tc>
        <w:tc>
          <w:tcPr>
            <w:tcW w:w="101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07"/>
        </w:trPr>
        <w:tc>
          <w:tcPr>
            <w:tcW w:w="1180" w:type="dxa"/>
            <w:vAlign w:val="bottom"/>
            <w:gridSpan w:val="3"/>
          </w:tcPr>
          <w:p>
            <w:pPr>
              <w:spacing w:after="0" w:line="107" w:lineRule="exact"/>
              <w:rPr>
                <w:sz w:val="20"/>
                <w:szCs w:val="20"/>
                <w:color w:val="auto"/>
              </w:rPr>
            </w:pPr>
            <w:r>
              <w:rPr>
                <w:rFonts w:ascii="Times New Roman" w:cs="Times New Roman" w:eastAsia="Times New Roman" w:hAnsi="Times New Roman"/>
                <w:sz w:val="12"/>
                <w:szCs w:val="12"/>
                <w:color w:val="auto"/>
              </w:rPr>
              <w:t>101.LAB</w:t>
            </w:r>
          </w:p>
        </w:tc>
        <w:tc>
          <w:tcPr>
            <w:tcW w:w="10120" w:type="dxa"/>
            <w:vAlign w:val="bottom"/>
            <w:gridSpan w:val="4"/>
          </w:tcPr>
          <w:p>
            <w:pPr>
              <w:spacing w:after="0" w:line="107" w:lineRule="exact"/>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0" w:type="dxa"/>
            <w:vAlign w:val="bottom"/>
          </w:tcPr>
          <w:p>
            <w:pPr>
              <w:spacing w:after="0"/>
              <w:rPr>
                <w:sz w:val="1"/>
                <w:szCs w:val="1"/>
                <w:color w:val="auto"/>
              </w:rPr>
            </w:pPr>
          </w:p>
        </w:tc>
      </w:tr>
      <w:tr>
        <w:trPr>
          <w:trHeight w:val="143"/>
        </w:trPr>
        <w:tc>
          <w:tcPr>
            <w:tcW w:w="1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101.PRE</w:t>
            </w: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6135" cy="819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81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104Cover Page Interactive Data File (formatted as Inline XBRL and contained in Exhibit 101)</w:t>
      </w:r>
    </w:p>
    <w:p>
      <w:pPr>
        <w:spacing w:after="0" w:line="10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135890</wp:posOffset>
            </wp:positionV>
            <wp:extent cx="720153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1934, the registrant has duly caused this report to be signed on its behalf by the undersigned thereunto duly authorized.</w:t>
      </w:r>
    </w:p>
    <w:p>
      <w:pPr>
        <w:spacing w:after="0" w:line="25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b w:val="1"/>
          <w:bCs w:val="1"/>
          <w:color w:val="auto"/>
        </w:rPr>
        <w:t>PULSE BIOSCIENCES, INC.</w:t>
      </w:r>
    </w:p>
    <w:p>
      <w:pPr>
        <w:spacing w:after="0" w:line="122" w:lineRule="exact"/>
        <w:rPr>
          <w:sz w:val="20"/>
          <w:szCs w:val="20"/>
          <w:color w:val="auto"/>
        </w:rPr>
      </w:pPr>
    </w:p>
    <w:p>
      <w:pPr>
        <w:spacing w:after="0"/>
        <w:tabs>
          <w:tab w:leader="none" w:pos="5740" w:val="left"/>
          <w:tab w:leader="none" w:pos="6260" w:val="left"/>
        </w:tabs>
        <w:rPr>
          <w:sz w:val="20"/>
          <w:szCs w:val="20"/>
          <w:color w:val="auto"/>
        </w:rPr>
      </w:pPr>
      <w:r>
        <w:rPr>
          <w:rFonts w:ascii="Times New Roman" w:cs="Times New Roman" w:eastAsia="Times New Roman" w:hAnsi="Times New Roman"/>
          <w:sz w:val="12"/>
          <w:szCs w:val="12"/>
          <w:color w:val="auto"/>
        </w:rPr>
        <w:t>Date: May 11,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8255</wp:posOffset>
            </wp:positionV>
            <wp:extent cx="28797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79725" cy="571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1"/>
          <w:szCs w:val="11"/>
          <w:b w:val="1"/>
          <w:bCs w:val="1"/>
          <w:color w:val="auto"/>
        </w:rPr>
        <w:t>Sandra A. Gardiner</w:t>
      </w:r>
    </w:p>
    <w:p>
      <w:pPr>
        <w:ind w:left="6280"/>
        <w:spacing w:after="0"/>
        <w:rPr>
          <w:sz w:val="20"/>
          <w:szCs w:val="20"/>
          <w:color w:val="auto"/>
        </w:rPr>
      </w:pPr>
      <w:r>
        <w:rPr>
          <w:rFonts w:ascii="Times New Roman" w:cs="Times New Roman" w:eastAsia="Times New Roman" w:hAnsi="Times New Roman"/>
          <w:sz w:val="10"/>
          <w:szCs w:val="10"/>
          <w:b w:val="1"/>
          <w:bCs w:val="1"/>
          <w:color w:val="auto"/>
        </w:rPr>
        <w:t>Chief Financial Officer, Executive Vice President of Finance and Administration, and Treasurer</w:t>
      </w:r>
    </w:p>
    <w:p>
      <w:pPr>
        <w:spacing w:after="0" w:line="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Principal Financial and Accounting Officer</w:t>
      </w:r>
      <w:r>
        <w:rPr>
          <w:rFonts w:ascii="Times New Roman" w:cs="Times New Roman" w:eastAsia="Times New Roman" w:hAnsi="Times New Roman"/>
          <w:sz w:val="11"/>
          <w:szCs w:val="11"/>
          <w:b w:val="1"/>
          <w:bCs w:val="1"/>
          <w:color w:val="auto"/>
        </w:rPr>
        <w:t>)</w:t>
      </w:r>
    </w:p>
    <w:p>
      <w:pPr>
        <w:spacing w:after="0" w:line="24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10780"/>
          </w:cols>
          <w:pgMar w:left="300" w:top="116" w:right="8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92" w:lineRule="exact"/>
        <w:rPr>
          <w:sz w:val="20"/>
          <w:szCs w:val="20"/>
          <w:color w:val="auto"/>
        </w:rPr>
      </w:pPr>
    </w:p>
    <w:p>
      <w:pPr>
        <w:ind w:left="3063"/>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ind w:left="2463"/>
        <w:spacing w:after="0" w:line="220" w:lineRule="auto"/>
        <w:rPr>
          <w:sz w:val="20"/>
          <w:szCs w:val="20"/>
          <w:color w:val="auto"/>
        </w:rPr>
      </w:pPr>
      <w:r>
        <w:rPr>
          <w:rFonts w:ascii="Times New Roman" w:cs="Times New Roman" w:eastAsia="Times New Roman" w:hAnsi="Times New Roman"/>
          <w:sz w:val="12"/>
          <w:szCs w:val="12"/>
          <w:b w:val="1"/>
          <w:bCs w:val="1"/>
          <w:color w:val="auto"/>
        </w:rPr>
        <w:t>SECURITIES EXCHANGE ACT RULES 13a-14(a) and 15d-14(a), AS ADOPTED PURSUANT</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Darrin R. Uecker, certify that:</w:t>
      </w:r>
    </w:p>
    <w:p>
      <w:pPr>
        <w:spacing w:after="0" w:line="83" w:lineRule="exact"/>
        <w:rPr>
          <w:sz w:val="20"/>
          <w:szCs w:val="20"/>
          <w:color w:val="auto"/>
        </w:rPr>
      </w:pPr>
    </w:p>
    <w:p>
      <w:pPr>
        <w:ind w:left="223" w:hanging="223"/>
        <w:spacing w:after="0"/>
        <w:tabs>
          <w:tab w:leader="none" w:pos="22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March 31, 2022 of Pulse Biosciences, Inc.;</w:t>
      </w:r>
    </w:p>
    <w:p>
      <w:pPr>
        <w:spacing w:after="0" w:line="83"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2"/>
          <w:szCs w:val="12"/>
          <w:color w:val="auto"/>
        </w:rPr>
      </w:pPr>
    </w:p>
    <w:p>
      <w:pPr>
        <w:ind w:left="223" w:hanging="223"/>
        <w:spacing w:after="0" w:line="261" w:lineRule="auto"/>
        <w:tabs>
          <w:tab w:leader="none" w:pos="22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2"/>
          <w:szCs w:val="12"/>
          <w:color w:val="auto"/>
        </w:rPr>
      </w:pPr>
    </w:p>
    <w:p>
      <w:pPr>
        <w:ind w:left="443" w:right="120" w:hanging="221"/>
        <w:spacing w:after="0" w:line="261" w:lineRule="auto"/>
        <w:tabs>
          <w:tab w:leader="none" w:pos="44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2"/>
          <w:szCs w:val="12"/>
          <w:color w:val="auto"/>
        </w:rPr>
      </w:pPr>
    </w:p>
    <w:p>
      <w:pPr>
        <w:ind w:left="443" w:hanging="221"/>
        <w:spacing w:after="0"/>
        <w:tabs>
          <w:tab w:leader="none" w:pos="443"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Date: May 11, 2022</w:t>
            </w:r>
          </w:p>
        </w:tc>
        <w:tc>
          <w:tcPr>
            <w:tcW w:w="2420" w:type="dxa"/>
            <w:vAlign w:val="bottom"/>
          </w:tcPr>
          <w:p>
            <w:pPr>
              <w:ind w:left="194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Darrin R. Uecker</w:t>
            </w:r>
          </w:p>
        </w:tc>
        <w:tc>
          <w:tcPr>
            <w:tcW w:w="100" w:type="dxa"/>
            <w:vAlign w:val="bottom"/>
          </w:tcPr>
          <w:p>
            <w:pPr>
              <w:spacing w:after="0"/>
              <w:rPr>
                <w:sz w:val="12"/>
                <w:szCs w:val="12"/>
                <w:color w:val="auto"/>
              </w:rPr>
            </w:pPr>
          </w:p>
        </w:tc>
      </w:tr>
      <w:tr>
        <w:trPr>
          <w:trHeight w:val="91"/>
        </w:trPr>
        <w:tc>
          <w:tcPr>
            <w:tcW w:w="29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Darrin R. Uecker</w:t>
            </w:r>
          </w:p>
        </w:tc>
        <w:tc>
          <w:tcPr>
            <w:tcW w:w="100" w:type="dxa"/>
            <w:vAlign w:val="bottom"/>
          </w:tcPr>
          <w:p>
            <w:pPr>
              <w:spacing w:after="0"/>
              <w:rPr>
                <w:sz w:val="7"/>
                <w:szCs w:val="7"/>
                <w:color w:val="auto"/>
              </w:rPr>
            </w:pPr>
          </w:p>
        </w:tc>
      </w:tr>
      <w:tr>
        <w:trPr>
          <w:trHeight w:val="120"/>
        </w:trPr>
        <w:tc>
          <w:tcPr>
            <w:tcW w:w="29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5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President and Chief Executive Officer</w:t>
            </w:r>
          </w:p>
        </w:tc>
        <w:tc>
          <w:tcPr>
            <w:tcW w:w="100" w:type="dxa"/>
            <w:vAlign w:val="bottom"/>
          </w:tcPr>
          <w:p>
            <w:pPr>
              <w:spacing w:after="0"/>
              <w:rPr>
                <w:sz w:val="10"/>
                <w:szCs w:val="10"/>
                <w:color w:val="auto"/>
              </w:rPr>
            </w:pPr>
          </w:p>
        </w:tc>
      </w:tr>
      <w:tr>
        <w:trPr>
          <w:trHeight w:val="159"/>
        </w:trPr>
        <w:tc>
          <w:tcPr>
            <w:tcW w:w="29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100" w:type="dxa"/>
            <w:vAlign w:val="bottom"/>
          </w:tcPr>
          <w:p>
            <w:pPr>
              <w:spacing w:after="0"/>
              <w:rPr>
                <w:sz w:val="13"/>
                <w:szCs w:val="13"/>
                <w:color w:val="auto"/>
              </w:rPr>
            </w:pPr>
          </w:p>
        </w:tc>
      </w:tr>
      <w:tr>
        <w:trPr>
          <w:trHeight w:val="383"/>
        </w:trPr>
        <w:tc>
          <w:tcPr>
            <w:tcW w:w="29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-29845</wp:posOffset>
            </wp:positionV>
            <wp:extent cx="3111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983"/>
          </w:cols>
          <w:pgMar w:left="957" w:top="115" w:right="9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92" w:lineRule="exact"/>
        <w:rPr>
          <w:sz w:val="20"/>
          <w:szCs w:val="20"/>
          <w:color w:val="auto"/>
        </w:rPr>
      </w:pPr>
    </w:p>
    <w:p>
      <w:pPr>
        <w:ind w:left="3083"/>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ind w:left="2463"/>
        <w:spacing w:after="0" w:line="220" w:lineRule="auto"/>
        <w:rPr>
          <w:sz w:val="20"/>
          <w:szCs w:val="20"/>
          <w:color w:val="auto"/>
        </w:rPr>
      </w:pPr>
      <w:r>
        <w:rPr>
          <w:rFonts w:ascii="Times New Roman" w:cs="Times New Roman" w:eastAsia="Times New Roman" w:hAnsi="Times New Roman"/>
          <w:sz w:val="12"/>
          <w:szCs w:val="12"/>
          <w:b w:val="1"/>
          <w:bCs w:val="1"/>
          <w:color w:val="auto"/>
        </w:rPr>
        <w:t>SECURITIES EXCHANGE ACT RULES 13a-14(a) and 15d-14(a), AS ADOPTED PURSUANT</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Sandra A. Gardiner, certify that:</w:t>
      </w:r>
    </w:p>
    <w:p>
      <w:pPr>
        <w:spacing w:after="0" w:line="83" w:lineRule="exact"/>
        <w:rPr>
          <w:sz w:val="20"/>
          <w:szCs w:val="20"/>
          <w:color w:val="auto"/>
        </w:rPr>
      </w:pPr>
    </w:p>
    <w:p>
      <w:pPr>
        <w:ind w:left="223" w:hanging="223"/>
        <w:spacing w:after="0"/>
        <w:tabs>
          <w:tab w:leader="none" w:pos="22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quarter ended March 31, 2022 of Pulse Biosciences, Inc.;</w:t>
      </w:r>
    </w:p>
    <w:p>
      <w:pPr>
        <w:spacing w:after="0" w:line="83"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2"/>
          <w:szCs w:val="12"/>
          <w:color w:val="auto"/>
        </w:rPr>
      </w:pPr>
    </w:p>
    <w:p>
      <w:pPr>
        <w:ind w:left="223" w:hanging="223"/>
        <w:spacing w:after="0" w:line="261" w:lineRule="auto"/>
        <w:tabs>
          <w:tab w:leader="none" w:pos="22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2"/>
          <w:szCs w:val="12"/>
          <w:color w:val="auto"/>
        </w:rPr>
      </w:pPr>
    </w:p>
    <w:p>
      <w:pPr>
        <w:ind w:left="443" w:right="120" w:hanging="221"/>
        <w:spacing w:after="0" w:line="261" w:lineRule="auto"/>
        <w:tabs>
          <w:tab w:leader="none" w:pos="443"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2"/>
          <w:szCs w:val="12"/>
          <w:color w:val="auto"/>
        </w:rPr>
      </w:pPr>
    </w:p>
    <w:p>
      <w:pPr>
        <w:ind w:left="443" w:right="20" w:hanging="221"/>
        <w:spacing w:after="0" w:line="261" w:lineRule="auto"/>
        <w:tabs>
          <w:tab w:leader="none" w:pos="443"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2"/>
          <w:szCs w:val="12"/>
          <w:color w:val="auto"/>
        </w:rPr>
      </w:pPr>
    </w:p>
    <w:p>
      <w:pPr>
        <w:ind w:left="223" w:right="20" w:hanging="223"/>
        <w:spacing w:after="0" w:line="261" w:lineRule="auto"/>
        <w:tabs>
          <w:tab w:leader="none" w:pos="22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2"/>
          <w:szCs w:val="12"/>
          <w:color w:val="auto"/>
        </w:rPr>
      </w:pPr>
    </w:p>
    <w:p>
      <w:pPr>
        <w:ind w:left="443" w:hanging="221"/>
        <w:spacing w:after="0" w:line="261" w:lineRule="auto"/>
        <w:tabs>
          <w:tab w:leader="none" w:pos="443"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2"/>
          <w:szCs w:val="12"/>
          <w:color w:val="auto"/>
        </w:rPr>
      </w:pPr>
    </w:p>
    <w:p>
      <w:pPr>
        <w:ind w:left="443" w:hanging="221"/>
        <w:spacing w:after="0"/>
        <w:tabs>
          <w:tab w:leader="none" w:pos="443"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142"/>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Date: May 11, 2022</w:t>
            </w:r>
          </w:p>
        </w:tc>
        <w:tc>
          <w:tcPr>
            <w:tcW w:w="244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Sandra A. Gardiner</w:t>
            </w:r>
          </w:p>
        </w:tc>
        <w:tc>
          <w:tcPr>
            <w:tcW w:w="100" w:type="dxa"/>
            <w:vAlign w:val="bottom"/>
          </w:tcPr>
          <w:p>
            <w:pPr>
              <w:spacing w:after="0"/>
              <w:rPr>
                <w:sz w:val="12"/>
                <w:szCs w:val="12"/>
                <w:color w:val="auto"/>
              </w:rPr>
            </w:pPr>
          </w:p>
        </w:tc>
      </w:tr>
      <w:tr>
        <w:trPr>
          <w:trHeight w:val="91"/>
        </w:trPr>
        <w:tc>
          <w:tcPr>
            <w:tcW w:w="29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4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Sandra A. Gardiner</w:t>
            </w:r>
          </w:p>
        </w:tc>
        <w:tc>
          <w:tcPr>
            <w:tcW w:w="100" w:type="dxa"/>
            <w:vAlign w:val="bottom"/>
          </w:tcPr>
          <w:p>
            <w:pPr>
              <w:spacing w:after="0"/>
              <w:rPr>
                <w:sz w:val="7"/>
                <w:szCs w:val="7"/>
                <w:color w:val="auto"/>
              </w:rPr>
            </w:pPr>
          </w:p>
        </w:tc>
      </w:tr>
      <w:tr>
        <w:trPr>
          <w:trHeight w:val="120"/>
        </w:trPr>
        <w:tc>
          <w:tcPr>
            <w:tcW w:w="2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5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and</w:t>
            </w:r>
          </w:p>
        </w:tc>
        <w:tc>
          <w:tcPr>
            <w:tcW w:w="100" w:type="dxa"/>
            <w:vAlign w:val="bottom"/>
          </w:tcPr>
          <w:p>
            <w:pPr>
              <w:spacing w:after="0"/>
              <w:rPr>
                <w:sz w:val="10"/>
                <w:szCs w:val="10"/>
                <w:color w:val="auto"/>
              </w:rPr>
            </w:pPr>
          </w:p>
        </w:tc>
      </w:tr>
      <w:tr>
        <w:trPr>
          <w:trHeight w:val="125"/>
        </w:trPr>
        <w:tc>
          <w:tcPr>
            <w:tcW w:w="2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5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Treasurer</w:t>
            </w:r>
          </w:p>
        </w:tc>
        <w:tc>
          <w:tcPr>
            <w:tcW w:w="100" w:type="dxa"/>
            <w:vAlign w:val="bottom"/>
          </w:tcPr>
          <w:p>
            <w:pPr>
              <w:spacing w:after="0"/>
              <w:rPr>
                <w:sz w:val="10"/>
                <w:szCs w:val="10"/>
                <w:color w:val="auto"/>
              </w:rPr>
            </w:pPr>
          </w:p>
        </w:tc>
      </w:tr>
      <w:tr>
        <w:trPr>
          <w:trHeight w:val="159"/>
        </w:trPr>
        <w:tc>
          <w:tcPr>
            <w:tcW w:w="29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tc>
        <w:tc>
          <w:tcPr>
            <w:tcW w:w="100" w:type="dxa"/>
            <w:vAlign w:val="bottom"/>
          </w:tcPr>
          <w:p>
            <w:pPr>
              <w:spacing w:after="0"/>
              <w:rPr>
                <w:sz w:val="13"/>
                <w:szCs w:val="13"/>
                <w:color w:val="auto"/>
              </w:rPr>
            </w:pPr>
          </w:p>
        </w:tc>
      </w:tr>
      <w:tr>
        <w:trPr>
          <w:trHeight w:val="386"/>
        </w:trPr>
        <w:tc>
          <w:tcPr>
            <w:tcW w:w="29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-29845</wp:posOffset>
            </wp:positionV>
            <wp:extent cx="3111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-29845</wp:posOffset>
            </wp:positionV>
            <wp:extent cx="3111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983"/>
          </w:cols>
          <w:pgMar w:left="957" w:top="116" w:right="9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ind w:left="3440"/>
        <w:spacing w:after="0" w:line="220" w:lineRule="auto"/>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ind w:left="338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 connection with the Quarterly Report of Pulse Biosciences, Inc. (the “Company”) on Form 10-Q for the period ended March 31, 2022 as filed with the Securities and Exchange Commission on</w:t>
      </w:r>
    </w:p>
    <w:p>
      <w:pPr>
        <w:spacing w:after="0" w:line="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the date hereof (the “Report”), each of the undersigned certify, pursuant to 18 U.S.C. Section 1350, as adopted pursuant to Section 906 of the Sarbanes-Oxley Act of 2002, that to the best of his knowledge:</w:t>
      </w:r>
    </w:p>
    <w:p>
      <w:pPr>
        <w:spacing w:after="0" w:line="152" w:lineRule="exact"/>
        <w:rPr>
          <w:sz w:val="20"/>
          <w:szCs w:val="20"/>
          <w:color w:val="auto"/>
        </w:rPr>
      </w:pPr>
    </w:p>
    <w:p>
      <w:pPr>
        <w:ind w:left="560" w:hanging="262"/>
        <w:spacing w:after="0"/>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29" w:lineRule="exact"/>
        <w:rPr>
          <w:rFonts w:ascii="Times New Roman" w:cs="Times New Roman" w:eastAsia="Times New Roman" w:hAnsi="Times New Roman"/>
          <w:sz w:val="12"/>
          <w:szCs w:val="12"/>
          <w:color w:val="auto"/>
        </w:rPr>
      </w:pPr>
    </w:p>
    <w:p>
      <w:pPr>
        <w:ind w:left="560" w:hanging="262"/>
        <w:spacing w:after="0"/>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undersigned have set their hands hereto as of the 11</w:t>
      </w:r>
      <w:r>
        <w:rPr>
          <w:rFonts w:ascii="Times New Roman" w:cs="Times New Roman" w:eastAsia="Times New Roman" w:hAnsi="Times New Roman"/>
          <w:sz w:val="6"/>
          <w:szCs w:val="6"/>
          <w:color w:val="auto"/>
        </w:rPr>
        <w:t>th</w:t>
      </w:r>
      <w:r>
        <w:rPr>
          <w:rFonts w:ascii="Times New Roman" w:cs="Times New Roman" w:eastAsia="Times New Roman" w:hAnsi="Times New Roman"/>
          <w:sz w:val="12"/>
          <w:szCs w:val="12"/>
          <w:color w:val="auto"/>
        </w:rPr>
        <w:t xml:space="preserve"> day of May 2022.</w:t>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2540</wp:posOffset>
            </wp:positionV>
            <wp:extent cx="286194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6194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Darrin R. Uecker</w:t>
      </w:r>
    </w:p>
    <w:p>
      <w:pPr>
        <w:ind w:left="5380"/>
        <w:spacing w:after="0" w:line="208" w:lineRule="auto"/>
        <w:rPr>
          <w:sz w:val="20"/>
          <w:szCs w:val="20"/>
          <w:color w:val="auto"/>
        </w:rPr>
      </w:pPr>
      <w:r>
        <w:rPr>
          <w:rFonts w:ascii="Times New Roman" w:cs="Times New Roman" w:eastAsia="Times New Roman" w:hAnsi="Times New Roman"/>
          <w:sz w:val="12"/>
          <w:szCs w:val="12"/>
          <w:color w:val="auto"/>
        </w:rPr>
        <w:t>President and Chief Executive Officer</w:t>
      </w:r>
    </w:p>
    <w:p>
      <w:pPr>
        <w:ind w:left="53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0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2540</wp:posOffset>
            </wp:positionV>
            <wp:extent cx="286194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61945" cy="5715"/>
                    </a:xfrm>
                    <a:prstGeom prst="rect">
                      <a:avLst/>
                    </a:prstGeom>
                    <a:noFill/>
                  </pic:spPr>
                </pic:pic>
              </a:graphicData>
            </a:graphic>
          </wp:anchor>
        </w:drawing>
      </w:r>
    </w:p>
    <w:p>
      <w:pPr>
        <w:ind w:left="5380"/>
        <w:spacing w:after="0" w:line="217" w:lineRule="auto"/>
        <w:rPr>
          <w:sz w:val="20"/>
          <w:szCs w:val="20"/>
          <w:color w:val="auto"/>
        </w:rPr>
      </w:pPr>
      <w:r>
        <w:rPr>
          <w:rFonts w:ascii="Times New Roman" w:cs="Times New Roman" w:eastAsia="Times New Roman" w:hAnsi="Times New Roman"/>
          <w:sz w:val="12"/>
          <w:szCs w:val="12"/>
          <w:color w:val="auto"/>
        </w:rPr>
        <w:t>Sandra A. Gardiner</w:t>
      </w:r>
    </w:p>
    <w:p>
      <w:pPr>
        <w:ind w:left="5380"/>
        <w:spacing w:after="0" w:line="208" w:lineRule="auto"/>
        <w:rPr>
          <w:sz w:val="20"/>
          <w:szCs w:val="20"/>
          <w:color w:val="auto"/>
        </w:rPr>
      </w:pPr>
      <w:r>
        <w:rPr>
          <w:rFonts w:ascii="Times New Roman" w:cs="Times New Roman" w:eastAsia="Times New Roman" w:hAnsi="Times New Roman"/>
          <w:sz w:val="12"/>
          <w:szCs w:val="12"/>
          <w:color w:val="auto"/>
        </w:rPr>
        <w:t>Chief Financial Officer, Executive Vice President of Finance and Administration, and</w:t>
      </w:r>
    </w:p>
    <w:p>
      <w:pPr>
        <w:ind w:left="5380"/>
        <w:spacing w:after="0" w:line="225" w:lineRule="auto"/>
        <w:rPr>
          <w:sz w:val="20"/>
          <w:szCs w:val="20"/>
          <w:color w:val="auto"/>
        </w:rPr>
      </w:pPr>
      <w:r>
        <w:rPr>
          <w:rFonts w:ascii="Times New Roman" w:cs="Times New Roman" w:eastAsia="Times New Roman" w:hAnsi="Times New Roman"/>
          <w:sz w:val="12"/>
          <w:szCs w:val="12"/>
          <w:color w:val="auto"/>
        </w:rPr>
        <w:t>Treasurer</w:t>
      </w:r>
    </w:p>
    <w:p>
      <w:pPr>
        <w:ind w:left="538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pacing w:after="0" w:line="235" w:lineRule="exact"/>
        <w:rPr>
          <w:sz w:val="20"/>
          <w:szCs w:val="20"/>
          <w:color w:val="auto"/>
        </w:rPr>
      </w:pPr>
    </w:p>
    <w:p>
      <w:pPr>
        <w:ind w:firstLine="301"/>
        <w:spacing w:after="0" w:line="228" w:lineRule="auto"/>
        <w:rPr>
          <w:sz w:val="20"/>
          <w:szCs w:val="20"/>
          <w:color w:val="auto"/>
        </w:rPr>
      </w:pPr>
      <w:r>
        <w:rPr>
          <w:rFonts w:ascii="Times New Roman" w:cs="Times New Roman" w:eastAsia="Times New Roman" w:hAnsi="Times New Roman"/>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6370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70320" cy="43180"/>
                    </a:xfrm>
                    <a:prstGeom prst="rect">
                      <a:avLst/>
                    </a:prstGeom>
                    <a:noFill/>
                  </pic:spPr>
                </pic:pic>
              </a:graphicData>
            </a:graphic>
          </wp:anchor>
        </w:drawing>
      </w:r>
    </w:p>
    <w:sectPr>
      <w:pgSz w:w="11900" w:h="16838" w:orient="portrait"/>
      <w:cols w:equalWidth="0" w:num="1">
        <w:col w:w="9980"/>
      </w:cols>
      <w:pgMar w:left="960" w:top="11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8"/>
    </w:lvl>
  </w:abstractNum>
  <w:abstractNum w:abstractNumId="3">
    <w:nsid w:val="7C83E458"/>
    <w:multiLevelType w:val="hybridMultilevel"/>
    <w:lvl w:ilvl="0">
      <w:lvlJc w:val="left"/>
      <w:lvlText w:val=" "/>
      <w:numFmt w:val="bullet"/>
      <w:start w:val="1"/>
    </w:lvl>
  </w:abstractNum>
  <w:abstractNum w:abstractNumId="4">
    <w:nsid w:val="257130A3"/>
    <w:multiLevelType w:val="hybridMultilevel"/>
    <w:lvl w:ilvl="0">
      <w:lvlJc w:val="left"/>
      <w:lvlText w:val=" "/>
      <w:numFmt w:val="bullet"/>
      <w:start w:val="1"/>
    </w:lvl>
  </w:abstractNum>
  <w:abstractNum w:abstractNumId="5">
    <w:nsid w:val="62BBD95A"/>
    <w:multiLevelType w:val="hybridMultilevel"/>
    <w:lvl w:ilvl="0">
      <w:lvlJc w:val="left"/>
      <w:lvlText w:val=" "/>
      <w:numFmt w:val="bullet"/>
      <w:start w:val="1"/>
    </w:lvl>
  </w:abstractNum>
  <w:abstractNum w:abstractNumId="6">
    <w:nsid w:val="436C6125"/>
    <w:multiLevelType w:val="hybridMultilevel"/>
    <w:lvl w:ilvl="0">
      <w:lvlJc w:val="left"/>
      <w:lvlText w:val=" "/>
      <w:numFmt w:val="bullet"/>
      <w:start w:val="1"/>
    </w:lvl>
  </w:abstractNum>
  <w:abstractNum w:abstractNumId="7">
    <w:nsid w:val="628C895D"/>
    <w:multiLevelType w:val="hybridMultilevel"/>
    <w:lvl w:ilvl="0">
      <w:lvlJc w:val="left"/>
      <w:lvlText w:val=" "/>
      <w:numFmt w:val="bullet"/>
      <w:start w:val="1"/>
    </w:lvl>
  </w:abstractNum>
  <w:abstractNum w:abstractNumId="8">
    <w:nsid w:val="333AB105"/>
    <w:multiLevelType w:val="hybridMultilevel"/>
    <w:lvl w:ilvl="0">
      <w:lvlJc w:val="left"/>
      <w:lvlText w:val=" "/>
      <w:numFmt w:val="bullet"/>
      <w:start w:val="1"/>
    </w:lvl>
  </w:abstractNum>
  <w:abstractNum w:abstractNumId="9">
    <w:nsid w:val="721DA317"/>
    <w:multiLevelType w:val="hybridMultilevel"/>
    <w:lvl w:ilvl="0">
      <w:lvlJc w:val="left"/>
      <w:lvlText w:val=" "/>
      <w:numFmt w:val="bullet"/>
      <w:start w:val="1"/>
    </w:lvl>
  </w:abstractNum>
  <w:abstractNum w:abstractNumId="10">
    <w:nsid w:val="2443A858"/>
    <w:multiLevelType w:val="hybridMultilevel"/>
    <w:lvl w:ilvl="0">
      <w:lvlJc w:val="left"/>
      <w:lvlText w:val=" "/>
      <w:numFmt w:val="bullet"/>
      <w:start w:val="1"/>
    </w:lvl>
  </w:abstractNum>
  <w:abstractNum w:abstractNumId="11">
    <w:nsid w:val="2D1D5AE9"/>
    <w:multiLevelType w:val="hybridMultilevel"/>
    <w:lvl w:ilvl="0">
      <w:lvlJc w:val="left"/>
      <w:lvlText w:val=" "/>
      <w:numFmt w:val="bullet"/>
      <w:start w:val="1"/>
    </w:lvl>
  </w:abstractNum>
  <w:abstractNum w:abstractNumId="12">
    <w:nsid w:val="6763845E"/>
    <w:multiLevelType w:val="hybridMultilevel"/>
    <w:lvl w:ilvl="0">
      <w:lvlJc w:val="left"/>
      <w:lvlText w:val=" "/>
      <w:numFmt w:val="bullet"/>
      <w:start w:val="1"/>
    </w:lvl>
  </w:abstractNum>
  <w:abstractNum w:abstractNumId="13">
    <w:nsid w:val="75A2A8D4"/>
    <w:multiLevelType w:val="hybridMultilevel"/>
    <w:lvl w:ilvl="0">
      <w:lvlJc w:val="left"/>
      <w:lvlText w:val=" "/>
      <w:numFmt w:val="bullet"/>
      <w:start w:val="1"/>
    </w:lvl>
  </w:abstractNum>
  <w:abstractNum w:abstractNumId="14">
    <w:nsid w:val="8EDBDAB"/>
    <w:multiLevelType w:val="hybridMultilevel"/>
    <w:lvl w:ilvl="0">
      <w:lvlJc w:val="left"/>
      <w:lvlText w:val=" "/>
      <w:numFmt w:val="bullet"/>
      <w:start w:val="1"/>
    </w:lvl>
  </w:abstractNum>
  <w:abstractNum w:abstractNumId="15">
    <w:nsid w:val="79838CB2"/>
    <w:multiLevelType w:val="hybridMultilevel"/>
    <w:lvl w:ilvl="0">
      <w:lvlJc w:val="left"/>
      <w:lvlText w:val=" "/>
      <w:numFmt w:val="bullet"/>
      <w:start w:val="1"/>
    </w:lvl>
  </w:abstractNum>
  <w:abstractNum w:abstractNumId="16">
    <w:nsid w:val="4353D0CD"/>
    <w:multiLevelType w:val="hybridMultilevel"/>
    <w:lvl w:ilvl="0">
      <w:lvlJc w:val="left"/>
      <w:lvlText w:val=" "/>
      <w:numFmt w:val="bullet"/>
      <w:start w:val="1"/>
    </w:lvl>
  </w:abstractNum>
  <w:abstractNum w:abstractNumId="17">
    <w:nsid w:val="B03E0C6"/>
    <w:multiLevelType w:val="hybridMultilevel"/>
    <w:lvl w:ilvl="0">
      <w:lvlJc w:val="left"/>
      <w:lvlText w:val=" "/>
      <w:numFmt w:val="bullet"/>
      <w:start w:val="1"/>
    </w:lvl>
  </w:abstractNum>
  <w:abstractNum w:abstractNumId="18">
    <w:nsid w:val="189A769B"/>
    <w:multiLevelType w:val="hybridMultilevel"/>
    <w:lvl w:ilvl="0">
      <w:lvlJc w:val="left"/>
      <w:lvlText w:val=" "/>
      <w:numFmt w:val="bullet"/>
      <w:start w:val="1"/>
    </w:lvl>
  </w:abstractNum>
  <w:abstractNum w:abstractNumId="19">
    <w:nsid w:val="54E49EB4"/>
    <w:multiLevelType w:val="hybridMultilevel"/>
    <w:lvl w:ilvl="0">
      <w:lvlJc w:val="left"/>
      <w:lvlText w:val=" "/>
      <w:numFmt w:val="bullet"/>
      <w:start w:val="1"/>
    </w:lvl>
  </w:abstractNum>
  <w:abstractNum w:abstractNumId="20">
    <w:nsid w:val="71F32454"/>
    <w:multiLevelType w:val="hybridMultilevel"/>
    <w:lvl w:ilvl="0">
      <w:lvlJc w:val="left"/>
      <w:lvlText w:val=" "/>
      <w:numFmt w:val="bullet"/>
      <w:start w:val="1"/>
    </w:lvl>
  </w:abstractNum>
  <w:abstractNum w:abstractNumId="21">
    <w:nsid w:val="2CA88611"/>
    <w:multiLevelType w:val="hybridMultilevel"/>
    <w:lvl w:ilvl="0">
      <w:lvlJc w:val="left"/>
      <w:lvlText w:val=" "/>
      <w:numFmt w:val="bullet"/>
      <w:start w:val="1"/>
    </w:lvl>
  </w:abstractNum>
  <w:abstractNum w:abstractNumId="22">
    <w:nsid w:val="836C40E"/>
    <w:multiLevelType w:val="hybridMultilevel"/>
    <w:lvl w:ilvl="0">
      <w:lvlJc w:val="left"/>
      <w:lvlText w:val=" "/>
      <w:numFmt w:val="bullet"/>
      <w:start w:val="1"/>
    </w:lvl>
  </w:abstractNum>
  <w:abstractNum w:abstractNumId="23">
    <w:nsid w:val="2901D82"/>
    <w:multiLevelType w:val="hybridMultilevel"/>
    <w:lvl w:ilvl="0">
      <w:lvlJc w:val="left"/>
      <w:lvlText w:val=" "/>
      <w:numFmt w:val="bullet"/>
      <w:start w:val="1"/>
    </w:lvl>
  </w:abstractNum>
  <w:abstractNum w:abstractNumId="24">
    <w:nsid w:val="3A95F874"/>
    <w:multiLevelType w:val="hybridMultilevel"/>
    <w:lvl w:ilvl="0">
      <w:lvlJc w:val="left"/>
      <w:lvlText w:val=" "/>
      <w:numFmt w:val="bullet"/>
      <w:start w:val="1"/>
    </w:lvl>
  </w:abstractNum>
  <w:abstractNum w:abstractNumId="25">
    <w:nsid w:val="8138641"/>
    <w:multiLevelType w:val="hybridMultilevel"/>
    <w:lvl w:ilvl="0">
      <w:lvlJc w:val="left"/>
      <w:lvlText w:val=" "/>
      <w:numFmt w:val="bullet"/>
      <w:start w:val="1"/>
    </w:lvl>
  </w:abstractNum>
  <w:abstractNum w:abstractNumId="26">
    <w:nsid w:val="1E7FF521"/>
    <w:multiLevelType w:val="hybridMultilevel"/>
    <w:lvl w:ilvl="0">
      <w:lvlJc w:val="left"/>
      <w:lvlText w:val=" "/>
      <w:numFmt w:val="bullet"/>
      <w:start w:val="1"/>
    </w:lvl>
  </w:abstractNum>
  <w:abstractNum w:abstractNumId="27">
    <w:nsid w:val="7C3DBD3D"/>
    <w:multiLevelType w:val="hybridMultilevel"/>
    <w:lvl w:ilvl="0">
      <w:lvlJc w:val="left"/>
      <w:lvlText w:val=" "/>
      <w:numFmt w:val="bullet"/>
      <w:start w:val="1"/>
    </w:lvl>
  </w:abstractNum>
  <w:abstractNum w:abstractNumId="28">
    <w:nsid w:val="737B8DDC"/>
    <w:multiLevelType w:val="hybridMultilevel"/>
    <w:lvl w:ilvl="0">
      <w:lvlJc w:val="left"/>
      <w:lvlText w:val=" "/>
      <w:numFmt w:val="bullet"/>
      <w:start w:val="1"/>
    </w:lvl>
  </w:abstractNum>
  <w:abstractNum w:abstractNumId="29">
    <w:nsid w:val="6CEAF087"/>
    <w:multiLevelType w:val="hybridMultilevel"/>
    <w:lvl w:ilvl="0">
      <w:lvlJc w:val="left"/>
      <w:lvlText w:val=" "/>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2022-05-11T15:49:19Z</dcterms:created>
  <dcterms:modified xsi:type="dcterms:W3CDTF">2022-05-11T15:49:19Z</dcterms:modified>
</cp:coreProperties>
</file>