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50165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0"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55880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21" w:lineRule="exact"/>
        <w:rPr>
          <w:sz w:val="24"/>
          <w:szCs w:val="24"/>
          <w:color w:val="auto"/>
        </w:rPr>
      </w:pPr>
    </w:p>
    <w:p>
      <w:pPr>
        <w:ind w:left="1820" w:hanging="307"/>
        <w:spacing w:after="0"/>
        <w:tabs>
          <w:tab w:leader="none" w:pos="18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1660" w:hanging="314"/>
        <w:spacing w:after="0"/>
        <w:tabs>
          <w:tab w:leader="none" w:pos="16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9"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85"/>
        </w:trPr>
        <w:tc>
          <w:tcPr>
            <w:tcW w:w="2740" w:type="dxa"/>
            <w:vAlign w:val="bottom"/>
          </w:tcPr>
          <w:p>
            <w:pPr>
              <w:spacing w:after="0"/>
              <w:rPr>
                <w:sz w:val="24"/>
                <w:szCs w:val="24"/>
                <w:color w:val="auto"/>
              </w:rPr>
            </w:pPr>
          </w:p>
        </w:tc>
        <w:tc>
          <w:tcPr>
            <w:tcW w:w="4840" w:type="dxa"/>
            <w:vAlign w:val="bottom"/>
            <w:gridSpan w:val="3"/>
          </w:tcPr>
          <w:p>
            <w:pPr>
              <w:jc w:val="center"/>
              <w:ind w:right="1959"/>
              <w:spacing w:after="0"/>
              <w:rPr>
                <w:sz w:val="20"/>
                <w:szCs w:val="20"/>
                <w:color w:val="auto"/>
              </w:rPr>
            </w:pPr>
            <w:r>
              <w:rPr>
                <w:rFonts w:ascii="Times New Roman" w:cs="Times New Roman" w:eastAsia="Times New Roman" w:hAnsi="Times New Roman"/>
                <w:sz w:val="16"/>
                <w:szCs w:val="16"/>
                <w:b w:val="1"/>
                <w:bCs w:val="1"/>
                <w:color w:val="auto"/>
              </w:rPr>
              <w:t>Commission File Number 001-34899</w:t>
            </w:r>
          </w:p>
        </w:tc>
      </w:tr>
      <w:tr>
        <w:trPr>
          <w:trHeight w:val="60"/>
        </w:trPr>
        <w:tc>
          <w:tcPr>
            <w:tcW w:w="2740" w:type="dxa"/>
            <w:vAlign w:val="bottom"/>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40" w:type="dxa"/>
            <w:vAlign w:val="bottom"/>
          </w:tcPr>
          <w:p>
            <w:pPr>
              <w:spacing w:after="0"/>
              <w:rPr>
                <w:sz w:val="5"/>
                <w:szCs w:val="5"/>
                <w:color w:val="auto"/>
              </w:rPr>
            </w:pPr>
          </w:p>
        </w:tc>
      </w:tr>
      <w:tr>
        <w:trPr>
          <w:trHeight w:val="234"/>
        </w:trPr>
        <w:tc>
          <w:tcPr>
            <w:tcW w:w="2740" w:type="dxa"/>
            <w:vAlign w:val="bottom"/>
          </w:tcPr>
          <w:p>
            <w:pPr>
              <w:spacing w:after="0"/>
              <w:rPr>
                <w:sz w:val="20"/>
                <w:szCs w:val="20"/>
                <w:color w:val="auto"/>
              </w:rPr>
            </w:pPr>
          </w:p>
        </w:tc>
        <w:tc>
          <w:tcPr>
            <w:tcW w:w="2420" w:type="dxa"/>
            <w:vAlign w:val="bottom"/>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Pulse Biosciences, Inc.</w:t>
            </w: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12"/>
        </w:trPr>
        <w:tc>
          <w:tcPr>
            <w:tcW w:w="7580" w:type="dxa"/>
            <w:vAlign w:val="bottom"/>
            <w:gridSpan w:val="4"/>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60"/>
        </w:trPr>
        <w:tc>
          <w:tcPr>
            <w:tcW w:w="2740" w:type="dxa"/>
            <w:vAlign w:val="bottom"/>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40" w:type="dxa"/>
            <w:vAlign w:val="bottom"/>
          </w:tcPr>
          <w:p>
            <w:pPr>
              <w:spacing w:after="0"/>
              <w:rPr>
                <w:sz w:val="5"/>
                <w:szCs w:val="5"/>
                <w:color w:val="auto"/>
              </w:rPr>
            </w:pPr>
          </w:p>
        </w:tc>
      </w:tr>
      <w:tr>
        <w:trPr>
          <w:trHeight w:val="437"/>
        </w:trPr>
        <w:tc>
          <w:tcPr>
            <w:tcW w:w="5160" w:type="dxa"/>
            <w:vAlign w:val="bottom"/>
            <w:gridSpan w:val="2"/>
          </w:tcPr>
          <w:p>
            <w:pPr>
              <w:jc w:val="center"/>
              <w:ind w:right="24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4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46-5696597</w:t>
            </w:r>
          </w:p>
        </w:tc>
      </w:tr>
      <w:tr>
        <w:trPr>
          <w:trHeight w:val="203"/>
        </w:trPr>
        <w:tc>
          <w:tcPr>
            <w:tcW w:w="5160" w:type="dxa"/>
            <w:vAlign w:val="bottom"/>
            <w:gridSpan w:val="2"/>
          </w:tcPr>
          <w:p>
            <w:pPr>
              <w:jc w:val="center"/>
              <w:ind w:right="241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80" w:type="dxa"/>
            <w:vAlign w:val="bottom"/>
          </w:tcPr>
          <w:p>
            <w:pPr>
              <w:spacing w:after="0"/>
              <w:rPr>
                <w:sz w:val="17"/>
                <w:szCs w:val="17"/>
                <w:color w:val="auto"/>
              </w:rPr>
            </w:pPr>
          </w:p>
        </w:tc>
        <w:tc>
          <w:tcPr>
            <w:tcW w:w="204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60" w:type="dxa"/>
            <w:vAlign w:val="bottom"/>
            <w:gridSpan w:val="2"/>
          </w:tcPr>
          <w:p>
            <w:pPr>
              <w:jc w:val="center"/>
              <w:ind w:right="239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80" w:type="dxa"/>
            <w:vAlign w:val="bottom"/>
          </w:tcPr>
          <w:p>
            <w:pPr>
              <w:spacing w:after="0"/>
              <w:rPr>
                <w:sz w:val="18"/>
                <w:szCs w:val="18"/>
                <w:color w:val="auto"/>
              </w:rPr>
            </w:pPr>
          </w:p>
        </w:tc>
        <w:tc>
          <w:tcPr>
            <w:tcW w:w="204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5"/>
        </w:trPr>
        <w:tc>
          <w:tcPr>
            <w:tcW w:w="5160" w:type="dxa"/>
            <w:vAlign w:val="bottom"/>
            <w:gridSpan w:val="2"/>
          </w:tcPr>
          <w:p>
            <w:pPr>
              <w:jc w:val="center"/>
              <w:ind w:right="2419"/>
              <w:spacing w:after="0"/>
              <w:rPr>
                <w:sz w:val="20"/>
                <w:szCs w:val="20"/>
                <w:color w:val="auto"/>
              </w:rPr>
            </w:pPr>
            <w:r>
              <w:rPr>
                <w:rFonts w:ascii="Times New Roman" w:cs="Times New Roman" w:eastAsia="Times New Roman" w:hAnsi="Times New Roman"/>
                <w:sz w:val="16"/>
                <w:szCs w:val="16"/>
                <w:b w:val="1"/>
                <w:bCs w:val="1"/>
                <w:color w:val="auto"/>
              </w:rPr>
              <w:t>601 Brickell Key Drive, Suite 1080</w:t>
            </w: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3"/>
        </w:trPr>
        <w:tc>
          <w:tcPr>
            <w:tcW w:w="5160" w:type="dxa"/>
            <w:vAlign w:val="bottom"/>
            <w:gridSpan w:val="2"/>
          </w:tcPr>
          <w:p>
            <w:pPr>
              <w:jc w:val="center"/>
              <w:ind w:right="2419"/>
              <w:spacing w:after="0"/>
              <w:rPr>
                <w:sz w:val="20"/>
                <w:szCs w:val="20"/>
                <w:color w:val="auto"/>
              </w:rPr>
            </w:pPr>
            <w:r>
              <w:rPr>
                <w:rFonts w:ascii="Times New Roman" w:cs="Times New Roman" w:eastAsia="Times New Roman" w:hAnsi="Times New Roman"/>
                <w:sz w:val="16"/>
                <w:szCs w:val="16"/>
                <w:b w:val="1"/>
                <w:bCs w:val="1"/>
                <w:color w:val="auto"/>
              </w:rPr>
              <w:t>Miami, FL</w:t>
            </w:r>
          </w:p>
        </w:tc>
        <w:tc>
          <w:tcPr>
            <w:tcW w:w="242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33131</w:t>
            </w:r>
          </w:p>
        </w:tc>
      </w:tr>
      <w:tr>
        <w:trPr>
          <w:trHeight w:val="212"/>
        </w:trPr>
        <w:tc>
          <w:tcPr>
            <w:tcW w:w="5160" w:type="dxa"/>
            <w:vAlign w:val="bottom"/>
            <w:gridSpan w:val="2"/>
          </w:tcPr>
          <w:p>
            <w:pPr>
              <w:jc w:val="center"/>
              <w:ind w:right="23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80" w:type="dxa"/>
            <w:vAlign w:val="bottom"/>
          </w:tcPr>
          <w:p>
            <w:pPr>
              <w:spacing w:after="0"/>
              <w:rPr>
                <w:sz w:val="18"/>
                <w:szCs w:val="18"/>
                <w:color w:val="auto"/>
              </w:rPr>
            </w:pPr>
          </w:p>
        </w:tc>
        <w:tc>
          <w:tcPr>
            <w:tcW w:w="204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telephone number, including area code: (510) 906-4600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472" w:right="339" w:bottom="115" w:gutter="0" w:footer="0" w:header="0"/>
        </w:sectPr>
      </w:pPr>
    </w:p>
    <w:p>
      <w:pPr>
        <w:spacing w:after="0" w:line="22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4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PLSE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p>
      <w:pPr>
        <w:spacing w:after="0" w:line="200" w:lineRule="exact"/>
        <w:rPr>
          <w:sz w:val="24"/>
          <w:szCs w:val="24"/>
          <w:color w:val="auto"/>
        </w:rPr>
      </w:pPr>
    </w:p>
    <w:p>
      <w:pPr>
        <w:sectPr>
          <w:pgSz w:w="11900" w:h="16838" w:orient="portrait"/>
          <w:cols w:equalWidth="0" w:num="3">
            <w:col w:w="4260" w:space="720"/>
            <w:col w:w="2080" w:space="720"/>
            <w:col w:w="3460"/>
          </w:cols>
          <w:pgMar w:left="320" w:top="472" w:right="339" w:bottom="115"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ectPr>
          <w:pgSz w:w="11900" w:h="16838" w:orient="portrait"/>
          <w:cols w:equalWidth="0" w:num="1">
            <w:col w:w="11240"/>
          </w:cols>
          <w:pgMar w:left="320" w:top="472" w:right="339" w:bottom="115" w:gutter="0" w:footer="0" w:header="0"/>
          <w:type w:val="continuous"/>
        </w:sect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38" w:orient="portrait"/>
          <w:cols w:equalWidth="0" w:num="3">
            <w:col w:w="7620" w:space="180"/>
            <w:col w:w="440" w:space="120"/>
            <w:col w:w="2880"/>
          </w:cols>
          <w:pgMar w:left="320" w:top="472" w:right="339" w:bottom="115" w:gutter="0" w:footer="0" w:header="0"/>
          <w:type w:val="continuous"/>
        </w:sectPr>
      </w:pPr>
    </w:p>
    <w:p>
      <w:pPr>
        <w:spacing w:after="0" w:line="184" w:lineRule="exact"/>
        <w:tabs>
          <w:tab w:leader="none" w:pos="740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13"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Accelerated filer</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82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Emerging growth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4"/>
          <w:szCs w:val="24"/>
          <w:color w:val="auto"/>
        </w:rPr>
      </w:pPr>
    </w:p>
    <w:p>
      <w:pPr>
        <w:ind w:right="5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ind w:right="2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69"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9" w:lineRule="exact"/>
        <w:rPr>
          <w:sz w:val="24"/>
          <w:szCs w:val="24"/>
          <w:color w:val="auto"/>
        </w:rPr>
      </w:pPr>
    </w:p>
    <w:p>
      <w:pPr>
        <w:ind w:right="3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3" w:lineRule="exact"/>
        <w:rPr>
          <w:sz w:val="24"/>
          <w:szCs w:val="24"/>
          <w:color w:val="auto"/>
        </w:rPr>
      </w:pPr>
    </w:p>
    <w:p>
      <w:pPr>
        <w:spacing w:after="0" w:line="184" w:lineRule="exact"/>
        <w:tabs>
          <w:tab w:leader="none" w:pos="75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Aggregate market value of registrant’s common stock held by non-affiliates of the registrant on June 30, 2025, the last business day of the registrant’s most recently completed second fiscal quarter, based upon the closing price of the registrant’s common stock on such date as reported by Nasdaq Capital Market, was approximately $266.2 million. Shares of voting stock held by each officer and director have been excluded in that such persons may be deemed to be affiliates. This assumption regarding affiliate status is not necessarily a conclusive determination for other purposes.</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outstanding of the registrant’s common stock as of February 13, 2026: 67,989,078</w:t>
      </w:r>
    </w:p>
    <w:p>
      <w:pPr>
        <w:sectPr>
          <w:pgSz w:w="11900" w:h="16838" w:orient="portrait"/>
          <w:cols w:equalWidth="0" w:num="1">
            <w:col w:w="11240"/>
          </w:cols>
          <w:pgMar w:left="320" w:top="472" w:right="339" w:bottom="115"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40" w:type="dxa"/>
            <w:vAlign w:val="bottom"/>
            <w:gridSpan w:val="10"/>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14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2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6"/>
              </w:rPr>
              <w:t>Business</w:t>
            </w:r>
          </w:p>
        </w:tc>
        <w:tc>
          <w:tcPr>
            <w:tcW w:w="8500" w:type="dxa"/>
            <w:vAlign w:val="bottom"/>
            <w:gridSpan w:val="21"/>
          </w:tcPr>
          <w:p>
            <w:pPr>
              <w:spacing w:after="0"/>
              <w:rPr>
                <w:sz w:val="16"/>
                <w:szCs w:val="16"/>
                <w:color w:val="auto"/>
              </w:rPr>
            </w:pPr>
          </w:p>
        </w:tc>
        <w:tc>
          <w:tcPr>
            <w:tcW w:w="6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8240" w:type="dxa"/>
            <w:vAlign w:val="bottom"/>
            <w:gridSpan w:val="19"/>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13</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7100" w:type="dxa"/>
            <w:vAlign w:val="bottom"/>
            <w:gridSpan w:val="1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43</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8140" w:type="dxa"/>
            <w:vAlign w:val="bottom"/>
            <w:gridSpan w:val="18"/>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44</w:t>
            </w:r>
          </w:p>
        </w:tc>
        <w:tc>
          <w:tcPr>
            <w:tcW w:w="0" w:type="dxa"/>
            <w:vAlign w:val="bottom"/>
          </w:tcPr>
          <w:p>
            <w:pPr>
              <w:spacing w:after="0"/>
              <w:rPr>
                <w:sz w:val="1"/>
                <w:szCs w:val="1"/>
                <w:color w:val="auto"/>
              </w:rPr>
            </w:pPr>
          </w:p>
        </w:tc>
      </w:tr>
      <w:tr>
        <w:trPr>
          <w:trHeight w:val="434"/>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2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44</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46</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40" w:type="dxa"/>
            <w:vAlign w:val="bottom"/>
            <w:tcBorders>
              <w:top w:val="single" w:sz="8" w:color="0000EE"/>
            </w:tcBorders>
            <w:gridSpan w:val="3"/>
          </w:tcPr>
          <w:p>
            <w:pPr>
              <w:spacing w:after="0"/>
              <w:rPr>
                <w:sz w:val="17"/>
                <w:szCs w:val="17"/>
                <w:color w:val="auto"/>
              </w:rPr>
            </w:pPr>
          </w:p>
        </w:tc>
        <w:tc>
          <w:tcPr>
            <w:tcW w:w="270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56</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582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57</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81</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68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81</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380" w:type="dxa"/>
            <w:vAlign w:val="bottom"/>
            <w:gridSpan w:val="1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81</w:t>
            </w:r>
          </w:p>
        </w:tc>
        <w:tc>
          <w:tcPr>
            <w:tcW w:w="0" w:type="dxa"/>
            <w:vAlign w:val="bottom"/>
          </w:tcPr>
          <w:p>
            <w:pPr>
              <w:spacing w:after="0"/>
              <w:rPr>
                <w:sz w:val="1"/>
                <w:szCs w:val="1"/>
                <w:color w:val="auto"/>
              </w:rPr>
            </w:pPr>
          </w:p>
        </w:tc>
      </w:tr>
      <w:tr>
        <w:trPr>
          <w:trHeight w:val="434"/>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2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82</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17"/>
                <w:szCs w:val="17"/>
                <w:color w:val="auto"/>
              </w:rPr>
            </w:pPr>
          </w:p>
        </w:tc>
        <w:tc>
          <w:tcPr>
            <w:tcW w:w="50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82</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82</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8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82</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70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82</w:t>
            </w:r>
          </w:p>
        </w:tc>
        <w:tc>
          <w:tcPr>
            <w:tcW w:w="0" w:type="dxa"/>
            <w:vAlign w:val="bottom"/>
          </w:tcPr>
          <w:p>
            <w:pPr>
              <w:spacing w:after="0"/>
              <w:rPr>
                <w:sz w:val="1"/>
                <w:szCs w:val="1"/>
                <w:color w:val="auto"/>
              </w:rPr>
            </w:pPr>
          </w:p>
        </w:tc>
      </w:tr>
      <w:tr>
        <w:trPr>
          <w:trHeight w:val="434"/>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2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6240" w:type="dxa"/>
            <w:vAlign w:val="bottom"/>
            <w:gridSpan w:val="10"/>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83</w:t>
            </w:r>
          </w:p>
        </w:tc>
        <w:tc>
          <w:tcPr>
            <w:tcW w:w="0" w:type="dxa"/>
            <w:vAlign w:val="bottom"/>
          </w:tcPr>
          <w:p>
            <w:pPr>
              <w:spacing w:after="0"/>
              <w:rPr>
                <w:sz w:val="1"/>
                <w:szCs w:val="1"/>
                <w:color w:val="auto"/>
              </w:rPr>
            </w:pPr>
          </w:p>
        </w:tc>
      </w:tr>
      <w:tr>
        <w:trPr>
          <w:trHeight w:val="196"/>
        </w:trPr>
        <w:tc>
          <w:tcPr>
            <w:tcW w:w="142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83</w:t>
            </w:r>
          </w:p>
        </w:tc>
        <w:tc>
          <w:tcPr>
            <w:tcW w:w="0" w:type="dxa"/>
            <w:vAlign w:val="bottom"/>
          </w:tcPr>
          <w:p>
            <w:pPr>
              <w:spacing w:after="0"/>
              <w:rPr>
                <w:sz w:val="1"/>
                <w:szCs w:val="1"/>
                <w:color w:val="auto"/>
              </w:rPr>
            </w:pPr>
          </w:p>
        </w:tc>
      </w:tr>
      <w:tr>
        <w:trPr>
          <w:trHeight w:val="41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33" w:lineRule="auto"/>
        <w:rPr>
          <w:sz w:val="20"/>
          <w:szCs w:val="20"/>
          <w:color w:val="auto"/>
        </w:rPr>
      </w:pPr>
      <w:r>
        <w:rPr>
          <w:rFonts w:ascii="Times New Roman" w:cs="Times New Roman" w:eastAsia="Times New Roman" w:hAnsi="Times New Roman"/>
          <w:sz w:val="18"/>
          <w:szCs w:val="18"/>
          <w:color w:val="auto"/>
        </w:rPr>
        <w:t xml:space="preserve">“Pulse Biosciences,” the Pulse logos and other trademarks or service marks that we use in connection with the operation of our business appearing in this annual report on Form 10-K (this "Annual Report"), including nPulse, Vybrance, CellFX, Nano-pulse Stimulation, nsPFA, nano-PFA, and NPS, are the property of Pulse Biosciences, Inc. Solely for your convenience, some of our trademarks and trade names referred to in this Annual Report are listed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symbols, but we will assert, to the fullest extent under applicable law, our rights to our trademarks and trade names. Also, this Annual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Annual Report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19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Annual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Annual Report, actual results may differ from the projections.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Pulse Biosciences, Inc. speculative or risky. The following summary does not contain all of the information that may be important to you, and you should read the below summary in conjunction with the more detailed discussion of risks set forth under the heading “Risk Factors” in Part I, Item IA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obtain additional funding to finance our operations and complete the development and commercialization of our products, which may result in further dilution to our investors, or require us to incur indebtedness, which could impair our liquidity position. If we do not receive substantial capital when needed, we may be forced to restrict our operations or delay, reduce or eliminate our product development programs.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NPS to nonthermally clear targeted cells while sparing adjacent noncellular tissue. If we are unable to successfully develop and commercialize this patented technology, or experience significant delays in doing so, we may extend the period during which we will incur significant financial losses as a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principally a development-stage company with limited experience commercializing products. We have incurred significant losses since our inception. We anticipate that we will continue to incur losses for at least the next several years and may never generate profits from operations or maintain profitability if we do.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Development and Commercialization of our Medical Products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development and commercialization is a complex, time-consuming and expensive process. Our industry is fraught with risk and a high rate of failure.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 that our clinical product candidates, including our product candidates for the treatment of atrial fibrillation ("AF"), such as our nPulse Cardiac Clamp and our nPulse Cardiac Catheter, will obtain regulatory approval or that the results of clinical studies will be favorable.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limited sales and marketing experience and can give no assurances that our devices will be adopted by surgeons or other physicians to treat any medical condition.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may affect the scope and timeline of our trials and the potential market for our product candidates, including the possibility of significant delays to any product launch.</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If we do not develop and obtain regulatory clearances or approvals for new products or product enhancements in time to meet market demand, or if there is insufficient demand for our products or enhancements, our results of operations will suffer.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of our product candidates could be delayed or prevented if we experience any number of possible unforeseen events in connection with our clinical trials.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our product candidates fail to demonstrate safety and effectiveness to the satisfaction of applicable regulatory bodies, such as the U.S. Food and Drug Administration or the European Medicines Agency, we may incur additional costs or experience delays in completing, or ultimately be unable to complete, the development and commercialization of our devices.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 and Market</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competitive products before or more successfully than we do.</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against well-established incumbent technologies offering products in cardiology, oncology, and minimally invasive procedures. Many of these companies currently have greater financial, technical, research, and/or other resources than we do and have larger and more established manufacturing capabilities and marketing, sales, and support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business development opportunities to expand or enhance our pipeline of potential products, including through potential acquisitions of and/or collaborations with other entities, which may not achieve intended results or could increase the number of our outstanding shares, result in a change of control or cause us to incur a material amount of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Tax and Regulatory Risks</w:t>
      </w:r>
    </w:p>
    <w:p>
      <w:pPr>
        <w:spacing w:after="0" w:line="22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of our product candidates is subject to substantial regulatory and legislative uncertainty, including as to pricing, reimbursement practices or other healthcare initiatives which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costly legal claims such as litigation related to product liability or alleged intellectual property infringement.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tariffs and changes at the U.S. FDA may adversely affect our operating costs and timelines.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 Cybersecurity and Data Privacy</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patents to protect our technology. We may be unable to protect our intellectual property rights and we may be liable for infringing the intellectual property rights of others.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stringent and changing obligations related to data privacy and security or to any of our other legal compliance obligations could lead to regulatory investigations and actions, litigation, fines and penalties, disruptions to our business operations, reputational harm, loss of revenue and profits, and other adverse business impacts.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cybersecurity and data privacy threats and incidents and we are subject to restrictions and changes in laws and regulations governing our data privacy and data protection, any of which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Corporate Governance and Employee Relations</w:t>
      </w:r>
    </w:p>
    <w:p>
      <w:pPr>
        <w:spacing w:after="0" w:line="229"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chief executive officers and other key executives and to attract, retain and motivate qualified personnel.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Co-Chairman, Robert Duggan, owns approximately 72% of the voting power of the outstanding shares of our common stock and, as a result, investors may have limited ability to affect either the corporate governance of the Company or the taking of certain major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Owning Our Common Stock</w:t>
      </w:r>
    </w:p>
    <w:p>
      <w:pPr>
        <w:spacing w:after="0" w:line="22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our shares of common stock in the public market, or the perception that these sales could occur, could cause the price of the shares to decline significantly, even if our business is doing well.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shares of common stock may be volatile and fluctuate substantially, which could result in substantial losses for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72% of our outstanding shares are owned by our Co-Chairman and his affiliates, which reduces liquidity of our stock. Historically, our trading volume on Nasdaq has been 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nPulse System (formerly known as CellFX), a novel nsPFA delivery platform, and commercialized the initial application of its nsPFA technology to treat benign lesions of the skin. In parallel, we have designed a variety of applicators, or disposables, to explore the potential use of the nPulse platform to treat disorders in other medical specialties, such as cardiology, gastroenterology, gynecology, and otolaryngology.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primary efforts on the use of nsPFA energy and the nPulse platform in the treatment of atrial fibrillation, where approximately 1.9 million patients in the United States are diagnosed annually. This potentially represents a greater than $3.0 billion addressable market within electrophysiology alone combined with long-term double-digit growth. Additionally, we are also pursuing the treatment of atrial fibrillation via a surgical approach as well as select other markets where nsPFA technology could have a profound positive impact on healthcare for both patients and providers, such as surgical soft tissue ablation.</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nPulse Vybrance Percutaneous Electrode System</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product for soft tissue ablation in a surgical setting, the Vybrance Percutaneous Electrode System, consists of a disposable, percutaneous, needle electrode for use with our proprietary nPulse Console. This novel electrode is designed to harness and deliver the key advantages of nsPFA energy, enabling precise nonthermal removal of cellular tissue without inducing thermal necrosis.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After years of preclinical development and testing, in June 2023, we initiated a first-in-human study using our proprietary nsPFA-enabled percutaneous electrode. This study was conducted by Professor Stefano Spiezia at the Ospedale del Mare in Naples, Italy, to help us better understand and confirm the mechanism of action and tissue response of nsPFA energy in internal organs such as the thyroid. Thirty study subjects were treated, all of whom tolerated the procedure well with no reported serious side effects. Ultrasound images post procedure showed treated portions of the benign thyroid nodules were mostly resorbed with no sign of scarring or fibrosis, which can be a side effect of other ablation modalities using thermal energies.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parallel, in November 2023, we filed a premarket notification 510(k) with the FDA for clearance to commercialize our novel Vybrance Percutaneous Electrode System in the United States. In March 2024, we received FDA 510(k) clearance for our Vybrance Percutaneous Electrode System for use in the ablation of soft tissue in percutaneous and intraoperative surgical procedures. More recently, in August 2024, we received FDA 510(k) clearance for a second size of the percutaneous electrode needle, which we believe will provide our customers with an additional treatment option for their patients.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Since securing 510(k) clearance to market and sell the Vybrance Percutaneous Electrode System in the United States, we have engaged with experts in the field of soft tissue ablation to gather information to help shape our commercial endeavors (our “Pilot Program”). To date, we have placed our nPulse System at sites in the United States under either short-term evaluation, consulting or other early commercial agreements pursuant to which the sites have been performing initial patient treatments and evaluating the nPulse System as well as providing valuable feedback and support for our first launch of an nsPFA-enabled surgical product.</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More recently, in September 2025, we commenced a clinical trial (PRECISE BTN) to generate clinical evidence to demonstrate the safety and effectiveness of this less-invasive thyroid preserving procedure and support commercialization of the Vybrance Percutaneous Electrode System in the United States. In this study, benign thyroid nodule soft tissue ablation procedures will be performed on up to 50 patients at up to four sites. Study endpoints evaluated during the follow-up timepoints will include safety, targeted nodule volume reduction, symptom reduction, and improvements in quality of life and cosmesis over various follow-up periods. The pace of enrollment is encouraging and we expect enrollment to complete in the next few months. To date, these clinicians, together with those in the Pilot Program as well as our first commercial accounts, have completed more than 300 patient procedures. We expect to pursue more clinical evidenced-based milestones in connection with the limited market release of our percutaneous electrodes.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Our Cardiac Surgical Program</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Atrial fibrillation (“AF”)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energy is uniquely suited to perform an integral role for this application and that it will prove to be highly differentiated from other energy modalities in use today.</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results of preclinical and clinical testing of both our nPulse cardiac products, namely our surgical ablation clamp and our endocardial ablation catheter, have exceeded our expectations and initial data have been presented at physician and industry conferences. While these devices serve different physicians, the application of nsPFA energy to safely and effectively ablate cardiac tissue to treat AF are the same, and we believe there will be important synergies realized through their contemporaneous development. The Company’s cardiac surgical ablation clamp and cardiac endocardial ablation catheter both generate our proprietary nsPFA pulses of electrical energy. We discuss each of these products under development in more detail below.</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nPulse Cardiac Surgical Clamp</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These ablation lines block the conduction of electrical impulses and can cure patients of their AF.</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our nsPFA energy can provide important advantages over today’s thermal modalities in creating these ablation lines. For example, surgeons using the nPulse System should be able to deliver faster ablations and through thicker tissue than thermal modalities because of the nonthermal mechanism of action that nsPFA employs, which is not affected by heatsinks such as blood in the heart. In preclinical and clinical studies, our nsPFA Cardiac Clamp has consistently achieved transmural ablations in less than three seconds, independent of tissue type or thickness. Moreover, thermal modalities can cause char formation on electrode surfaces which can cause gaps in the ablation lines that might lead to treatment failure. This should not be an issue with nsPFA ablation given its nonthermal nature. Also, because nsPFA ablation does not significantly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w:t>
      </w:r>
    </w:p>
    <w:p>
      <w:pPr>
        <w:spacing w:after="0" w:line="194"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Over the last several years, we have been developing the cardiac ablation clamp from proof-of-concept to prototype, and we now have what we believe will be our initial commercial design. The device was designed with the input of key physicians in cardiac surgery, and we believe it will offer a highly differentiated option relative to the standard of care thermal modalities. Today, we plan to pursue a PMA application for FDA approval to market the cardiac clamp specifically as a surgical way to treat AF. Seeking an AF indication through a PMA application will require pivotal clinical data to support the application.</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2024, we received Breakthrough Device Designation from the FDA for our nsPFA Cardiac Surgery System for the treatment of AF. The FDA’s Breakthrough Devices Program is a voluntary program for certain medical devices that potentially provide for more effective treatment or diagnosis of a life-threatening or irreversibly debilitating disease or condition. More recently, our Cardiac Surgery System was enrolled in the FDA’s Total Product Life Cycle (TPLC) Advisory Program (TAP). The FDA’s Center for Devices and Radiological Health (CDRH) launched the TAP program to help generate more rapid development of high-quality, safe, effective, and innovative medical devices that are critical to public health. TAP’s primary goal is to expedite patient access to innovative medical devices by providing early, frequent and strategic communications with the FDA and facilitating engagement with other key parties for developers of devices of public health importance. Both programs are designed to expedite the development, assessment, and review of medical devices for premarket approval, 510(k) clearance, or de novo marketing authorization. Breakthrough Devices, even those enrolled in the FDA’s TAP Program, must still meet the FDA’s rigorous standards for device safety and effectiveness in order to be authorized for marketing, however.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September 2025, we received approval of our Investigational Device Exemption (IDE) to initiate our pivotal clinical trial of the cardiac surgical clamp and clinicians have already enrolled and treated the first patient in the study. This single-arm prospective study is designed to demonstrate primary effectiveness of the nsPFA Cardiac Surgical System for the treatment of AF in concomitant surgical procedures. Up to twenty sites, including two outside the United States, are planned to enroll up to 136 patients. Upon PMA approval, we would expect to commercialize the nPulse Cardiac Surgical System in the United States specifically as a treatment for AF. Separately, we have already enrolled more than 50 patients in our first-in-human clinical feasibility study of the cardiac clamp, a multi-center study of AF in the Netherlands, Poland and Austria. All of the patients in our first-in-human study have tolerated the procedure well and acute data have been encouraging.</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nPulse Cardiac Catheter System</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endocardial catheter ablation device will have many of the same advantages that the surgical ablation clamp appears to have with respect to both performance and safety compared to standard thermal modalities. Our nPulse Cardiac Catheter System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recent years, Pulsed Field Ablation (“PFA”) has gained attention in electrophysiology for the treatment of AF because of its safety profile and speed. Current clinical products employing PFA in AF treatment differ from nsPFA technology in that the pulse widths are longer, typically in the microsecond domain. We believe nsPFA technology, which delivers pulses of electrical energy that are each less than a millionth of a second long, can offer similar safety advantages as PFA and may provide improved efficacy advantages based on the circumferential design of our catheter and because it appears nsPFA technology can create deeper ablations. We believe these advantages will be important to electrophysiologists, so we are working with leaders in the field to develop this technology quickly.</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first-in-human clinical study in Prague, Czech Republic, to test our nPulse Cardiac Catheter System in patients with AF and both the initial acute data and initial remapping data from this study were compelling. We therefore expanded the original clinical protocol in 2024 to include participation by two additional European sites, including a clinical site in Rome, Italy, with Dr. Andrea Natale M.D., F.A.C.C., F.H.R.S., F.E.S.C., a world recognized leader in electrophysiology and the current Executive Director at the Texas Cardiac Arrhythmia Institute. To date, nine clinical investigators at these European sites, including Dr. Natale and Dr. Vivek Reddy, Director of Cardiac Arrhythmia Services at the Mount Sinai Fuster Heart Hospital in New York, have enrolled and treated more than 165 patients in this first-in-human study. More recently, in February 2026, at the AF Symposium, Dr. Reddy presented 6-and 12-month follow up data for the first 150 patients from this study. These data show 96% procedural success of evaluable patients at one year as well as early indications of the disruptive market potential for our nPulse catheter, such as total procedure times in the study of approximately 65 minutes per patient.</w:t>
      </w:r>
    </w:p>
    <w:p>
      <w:pPr>
        <w:spacing w:after="0" w:line="200" w:lineRule="exact"/>
        <w:rPr>
          <w:sz w:val="20"/>
          <w:szCs w:val="20"/>
          <w:color w:val="auto"/>
        </w:rPr>
      </w:pPr>
    </w:p>
    <w:p>
      <w:pPr>
        <w:spacing w:after="0" w:line="21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Given the compelling data seen in the first-in-human study of our nPulse Cardiac Catheter, in July 2025, we submitted an Investigational Device Exemption (IDE) application for review by the FDA to conduct a single-arm, multicenter, prospective study designed to demonstrate primary safety and effectiveness of the nsPFA Cardiac Catheter System for the treatment of recurrent drug-resistant symptomatic paroxysmal AF. In December 2025, the FDA approved our IDE submission, and we have begun clinical site qualifications to begin enrollment. This IDE study is expected to enroll up to 155 patients at up to 30 sites, including three sites outside the United States. We continue to believe we will need PMA approval from the FDA to market and sell our catheter in the United States.</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The nPulse Console</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nPulse Console is a tunable, software-enabled, console-based platform, designed to accommodate the clinical workflow preferred by physicians. The nPulse Console is configured to accept a variety of disposable applicators or electrodes across a range of clinical applications. In February 2021, we received 510(k) clearance from the FDA for the nPulse System for dermatologic procedures requiring ablation and resurfacing of the skin. In January 2021, we received Conformité Européene (“CE”) marking approval for the nPulse System, which allows for marketing of the system in the European Union (“EU”). Shortly after these regulatory clearances, we began commercializing the nPulse System in dermatology for the treatment of benign skin lesions. However, in September 2022, we announced a shift in our focus from dermatology to cardiology and soft tissue ablation. We have ceased all commercial sales efforts and marketing operations in dermatology, and in 2022 we stopped manufacturing new dermatologic treatment tips for the nPulse System. At the present time, we continue to support our remaining commercial users and remain open to a potential commercial partnership. The nPulse Console is being used for our current efforts in the treatment of AF and as part of the Vybrance Percutaneous Electrode System.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believe nsPFA ablation, as well as NPS technology more broadly, has the potential to provide superior outcomes across a variety of medical disciplines and we may seek partnership opportunities to develop additional applications.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14"/>
        <w:spacing w:after="0" w:line="256" w:lineRule="auto"/>
        <w:rPr>
          <w:sz w:val="20"/>
          <w:szCs w:val="20"/>
          <w:color w:val="auto"/>
        </w:rPr>
      </w:pPr>
      <w:r>
        <w:rPr>
          <w:rFonts w:ascii="Times New Roman" w:cs="Times New Roman" w:eastAsia="Times New Roman" w:hAnsi="Times New Roman"/>
          <w:sz w:val="18"/>
          <w:szCs w:val="18"/>
          <w:color w:val="auto"/>
        </w:rPr>
        <w:t>We maintain a portfolio of intellectual property surrounding our nPulse System and our NPS technology platform. As a medical technology company, our current patents and ongoing intellectual property development are, and will continue to be, a priority for our business. We believe our intellectual property is an important competitive advantage for us. We also rely on trade secrets, know-how, continuing technological innovations, and licensing opportunities to further develop, maintain, and strengthen our competitive position. We actively protect our intellectual property through a combination of patent registrations, trademarks, and copyright protections; confidentiality agreements with our employees, consultants, and other parties; and access control to sensitive information.</w:t>
      </w:r>
    </w:p>
    <w:p>
      <w:pPr>
        <w:spacing w:after="0" w:line="18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Today, on a worldwide basis, we own or exclusively license over 250 issued patents and own or exclusively license over 180 additional pending patent applications. The vast majority of our granted patents have an expiration date between 2035 and 2042. As in the past, we plan to continue to file new patent applications to protect our systems, algorithms, applicators, methods, and designs of our technologies and products as they evolve. Medical technologies such as ours may be used in many different applications and incorporate several patentable features, and our strategy will be to always strive to protect our products and technologies with multiple patents directed to the variety of features and applications, in order to establish a strong and useful patent portfolio against competitors, such that an expiration of a single patent should not lessen our overall comprehensive coverage and competitive advantage. We believe our NPS platform and nPulse System are protected by several issued patents, as well as pending patent applications.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As of December 31, 2025, we had 116 employees, of which most were located at our facility in Hayward, California. Of these employees, half were engaged in research and development activities and half were engaged in operations, sales, marketing, business development, and general and administrative activities.</w:t>
      </w:r>
    </w:p>
    <w:p>
      <w:pPr>
        <w:spacing w:after="0" w:line="174"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Talent Acquisition and Development. </w:t>
      </w:r>
      <w:r>
        <w:rPr>
          <w:rFonts w:ascii="Times New Roman" w:cs="Times New Roman" w:eastAsia="Times New Roman" w:hAnsi="Times New Roman"/>
          <w:sz w:val="18"/>
          <w:szCs w:val="18"/>
          <w:color w:val="auto"/>
        </w:rPr>
        <w:t>We are committed to providing a respectful work environment to our diverse workforce. We provide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opportunities to all persons regardless of race, age, color, gender, sexual orientation, national origin, physical or mental disability, religion, or any other characteristic protected by federal, state, or local law. We believe our employees are essential to our success and our ability to attract, develop, and retain key talent is a vital part of that. Our philosophy is to both develop talent from within and to strategically recruit key external talent. Our overall talent acquisition and retention strategy is designed to attract and retain diverse and qualified candidates to enable the success of the Company and achievement of our performance goals. The skills, experience and industry knowledge of key employees significantly benefit our operations and performance.</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Program. </w:t>
      </w:r>
      <w:r>
        <w:rPr>
          <w:rFonts w:ascii="Times New Roman" w:cs="Times New Roman" w:eastAsia="Times New Roman" w:hAnsi="Times New Roman"/>
          <w:sz w:val="18"/>
          <w:szCs w:val="18"/>
          <w:color w:val="auto"/>
        </w:rPr>
        <w:t>Our compensation program is designed to attract, motivate, and retain talented individuals who possess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skills necessary to support our business and contribute to our strategic goals, creating long-term value for our stockholders. We provide employees with competitive compensation packages that include base salary, annual incentive bonuses, 401(k), and equity awards tied to the value of our stock price. Our comprehensive benefits package also includes medical, dental, vision, life and disability plans, and an employee assistance program.</w:t>
      </w:r>
    </w:p>
    <w:p>
      <w:pPr>
        <w:spacing w:after="0" w:line="18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Wellness and Safety. </w:t>
      </w:r>
      <w:r>
        <w:rPr>
          <w:rFonts w:ascii="Times New Roman" w:cs="Times New Roman" w:eastAsia="Times New Roman" w:hAnsi="Times New Roman"/>
          <w:sz w:val="18"/>
          <w:szCs w:val="18"/>
          <w:color w:val="auto"/>
        </w:rPr>
        <w:t>The health and safety of our employees is of utmost importance to us. We currently operate under a hybrid model of onsite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remote work with our technical teams being mostly onsite on a full-time basis. We have policies and guidelines which are designed to protect the safety of our employees.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10" w:firstLine="450"/>
        <w:spacing w:after="0" w:line="252" w:lineRule="auto"/>
        <w:rPr>
          <w:sz w:val="20"/>
          <w:szCs w:val="20"/>
          <w:color w:val="auto"/>
        </w:rPr>
      </w:pPr>
      <w:r>
        <w:rPr>
          <w:rFonts w:ascii="Times New Roman" w:cs="Times New Roman" w:eastAsia="Times New Roman" w:hAnsi="Times New Roman"/>
          <w:sz w:val="18"/>
          <w:szCs w:val="18"/>
          <w:color w:val="auto"/>
        </w:rPr>
        <w:t>Our medical products and products under development are for applications that are constantly under pressure from intense competition from rapidly evolving companies and new scientific discoveries. We compete against well-established incumbent medical device companies that already offer a wide range of commercial products to cardiac surgeons, cardiologists, electrophysiologists, oncologists, interventional radiologists, and others, including products for minimally invasive procedures. For example, Abbott Laboratories, AtriCure, Inc., Boston Scientific Corporation, Johnson &amp; Johnson (Biosense Webster), Medtronic plc, and several other companies all sell ablation-based surgical, minimally invasive, and catheter-based medical devices for the treatment of heart arrhythmias, including AF, as well as products for soft tissue ablation, which could be used to surgically ablate benign thyroid nodules (“BTN”). Additionally, many of these companies are also actively developing or already have microsecond PFA (micro-PFA) products for the treatment of AF. All of these companies currently have greater financial, technical, research, and/or other resources than we do and have larger and more established manufacturing capabilities and marketing, sales, and support functions. For minimally invasive procedures, including for the treatment of BTN, we also compete against the traditional surgical standard of care, including thyroid lobectomy and total thyroidectomy, as well as against providers of thermal ablation technologies, most notably radiofrequency ablation (“RFA”) and microwave ablation (“MWA”). Our future success will depend on our ability to establish and maintain a competitive position in current and future technologies. Our technology is unique and differentiated in that NPS technology can influence many cellular functions depending on the energy applied. When it is used to stimulate primarily regulated cell death, such as through nsPFA ablation, we believe it will be less traumatic to treated tissue and result in less scarring and less collateral damage to surrounding tissues, which we feel will give us a competitive advantage over these more established companies despite formidable competition.</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10" w:firstLine="450"/>
        <w:spacing w:after="0" w:line="261" w:lineRule="auto"/>
        <w:rPr>
          <w:sz w:val="20"/>
          <w:szCs w:val="20"/>
          <w:color w:val="auto"/>
        </w:rPr>
      </w:pPr>
      <w:r>
        <w:rPr>
          <w:rFonts w:ascii="Times New Roman" w:cs="Times New Roman" w:eastAsia="Times New Roman" w:hAnsi="Times New Roman"/>
          <w:sz w:val="18"/>
          <w:szCs w:val="18"/>
          <w:color w:val="auto"/>
        </w:rPr>
        <w:t>The nPulse System is a medical device subject to extensive and ongoing regulation by the FDA under the Federal Food, Drug, and Cosmetic Act and its implementing regulations, as well as other federal and state regulatory bodies in the United States. These laws and regulations govern, among other things, product design and development, preclinical and clinical testing, manufacturing, packaging, labeling, storage, recordkeeping and reporting, clearance or approval, marketing, distribution, promotion, import and export, and post-marketing surveillance.</w:t>
      </w:r>
    </w:p>
    <w:p>
      <w:pPr>
        <w:spacing w:after="0" w:line="180" w:lineRule="exact"/>
        <w:rPr>
          <w:sz w:val="20"/>
          <w:szCs w:val="20"/>
          <w:color w:val="auto"/>
        </w:rPr>
      </w:pPr>
    </w:p>
    <w:p>
      <w:pPr>
        <w:jc w:val="both"/>
        <w:ind w:left="10" w:firstLine="450"/>
        <w:spacing w:after="0" w:line="258" w:lineRule="auto"/>
        <w:rPr>
          <w:sz w:val="20"/>
          <w:szCs w:val="20"/>
          <w:color w:val="auto"/>
        </w:rPr>
      </w:pPr>
      <w:r>
        <w:rPr>
          <w:rFonts w:ascii="Times New Roman" w:cs="Times New Roman" w:eastAsia="Times New Roman" w:hAnsi="Times New Roman"/>
          <w:sz w:val="18"/>
          <w:szCs w:val="18"/>
          <w:color w:val="auto"/>
        </w:rPr>
        <w:t>The FDA regulates the medical device market to ensure the safety and efficacy of our products. For medical devices that require pre-market review, the FDA allows for three clearance/approval pathways for a medical device to be commercialized: (i) approval via a Pre-market Approval Application (“PMA”), (ii) clearance of a 510(k) submission, or (iii) submission of a de novo application. The FDA has established three different classes of medical devices, based on the level of risk associated with using a device and consequent degree of regulatory controls needed to govern its safety and efficacy, as well as the appropriate clearance/approval pathway needed to obtain authorization to legally market a medical device in the United States.</w:t>
      </w:r>
    </w:p>
    <w:p>
      <w:pPr>
        <w:spacing w:after="0" w:line="183"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8"/>
          <w:szCs w:val="18"/>
          <w:color w:val="auto"/>
        </w:rPr>
        <w:t>Class I and Class II devices are considered low and moderate risk devices. Most Class I devices are exempt from premarket notification. Most Class</w:t>
      </w:r>
    </w:p>
    <w:p>
      <w:pPr>
        <w:spacing w:after="0" w:line="27" w:lineRule="exact"/>
        <w:rPr>
          <w:sz w:val="20"/>
          <w:szCs w:val="20"/>
          <w:color w:val="auto"/>
        </w:rPr>
      </w:pPr>
    </w:p>
    <w:p>
      <w:pPr>
        <w:jc w:val="both"/>
        <w:ind w:left="10" w:hanging="10"/>
        <w:spacing w:after="0" w:line="251"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devices require 510(k) clearance from the FDA in order to be marketed in the United States. A 510(k) Premarket Notification is a premarket submission made to the FDA to demonstrate that the device to be marketed is substantially equivalent to a legally marketed Class II device,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 predicate device. Companies making a 510(k) submission must compare their 510(k)-candidate device to a predicate device and establish substantial equivalence to the satisfaction of the FDA. A device previously cleared under 510(k) or a device approved through a de novo application can be used as a predicate device for later developed substantially equivalent medical devices. However, establishing substantial equivalence in a 510(k) submission requires the candidate device to have the same intended use and the same technological characteristics as a predicate device. The FDA has a 90-calendar day review goal from the date of receipt of the 510(k) to either authorize or decline commercial distribution of the device, but clearance generally takes longer than 90 days. During the review process, the FDA may also request additional information which extends the review process. If the FDA decides that the product is not substantially equivalent to a predicate device, a clearance will not be granted, and the device cannot be commercialized. If a 510(k) submission is rejected by FDA, the applicant may be required to seek premarket authorization through the de novo pathway or the premarket approval pathway, which are more costly and will generally take longer for FDA approval.</w:t>
      </w:r>
    </w:p>
    <w:p>
      <w:pPr>
        <w:spacing w:after="0" w:line="19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50"/>
        <w:spacing w:after="0" w:line="271" w:lineRule="auto"/>
        <w:rPr>
          <w:sz w:val="20"/>
          <w:szCs w:val="20"/>
          <w:color w:val="auto"/>
        </w:rPr>
      </w:pPr>
      <w:r>
        <w:rPr>
          <w:rFonts w:ascii="Times New Roman" w:cs="Times New Roman" w:eastAsia="Times New Roman" w:hAnsi="Times New Roman"/>
          <w:sz w:val="17"/>
          <w:szCs w:val="17"/>
          <w:color w:val="auto"/>
        </w:rPr>
        <w:t>Medical devices regarded as the highest risk by the FDA are typically designated Class III and generally require the submission of a PMA application for approval. Class III devices generally include life-sustaining, life-supporting, or implantable devices or devices without a known predicate technology already approved by the FDA. A PMA application must be accompanied by substantial data that supports the reasonable safety and effectiveness of the device, which includes the provision of preclinical, clinical, technical, manufacturing, and labeling information. After the FDA determines the application is sufficiently complete to commence a substantive review, it has 180 days to review the submission, but it can typically take longer (up to several years) as this regulatory body can request additional data, including clinical data or clarifications. The FDA may also impose additional regulatory scrutiny for a PMA, including the institution of an outside advisory committee (panel review) to assess the application or provide recommendations as to whether to approve a device. Although the FDA is not required to follow the recommendation of an advisory panel, it generally does. As part of its review, the FDA will also inspect the manufacturing operations of the company requesting approval to verify compliance with Quality System regulations.</w:t>
      </w:r>
    </w:p>
    <w:p>
      <w:pPr>
        <w:spacing w:after="0" w:line="173"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If a new medical device does not qualify for the 510(k) premarket notification process because no predicate device can be identified to which it is substantially equivalent,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efficacy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94"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After a device receives 510(k) clearance or PMA approval, any modification that could significantly affect its safety or effectiveness, or that would constitute a major change in its intended use, will require a new 510(k) clearance or PMA Supplemental approval. The FDA requires each manufacturer to make this determination initially, but the FDA can review any such decision and can disagree with a manufacturer’s determination. If the FDA disagrees with the determination not to seek a new 510(k) clearance or PMA Supplement, the FDA may retroactively require a new 510(k) clearance or PMA Supplement to be submitted. The FDA could also require a manufacturer to cease marketing and distribution and/or recall the modified device until clearance or approval is obtained. Also, in these circumstances, the manufacturer may be subject to significant regulatory fines, penalties, and warning letters.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Pervasive and Continuing Regulation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Even after a device is placed on the market with FDA clearance or approval, numerous regulatory requirements continue to apply. These include:</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Quality Management System Regulation (“QMSR”) which requires manufacturers, including third-party manufacturers, to follow stringent design, testing, control, documentation, and other quality assurance procedures during all aspects of the manufacturing process</w:t>
      </w:r>
      <w:r>
        <w:rPr>
          <w:rFonts w:ascii="Times New Roman" w:cs="Times New Roman" w:eastAsia="Times New Roman" w:hAnsi="Times New Roman"/>
          <w:sz w:val="18"/>
          <w:szCs w:val="18"/>
          <w:b w:val="1"/>
          <w:bCs w:val="1"/>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and FTC prohibitions against the promotion of products for uncleared, unapproved, or off-label uses;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efficacy data for the device.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FDA has broad post-market and regulatory enforcement powers, and we must comply with the post-market surveillance regulations, including medical device reporting regulations. We are required to report to the FDA information if a Company device has, or may have, caused or contributed to a death or serious injury or has malfunctioned in a way that would likely cause or contribute to death or serious injury, if the malfunction of the device or one of our similar devices were to recur.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19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may be subject to unannounced inspections by the FDA and the Food and Drug Branch of the California Department of Public Health to determine our compliance with the QSR and other regulations, and these inspections may include the manufacturing facilities of our suppliers.</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Failure to comply with applicable regulatory requirements can result in enforcement action by the FDA, which may include any of the following sanctions:</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products, new intended uses, or modifications to existing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premarket approval that has already been granted;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System for Medical Devices in Europe</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European Union (the “EU”) consists of 27-member states and has a coordinated system for the authorization of medical devices. Marketing medical devices in the EU is subject to compliance with the Medical Devices Directive 93/92/EEC (MDD) and the European Union Medical Device Regulation (2017/745 or EU MDR) following its entry into application on May 26, 2020. A medical device may be placed on the market within the EU only if it conforms to certain “essential requirements” and bears the CE Mark. The most fundamental and essential requirement is that a medical device must be designed and manufactured in such a way that it will not compromise the clinical condition or safety of patients, or the safety and health of users and others. In addition, the device must achieve the essential performance(s) intended by the manufacturer and be designed, manufactured, and packaged in a suitable manner.</w:t>
      </w:r>
    </w:p>
    <w:p>
      <w:pPr>
        <w:spacing w:after="0" w:line="18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Manufacturers must demonstrate that their devices conform to the relevant essential requirements through a conformity assessment procedure. The nature of the assessment depends upon the classification of the device. The classification rules are mainly based on three criteria: (i) the length of time the device is in contact with the body, (ii) the degree of invasiveness, and (iii) the extent to which the device affects the anatomy. Conformity assessment procedures for all but the lowest risk classification of device involve a notified body. Notified bodies are often private entities and are authorized or licensed to perform such assessments by government authorities. Manufacturers usually have some flexibility to select a notified body for the conformity assessment procedures for a particular class of device and to reflect their circumstances,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likelihood that the manufacturer will make frequent modifications to its products.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Application of the CE Mark allows the general commercializing of a product in the EU. The product can also be subjected to local registration requirements depending on the country.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EU MDR, which repealed and replaced the MDD, entered into force on May 25, 2017 with a transition period extending until May 26, 2021. The EU MDR clearly envisages, among other things, stricter controls of medical devices, including strengthening of the conformity assessment procedures, increased expectations with respect to clinical data for devices, and pre-market regulatory review of high-risk devices. The EU MDR also envisages greater control over notified bodies and their standards, increased transparency, more robust device vigilance requirements, and clarification of the rules for clinical investigations. Under transitional provisions, medical devices with notified body certificates issued under the MDD prior to May 26, 2020, and which have not been significantly changed, may continue to be placed on the market for the remaining validity of the certificate, until 2027 or 2028, depending on risk class of the device. After the expiry of any applicable transitional period, only devices that have been CE marked under the EU MDR may be placed on the market in the EU.</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Although we believe that we have complied with these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maintain product and clinical trial liability insurance coverage which includes a maximum of per claim and annual aggregate policy limits, subject to self-insured retentions. The policy covers, subject to policy conditions and exclusions, claims of bodily injury and property damage from any product manufactured by us or from trial-related adverse events.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There is no assurance that our level of coverage is adequate. We may not be able to sustain or maintain our current level of coverage and cannot assure you that adequate insurance coverage will continue to be available on commercially reasonable terms, or at all. A successful product liability claim may exceed our existing coverages and may make future coverages significantly more expensive, if available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Effective June 18, 2018, Pulse Biosciences reincorporated as a Delaware Corporation. We were originally incorporated in Nevada on May 19, 2014 under the name Electroblate, Inc. and changed our name to Pulse Biosciences, Inc. effective December 8, 2015. Our corporate offices are located at 601 Brickell Key Drive, Suite 1080, Miami, Florida, 33131. Our telephone number is (510) 906-4600.</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Our website is located at www.pulsebiosciences.com. The information that can be accessed through our website is not incorporated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Securities Exchange Act of 1934, as amended, are available free of charge through the “Investor Relations” section of our website as soon as reasonably practicable after we electronically file such material with, or furnish it to, the Securities and Exchange Commission (“SEC”).</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Additionally, we use our website as a channel for distribution of important company information. Important information, including press releases, analyst presentations and financial information regarding us, as well as corporate governance information, is routinely posted and accessible on the “Investor Relations” section of the website, which is accessible by clicking “Investors” on our website home page.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or political landscape may exacerbate the risks described below, any of which could have a material impact on us.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Industry and Financial Condition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Because we have had a limited operating history and no significant revenue stream, it is difficult to evaluate the future of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 novel ablation company with no significant revenue producing operations at present.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significant revenue, and we may never become profitable.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selling,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We can give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can give no assurance that our internal and external sources of liquidity will be sufficient for our cash requirements.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must have sufficient sources of liquidity to fund our working capital requirements and execute on our strategic initiatives. Future new product launches or investments in other growth initiatives would likely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financial position or prospects.</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experienced operating losses and we expect to continue to incur operating losses for the next several years as we implement our business plan. Currently, we have limited revenue from operations and we do not have arrangements in place for all the anticipated financing that will likely be required to fully implement our business plan. Our prior losses, combined with expected future losses, have had, and will continue to have, for the foreseeable future, an adverse effect on our stockholders’ equity and working capital.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will need to raise additional capital in order to continue to execute our business plan. If we are unable to raise sufficient additional funds, we may need to scale back our future operations. Also, the ongoing armed conflicts in the Middle East, Ukraine, and elsewhere, as well as increasing tariffs on international trade, which have negatively impacted the global macroeconomic environment and capital markets, may make it more difficult for us to raise additional funds.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any such funds will be available on commercially reasonable terms, if at all.</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spacing w:after="0" w:line="18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we decide to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spacing w:after="0" w:line="18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future profitability are entirely dependent upon one family of products, the nPulse System, and one platform technology, Nano-pulse Stimulation.</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to date has been generated entirely from the nPulse System, which consists of a console, connectors and end-effectors, and these products and all our potential products under development are based upon the same patented platform technology, Nano-pulse Stimulation ("NPS"). Our future revenue is therefore dependent on the success of this platform technology and our single family of products under development, all of which reply on NPS energy for therapeutic effect.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2025 we began marketing the Vybrance Percutaneous Electrode System primarily to Otolaryngologists, Endocrine Surgeons, and Interventional Radiologists (“surgeons”) who may be slow or fail to adopt our products or who may use our products in only a small percentage of their eligible patients for a variety of reasons, including but not limited to:</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reimbursement of patient costs or lack of evidence showing that procedures using our devices are reimbursable by third party payers;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conviction regarding evidence supporting cost benefits or cost effectiveness of our products over existing alternatives;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clinical data showing longer-term patient benefits;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introduction of new technologies competitive to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procedures.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Moreover, our products, including our platform NPS technology, could be rendered obsolete or economically impractical by numerous factors, many of which are beyond our control, including but not limited to:</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of new competitors into our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 of alternative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relationships with suppliers, group purchasing organizations, or end-user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supply interruptions;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tariffs;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product market acceptance;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regulatory approvals or the imposition of new requirements to maintain such approvals or to receive new approvals;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safety alerts.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could cause our stock price to decline.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provide financial guidance about its business and future operating results. In developing this guidance, the Company’s management must make certain assumptions and judgments about its future operating performance, including but not limited to projected hiring of sales and marketing professionals, growth of revenue in the relevant device markets,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anticipated future performance. However, the Company’s business results may vary significantly from any such guidance or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our product revenues are limited and our profit margins are uncertain.</w:t>
      </w:r>
    </w:p>
    <w:p>
      <w:pPr>
        <w:spacing w:after="0" w:line="15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including future revenue and profit margins,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76" w:lineRule="exact"/>
        <w:rPr>
          <w:sz w:val="20"/>
          <w:szCs w:val="20"/>
          <w:color w:val="auto"/>
        </w:rPr>
      </w:pPr>
    </w:p>
    <w:p>
      <w:pPr>
        <w:ind w:left="340" w:hanging="211"/>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relating to our products and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or clearances for our product candidates from regulatory authorities;</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225" w:lineRule="exact"/>
        <w:rPr>
          <w:rFonts w:ascii="Times New Roman" w:cs="Times New Roman" w:eastAsia="Times New Roman" w:hAnsi="Times New Roman"/>
          <w:sz w:val="18"/>
          <w:szCs w:val="18"/>
          <w:color w:val="auto"/>
        </w:rPr>
      </w:pPr>
    </w:p>
    <w:p>
      <w:pPr>
        <w:ind w:left="340" w:hanging="211"/>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and product candidates, including the degree to which procedures using our products are covered and receive adequate reimbursement from third-party payors;</w:t>
      </w:r>
    </w:p>
    <w:p>
      <w:pPr>
        <w:spacing w:after="0" w:line="161" w:lineRule="exact"/>
        <w:rPr>
          <w:rFonts w:ascii="Times New Roman" w:cs="Times New Roman" w:eastAsia="Times New Roman" w:hAnsi="Times New Roman"/>
          <w:sz w:val="18"/>
          <w:szCs w:val="18"/>
          <w:color w:val="auto"/>
        </w:rPr>
      </w:pPr>
    </w:p>
    <w:p>
      <w:pPr>
        <w:ind w:left="340" w:hanging="211"/>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products, as well as building out our supply chain, which may vary depending on the quantity of production and which will vary significantly depending upon the terms of our agreements with manufacturers;</w:t>
      </w:r>
    </w:p>
    <w:p>
      <w:pPr>
        <w:spacing w:after="0" w:line="161"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any product candidates, if approved or cleared, which may vary significantly over time;</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patent, employment, securities class action, stockholder derivative, general commercial, and other lawsuits;</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25" w:lineRule="exact"/>
        <w:rPr>
          <w:rFonts w:ascii="Times New Roman" w:cs="Times New Roman" w:eastAsia="Times New Roman" w:hAnsi="Times New Roman"/>
          <w:sz w:val="18"/>
          <w:szCs w:val="18"/>
          <w:color w:val="auto"/>
        </w:rPr>
      </w:pPr>
    </w:p>
    <w:p>
      <w:pPr>
        <w:ind w:left="340" w:hanging="211"/>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we may face pricing pressure that could reduce our revenues and margins, failure to achieve expected procedure volumes could adversely affect our revenue growth and gross margins, and our limited commercial history makes it difficult to forecast revenue growth. The cumulative effects of these factors could result in large fluctuations and unpredictability in our quarterly and annual operating results. As a result, comparing our operating results on a period-to-period basis may not be meaningful. Investors should not rely on our limited past results as an indication of our future performance.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publicly stated revenue or earnings guidance.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medical technology, medical device, biotechnology, and pharmaceutical industries are characterized by intense and dynamic competition to develop new technologies and proprietary therapies. We face competition from several sources, such as pharmaceutical companies, medical device companies, generic drug companies, biotechnology companies, and academic and research institutions. Notably, all our medical products and products under development are for applications that are constantly under pressure from intense competition from rapidly evolving companies and new scientific discoveries. We compete against well-established incumbent medical device companies that already offer a wide range of commercial products to cardiac surgeons, cardiologists, electrophysiologists, oncologists, interventional radiologists, and others, including products for minimally invasive procedures. For example, Abbott Laboratories, AtriCure, Inc., Boston Scientific Corporation, Johnson &amp; Johnson (Biosense Webster), Medtronic plc, and several other companies all sell ablation-based surgical, minimally invasive, and catheter-based medical devices for the treatment of heart arrhythmias, including AF, as well as products for soft tissue ablation, which could be used to surgically ablate benign thyroid nodules (“BTNs”). Additionally, many of these companies are also actively developing or already have microsecond PFA (micro-PFA) products for the treatment of AF. All of these companies currently have greater financial, technical, research, and/or other resources than we do and have larger and more established manufacturing capabilities and marketing, sales, and support functions, as well as broader and deeper customer relationships.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will find ourselves in competition with one or more of these companies, all of which may have competitive advantages over us, such as: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professionals, customers, and third-party payers;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with greater efficacy or better safety profiles;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distribution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higher discounts, or incentives to gain a competitive advantage;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obtaining patents and regulatory approvals for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conducting new product research and development, manufacturing medical devices, conducting clinical trials, obtaining regulatory approval for products, and marketing approved products;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Additionally, the market for the treatment of BTNs is characterized by competition from established surgical procedures and minimally invasive thermal therapies. We compete primarily against the traditional surgical standard of care, including thyroid lobectomy and total thyroidectomy, as well as providers of thermal ablation technologies, most notably radiofrequency ablation (“RFA”) and microwave ablation (“MWA”). For example, thermal ablation companies such as STARMED (a subsidiary of TaeWoong Medical), Cambridge Medical, and Merit Medical Systems, Inc. all market RFA systems specifically designed for the treatment of thyroid nodules. These companies have longer histories in the market than we do, providing them with more established clinical track records, larger installed bases of equipment, and more mature sales and support functions. We will find ourselves in competition with the existing surgical standard of care as well as these companies, which may have competitive advantages over us, such as:</w:t>
      </w:r>
    </w:p>
    <w:p>
      <w:pPr>
        <w:spacing w:after="0" w:line="18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thyroidectomy and lobectomy as the standard of care with proven clinical outcomes and physician familiarity;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clinical adoption within the endocrinology, otolaryngology, and general surgery communities;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referral patterns with surgeons, specialized thyroid clinics, and hospitals;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long-term clinical data and longitudinal studies supporting the efficacy and safety of surgical and thermal interventions;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established reimbursement pathways for surgical procedures and thermal ablation.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success in this market will depend on our ability to differentiate our nPulse technology from these incumbent treatments. Until recently, surgery was the primary option for symptomatic BTNs, but the adoption of thermal modalities like RFA has begun to change the landscape. However, thermal ablation relies on heat to destroy tissue, which presents inherent risks of collateral damage to critical structures near the thyroid, such as the recurrent laryngeal nerve, trachea, esophagus, and the carotid artery. We seek to establish nPulse technology as a competitive alternative to both surgical intervention and thermal ablation. While our clinical data suggests that our minimally invasive nonthermal solution should eliminate the need for surgical or thermal interventions for many patients, research and development by others may render our technology obsolete or lead to the development of other minimally-invasive therapies that are superior to our own.</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also face increased competition in the future as new companies enter our markets and as scientific developments surrounding electro-signaling therapeutics continue to accelerate. For example, until recently the standard of care in cardiac tissue ablation for the treatment of AF had been the use of thermal ablation modalities, primarily the use of radiofrequency ablation. But in the span of just a few years, Boston Scientific’s FARAPULSE cardiac catheter system, Medtronic’s Pulse Select system, and other PFA systems using micro-PFA technology have dramatically changed the competitive landscape for the endocardial treatment of AF. These micro-PFA devices already account for over half of all EP procedures in the United States, and the speed of technological development in electrophysiology has been remarkable. While we will seek to expand our technological capabilities to remain competitive, and even though our clinical data suggests that nsPFA should have competitive advantages over micro-PFA technologies, such as deeper and more efficient ablations, research and development by others may render our technology or product candidates obsolete or noncompetitive or result in treatments or cures superior to any therapy developed by us.</w:t>
      </w:r>
    </w:p>
    <w:p>
      <w:pPr>
        <w:spacing w:after="0" w:line="184"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for our sales, marketing, manufacturing, and/or distribution activities, and these third parties may not perform satisfactorily.</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however. If we are unable to establish and maintain adequate sales, marketing, manufacturing, and distribution capabilities, independently or with others, we will not be able to generate product revenue and may not become profitable.</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including our Chief Executive Officer, Paul LaViolette, our Chief Financial Officer, Jon Skinner, our Chief Commercial Officer, Kevin Danahy,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any key employee, the failure of any key employee to perform in their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commercialization efforts, business growth prospects, results of operations, and financial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60"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159" w:lineRule="exact"/>
        <w:rPr>
          <w:sz w:val="20"/>
          <w:szCs w:val="20"/>
          <w:color w:val="auto"/>
        </w:rPr>
      </w:pPr>
    </w:p>
    <w:p>
      <w:pPr>
        <w:jc w:val="both"/>
        <w:ind w:left="60" w:firstLine="486"/>
        <w:spacing w:after="0" w:line="258"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successfully commercialize our NPS products. Given the scarcity of professionals with the scientific knowledge we require and the intense competition that exists for qualified personnel among life science businesses, we may not succeed in attracting or retaining the personnel we require to continue or grow our operations.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We have had limited experience selling the nPulse System.</w:t>
      </w:r>
    </w:p>
    <w:p>
      <w:pPr>
        <w:spacing w:after="0" w:line="229" w:lineRule="exact"/>
        <w:rPr>
          <w:sz w:val="20"/>
          <w:szCs w:val="20"/>
          <w:color w:val="auto"/>
        </w:rPr>
      </w:pPr>
    </w:p>
    <w:p>
      <w:pPr>
        <w:jc w:val="both"/>
        <w:ind w:left="60" w:firstLine="486"/>
        <w:spacing w:after="0" w:line="256" w:lineRule="auto"/>
        <w:rPr>
          <w:sz w:val="20"/>
          <w:szCs w:val="20"/>
          <w:color w:val="auto"/>
        </w:rPr>
      </w:pPr>
      <w:r>
        <w:rPr>
          <w:rFonts w:ascii="Times New Roman" w:cs="Times New Roman" w:eastAsia="Times New Roman" w:hAnsi="Times New Roman"/>
          <w:sz w:val="18"/>
          <w:szCs w:val="18"/>
          <w:color w:val="auto"/>
        </w:rPr>
        <w:t>Successfully commercializing medical devices such as ours is a complex and uncertain process. We began marketing and selling the nPulse System in the United States, Canada, and certain limited European markets in late 2021 to dermatologists through a limited direct sales force. In January 2022, we established an operating company in the Netherlands to further enhance our operations in Europe. However, in 2022 and 2023, we eliminated all of our full-time sales and marketing positions and, as of December 31, 2025, we had no international sales force and very few employees in the Unites States with sales and marketing experience. We have only just recently begun to market and sell our Vybrance Percutaneous Electrode System. We therefore have had limited experience marketing and selling the nPulse System and our revenue and cash flows have been limited, volatile and difficult to predict.</w:t>
      </w:r>
    </w:p>
    <w:p>
      <w:pPr>
        <w:spacing w:after="0" w:line="187" w:lineRule="exact"/>
        <w:rPr>
          <w:sz w:val="20"/>
          <w:szCs w:val="20"/>
          <w:color w:val="auto"/>
        </w:rPr>
      </w:pPr>
    </w:p>
    <w:p>
      <w:pPr>
        <w:jc w:val="both"/>
        <w:ind w:left="60" w:firstLine="486"/>
        <w:spacing w:after="0" w:line="261" w:lineRule="auto"/>
        <w:rPr>
          <w:sz w:val="20"/>
          <w:szCs w:val="20"/>
          <w:color w:val="auto"/>
        </w:rPr>
      </w:pPr>
      <w:r>
        <w:rPr>
          <w:rFonts w:ascii="Times New Roman" w:cs="Times New Roman" w:eastAsia="Times New Roman" w:hAnsi="Times New Roman"/>
          <w:sz w:val="18"/>
          <w:szCs w:val="18"/>
          <w:color w:val="auto"/>
        </w:rPr>
        <w:t>We intend to hire and train a very limited number of sales representatives and clinical specialists with backgrounds and experience in the relevant markets, especially those familiar with energy-based therapies and who have existing relationships with electrophysiologists, otolaryngologists, endocrine surgeons, interventional radiologists, and cardiothoracic surgeons. However, we expect that our sales force will require lead time in the field to grow their network of accounts and achieve the productivity levels we expect them to reach in any individual territory.</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few in number, we expect our direct sales representatives to develop long-lasting relationships with the surgeons they serve. Furthermore, the use of our NPS products will often require or benefit from direct support from us. Our future success will depend on our ability to continue to hire, train, retain, and motivate skilled direct sales representatives with significant technical knowledge in various areas, such as cardiology, minimally invasive surgery,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slowly to become profitable. In addition, our future sales will depend on our ability to increase our marketing efforts and adequately address our customers’ needs. If we are unable to adequately address our customers’ needs,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technology in life sciences could make the products we are developing obsolete.</w:t>
      </w:r>
    </w:p>
    <w:p>
      <w:pPr>
        <w:spacing w:after="0" w:line="229" w:lineRule="exact"/>
        <w:rPr>
          <w:sz w:val="20"/>
          <w:szCs w:val="20"/>
          <w:color w:val="auto"/>
        </w:rPr>
      </w:pPr>
    </w:p>
    <w:p>
      <w:pPr>
        <w:jc w:val="both"/>
        <w:ind w:left="60" w:firstLine="486"/>
        <w:spacing w:after="0" w:line="256" w:lineRule="auto"/>
        <w:rPr>
          <w:sz w:val="20"/>
          <w:szCs w:val="20"/>
          <w:color w:val="auto"/>
        </w:rPr>
      </w:pPr>
      <w:r>
        <w:rPr>
          <w:rFonts w:ascii="Times New Roman" w:cs="Times New Roman" w:eastAsia="Times New Roman" w:hAnsi="Times New Roman"/>
          <w:sz w:val="18"/>
          <w:szCs w:val="18"/>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their intended markets. Our inability to gain market acceptance of new products could harm our future operating results.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harmed.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Recent and future growth imposes significant added responsibilities on management, including the need to identify, recruit, train, and integrate additional employees. Rapid expansion of our workforce could result in less experienced people carrying out important activities at our Company,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educate and train surgeons and their staff on the proper use of the nPulse System; if our customers do not adopt our technology into their medical practices, or adopt our technology slower than expected, our business could suffer.</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Although many surgeons may have adequate knowledge on how to use our novel nPulse System based on their clinical training and experience, we believe that the most effective way to introduce and build market demand for our products is by directly training surgeons and other physicians in the use of our products. Convincing them to dedicate the time and energy necessary for adequate training is challenging, and we cannot assure you that we will succeed in these efforts. If surgeons and other physicians are not properly trained, they may not use our products and, as a result, we may not maintain or grow our sales or achieve or sustain profitability. If surgeons and other physicians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our strategy includes educating key opinion leaders in the industry. If these key opinion leaders determine that alternative technologies are more effective or that the benefits offered by our products are not sufficient to justify their cost, or if we encounter difficulty promoting adoption or establishing these systems as a standard of care, our ability to achieve market acceptance of the products we introduce could be significantly limited and our business could suffer.</w:t>
      </w:r>
    </w:p>
    <w:p>
      <w:pPr>
        <w:spacing w:after="0" w:line="1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encounter manufacturing problems or delays that could result in lost revenue or slower than anticipated product development. Additionally, we currently rely on third-party suppliers for critical components needed to manufacture the nPulse System and related applicators. Any problems experienced by these suppliers could result in a delay or interruption of their supply to us and, as a result, we may face delays in the development and commercialization of products.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currently rely upon third-party suppliers to manufacture and supply components for the nPulse System and for our products under development. We perform final assembly of our nPulse Console and other devices at our facility in California. The manufacture of the nPulse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do not control the manufacturing process of, and are completely dependent on, our contract manufacturing partners for their own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purchase components for our products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Any failure of these suppliers to perform satisfactorily could adversely impact our business and results of operations and we may experience delays in manufacturing of our devices while finding another acceptable supplier.</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the commercial viability of the nPulse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surgeons and other physicians and other healthcare providers generally rely on insurance coverage and reimbursement for their revenue, therefore this is an important factor in the overall commercialization plans of any proposed product and whether it will be accepted for use in the marketplace. Without insurance coverage and reimbursement for our planned products, we would expect to earn only limited revenue, if any revenue is earned.</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nPulse Vybrance Percutaneous Electrode System or any of our other products or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nPulse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surgeons and other physicians may be discouraged from using them, and our sales would suffer.</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provisions might apply to the nPulse Vybrance Percutaneous Electrode System or to any of our proposed devices and products, as they are still largely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under Section 382 of the Code, a corporation that undergoes an “ownership change” is subject to limitations on its ability to utilize its pre-change NOLs to offset future taxable income. We believe that we have had one or more ownership changes prior to 2018, but recently performed a Section 382 study to analyze fiscal years 2018 through 2024, and we do not believe that we have had any additional ownership changes over that period. Possible future changes in our stock ownership could result in limitations.</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Product-Related Risks</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nPulse System and any future product candidates may cause serious adverse side effects or have other properties that could delay or prevent their regulatory approval, limit their commercial desirability or result in significant negative consequences.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risk of failure of clinical development is high. For example, the vast majority of our in vivo data has been a result of animal testing outside of cardiac animal models, and we have only completed a limited number of feasibility studies in humans. Undesirable side effects caused by the nPulse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caused by the nPulse System, a number of potentially significant negative consequences could result, including: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recall such product and suspend the marketing of such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and/or narrow the indication of use for the product which could diminish the usage or otherwise limit the commercial success of such product;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such product;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restrict distribution of our product and impose burdensome implementation requirements on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could suffer.</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nPulse System or of any future particular planned product, if approved.</w:t>
      </w:r>
    </w:p>
    <w:p>
      <w:pPr>
        <w:spacing w:after="0" w:line="15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limited clinical experience treating AF with our nPulse Cardiac Catheter and our nPulse Cardiac Surgery Clamp and only limited clinical and commercial experience treating benign thyroid nodules with our Vybrance Percutaneous Electrode System; our past successes in dermatology may not translate into similar results in cardiology or in any other medical field.</w:t>
      </w:r>
    </w:p>
    <w:p>
      <w:pPr>
        <w:spacing w:after="0" w:line="18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develop marketable products to treat AF, tumors and nodules through our research and development efforts, and if we fail to do so we may be unable to compete effectively or we may decide to scale back or eliminate some or all of our activities or otherwise curtail, suspend or discontinue our operations entirely.</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Our business prospects depend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Moreover, if our technology cannot be used to successfully treat AF, tumors and nodules,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products, potential products or technologies to third parties, possibly on terms that cannot sustain our current business, or curtail, suspend or discontinue our operations entirely.</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our first-in-human cardiac clamp study, and our first-in-human cardiac catheter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necessary regulatory clearance for our products, or if clearances or approvals for future devices and indications are delayed or not issued, the commercial prospects for our nPulse System and other NPS technologies would be harmed.</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design, development and manufacture;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preclinical and clinical testing, labeling, packaging, and storage;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marketing, promotion and advertising, sales and distribution;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and serious injuries and recalls and correction and removals.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repair, replace, refund, or recall our marketed devices, or government seizure of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devices, new intended uses or modifications to existing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premarket approvals that have already been granted;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any of these events were to occur, our business and financial condition would be harmed.</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mechanism of action of our NPS technology platform has not been fully determined or validated.</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exact mechanism(s) of action(s) of our NPS technology platform, including nsPFA,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Laboratory conditions differ from commercial conditions and field conditions, and the safety and effectiveness of our product candidates may depend on the technique of the user.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Observations and developments that may be achievable under laboratory circumstances may not be replicable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Moreover,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nPulse System.</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Issues with our firmware and software may negatively affect the function of our devices.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safety and effectiveness of nsPFA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Cybersecurity, Data Privacy, &amp; Litigation</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Patents and other proprietary rights are essential to our business and our ability to compete effectively with other companies is dependent upon the proprietary nature of our technologies. Similarly, our future success partnering our NPS technologies, including our nPulse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8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spacing w:after="0" w:line="176"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on our intellectual property rights;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harm our business.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8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whom we rely, are or were compromised, we could experience adverse consequences resulting from such compromise, including, but not limited to, regulatory investigations and actions; litigation (including class claims); fines and penalties; a disruption of our business operations such as our clinical trials; reputational harm; loss of revenue and profits; and other adverse consequences.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upon whom we rely) may collect, receive, store, use, transfer, make accessible, protect, secure, dispose of, transmit, disclose or otherwise process proprietary, confidential and sensitive information, including personal data, such as health-related data and participant study related data, intellectual property, and trade secrets (collectively, “sensitive data”). We may share or receive sensitive data with or from third parties whose information security measures may not be adequate. In particular, the COVID-19 pandemic caused us to modify our information technology practices, such as by allowing most of our employees to work remotely, on a full-time basis or from time to time, which increases the risk of data breaches. Additionally, the prevalent use of mobile devices that access our sensitive data increases the risk of data breaches.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The costs to us to attempt to protect against such breaches can be significant and could potentially require us to modify our business, including non-clinical and clinical trial activities. While we have implemented security measures designed to protect our information technology systems and to identify and remediate potential vulnerabilities, such measures may not be successful. We may not be able to detect vulnerabilities in our information technology systems because such threats and techniques used by threat actors change frequently are sophisticated in nature and may not be detected until after a security incident has occurred.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others upon whom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disruptions to our clinical trials), interruptions or restrictions on processing sensitive data (which could result in delays in obtaining, or our inability to obtain, regulatory approvals and significantly increase our costs to recover or reproduce the sensitive data), unauthorized, unlawful or accidental loss, corruption, access, modification, destruction, alteration, acquisition or disclosure of sensitive data, such as clinical trial data, reputational harm, litigation (including class-action claims), indemnification obligations, monetary fund diversions, financial loss and other harms. In particular, ransomware attacks are becoming increasingly prevalent and severe and can lead to significant disruptions to operations, loss of data and income, reputational harm and diversion of funds.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In addition, such a breach may require notification of the breach to relevant stakeholders. Such disclosures are costly and the disclosure or the failure to comply with such requirements could lead to adverse consequences. We maintain cyber liability insurance; however, this insurance may not be sufficient to cover the financial, legal, business or reputational losses that may result from an interruption or breach of our systems.</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Implementation of artificial intelligence and machine learning technologies may result in legal and regulatory risks, reputational harm, or other adverse consequences to our business.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incorporated, and continue to explore ways to further incorporate, artificial intelligence ("AI") technologies, including generative AI and machine learning, into certain of our internal operations. AI tools are complex and rapidly evolving and may prove flawed, incomplete, biased, or inaccurate in their outputs, which could adversely affect business decisions, expose us to legal claims, and harm our reputation; additionally, employees using AI tools could inadvertently disclose Company confidential information or trade secrets. Also, as a small company with limited resources, we may be unable to access or deploy the most advanced AI tools available, potentially placing us at a competitive disadvantage relative to better-resourced competitors. Moreover, the regulatory landscape governing AI use is subject to rapid and ongoing change, and this risk is particularly acute for us as a medical device company operating in the healthcare industry, where AI regulation is developing especially quickly — including through the EU AI Act, emerging U.S. state AI laws, executive orders imposing transparency requirements on AI used in certified health information technology, and evolving FDA guidance. Our limited resources may make it especially difficult to monitor and achieve timely compliance with new or evolving obligations, and failure to do so could subject us to enforcement actions, fines, or litigation.</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our products or any future products that we may develop.</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sale of our products and the future sale of planned products and the use of these in human clinical studies. For example, we may be sued if our products or any of our product candidates, including any that are developed in combination therapies, allegedly cause injury, or are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products or planned products caused injuries, we may incur substantial liabilities. Regardless of merit or eventual outcome, liability claims may result in, among other things:</w:t>
      </w:r>
    </w:p>
    <w:p>
      <w:pPr>
        <w:spacing w:after="0" w:line="18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or any planned products that we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studies or cancellation of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distraction to our management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or enforcement 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future products that we may develop.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example, during the course of treatment, patients may suffer adverse events for reasons that may or may not be related to the nPulse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if we do not believe that an adverse event is related to our products,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nPulse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8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indeterminate amount of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rigorous preclinical and clinical testing, and possibly post-market surveillance;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modifications, repairs or replacements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design changes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indicated uses of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never being granted the regulatory approval or clearance we seek.</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experience any of these occurrences, our operations may suffer and we might experience harm to our competitive standing, which could adversely affect our financial condition.</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nPulse System. In addition, negative publicity and product liability claims resulting from any adverse regulatory action could have a material adverse effect on our financial condition and results of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Changes in healthcare policy could increase our costs, decrease our revenue, and impact sales of, and reimbursement for, our current and future products. For example, the Affordable Care Act substantially changed the way healthcare is financed by both governmental and private insurers, and significantly impacted our industry, while recent changes in U.S. federal law and policy, including the expiration of enhanced Affordable Care Act subsidies and reductions in Medicaid funding, as well as Congressional deadlock over healthcare funding, have increased the likelihood that fewer patients in the United States will be insured and that insured patients will face higher out-of-pocket costs, which could result in downward pressure on prices for medical products such as ours. 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products or the amounts of reimbursement available for our current and future products from governmental agencies or third-party payors.</w:t>
      </w:r>
    </w:p>
    <w:p>
      <w:pPr>
        <w:spacing w:after="0" w:line="184"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FDA and other government agencies caused by funding shortages or global health concerns could hinder their ability to hire and retain key leadership and other personnel or otherwise prevent new product candidates and services from being developed or commercialized in a timely manner, which could negatively impact our business.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including those that fund research and development activities, is subject to the political process, which is inherently fluid and unpredictable.</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such as those that occurred in October and November 2025, it could significantly impact the ability of the FDA to timely review and process our regulatory submissions, which could have a material adverse effect on our business.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disruptions may result from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Furthermore, given changes to the U.S. government's policies and priorities since January 2025, there is substantial uncertainty as to how, if at all, the current administration will seek to modify or revise the requirements and policies of the FDA and other regulatory agencies with jurisdiction over our product candidates. There is also uncertainty as to how other measures being implemented by the current administration across the government will impact our activities and those of the FDA and its operations. For example, the potential loss of FDA personnel could lead to further disruptions and delays in FDA review of our product candidates and FDA guidance regarding our or our collaborators’ clinical development programs. Similarly, efforts by the new administration to substantially reduce federal funding of medical research could have substantial indirect impacts on our research activities.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Accordingly,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All our product development depends upon maintaining strong working relationships with physicians.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84"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87" w:lineRule="exact"/>
        <w:rPr>
          <w:sz w:val="20"/>
          <w:szCs w:val="20"/>
          <w:color w:val="auto"/>
        </w:rPr>
      </w:pP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80" w:hanging="328"/>
        <w:spacing w:after="0" w:line="258"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83" w:lineRule="exact"/>
        <w:rPr>
          <w:rFonts w:ascii="Times New Roman" w:cs="Times New Roman" w:eastAsia="Times New Roman" w:hAnsi="Times New Roman"/>
          <w:sz w:val="18"/>
          <w:szCs w:val="18"/>
          <w:color w:val="auto"/>
        </w:rPr>
      </w:pPr>
    </w:p>
    <w:p>
      <w:pPr>
        <w:jc w:val="both"/>
        <w:ind w:left="660" w:hanging="308"/>
        <w:spacing w:after="0" w:line="25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anti-bribery, anti-corruption, and anti-money laundering laws, including the U.S. Foreign Corrupt Practices Act of 1977, or FCPA, and the U.K. Anti-Bribery Act, and similar anti-bribery laws in other non-U.S. jurisdictions, as well as export control laws, customs laws, sanctions laws and other laws governing our operations, all of which expose us to trade and economic sanctions and other restrictions imposed by the United States, the European Union, and other governments and organizations, as we grow our international presence and global operations; additionally, the FCPA imposes accounting standards and requirements on publicly traded U.S. corporations and their foreign affiliates, which are intended to prevent the diversion of corporate funds to the payment of bribes and other improper payments, and numerous other laws restrict, and in some cases prohibit, U.S. companies from directly or indirectly selling goods, technology or services to people or entities in certain countries;</w:t>
      </w:r>
    </w:p>
    <w:p>
      <w:pPr>
        <w:spacing w:after="0" w:line="188" w:lineRule="exact"/>
        <w:rPr>
          <w:rFonts w:ascii="Times New Roman" w:cs="Times New Roman" w:eastAsia="Times New Roman" w:hAnsi="Times New Roman"/>
          <w:sz w:val="18"/>
          <w:szCs w:val="18"/>
          <w:color w:val="auto"/>
        </w:rPr>
      </w:pPr>
    </w:p>
    <w:p>
      <w:pPr>
        <w:jc w:val="both"/>
        <w:ind w:left="680" w:hanging="328"/>
        <w:spacing w:after="0" w:line="258"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Consumer Privacy Act ("CCPA") and California Privacy Rights Act ("CPRA"), which require covered companies, such as companies with over $25 million in annual gross revenue, to, among other things, provide certain disclosures to California consumers and afford such consumers certain abilities to opt-out of certain sales of personal information, conduct and document data protection assessments for high-risk processing, maintain systems to respond to consumer requests, and provide detailed privacy notices explaining data collection, use, retention, and disclosure practices;</w:t>
      </w:r>
    </w:p>
    <w:p>
      <w:pPr>
        <w:spacing w:after="0" w:line="183" w:lineRule="exact"/>
        <w:rPr>
          <w:rFonts w:ascii="Times New Roman" w:cs="Times New Roman" w:eastAsia="Times New Roman" w:hAnsi="Times New Roman"/>
          <w:sz w:val="18"/>
          <w:szCs w:val="18"/>
          <w:color w:val="auto"/>
        </w:rPr>
      </w:pPr>
    </w:p>
    <w:p>
      <w:pPr>
        <w:ind w:left="680" w:right="600" w:hanging="328"/>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1" w:lineRule="exact"/>
        <w:rPr>
          <w:rFonts w:ascii="Times New Roman" w:cs="Times New Roman" w:eastAsia="Times New Roman" w:hAnsi="Times New Roman"/>
          <w:sz w:val="18"/>
          <w:szCs w:val="18"/>
          <w:color w:val="auto"/>
        </w:rPr>
      </w:pPr>
    </w:p>
    <w:p>
      <w:pPr>
        <w:jc w:val="both"/>
        <w:ind w:left="680" w:hanging="328"/>
        <w:spacing w:after="0" w:line="254"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spacing w:after="0" w:line="180"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Also, any material changes to any of the laws or regulations applicable to our business could harm our business, financial condition and results of operations.</w:t>
      </w:r>
    </w:p>
    <w:p>
      <w:pPr>
        <w:spacing w:after="0" w:line="158" w:lineRule="exact"/>
        <w:rPr>
          <w:sz w:val="20"/>
          <w:szCs w:val="20"/>
          <w:color w:val="auto"/>
        </w:rPr>
      </w:pPr>
    </w:p>
    <w:p>
      <w:pPr>
        <w:jc w:val="both"/>
        <w:ind w:left="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175"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a technology or device to be reasonably safe or effective for any intended use or indication;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interpret data from preclinical and clinical testing differently than we do;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our manufacturing facility or processes do not comply with quality system regulations;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conclude that our products do not meet quality standards for durability, long-term reliability, biocompatibility, electromagnetic compatibility, or electrical safety;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their approval or clearance policies or adopt new regulations in a manner that is adverse to us.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nPulse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 that we seek in respect of the proposed product, and we will not be able to become profitable and provide an investment return to our investors.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ongoing requirements and inspections that could lead to the restriction, suspension or revocation of our clearance.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0" w:firstLine="486"/>
        <w:spacing w:after="0" w:line="255" w:lineRule="auto"/>
        <w:rPr>
          <w:sz w:val="20"/>
          <w:szCs w:val="20"/>
          <w:color w:val="auto"/>
        </w:rPr>
      </w:pPr>
      <w:r>
        <w:rPr>
          <w:rFonts w:ascii="Times New Roman" w:cs="Times New Roman" w:eastAsia="Times New Roman" w:hAnsi="Times New Roman"/>
          <w:sz w:val="18"/>
          <w:szCs w:val="18"/>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85" w:lineRule="exact"/>
        <w:rPr>
          <w:sz w:val="20"/>
          <w:szCs w:val="20"/>
          <w:color w:val="auto"/>
        </w:rPr>
      </w:pPr>
    </w:p>
    <w:p>
      <w:pPr>
        <w:jc w:val="both"/>
        <w:ind w:left="20"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any failure to comply with applicable laws could subject us to significant liabilities and harm our business.</w:t>
      </w:r>
    </w:p>
    <w:p>
      <w:pPr>
        <w:spacing w:after="0" w:line="15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59" w:lineRule="exact"/>
        <w:rPr>
          <w:sz w:val="20"/>
          <w:szCs w:val="20"/>
          <w:color w:val="auto"/>
        </w:rPr>
      </w:pPr>
    </w:p>
    <w:p>
      <w:pPr>
        <w:jc w:val="both"/>
        <w:ind w:left="20"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62" w:lineRule="exact"/>
        <w:rPr>
          <w:sz w:val="20"/>
          <w:szCs w:val="20"/>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planned products or those of our competitors;</w:t>
      </w:r>
    </w:p>
    <w:p>
      <w:pPr>
        <w:spacing w:after="0" w:line="225" w:lineRule="exact"/>
        <w:rPr>
          <w:rFonts w:ascii="Times New Roman" w:cs="Times New Roman" w:eastAsia="Times New Roman" w:hAnsi="Times New Roman"/>
          <w:sz w:val="18"/>
          <w:szCs w:val="18"/>
          <w:color w:val="auto"/>
        </w:rPr>
      </w:pPr>
    </w:p>
    <w:p>
      <w:pPr>
        <w:ind w:left="680" w:right="20" w:hanging="328"/>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regulatory bodies, such as the FDA, that affect our business or have the effect of delaying or rejecting approval or clearance of our planned products;</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customers, partners or suppliers relating directly or indirectly to our products, services or technologies;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nPulse System or to our planned end-effectors;</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achievement of significant milestones;</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or our ability to obtain intellectual property protection for our technologies;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guidance and ratings issued by securities or industry analysts;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market, including the negative impact of armed conflicts, health epidemics and climate change on the global economy and markets;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Co-Chairman’s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Sales or purchases of shares of our common stock may adversely affect the market for our common stock.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Co-Chairman,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All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8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exist for our common stock and as a result it may be difficult for you to sell your common stock.</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majority percentage of our outstanding stock is held by Robert W. Duggan, Co-Chairman of our Board, who beneficially owns approximately 72% of our common stock outstanding as of December 31, 2025. As a result, Mr. Duggan has control over corporate actions requiring stockholder approval, including the following actions:</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or defeat the election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prevent amendment of our certificate of incorporation or bylaws;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or prevent a merger, sale of assets or other corporate transaction;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the outcome of any other matter submitted to our stockholders for vote.</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Mr. Duggan’s controlling interest in the Company also creates the potential for conflicts of interest which could be viewed unfavorably by minority stockholders, thereby hurting our stock price. For example, in November 2021, we engaged outside legal counsel to represent the Company even though the same legal counsel currently represents Mr. Duggan personally in other matters. In prior years, this legal counsel represented Mr. Duggan in certain related party transactions with the Company and could represent both the Company and Mr. Duggan in future related party transactions. Three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except that Mr. Duggan and Dr. Zanganeh are married and their beneficial ownership together exceeds 74%.</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Robert W. Duggan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controlling ownership position may impact our stock price and may deter or prevent efforts by others to acquire us, which could prevent our stockholders from realizing a control premium.</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Robert W. Duggan is our Co-Chairman, and he beneficially owns approximately 72% of our common stock outstanding as of December 31, 2025.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Co-Chairman,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smaller reporting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we cannot be certain if the applicable reduced disclosure requirements will make our common stock less attractive to investors.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plans to pay dividends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80"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holders of at least 66 2/3% of the voting power of all the then outstanding shares of our voting stock, voting together as a single class, to amend provisions of our certificate of incorporation or our bylaws;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board of directors the ability to amend our bylaws by majority vote;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the negative impact of armed conflicts, health epidemics and climate change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global financial markets and economy may also be adversely affected by the current or anticipated impact of military conflict, such as the ongoing Russian-Ukrainian war, the war on terrorism, and lingering hostilities in the Middle East, as well as other geopolitical events. Sanctions imposed by the United States and other countries in response to such conflicts, including the Russian-Ukrainian war, may also adversely impact the financial markets and the global economy, and any economic countermeasures by the affected countries or others could exacerbate market and economic instability.</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Recently, the U.S. government has been changing its approach to international trade policy and in some cases it has been renegotiating or terminating certain existing bilateral or multi-lateral trade agreements and treaties with foreign countries. In addition, the U.S. government has initiated or is considering imposing tariffs on certain foreign goods. Related to this action, certain foreign governments have instituted or are considering imposing tariffs on certain U.S. goods. It remains unclear what the U.S. government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and/or the U.S. or global economy or certain sectors thereof and, thus, could adversely impact our businesses.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interpretations, estimates or judgments we use to prepare our financial statements prove to be incorrect, investors and others may lose confidence in our financial data, which could cause our stock price to decline.</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like all publicly traded companies,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liabilities at the date of the financial statements, as well as the reported expenses incurred during the reporting periods. We base our interpretations, estimates and judgments on our historical experience, appropriate accounting guidance and on various other factors that we believe are reasonable under the circumstances, the results of which form the basis for the preparation of our financial statements. However, accounting guidance can sometimes be conflicting, especially with respect to accounting for complex corporate transactions. Moreover, generally accepted accounting principles presentation is subject to interpretation by the SEC, the Financial Accounting Standards Board (“FASB”) and various other bodies formed to interpret and create appropriate accounting principles and guidance. If one of these bodies disagrees with our accounting recognition, measurement or disclosure or any of our accounting interpretations, estimates or assumptions, we may have to retroactively revise our previously reported results and our investors could lose confidence in the accuracy and completeness of our financial reports, which could cause our stock price to decline.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combat ever-present cyber risks, the Company maintains a comprehensive cybersecurity program, which includes employee training, annual risk assessments and a comprehensive cybersecurity environment meant to detect, prevent, and limit unauthorized or harmful actions across our information technology environment. However, we operate in the medical device sector, which is subject to various cybersecurity risks that could adversely affect our business, financial condition, and results of operations, including intellectual property theft; fraud; extortion; harm to patients, customers, and employees; violation of privacy laws and other litigation and legal risk; and reputational risk.</w:t>
      </w:r>
    </w:p>
    <w:p>
      <w:pPr>
        <w:spacing w:after="0" w:line="183"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implemented a risk-based approach to identify and assess the cybersecurity threats that could affect our business and information systems. We use recognized commercially reasonable measures, tools and methodologies to manage cybersecurity risk that are tested on a regular cadence. We also monitor and evaluate our cybersecurity posture on an ongoing basis through regular vulnerability scans, penetration tests and third-party reviews. Other key components of our cybersecurity program include, but are not limited to, asset management, encryption, data loss prevention technology, access controls, identity and access management (IAM), such as multi-factor authentication (MFA), vulnerability management, endpoint threat detection and response (EDR), logging and monitoring involving the use of security information and event management (SIEM), privileged access management (PAM), email and web gateway protection, multi-faceted backup and data recovery solutions, anti-malware, firewalls, IDS and IPS, auditing and monitoring, regular policy updates, security awareness training, anti-phishing campaigns, intrusion detection and prevention, vulnerability and patch management, and third-party risk management. We also subscribe to third-party threat intelligence tools and services that support monitoring, analyzing, and responding to emerging risks and threats. We require third-party service providers with access to personal, confidential, or proprietary information to implement and maintain comprehensive cybersecurity practices consistent with applicable legal standards, although currently we do not audit this. While we believe our cybersecurity practices are comparable to those of similarly situated companies, the Company does not currently audit its third-party service providers’ cybersecurity practices, except through its regulatory and quality control auditing of vendors engaged in clinical trials or the manufacture of products used in the assembly of our medical devices. We also rely on industry leading third party service providers to provide the systems required to effectively run our clinical trials and require that these third-party service providers implement and maintain standard cybersecurity practices. We have business continuity plans that we regularly review and update in line with our evolving applications architecture. We believe our cybersecurity practices comply with applicable legal requirements, including those established by the FDA.</w:t>
      </w:r>
    </w:p>
    <w:p>
      <w:pPr>
        <w:spacing w:after="0" w:line="19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date, we have not experienced any material security incidents or data breaches as a result of a compromise of our information systems and are not aware of any cybersecurity incidents that have had a material impact or are reasonably likely to materially affect our business strategy, operating results, or financial condition.</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compliance program, including the processes used to mitigate risks associated with cybersecurity threats. Our Board is responsible for monitoring and assessing strategic risk exposure generally, and our executive officers are responsible for the day-to-day management of the material risks we face. Our Board administers its enterprise-level oversight of risks associated with cybersecurity threats directly as a whole, as well as through delegation of responsibility to our Audit Committee, which serves and functions as the Board’s primary oversight body to monitor the Company’s cybersecurity and related information technology risk. The Audit Committee receives periodic reports from management personnel responsible for enterprise risk management, which also evaluates cybersecurity among other enterprise level risks on an annual basis. It also assesses the experience of management personnel responsible for preventing, mitigating, detecting, and remediating any cyber incidents, including applicable third-party providers. The Audit Committee also oversees the Company’s disclosure of any cybersecurity incident deemed material as required by the SEC or any other governmental authority, as applicable.</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At the operational level, the Company has established an information security team, including a Privacy and Security Council (“PSC”), consisting of representatives from IT, Legal, HR, and Finance, to help provide governance and strategic direction for managing cyber risks, maintaining IT regulatory compliance, and optimizing technology initiatives for alignment with our company goals and objectives. Pursuant to various policies adopted by the Company since 2021, including the Company's Privacy Policy, the Company’s senior most IT employee, our Information Security Coordinator (our “ISC”), is a member of the PSC and has frontline responsibility for assessing, identifying and managing material risks from cybersecurity threats. The PSC convenes not less than annually, and meetings include updates on cybersecurity matters provided by the information security team.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44" w:name="page45"/>
    <w:bookmarkEnd w:id="44"/>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left="60" w:firstLine="486"/>
        <w:spacing w:after="0" w:line="258" w:lineRule="auto"/>
        <w:rPr>
          <w:sz w:val="20"/>
          <w:szCs w:val="20"/>
          <w:color w:val="auto"/>
        </w:rPr>
      </w:pPr>
      <w:r>
        <w:rPr>
          <w:rFonts w:ascii="Times New Roman" w:cs="Times New Roman" w:eastAsia="Times New Roman" w:hAnsi="Times New Roman"/>
          <w:sz w:val="18"/>
          <w:szCs w:val="18"/>
          <w:color w:val="auto"/>
        </w:rPr>
        <w:t>Our ISC has expertise in the following areas which assist in assessing and managing applicable cybersecurity risk: 28 years of IT experience including endpoint detection, security, incident management and response, vulnerability management and response, event management and response, and network security segmentation. The ISC provides regular reports on ongoing risk and mitigation practices, including information about cyber risk management governance and status updates on various projects intended to enhance the overall cybersecurity posture of the Company, to our Chief Executive Officer, Chief Financial Officer, Chief Technology Officer, and General Counsel, who then report to the Audit Committee and the Board.</w:t>
      </w:r>
    </w:p>
    <w:p>
      <w:pPr>
        <w:spacing w:after="0" w:line="183" w:lineRule="exact"/>
        <w:rPr>
          <w:sz w:val="20"/>
          <w:szCs w:val="20"/>
          <w:color w:val="auto"/>
        </w:rPr>
      </w:pPr>
    </w:p>
    <w:p>
      <w:pPr>
        <w:jc w:val="both"/>
        <w:ind w:left="60" w:firstLine="486"/>
        <w:spacing w:after="0" w:line="254" w:lineRule="auto"/>
        <w:rPr>
          <w:sz w:val="20"/>
          <w:szCs w:val="20"/>
          <w:color w:val="auto"/>
        </w:rPr>
      </w:pPr>
      <w:r>
        <w:rPr>
          <w:rFonts w:ascii="Times New Roman" w:cs="Times New Roman" w:eastAsia="Times New Roman" w:hAnsi="Times New Roman"/>
          <w:sz w:val="18"/>
          <w:szCs w:val="18"/>
          <w:color w:val="auto"/>
        </w:rPr>
        <w:t>Our incident response plan designates our ISC as primarily responsible for identifying and evaluating any cybersecurity incident or suspected incident and reporting any such incidents to our General Counsel in order for management to evaluate materiality, and to report to our Audit Committee, our Board and make public disclosures, as applicable. Our General Counsel is responsible for routinely updating both the Board and the Audit Committee on the Company’s cybersecurity personnel, practices and processes and, pursuant to our data breach response policy, which is updated from time to time, he must report to the Board in the event of any detected material incident and regularly update the Board on any mitigation and remediation steps being taken in connection with the Company’s response. The Company has, from time to time, engaged external experts, including cybersecurity assessors, consultants, auditors, and legal counsel, in evaluating and testing our risk management systems and on a project-specific basis to assist us with projects that will improve our IT infrastructure, strengthen our products’ security posture, and improve our cyber readiness. This enables us to leverage specialized knowledge and insights, ensuring our cybersecurity strategies and processes remain current.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 2. Properties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currently lease approximately 50,300 square feet of premises located in Hayward, California, which is used for our principal operating facility.</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term of the lease extends through October 2029.</w:t>
      </w:r>
    </w:p>
    <w:p>
      <w:pPr>
        <w:spacing w:after="0" w:line="207" w:lineRule="exact"/>
        <w:rPr>
          <w:sz w:val="20"/>
          <w:szCs w:val="20"/>
          <w:color w:val="auto"/>
        </w:rPr>
      </w:pPr>
    </w:p>
    <w:p>
      <w:pPr>
        <w:jc w:val="both"/>
        <w:ind w:left="80" w:firstLine="450"/>
        <w:spacing w:after="0" w:line="282" w:lineRule="auto"/>
        <w:rPr>
          <w:sz w:val="20"/>
          <w:szCs w:val="20"/>
          <w:color w:val="auto"/>
        </w:rPr>
      </w:pPr>
      <w:r>
        <w:rPr>
          <w:rFonts w:ascii="Times New Roman" w:cs="Times New Roman" w:eastAsia="Times New Roman" w:hAnsi="Times New Roman"/>
          <w:sz w:val="18"/>
          <w:szCs w:val="18"/>
          <w:color w:val="auto"/>
        </w:rPr>
        <w:t>We also currently lease approximately 2,000 square feet of premises located in Miami, Florida, which is used for our corporate headquarters. The term of the lease is 65 months and it commenced on November 8, 2024.</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believe that our existing and expanded facilities will be sufficient to meet our needs for the foreseeable future.</w:t>
      </w: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left="8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arising in the ordinary course of business. We are not presently a party to any legal proceedings that, in the opinion of management, could have a material adverse effect on our results of operations or financial condition. Regardless of outcome, however, any litigation could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common stock is listed on Nasdaq and has been traded under the symbol “PLSE” since May 18, 2016.</w:t>
      </w: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left="80" w:firstLine="450"/>
        <w:spacing w:after="0" w:line="266" w:lineRule="auto"/>
        <w:rPr>
          <w:sz w:val="20"/>
          <w:szCs w:val="20"/>
          <w:color w:val="auto"/>
        </w:rPr>
      </w:pPr>
      <w:r>
        <w:rPr>
          <w:rFonts w:ascii="Times New Roman" w:cs="Times New Roman" w:eastAsia="Times New Roman" w:hAnsi="Times New Roman"/>
          <w:sz w:val="18"/>
          <w:szCs w:val="18"/>
          <w:color w:val="auto"/>
        </w:rPr>
        <w:t>As of February 1, 2026, there were approximately 11 stockholders of record of our common stock. We believe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80" w:firstLine="45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and have no present plans to do so. We intend to retain earnings for use in the operation and expansion of our business.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performance graph included in this Annual Report on Form 10-K shall not be deemed “filed” for purposes of Section 18 of the Securities Exchange Act of 1934, as amended (“Exchange Act”), or incorporated by reference into any filing of Pulse Biosciences, Inc. under the Securities Act of 1933, as amended, or the Exchange Act, except as shall be expressly set forth by specific reference in such filing.</w:t>
      </w:r>
    </w:p>
    <w:p>
      <w:pPr>
        <w:spacing w:after="0" w:line="176"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following graph matches our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December 31, 2020, to December 31, 2025.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125730</wp:posOffset>
            </wp:positionV>
            <wp:extent cx="6000750" cy="4989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0750" cy="498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required under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the related notes thereto included in Item 8 under the heading “Financial Statements and Supplementary Data”. Some of the information contained in this discussion and analysis or set forth elsewhere in this Form 10-K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The words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Form 10-K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Annual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Annual Report, actual results may differ from the projections.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nPulse System (formerly known as CellFX), a novel nsPFA delivery platform, and commercialized the initial application of its nsPFA technology to treat benign lesions of the skin. In parallel, we have designed a variety of applicators, or disposables, to explore the potential use of the nPulse platform to treat disorders in other medical specialties, such as cardiology, gastroenterology, gynecology, and otolaryngology.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primary efforts on the use of nsPFA energy and the nPulse platform in the treatment of atrial fibrillation, where approximately 1.9 million patients in the United States are diagnosed annually. This potentially represents a greater than $3.0 billion addressable market within electrophysiology alone combined with long-term double-digit growth. Additionally, we are also pursuing the treatment of atrial fibrillation via a surgical approach as well as select other markets where nsPFA technology could have a profound positive impact on healthcare for both patients and providers, such as surgical soft tissue ablation.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nPulse Vybrance Percutaneous Electrode System</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product for soft tissue ablation in a surgical setting, the Vybrance Percutaneous Electrode System, consists of a disposable, percutaneous, needle electrode for use with our proprietary nPulse Console. This novel electrode is designed to harness and deliver the key advantages of nsPFA energy, enabling precise nonthermal removal of cellular tissue without inducing thermal necrosis.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After years of preclinical development and testing, in June 2023, we initiated a first-in-human study using our proprietary nsPFA-enabled percutaneous electrode. This study was conducted by Professor Stefano Spiezia at the Ospedale del Mare in Naples, Italy, to help us better understand and confirm the mechanism of action and tissue response of nsPFA energy in internal organs such as the thyroid. Thirty study subjects were treated, all of whom tolerated the procedure well with no reported serious side effects. Ultrasound images post procedure showed treated portions of the benign thyroid nodules were mostly resorbed with no sign of scarring or fibrosis, which can be a side effect of other ablation modalities using thermal energies.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parallel, in November 2023, we filed a premarket notification 510(k) with the FDA for clearance to commercialize our novel Vybrance Percutaneous Electrode System in the United States. In March 2024, we received FDA 510(k) clearance for our Vybrance Percutaneous Electrode System for use in the ablation of soft tissue in percutaneous and intraoperative surgical procedures. More recently, in August 2024, we received FDA 510(k) clearance for a second size of the percutaneous electrode needle, which we believe will provide our customers with an additional treatment option for their patients.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Since securing 510(k) clearance to market and sell the Vybrance Percutaneous Electrode System in the United States, we have engaged with experts in the field of soft tissue ablation to gather information to help shape our commercial endeavors (our “Pilot Program”). To date, we have placed our nPulse System at sites in the United States under either short-term evaluation, consulting or other early commercial agreements pursuant to which the sites have been performing initial patient treatments and evaluating the nPulse System as well as providing valuable feedback and support for our first launch of an nsPFA-enabled surgical product.</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More recently, in September 2025, we commenced a clinical trial (PRECISE BTN) to generate clinical evidence to demonstrate the safety and effectiveness of this less-invasive thyroid-preserving procedure and support commercialization of the Vybrance Percutaneous Electrode System in the United States. In this study, benign thyroid nodule soft tissue ablation procedures will be performed on up to 50 patients at up to four sites. Study endpoints evaluated during the follow-up timepoints will include safety, targeted nodule volume reduction, symptom reduction, and improvements in quality of life and cosmesis over various follow-up periods. The pace of enrollment is encouraging and we expect enrollment to complete in the next few months. To date, these clinicians, together with those in the Pilot Program as well as our first commercial accounts, have completed more than 300 patient procedures. We expect to pursue more clinical evidenced-based milestones in connection with the limited market release of our percutaneous electrodes.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Cardiac Surgical Program</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Atrial fibrillation (“AF”)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energy is uniquely suited to perform an integral role for this application and that it will prove to be highly differentiated from other energy modalities in use today.</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results of preclinical and clinical testing of both our nPulse cardiac products, namely our surgical ablation clamp and our endocardial ablation catheter, have exceeded our expectations and initial data have been presented at physician and industry conferences. While these devices serve different physicians, the application of nsPFA energy to safely and effectively ablate cardiac tissue to treat AF are the same, and we believe there will be important synergies realized through their contemporaneous development. The Company’s cardiac surgical ablation clamp and cardiac endocardial ablation catheter both generate our proprietary nsPFA pulses of electrical energy. We discuss each of these products under development in more detail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nPulse Cardiac Surgical Clamp</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These ablation lines block the conduction of electrical impulses and can cure patients of their AF.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our nsPFA energy can provide important advantages over today’s thermal modalities in creating these ablation lines. For example, surgeons using the nPulse System should be able to deliver faster ablations and through thicker tissue than thermal modalities because of the nonthermal mechanism of action that nsPFA employs, which is not affected by heatsinks such as blood in the heart. In preclinical and clinical studies, our nsPFA Cardiac Clamp has consistently achieved transmural ablations in less than three seconds, independent of tissue type or thickness. Moreover, thermal modalities can cause char formation on electrode surfaces which can cause gaps in the ablation lines that might lead to treatment failure. This should not be an issue with nsPFA ablation given its nonthermal nature. Also, because nsPFA ablation does not significantly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w:t>
      </w:r>
    </w:p>
    <w:p>
      <w:pPr>
        <w:spacing w:after="0" w:line="1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Over the last several years, we have been developing the cardiac ablation clamp from proof-of-concept to prototype, and we now have what we believe will be our initial commercial design. The device was designed with the input of key physicians in cardiac surgery, and we believe it will offer a highly differentiated option relative to the standard of care thermal modalities. Today, we plan to pursue a PMA application for FDA approval to market the cardiac clamp specifically as a surgical way to treat AF. Seeking an AF indication through a PMA application will require pivotal clinical data to support the application.</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2024, we received Breakthrough Device Designation from the FDA for our nsPFA Cardiac Surgery System for the treatment of AF. The FDA’s Breakthrough Devices Program is a voluntary program for certain medical devices that potentially provide for more effective treatment or diagnosis of a life-threatening or irreversibly debilitating disease or condition. More recently, our Cardiac Surgery System was enrolled in the FDA’s Total Product Life Cycle (TPLC) Advisory Program (TAP). The FDA’s Center for Devices and Radiological Health (CDRH) launched the TAP program to help generate more rapid development of high-quality, safe, effective, and innovative medical devices that are critical to public health. TAP’s primary goal is to expedite patient access to innovative medical devices by providing early, frequent and strategic communications with the FDA and facilitating engagement with other key parties for developers of devices of public health importance. Both programs are designed to expedite the development, assessment, and review of medical devices for premarket approval, 510(k) clearance, or de novo marketing authorization. Breakthrough Devices, even those enrolled in the FDA’s TAP Program, must still meet the FDA’s rigorous standards for device safety and effectiveness in order to be authorized for marketing, however.</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September 2025, we received approval of our Investigational Device Exemption (IDE) to initiate our pivotal clinical trial of the cardiac surgical clamp and clinicians have already enrolled and treated the first patient in the study. This single-arm prospective study is designed to demonstrate primary effectiveness of the nsPFA Cardiac Surgical System for the treatment of AF in concomitant surgical procedures. Up to twenty sites, including two outside the United States, are planned to enroll up to 136 patients. Upon PMA approval, we would expect to commercialize the nPulse Cardiac Surgical System in the United States specifically as a treatment for AF. Separately, we have already enrolled more than 50 patients in our first-in-human clinical feasibility study of the cardiac clamp, a multi-center study of AF in the Netherlands, Poland and Austria. All of the patients in our first-in-human study have tolerated the procedure well and acute data have been encouraging.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nPulse Cardiac Catheter System</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endocardial catheter ablation device will have many of the same advantages that the surgical ablation clamp appears to have with respect to both performance and safety compared to standard thermal modalities. Our nPulse Cardiac Catheter System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recent years, Pulsed Field Ablation (“PFA”) has gained attention in electrophysiology for the treatment of AF because of its safety profile and speed. Current clinical products employing PFA in AF treatment differ from nsPFA technology in that the pulse widths are longer, typically in the microsecond domain. We believe nsPFA technology, which delivers pulses of electrical energy that are each less than a millionth of a second long, can offer similar safety advantages as PFA and may provide improved efficacy advantages based on the circumferential design of our catheter and because it appears nsPFA technology can create deeper ablations. We believe these advantages will be important to electrophysiologists, so we are working with leaders in the field to develop this technology quickly.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first-in-human clinical study in Prague, Czech Republic, to test our nPulse Cardiac Catheter System in patients with AF and both the acute data and initial remapping data from this study were compelling. We therefore expanded the initial clinical protocol in 2024 to include participation by two additional sites, including a clinical site in Rome, Italy, with Dr. Andrea Natale M.D., F.A.C.C., F.H.R.S., F.E.S.C., a world recognized leader in the world of electrophysiology and the current Executive Director at the Texas Cardiac Arrhythmia Institute. To date, nine clinical investigators at these European sites, including Dr. Natale and Dr. Vivek Reddy, Director of Cardiac Arrhythmia Services at the Mount Sinai Fuster Heart Hospital in New York, have enrolled and treated more than 165 patients in this first-in-human study. More recently, in February 2026, at the AF Symposium, Dr. Reddy presented 6- and 12-month follow up data for the first 150 patients from this study. These data show 96% procedural success of evaluable patients at one year as well as early indications of the disruptive market potential for our nPulse catheter, such as total procedure times in the study of approximately 65 minutes per patient.</w:t>
      </w:r>
    </w:p>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Given the compelling data seen in the first-in-human study of our nPulse Cardiac Catheter, in July 2025, we submitted an Investigational Device Exemption (IDE) application for review by the FDA to conduct a single-arm, multicenter, prospective study designed to demonstrate primary safety and effectiveness of the nsPFA Cardiac Catheter System for the treatment of recurrent drug-resistant symptomatic paroxysmal AF. In December 2025, the FDA approved our IDE submission, and we have begun clinical site qualifications to begin enrollment. This IDE study is expected to enroll up to 155 patients at up to 30 sites, including three sites outside the United States. We continue to believe we will need PMA approval from the FDA to market and sell our catheter in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nPulse Console</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nPulse Console is a tunable, software-enabled, console-based platform, designed to accommodate the clinical workflow preferred by physicians. The nPulse Console is configured to accept a variety of disposable applicators or electrodes across a range of clinical applications. In February 2021, we received 510(k) clearance from the FDA for the nPulse System for dermatologic procedures requiring ablation and resurfacing of the skin. In January 2021, we received Conformité Européene (“CE”) marking approval for the nPulse System, which allows for marketing of the system in the European Union (“EU”). Shortly after these regulatory clearances, we began commercializing the nPulse System in dermatology for the treatment of benign skin lesions. However, in September 2022, we announced a shift in our focus from dermatology to cardiology and soft tissue ablation. We have ceased all commercial sales efforts and marketing operations in dermatology, and in 2022 we stopped manufacturing new dermatologic treatment tips for the nPulse System. At the present time, we continue to support our remaining commercial users and remain open to a potential commercial partnership. The nPulse Console is being used for our current efforts in the treatment of AF and as part of the Vybrance Percutaneous Electrode System.</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believe nsPFA ablation, as well as NPS technology more broadly, has the potential to provide superior outcomes across a variety of medical disciplines and we may seek partnership opportunities to develop additional applications.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Our Business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Over the past few years, Robert Duggan, our majority stockholder and Co-Chairman, has made significant investments in our Company to fund its operations. In June 2024, for example, when we completed a rights offering of units to our existing stockholders to raise $60.0 million in aggregate, Mr. Duggan purchased approximately 88% of the shares offered through the offering. Mr. Duggan may or may not elect to participate in any number of future fundraisings by the Company, whether similar to those described above or otherwise, and he may choose to invest more than his current pro rata share in any of these fundraisings, or alternatively he may offer to provide additional debt financing as may be needed to maintain the Company as a going concern.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(GAAP). The preparation of these financial statements requires us to make estimates and assumptions that affect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liabilities, and equity and the amount of revenues and expenses, which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included elsewhere in this Annual Report on Form 10-K, we believe that the following critical accounting policies and estimates are most important to understanding and evaluating our reported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contract with a customer is accounted for when the rights and obligations of the parties are identifiable, the contract has commercial substance, and the collectability of the consideration to be received from the customer is considered probable. Contracts with customers are for the sale of the nPulse Vybrance system, which includes system components, software, and system accessories. Instruments and other accessories may also be included with the system or may be sold on a standalone basis. These products are considered performance obligations to the extent they are separately identifiable from other products in the contract and when the customer can either benefit from the product on its own or with other goods or services that are readily available to the customer. We recognize revenue at a point in time when we satisfy performance obligations by transferring control of promised goods to our customers. Transfer of control is based on shipping terms as contractually negotiated. The amount of revenue recognized is equal to the consideration which we are entitled to in exchange for the promised goods, excluding any amounts assessed by government authorities for taxes which might be collected from a customer.</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transaction price is the consideration to which we expect to be entitled in exchange for providing the promised goods to customers. Though most customer orders are for a fixed amount of consideration, we evaluate the possible impact of variable consideration in determining the transaction price, in particular the possibility of future returns. Sales agreements allow for a right of return only if the product does not conform to the agreed upon quality standards or if the product was shipped due to our error. We anticipate such returns will be minimal and have made no adjustments to the transaction price for any estimated returns. The transaction price is determined at contract execution and updated each quarter for any changes in circumstances (e.g., changes in estimated return amount).</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When there are multiple performance obligations present, the total transaction price shall be allocated to each of the performance obligations based upon the relative standalone selling price (“SSP”) of those performance obligations. We establish SSPs based on multiple factors including prices charged by us for similar offerings, product-specific business objectives, and the estimated cost to provide the performance obligation.</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Sales contracts often involve the sale and delivery of multiple products, each of which typically represent a separate performance obligation in the contract. While we sell these products on a stand-alone basis at their respective SSP, initial customer contracts will likely involve the bundling of products which will be delivered concurrently to the customer for a single price. The initial limited market release period will also include evaluation agreements with customers that allow either the customer or us to terminate the contract at any point without penalty. The termination right limits the effective contract term to the period for which the contract was not terminated. Payment terms may be extended to customers upon which we will perform a necessary credit evaluation to ensure future collectability of the outstanding balance.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stock-based compensation programs include stock options and an employee stock purchase program. We periodically issue stock options to officers, directors, employees, and consultants for their services to the Company. Such issuances vest and expire according to terms established at the issuance date. In general, stock-based payments to officers, directors and employees, including grants of employee stock options, are recognized in the financial statements based on their grant date fair values, which are estimated using the Black-Scholes option-pricing model or Monte Carlo simulation model. We account for forfeitures as they occur. We have granted stock options with time-based, performance-based, market-based, and both market-based and performance-based vesting conditions.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stock options with time-based and performance-based vesting conditions, the grant date fair value of each grant is determined using the Black-Scholes option pricing model which requires a number of assumptions. Each of these assumptions is subjective and generally requires significant judgment and estimation by management.</w:t>
      </w:r>
    </w:p>
    <w:p>
      <w:pPr>
        <w:spacing w:after="0" w:line="17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Our expected term represents the period that our stock-based awards are expected to be outstanding and is determined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simplified method (based on the mid-point between the vesting date and the end of the contractual term). We utilize this method due to lack of historical exercise data of our stock-based awards.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computation of expected volatility was based on a calculation using the historical volatility of our common stock.</w:t>
      </w:r>
    </w:p>
    <w:p>
      <w:pPr>
        <w:spacing w:after="0" w:line="22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Treasury Constant Maturities as provided by the Federal Reserve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 for periods corresponding with the expected term of option.</w:t>
      </w:r>
    </w:p>
    <w:p>
      <w:pPr>
        <w:spacing w:after="0" w:line="158"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 </w:t>
      </w:r>
      <w:r>
        <w:rPr>
          <w:rFonts w:ascii="Times New Roman" w:cs="Times New Roman" w:eastAsia="Times New Roman" w:hAnsi="Times New Roman"/>
          <w:sz w:val="18"/>
          <w:szCs w:val="18"/>
          <w:color w:val="auto"/>
        </w:rPr>
        <w:t>We have never paid dividends on our common stock and have no plans to pay dividends on our common stock. Therefore,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an expected dividend yield of zero.</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Stock-based compensation expense for stock options with time-based vesting conditions is recognized on a straight-line basis over the requisite service period, which is generally the vesting period. For stock options with performance-based vesting conditions, compensation expense is not recognized until it is probable that the performance-based vesting condition will be achieved. The analysis to determine such probability involves estimates and judgements from management related to certain financial measures and achievements of strategic and operational milestones, which involves inherent risk and uncertainty regarding the future outcomes of the milestones. If actual results are not consistent with our estimates or assumptions, we may be exposed to changes in stock-based compensation expense that could be material.</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stock options with market-based vesting conditions, the conditions relate to the achievement of certain market capitalization targets of the Company. Using a Monte Carlo simulation model, we estimated the fair value of the market-based options on the grant date or modification date, with the associated stock-based compensation expense recognized over the requisite service period. The requisite service period is the service period derived from the Monte Carlo simulation model. If the market capitalization targets are met sooner than the derived service period, the recognition of stock-based compensation expense will accelerate to reflect the cumulative expense associated with the vested shares.</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 stock options with both market-based and performance-based vesting conditions, the vesting conditions relate to both the achievement of certain market capitalization targets of the Company, as well as the achievement of certain revenue and margin metrics. Using a Monte Carlo simulation model, we estimated the fair value of the market-based options on the grant date, along with a derived service period. Compensation expense for the awards is recognized over the requisite service period, which is the longer of the service period derived from the Monte Carlo simulation model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we will recognize expense using the accelerated attribution method over the requisite service period. If, at any point, the performance condition is no longer probable of being achieved or the employee is no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w:t>
      </w: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Monte Carlo simulation models require us to make assumptions and judgements about the variables used in the calculations including the expected volatility, the risk-free interest rate, expected dividend yield, and the expected term. The assumptions used in the option-pricing model represent our best estimates. If factors change and different assumptions are used, our stock-based compensation expense could be materially different in the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accrue liabilities for estimated costs of research and development activities conducted by our third-party service providers, which include the conduct of preclinical and clinical studies. We record the estimated costs of research and development activities based upon the estimated amount of services provided but not yet invoiced, and include these costs in accrued liabilities on the consolidated balance sheet and within research and development expense on the consolidated statements of operations and comprehensive loss.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accrue for these costs based on factors, such as estimates of the work completed and budget provided and in accordance with agreements established with our third-party service providers. We make significant judgments and estimates in determining the accrued liabilities balance in each reporting period. As actual costs become known, we adjust our accrued liabilities. Changes in these estimates that result in material changes to our accruals could materially affect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consolidated statements of operations as discussed herein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vMerge w:val="restart"/>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91"/>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71"/>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350</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44,721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32,336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12,385</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32,029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8,108</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1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77,289</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56,257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21,032</w:t>
            </w: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8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7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(72,781</w:t>
            </w:r>
            <w:r>
              <w:rPr>
                <w:rFonts w:ascii="Times New Roman" w:cs="Times New Roman" w:eastAsia="Times New Roman" w:hAnsi="Times New Roman"/>
                <w:sz w:val="28"/>
                <w:szCs w:val="28"/>
                <w:color w:val="auto"/>
                <w:vertAlign w:val="superscript"/>
              </w:rPr>
              <w:t>)</w:t>
            </w: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(53,585</w:t>
            </w:r>
            <w:r>
              <w:rPr>
                <w:rFonts w:ascii="Times New Roman" w:cs="Times New Roman" w:eastAsia="Times New Roman" w:hAnsi="Times New Roman"/>
                <w:sz w:val="28"/>
                <w:szCs w:val="28"/>
                <w:color w:val="auto"/>
                <w:vertAlign w:val="superscript"/>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(19,196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Product revenue was $0.4 million for the year ended December 31, 2025. There was no revenue for the year ended December 31, 2024. The total revenue generated was in connection with the limited market release commercial sales of the Vybrance Percutaneous Electrode System with the first commercial sale occurring in the third quarter of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product revenue was $0.5 million for the year ended December 31, 2025. There was no cost of product revenue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compensation and other employee-related expenses for research and development personnel, clinical trials and consulting costs related to the design, development and enhancement of our potential future products, prototype material and devices.</w:t>
      </w:r>
    </w:p>
    <w:p>
      <w:pPr>
        <w:spacing w:after="0" w:line="16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9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$12.4 million to $44.7 million for the year ended December 31, 2025, compared to $32.3 million for the year ended December 31, 2024, primarily due to increases of $5.5 million in paid services and external research, $3.3 million in stock-based compensation, $2.8 million in compensation and other employee-related expenses, and $0.7 million in supplies.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of compensation and other employee-related expenses for sales, marketing, executives, finance, legal, human resources, information technology, and administrative personnel, professional fees, patent fees and costs, insurance costs and other general corporate expenses.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$8.1 million to $32.0 million for the year ended December 31, 2025, compared to $23.9 million for the year ended December 31, 2024, primarily due to increases of $4.5 million in stock-based compensation, $4.2 million in compensation and other employee-related expenses, $1.9 million in paid services and administrative costs, partially offset by a decrease of $2.5 million in severance costs and legal settlement.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income increased by $1.5 million to $4.2 million for the year ended December 31, 2025, compared to $2.7 million for the year ended December 31, 2024, driven by increased returns on higher cash balances held during 2025 relative to 2024 due to the 2024 Rights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funded our business primarily through the issuance of equity securities and debt. To date, we have generated only limited revenue from product sales and we have incurred significant operating losses each year since our inception. Because we intend to continue our investments into new product research and development and the capabilities needed to commercialize our nPulse Vybrance Percutaneous Electrode System, we expect to continue to incur additional losses for the next several years. Accordingly, to fund our business, we may utilize some combination of public or private equity offerings, debt financings, or potential new revenue-generating collaborations with one or more investors or strategic partners. Over the past few years, Robert Duggan, our majority stockholder and Co-Chairman, has made significant investments in our Company to fund its operations. Mr. Duggan may or may not elect to participate in any number of future fundraisings by the Company, whether similar to those described herein or otherwise, or alternatively he may offer to provide additional debt financing as may be needed to maintain the Company as a going concern.</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$80.7 million. We believe that our existing cash and cash equivalents will be sufficient to fund our projected operating requirements for at least the next twelve months from the filing date of this Annual Report on Form 10-K. However, we plan to raise additional capital in the near future. These expectations are based on our current operating and financing plans which are subject to change. The source, timing and availability of any future financing will depend largely upon market conditions and perceived progress in the Company’s commercialization efforts, on-going product development initiatives, as well as future clinical and regulatory developments concerning the nPulse System and our other NPS-based technologies. There can be no assurance, however, that any additional financing or any revenue-generating collaboration will be available when needed or that we will be able to obtain financing or enter into a collaboration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global economic instability caused by armed conflicts, tariffs and interest rates, together with other market factors, could have an adverse impact on potential sources of future financing.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July 3, 2024, we announced the closing of our 2024 Rights Offering. The 2024 Rights Offering resulted in the sale of six million 2024 Units, at a price of $10.00 per 2024 Unit. Each 2024 Unit consisted of one share of our common stock, par value $0.001 per share, and two warrants, each being a warrant to purchase one-half of one share of common stock. The common stock and warrants comprising the 2024 Units separated upon the closing of the 2024 Rights Offering and were issued individually. Upon the closing of the offering, we issued a total of 5,999,998 shares of common stock and warrants to acquire up to approximately an additional six million shares of common stock, at an exercise price of $11 per whole share, and we received aggregate gross proceeds of $60 million. Robert W. Duggan, the Company’s majority stockholder and Co-Chairman, purchased approximately 88% of the units offered through the 2024 Rights Offering. Half of the warrants issued in the rights offering were redeemable by us if our volume-weighted average price ("VWAP") exceeded 150% of the exercise price, or $16.50, for twenty consecutive trading days. In December 2024, we delivered an irrevocable notice of redemption to redeem this first tranche of common stock warrants because the VWAP of our common stock over the twenty consecutive trading days before the notice was $18.85. Then, in February 2025, we redeemed 18,221 warrants, specifically the ones subject to the 150% redemption feature, on the announced redemption date. The other half of the warrants issued in the 2024 Rights Offering are redeemable by us if our VWAP exceeds 200% of the exercise price, or $22.00, for twenty consecutive trading days. As of December 31, 2025, there were no outstanding 2024 Rights Offering Warrants subject to the 150% redemption feature and there were 405,624 outstanding 2024 Rights Offering Warrants subject to the 200% redemption feature, entitling holders to purchase up to approximately 202,812 shares of common stock. During the year ended December 31, 2025, we have received a total of $14.1 million in gross proceeds from exercises of the 2024 Rights Offering Warrants. Cumulatively, as of December 31, 2025, we have received a total of $63.6 million in gross proceeds from exercises of the 2024 Rights Offering Warrants.</w:t>
      </w:r>
    </w:p>
    <w:p>
      <w:pPr>
        <w:spacing w:after="0" w:line="19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Furthermore, from time to time, we may raise additional equity or debt capital through private offerings of securities or through registered offerings of securities, such as offerings of debt or equity off of a shelf registration statement, including “at-the-market” offerings of common stock. In April 2024, we filed a shelf registration statement on Form S-3 with the SEC, which the SEC declared effective on April 8, 2024. Through this shelf registration statement we may, from time to time, sell up to an aggregate of $50 million worth of our common stock, preferred stock, debt securities, depositary shares, warrants, subscription rights, purchase contracts, or units, of which shelf approximately $50 million remains available for sale as of December 31, 2025. Under this shelf registration statement, in July 2024, we established an at-the-market offering program with Canaccord Genuity LLC and Needham &amp; Company, LLC, as sales agents, in the amount of up to $60 million. However, in February 2026, we terminated this ATM program and instead entered into an at-the-market offering program with TD Cowen, as sales agent, in the amount of up to $60 million, of which approximately $60 million remains available. To the extent we raise additional capital through the sale of equity or convertible debt securities, the issuance of such securities will result in dilution to our stockholders.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Our consolidated statements of cash flows as discussed herein are presented below:</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(used in) provided by: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(54,122)</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(36,343)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17,154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110,141</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net cash used in operating activities was $54.1 million, which consisted of a net loss of $72.8 million and a net change of $5.0 million in net operating assets and liabilities, partially offset by $23.7 million in non-cash charges. The net change in our operating assets and liabilities was due to a net decrease in liabilities of $3.7 million and a net increase in assets of $1.3 million. Non-cash charges consisted of stock-based compensation of $21.5 million, lease expense of $1.1 million, and depreciation and amortization of $1.1 million.</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net cash used in operating activities was $36.3 million, which consisted of a net loss of $53.6 million, partially offset by $15.7 million in non-cash charges and a net change of $1.5 million in net operating assets and liabilities. Non-cash charges primarily consisted of stock-based compensation of $13.6 million, depreciation and amortization of $1.2 million, and lease expense of $0.9 million. The net change in our operating assets and liabilities was due to a net increase in liabilities of $1.9 million offset by a net increase in assets of $0.4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cash used in investing activities was $0.3 million, which was primarily for the purchase of property and equipment.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 ended December 31, 2024, cash used in investing activities was $0.1 million, which was for the purchase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cash provided from financing activities was $17.1 million, primarily due to $14.1 million of proceeds from the exercise of common stock warrants, $2.5 million of proceeds from the exercise of stock options, and $0.6 million from the sale of stock under our employee stock purchase plan.</w:t>
      </w:r>
    </w:p>
    <w:p>
      <w:pPr>
        <w:spacing w:after="0" w:line="176"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cash provided from financing activities was $110.1 million, primarily due to $59.6 million of net proceeds from the 2024 Rights Offering, $49.4 million of proceeds from the exercise of common stock warrants, $0.9 million of proceeds from the exercise of stock options, and $0.5 million from the sale of stock under our employee stock purchase plan, offset by $0.3 million of deferred issuance costs in relation to a future at-the-market equity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lease approximately 50,300 square feet of premises located in Hayward, California, which is used for our principal operating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term is through October 2029.</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November 2024, we leased approximately 2,000 square feet of premises located in Miami, Florida, which is used for our corporate headquarters.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term is through April 2030.</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2025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87"/>
        </w:trPr>
        <w:tc>
          <w:tcPr>
            <w:tcW w:w="11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Less Than 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7"/>
                <w:szCs w:val="17"/>
                <w:color w:val="auto"/>
              </w:rPr>
            </w:pPr>
          </w:p>
        </w:tc>
        <w:tc>
          <w:tcPr>
            <w:tcW w:w="116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7"/>
                <w:szCs w:val="17"/>
                <w:color w:val="auto"/>
              </w:rPr>
            </w:pPr>
          </w:p>
        </w:tc>
        <w:tc>
          <w:tcPr>
            <w:tcW w:w="126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7"/>
                <w:szCs w:val="17"/>
                <w:color w:val="auto"/>
              </w:rPr>
            </w:pPr>
          </w:p>
        </w:tc>
        <w:tc>
          <w:tcPr>
            <w:tcW w:w="1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 to 3 Years</w:t>
            </w:r>
          </w:p>
        </w:tc>
        <w:tc>
          <w:tcPr>
            <w:tcW w:w="100" w:type="dxa"/>
            <w:vAlign w:val="bottom"/>
          </w:tcPr>
          <w:p>
            <w:pPr>
              <w:spacing w:after="0"/>
              <w:rPr>
                <w:sz w:val="17"/>
                <w:szCs w:val="17"/>
                <w:color w:val="auto"/>
              </w:rPr>
            </w:pPr>
          </w:p>
        </w:tc>
        <w:tc>
          <w:tcPr>
            <w:tcW w:w="11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3 to 5 Years</w:t>
            </w:r>
          </w:p>
        </w:tc>
      </w:tr>
      <w:tr>
        <w:trPr>
          <w:trHeight w:val="20"/>
        </w:trPr>
        <w:tc>
          <w:tcPr>
            <w:tcW w:w="110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we did not have any transactions, obligations or relationships that constitute off-balance sheet arrangements.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date, we have not incurred costs to defend lawsuits or settle claims related to these indemnification agreements.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Trends, Events and Uncertainties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 /or other alternatives.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assure investors that our technology will be adopted or that we will ever achieve sustainable revenue sufficient to support our operations. Even if we are able to generate revenue,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tumors and nodules,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spacing w:after="0" w:line="192"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Other than as discussed above and elsewhere in this Annual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20" w:firstLine="450"/>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Interest Rate and Market Risk</w:t>
      </w:r>
    </w:p>
    <w:p>
      <w:pPr>
        <w:spacing w:after="0" w:line="229" w:lineRule="exact"/>
        <w:rPr>
          <w:sz w:val="20"/>
          <w:szCs w:val="20"/>
          <w:color w:val="auto"/>
        </w:rPr>
      </w:pPr>
    </w:p>
    <w:p>
      <w:pPr>
        <w:jc w:val="both"/>
        <w:ind w:left="20" w:firstLine="450"/>
        <w:spacing w:after="0" w:line="256" w:lineRule="auto"/>
        <w:rPr>
          <w:sz w:val="20"/>
          <w:szCs w:val="20"/>
          <w:color w:val="auto"/>
        </w:rPr>
      </w:pPr>
      <w:r>
        <w:rPr>
          <w:rFonts w:ascii="Times New Roman" w:cs="Times New Roman" w:eastAsia="Times New Roman" w:hAnsi="Times New Roman"/>
          <w:sz w:val="18"/>
          <w:szCs w:val="18"/>
          <w:color w:val="auto"/>
        </w:rPr>
        <w:t>Our exposure to interest rate and market risk is confined to our cash and cash equivalents, all of which have maturities of less than one year. The goals of our investment policy are preservation of capital, fulfillment of liquidity needs and fiduciary control of our cash and cash equivalents. To achieve our goals, we may maintain a portfolio of cash equivalents in a money market fund of high credit quality. The money market fund is classified as available-for-sale and subject to minimal interest rate risk. We currently do not hedge interest rate exposure. Because of the short-term maturities of our cash equivalents, we do not believe that a hypothetical 10% change in market interest rates would have a material negative impact on the value of our cash equivalents. As of December 31, 2025, we did not hold any investments.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ind w:left="20" w:firstLine="450"/>
        <w:spacing w:after="0" w:line="282" w:lineRule="auto"/>
        <w:rPr>
          <w:sz w:val="20"/>
          <w:szCs w:val="20"/>
          <w:color w:val="auto"/>
        </w:rPr>
      </w:pPr>
      <w:r>
        <w:rPr>
          <w:rFonts w:ascii="Times New Roman" w:cs="Times New Roman" w:eastAsia="Times New Roman" w:hAnsi="Times New Roman"/>
          <w:sz w:val="18"/>
          <w:szCs w:val="18"/>
          <w:color w:val="auto"/>
        </w:rPr>
        <w:t>The majority of our expense and capital purchasing activities are transacted in U.S. dollars. While we currently have limited international operations, we may incur foreign exchange gains or losses in the future as we further commercialize and expand internationally.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20" w:type="dxa"/>
            <w:vAlign w:val="bottom"/>
            <w:gridSpan w:val="3"/>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20" w:type="dxa"/>
            <w:vAlign w:val="bottom"/>
            <w:gridSpan w:val="3"/>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8"/>
        </w:trPr>
        <w:tc>
          <w:tcPr>
            <w:tcW w:w="101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91"/>
        </w:trPr>
        <w:tc>
          <w:tcPr>
            <w:tcW w:w="10160" w:type="dxa"/>
            <w:vAlign w:val="bottom"/>
            <w:gridSpan w:val="9"/>
            <w:vMerge w:val="continue"/>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576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No. 34)</w:t>
            </w:r>
          </w:p>
        </w:tc>
        <w:tc>
          <w:tcPr>
            <w:tcW w:w="4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0000EE"/>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EE"/>
                <w:w w:val="88"/>
              </w:rPr>
              <w:t>58</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788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59</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620" w:type="dxa"/>
            <w:vAlign w:val="bottom"/>
            <w:gridSpan w:val="2"/>
          </w:tcPr>
          <w:p>
            <w:pPr>
              <w:jc w:val="center"/>
              <w:ind w:left="370"/>
              <w:spacing w:after="0" w:line="196" w:lineRule="exact"/>
              <w:rPr>
                <w:sz w:val="20"/>
                <w:szCs w:val="20"/>
                <w:color w:val="auto"/>
              </w:rPr>
            </w:pPr>
            <w:r>
              <w:rPr>
                <w:rFonts w:ascii="Times New Roman" w:cs="Times New Roman" w:eastAsia="Times New Roman" w:hAnsi="Times New Roman"/>
                <w:sz w:val="18"/>
                <w:szCs w:val="18"/>
                <w:color w:val="0000EE"/>
                <w:w w:val="88"/>
              </w:rPr>
              <w:t>60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1120" w:type="dxa"/>
            <w:vAlign w:val="bottom"/>
            <w:tcBorders>
              <w:top w:val="single" w:sz="8" w:color="0000EE"/>
            </w:tcBorders>
          </w:tcPr>
          <w:p>
            <w:pPr>
              <w:spacing w:after="0"/>
              <w:rPr>
                <w:sz w:val="17"/>
                <w:szCs w:val="17"/>
                <w:color w:val="auto"/>
              </w:rPr>
            </w:pPr>
          </w:p>
        </w:tc>
        <w:tc>
          <w:tcPr>
            <w:tcW w:w="53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61</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7100" w:type="dxa"/>
            <w:vAlign w:val="bottom"/>
            <w:gridSpan w:val="5"/>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62</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82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63</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940" w:type="dxa"/>
            <w:vAlign w:val="bottom"/>
            <w:gridSpan w:val="8"/>
          </w:tcPr>
          <w:p>
            <w:pPr>
              <w:jc w:val="center"/>
              <w:ind w:left="5230"/>
              <w:spacing w:after="0"/>
              <w:rPr>
                <w:sz w:val="20"/>
                <w:szCs w:val="20"/>
                <w:color w:val="auto"/>
              </w:rPr>
            </w:pPr>
            <w:r>
              <w:rPr>
                <w:rFonts w:ascii="Times New Roman" w:cs="Times New Roman" w:eastAsia="Times New Roman" w:hAnsi="Times New Roman"/>
                <w:sz w:val="18"/>
                <w:szCs w:val="18"/>
                <w:color w:val="auto"/>
                <w:w w:val="99"/>
              </w:rPr>
              <w:t>57</w:t>
            </w:r>
          </w:p>
        </w:tc>
        <w:tc>
          <w:tcPr>
            <w:tcW w:w="4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Pulse Biosciences,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Pulse Biosciences, Inc. and subsidiaries (the "Company") as of December 31, 2025 and 2024, the related consolidated statements of operations and comprehensive loss, stockholders' equity, and cash flows ,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and Stock-Based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Market-based Options - Refer to Notes 2 and 10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2025, the Company issued certain stock options with market-based vesting conditions. The vesting conditions relate to the achievement of certain market capitalization targets of the Company. Using a Monte Carlo simulation model, the Company estimates the fair value of the market-based options on the grant date, with the associated stock-based compensation expense recognized over the requisite service period. The requisite service period is the service period derived from the Monte Carlo simulation model. The determination of the fair value of market-based options is estimated using the expected volatility, the risk-free interest rate, expected dividend yield, and the expected term.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significant judgments made by management to determine the grant date fair value of the market-based options, audit procedures required a high degree of subjective auditor judgment necessary in evaluating the Monte Carlo simulation model and the expected volatility used and an increased extent of effort, including the need to involve our fair value specialists.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valuation of market-based options granted included the following, among others:</w:t>
      </w:r>
    </w:p>
    <w:p>
      <w:pPr>
        <w:spacing w:after="0" w:line="225" w:lineRule="exact"/>
        <w:rPr>
          <w:sz w:val="20"/>
          <w:szCs w:val="20"/>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stock option agreements and Board of Directors minutes to evaluate key terms and conditions of the market-based options granted.</w:t>
      </w:r>
    </w:p>
    <w:p>
      <w:pPr>
        <w:spacing w:after="0" w:line="225" w:lineRule="exact"/>
        <w:rPr>
          <w:rFonts w:ascii="Times New Roman" w:cs="Times New Roman" w:eastAsia="Times New Roman" w:hAnsi="Times New Roman"/>
          <w:sz w:val="18"/>
          <w:szCs w:val="18"/>
          <w:color w:val="auto"/>
        </w:rPr>
      </w:pPr>
    </w:p>
    <w:p>
      <w:pPr>
        <w:ind w:left="240" w:right="380" w:hanging="232"/>
        <w:spacing w:after="0" w:line="312" w:lineRule="auto"/>
        <w:tabs>
          <w:tab w:leader="none" w:pos="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accuracy and completeness of the market-based options granted during the year by agreeing the underlying inputs, such as grant date, exercise price, and vesting conditions, among others, back to source documents, such as Board of Directors minutes and stock option agreements.</w:t>
      </w:r>
    </w:p>
    <w:p>
      <w:pPr>
        <w:spacing w:after="0" w:line="139"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management’s valuation of the market-based options by:</w:t>
      </w:r>
    </w:p>
    <w:p>
      <w:pPr>
        <w:spacing w:after="0" w:line="225" w:lineRule="exact"/>
        <w:rPr>
          <w:rFonts w:ascii="Times New Roman" w:cs="Times New Roman" w:eastAsia="Times New Roman" w:hAnsi="Times New Roman"/>
          <w:sz w:val="18"/>
          <w:szCs w:val="18"/>
          <w:color w:val="auto"/>
        </w:rPr>
      </w:pPr>
    </w:p>
    <w:p>
      <w:pPr>
        <w:jc w:val="both"/>
        <w:ind w:left="220" w:right="13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Monte Carlo simulation model and the reasonableness of the valuation assumptions, including the expected volatility. ○Independently calculating a fair value estimate for the market-based options and comparing our estimate to the Company's estimate.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ectPr>
          <w:pgSz w:w="11900" w:h="16838" w:orient="portrait"/>
          <w:cols w:equalWidth="0" w:num="1">
            <w:col w:w="11240"/>
          </w:cols>
          <w:pgMar w:left="320" w:top="121" w:right="339" w:bottom="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80,735</w:t>
            </w:r>
          </w:p>
        </w:tc>
        <w:tc>
          <w:tcPr>
            <w:tcW w:w="6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94,539</w:t>
            </w:r>
          </w:p>
        </w:tc>
        <w:tc>
          <w:tcPr>
            <w:tcW w:w="6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6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 50,000,000 shares; no shares issued and outstanding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500,000,000 shares; issued and outstanding – 67,839,689</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and 65,925,503 shares as of December 31, 2025 and 2024, respectively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(463,281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(390,500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1"/>
        </w:trPr>
        <w:tc>
          <w:tcPr>
            <w:tcW w:w="8000" w:type="dxa"/>
            <w:vAlign w:val="bottom"/>
            <w:gridSpan w:val="2"/>
            <w:vMerge w:val="continue"/>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80,656</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114,862</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94,539</w:t>
            </w:r>
          </w:p>
        </w:tc>
        <w:tc>
          <w:tcPr>
            <w:tcW w:w="6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5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Loss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5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5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44,721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32,029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77,289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56,257</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5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2900" w:type="dxa"/>
            <w:vAlign w:val="bottom"/>
            <w:tcBorders>
              <w:bottom w:val="single" w:sz="8" w:color="CCEEFF"/>
            </w:tcBorders>
            <w:gridSpan w:val="2"/>
            <w:vMerge w:val="continue"/>
            <w:shd w:val="clear" w:color="auto" w:fill="CCEEFF"/>
          </w:tcPr>
          <w:p>
            <w:pPr>
              <w:spacing w:after="0"/>
              <w:rPr>
                <w:sz w:val="5"/>
                <w:szCs w:val="5"/>
                <w:color w:val="auto"/>
              </w:rPr>
            </w:pPr>
          </w:p>
        </w:tc>
        <w:tc>
          <w:tcPr>
            <w:tcW w:w="5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jc w:val="right"/>
              <w:ind w:right="14"/>
              <w:spacing w:after="0" w:line="68" w:lineRule="exact"/>
              <w:rPr>
                <w:sz w:val="20"/>
                <w:szCs w:val="20"/>
                <w:color w:val="auto"/>
              </w:rPr>
            </w:pPr>
            <w:r>
              <w:rPr>
                <w:rFonts w:ascii="Times New Roman" w:cs="Times New Roman" w:eastAsia="Times New Roman" w:hAnsi="Times New Roman"/>
                <w:sz w:val="7"/>
                <w:szCs w:val="7"/>
                <w:color w:val="auto"/>
              </w:rPr>
              <w:t>(52</w:t>
            </w: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(53,585)</w:t>
            </w:r>
          </w:p>
        </w:tc>
        <w:tc>
          <w:tcPr>
            <w:tcW w:w="0" w:type="dxa"/>
            <w:vAlign w:val="bottom"/>
          </w:tcPr>
          <w:p>
            <w:pPr>
              <w:spacing w:after="0"/>
              <w:rPr>
                <w:sz w:val="1"/>
                <w:szCs w:val="1"/>
                <w:color w:val="auto"/>
              </w:rPr>
            </w:pPr>
          </w:p>
        </w:tc>
      </w:tr>
      <w:tr>
        <w:trPr>
          <w:trHeight w:val="210"/>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(53,585)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16"/>
        </w:trPr>
        <w:tc>
          <w:tcPr>
            <w:tcW w:w="8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67,395,339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58,397,597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5980" w:type="dxa"/>
            <w:vAlign w:val="bottom"/>
            <w:gridSpan w:val="5"/>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240" w:type="dxa"/>
            <w:vAlign w:val="bottom"/>
            <w:gridSpan w:val="7"/>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980" w:type="dxa"/>
            <w:vAlign w:val="bottom"/>
            <w:gridSpan w:val="5"/>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40" w:type="dxa"/>
            <w:vAlign w:val="bottom"/>
            <w:gridSpan w:val="4"/>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ind w:right="213"/>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40" w:type="dxa"/>
            <w:vAlign w:val="bottom"/>
            <w:tcBorders>
              <w:bottom w:val="single" w:sz="8" w:color="auto"/>
            </w:tcBorders>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9"/>
                <w:szCs w:val="19"/>
                <w:color w:val="auto"/>
              </w:rPr>
            </w:pPr>
          </w:p>
        </w:tc>
        <w:tc>
          <w:tcPr>
            <w:tcW w:w="122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9"/>
                <w:szCs w:val="19"/>
                <w:color w:val="auto"/>
              </w:rPr>
            </w:pPr>
          </w:p>
        </w:tc>
        <w:tc>
          <w:tcPr>
            <w:tcW w:w="1220" w:type="dxa"/>
            <w:vAlign w:val="bottom"/>
            <w:gridSpan w:val="2"/>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5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55,144,374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381,220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(336,915)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44,360</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in connection with</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rights offering, net of issuance costs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5,999,998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59,636</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warrants, net of</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4,501,447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49,516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117,539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in at-the-market offering, net of issuance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equity-classified subscription rights as part of</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offering (Note 9)</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Rights offering deemed pro-rata distribution to shareholders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 9)</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13,586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(53,585)</w:t>
            </w:r>
          </w:p>
        </w:tc>
        <w:tc>
          <w:tcPr>
            <w:tcW w:w="0" w:type="dxa"/>
            <w:vAlign w:val="bottom"/>
          </w:tcPr>
          <w:p>
            <w:pPr>
              <w:spacing w:after="0"/>
              <w:rPr>
                <w:sz w:val="1"/>
                <w:szCs w:val="1"/>
                <w:color w:val="auto"/>
              </w:rPr>
            </w:pPr>
          </w:p>
        </w:tc>
      </w:tr>
      <w:tr>
        <w:trPr>
          <w:trHeight w:val="25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65,925,503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505,296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114,862</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warrants, net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1,277,377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14,032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592,612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21,457</w:t>
            </w:r>
          </w:p>
        </w:tc>
        <w:tc>
          <w:tcPr>
            <w:tcW w:w="0" w:type="dxa"/>
            <w:vAlign w:val="bottom"/>
          </w:tcPr>
          <w:p>
            <w:pPr>
              <w:spacing w:after="0"/>
              <w:rPr>
                <w:sz w:val="1"/>
                <w:szCs w:val="1"/>
                <w:color w:val="auto"/>
              </w:rPr>
            </w:pPr>
          </w:p>
        </w:tc>
      </w:tr>
      <w:tr>
        <w:trPr>
          <w:trHeight w:val="162"/>
        </w:trPr>
        <w:tc>
          <w:tcPr>
            <w:tcW w:w="4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620" w:type="dxa"/>
            <w:vAlign w:val="bottom"/>
            <w:gridSpan w:val="2"/>
            <w:vMerge w:val="continue"/>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jc w:val="right"/>
              <w:ind w:right="33"/>
              <w:spacing w:after="0" w:line="68" w:lineRule="exact"/>
              <w:rPr>
                <w:sz w:val="20"/>
                <w:szCs w:val="20"/>
                <w:color w:val="auto"/>
              </w:rPr>
            </w:pPr>
            <w:r>
              <w:rPr>
                <w:rFonts w:ascii="Times New Roman" w:cs="Times New Roman" w:eastAsia="Times New Roman" w:hAnsi="Times New Roman"/>
                <w:sz w:val="7"/>
                <w:szCs w:val="7"/>
                <w:color w:val="auto"/>
              </w:rPr>
              <w:t>(72,781</w:t>
            </w: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jc w:val="right"/>
              <w:ind w:right="13"/>
              <w:spacing w:after="0" w:line="68" w:lineRule="exact"/>
              <w:rPr>
                <w:sz w:val="20"/>
                <w:szCs w:val="20"/>
                <w:color w:val="auto"/>
              </w:rPr>
            </w:pPr>
            <w:r>
              <w:rPr>
                <w:rFonts w:ascii="Times New Roman" w:cs="Times New Roman" w:eastAsia="Times New Roman" w:hAnsi="Times New Roman"/>
                <w:sz w:val="7"/>
                <w:szCs w:val="7"/>
                <w:color w:val="auto"/>
              </w:rPr>
              <w:t>(72,781</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67,839,689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543,869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(463,281)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80,656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(53,585)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2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Lease liabilities, net</w:t>
            </w:r>
          </w:p>
        </w:tc>
        <w:tc>
          <w:tcPr>
            <w:tcW w:w="32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8000" w:type="dxa"/>
            <w:vAlign w:val="bottom"/>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jc w:val="right"/>
              <w:ind w:right="13"/>
              <w:spacing w:after="0" w:line="68" w:lineRule="exact"/>
              <w:rPr>
                <w:sz w:val="20"/>
                <w:szCs w:val="20"/>
                <w:color w:val="auto"/>
              </w:rPr>
            </w:pPr>
            <w:r>
              <w:rPr>
                <w:rFonts w:ascii="Times New Roman" w:cs="Times New Roman" w:eastAsia="Times New Roman" w:hAnsi="Times New Roman"/>
                <w:sz w:val="7"/>
                <w:szCs w:val="7"/>
                <w:color w:val="auto"/>
              </w:rPr>
              <w:t>(1,368</w:t>
            </w: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(36,343)</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62"/>
        </w:trPr>
        <w:tc>
          <w:tcPr>
            <w:tcW w:w="80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000" w:type="dxa"/>
            <w:vAlign w:val="bottom"/>
            <w:tcBorders>
              <w:bottom w:val="single" w:sz="8" w:color="CCEEFF"/>
            </w:tcBorders>
            <w:gridSpan w:val="2"/>
            <w:vMerge w:val="continue"/>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jc w:val="right"/>
              <w:ind w:right="13"/>
              <w:spacing w:after="0" w:line="68" w:lineRule="exact"/>
              <w:rPr>
                <w:sz w:val="20"/>
                <w:szCs w:val="20"/>
                <w:color w:val="auto"/>
              </w:rPr>
            </w:pPr>
            <w:r>
              <w:rPr>
                <w:rFonts w:ascii="Times New Roman" w:cs="Times New Roman" w:eastAsia="Times New Roman" w:hAnsi="Times New Roman"/>
                <w:sz w:val="7"/>
                <w:szCs w:val="7"/>
                <w:color w:val="auto"/>
              </w:rPr>
              <w:t>(20</w:t>
            </w: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exercises of warrants, net of issuance costs</w:t>
            </w:r>
          </w:p>
        </w:tc>
        <w:tc>
          <w:tcPr>
            <w:tcW w:w="32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warrants in relation to rights offering, net of issuance costs</w:t>
            </w:r>
          </w:p>
        </w:tc>
        <w:tc>
          <w:tcPr>
            <w:tcW w:w="32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issuance costs in relation to at-the-market equity offering program</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17,154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110,141</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118,038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44,365</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80,735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 and stock options not yet received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Unpaid warrant issuance costs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Unpaid amounts related to purchase of equipment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Rights offering deemed pro-rata distribution to shareholders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 obtained in exchange for lease liability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Pulse Biosciences, Inc. is a novel ablation company committed to health innovation using its patented Nano-pulse Stimulation (“NPS”) technology, a revolutionary energy modality that delivers nanosecond-duration pulses of electrical energy, each less than a millionth of a second long, to nonthermally clear or kill targeted cells. NPS technology, also referred to as a Nanosecond Pulsed-Field Ablation (“nsPFA”) energy when used to ablate cellular tissue, can be used to treat a variety of medical conditions for which an optimal solution remains unfulfilled. The Company developed its proprietary nPulse System (formerly known as CellFX), a novel nsPFA delivery platform, and commercialized the initial application of its nsPFA energy to treat benign lesions of the skin. In parallel, the Company has designed a variety of applicators, or disposables, to explore the potential use of the nPulse platform to treat disorders in other medical specialties, such as cardiology, gastroenterology, gynecology, and otolaryngology. These applicators include devices for open surgical procedures, endoscopic or minimally invasive procedures, and endoluminal catheters, and each has been used in preclinical studies. Based on its preclinical experience and the potential to significantly improve outcomes for patients in a large and growing market, the Company decided in 2022 to focus its primary efforts on the use of nsPFA energy and the nPulse platform in the treatment of atrial fibrillation (“AF”), and in a select few other markets where it could have a profound positive impact on healthcare for both patients and providers, such as surgical soft tissue ablation.</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is incorporated in the State of Delaware. It is located in Miami, Florida and continues to maintain its offices in Hayward,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its website at www.pulsebiosciences.com where general information about the Company is available.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The Company has incurred net operating losses and negative cash flows from operations since its inception and had an accumulated deficit of $463.3 million as of December 31, 2025. As of December 31, 2025, the Company had cash and cash equivalents of $80.7 million. The Company believes that the existing financial resources are sufficient to continue operating activities at least one year past the issuance date of these consolidated financial statements.</w:t>
      </w:r>
    </w:p>
    <w:p>
      <w:pPr>
        <w:spacing w:after="0" w:line="40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the sale of common stock and debt. To date, the Company has generated limited revenue from product sales and has incurred significant operating losses in each year since inception. The Company may continue to incur additional losses for the next several years.</w:t>
      </w:r>
    </w:p>
    <w:p>
      <w:pPr>
        <w:spacing w:after="0" w:line="176" w:lineRule="exact"/>
        <w:rPr>
          <w:sz w:val="20"/>
          <w:szCs w:val="20"/>
          <w:color w:val="auto"/>
        </w:rPr>
      </w:pPr>
    </w:p>
    <w:p>
      <w:pPr>
        <w:jc w:val="both"/>
        <w:ind w:right="100" w:firstLine="486"/>
        <w:spacing w:after="0" w:line="261" w:lineRule="auto"/>
        <w:rPr>
          <w:sz w:val="20"/>
          <w:szCs w:val="20"/>
          <w:color w:val="auto"/>
        </w:rPr>
      </w:pPr>
      <w:r>
        <w:rPr>
          <w:rFonts w:ascii="Times New Roman" w:cs="Times New Roman" w:eastAsia="Times New Roman" w:hAnsi="Times New Roman"/>
          <w:sz w:val="18"/>
          <w:szCs w:val="18"/>
          <w:color w:val="auto"/>
        </w:rPr>
        <w:t>While the Company has been able to raise multiple rounds of financing, there can be no assurance that in the event the Company requires additional financing, such financing will be available on terms which are favorable or at all. Failure to raise sufficient capital when needed or generate sufficient cash flow from operations would impact the ability to pursue business strategies and could require the Company to delay, scale back or discontinue one or more product development programs, or other aspects of the Company's business objectives.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pursuant to the rules and regulations of the United States Securities Exchange Commission (the “SEC”). The consolidated financial statements include the financial statements of the Company and its wholly-owned subsidiaries and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that affect the amounts reported in the financial statements and accompanying notes to the financial statements. Estimates include, but are not limited to, the valuation and recognition of stock-based compensation, the valuation of equity-classified subscription rights, inventory valuation,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0" w:firstLine="45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The Company places its cash equivalents with high credit quality financial institutions and, by policy, limits the amounts invested with any one financial institution or issuer. Deposits held with banks may exceed the amount of insurance provided on such deposits. The Company has not experienced any losses since inception.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and non-financial assets and liabilities that are recognized or disclosed at fair value in the financial statements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1—Observable inputs, such as quoted prices in active markets for identical assets or liabilities at the measurement date.</w:t>
      </w:r>
    </w:p>
    <w:p>
      <w:pPr>
        <w:spacing w:after="0" w:line="225"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Financial instruments carried at fair value include cash and cash equivalents. The carrying amounts of accounts receivable, prepaid expenses and other current assets, accounts payable and accrued liabilities approximate fair value due to their relatively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from the date of purchase to be cash and cash equivalents. Cash equivalents consist primarily of amounts invested in money market funds and are stated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invoice value, net of any allowance for credit losses. The allowance for doubtful accounts is based on the Company’s assessment of the collectability of customer accounts. The Company’s expected loss allowance methodology for receivables considers factors such as historical collection experience, credit quality, age of the accounts receivable balances, and current economic conditions that may affect a customer’s ability to pay. Specific allowance amounts are established to record the appropriate allowance for customers that have an identified risk of default. Balances are written off when they are ultimately determined to be uncollectible. The Company had no allowance for doubtful accounts as of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based on standard costs approximating the purchase costs on a first-in, first-out basis. Inventory costs include direct materials, direct labor, and normal manufacturing overhead. The cost basis of the Company’s inventory is reduced for any products that are considered excessive or obsolete based upon assumptions about future demand and market conditions. Additionally, the cost basis of the Company’s inventory does not include any fixed overhead costs associated with abnormally low utilization of its manufacturing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determined that costs had future economic benefit subsequent to receiving FDA approval, and as such, it began to capitalize inventory for its limited market release of percutaneous electrodes for its Vybrance Percutaneous Electrode System. Prior to capitalizing inventory, all direct and indirect manufacturing costs were charged to research and development expenses in the period incurred or written off as excess and obsolete inventory in 2022, including previously manufactured consoles.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Property and Equipment is recorded at cost and depreciated using the straight-line method over their estimated useful lives, ranging from three to five years. Leasehold improvements are amortized using the straight-line method over the shorter of the lease term or estimated useful life. Upon the sale or retirement of property and equipment, the costs and related accumulated depreciation and amortization are removed from the consolidated balance sheet and the resulting gain or loss is reflected in operating expenses. Maintenance and repairs are charged to operations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intangible assets consist of acquired patents and licenses, which are amortized over their estimated useful lives of twelve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consisting of property and equipment and intangible assets, for impairment during each fiscal year or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No impairment losses were incurred during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records goodwill when the consideration paid in a business acquisition exceeds the fair value of the net tangible assets and the identified intangible assets acquired. The Company reviews goodwill for impairment at the reporting unit level, of which there is one reportable unit, at least annually or whenever changes in circumstances indicate that the carrying value of the goodwill may not be recoverable. To date, there has been no impairment of goodwill.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accounts for a contract with a customer when the rights and obligations of the parties are identifiable, the contract has commercial substance, and the collectability of the consideration to be received from the customer is considered probable. Contracts with customers are for the sale of the nPulse Vybrance system, which includes system components, software, and system accessories. Instruments and other accessories may also be included with the system or may be sold on a standalone basis. These products are considered performance obligations to the extent they are separately identifiable from other products in the contract and when the customer can either benefit from the product on its own or with other goods or services that are readily available to the customer.</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recognizes revenue at a point in time when it satisfies performance obligations by transferring control of promised goods to its customers. Transfer of control occurs based on shipping terms as contractually negotiated. The amount of revenue recognized is equal to the consideration to which the Company expects to be entitled in exchange for the promised goods. Though some products may be sold on a stand-alone basis, initial customer contracts will likely involve the bundling of products which will be delivered concurrently to the customer for a single price. The initial limited market release period will also include evaluation agreements with customers that allow either the Company or the customer to terminate the contract at any point without penalty. The termination right limits the effective contract term to the period for which the contract was not terminated. The Company generally extends payment terms to customers after the Company performs a necessary credit evaluation to ensure future collectability of the outstanding balance. Payment generally occurs within a relatively short period of time after delivery of products.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transaction price is the consideration to which the Company expects to be entitled in exchange for providing the promised goods to customers. Though most customer orders are for a fixed amount of consideration, the Company evaluates the possible impact of variable consideration in determining the transaction price, in particular the possibility of future returns. Sales agreements allow for a right of return only if the product does not conform to the agreed upon quality standards or if the product was shipped due to Company error. The Company anticipates such returns will be minimal and has made no adjustments to the transaction price for any estimated returns. The transaction price is determined at contract execution and updated each quarter for any changes in circumstances (e.g., changes in estimated return amount).</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from the measurement of the transaction price all taxes which are imposed on and concurrent with a specific revenue-producing transaction and collected by the entity from a customer.</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When there are multiple performance obligations present, the total transaction price shall be allocated to each of the performance obligations based upon the relative standalone selling price (“SSP”) of those performance obligations. The Company establishes SSPs based on multiple factors including prices charged by the Company for similar offerings, product-specific business objectives, and the estimated cost to provide the performance obligation.</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Shipping and handling activities are not considered to be a separate performance obligation. The Company has made an accounting policy election to account for shipping and handling activities as fulfillment activities when these activities occur after the customer obtains control of the product.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determined that certain promises in the multiple-element arrangements, such as installation, training, and certain ancillary products, are immaterial in the context of the contract and do not represent separate performance obligations to which transaction price is allocated.</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utilizes the practical expedient under ASC 606 and does not disclose unsatisfied performance obligations for contracts as the contracts generally have an original duration of less than one year. Additionally, the Company does not currently have significant contract assets or deferred revenue.</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does not incur contract origination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compensation expenses, fees paid to consultants and outside service providers and organizations (including university research institutes), costs associated with clinical trials, development prototypes and other expenses relating to the acquisition, design, development and testing of the Company’s product candidates, and certain facilities related costs. Research and development expenses incurred by the Company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accrues liabilities for estimated costs of research and development activities conducted by its third-party service providers, which include the conduct of preclinical and clinical studies. The estimated costs of research and development activities are recorded based upon the estimated amount of services provided but not yet invoiced, and these costs are included in accrued liabilities on the consolidated balance sheets and within research and development expense on the consolidated statements of operations and comprehensive loss.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costs are accrued based on factors such as estimates of the work completed and budget provided and in accordance with agreements established with third-party service providers. Significant judgments and estimates are made in determining the accrued liabilities balance in each reporting period. Accrued liabilities are adjusted as actual costs become known. Changes in these estimates that result in material changes to the Company’s accruals could materially affect its financial condition and results of operations. There have not been any material differences between accrued costs and actual costs incurred since the Company’s inception.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Expenses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is the owner of numerous domestic and foreign patents. Due to the significant uncertainty associated with the successful development of one or more commercially viable products based on the Company’s research efforts and any related patent applications, patent costs not related to acquired patents, including patent-related legal fees, filing fees and other costs, including internally generated costs, are expensed as incurred. During both of the years ended December 31, 2025 and 2024, patent expenses totaled $0.5 million, respectively. Patent expenses are included in selling, general and administrative expenses in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Company's stock-based compensation programs include stock options and an employee stock purchase program. The Company periodically issues stock options to officers, directors, employees, and consultants for services rendered. Such issuances vest and expire according to terms established at the issuance date. In general, stock-based payments to officers, directors and employees, including grants of employee stock options, are recognized in the financial statements based on their grant date fair values, which are estimated using the Black-Scholes option-pricing model or the Monte Carlo simulation model. The Company accounts for forfeitures as they occur. The Company has granted stock options with time-based, performance-based, market-based, and both market-based and performance-based vesting conditions.</w:t>
      </w:r>
    </w:p>
    <w:p>
      <w:pPr>
        <w:spacing w:after="0" w:line="18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 stock options with time-based and performance-based vesting conditions, the grant date fair value of each grant is determined using the Black-Scholes option pricing model which requires a number of assumptions. Each of these assumptions is subjective and generally requires significant judgment and estimation by management.</w:t>
      </w:r>
    </w:p>
    <w:p>
      <w:pPr>
        <w:spacing w:after="0" w:line="174"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Company’s expected term represents the period that the Company’s stock-based awards are expected to be outstanding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using the simplified method (based on the mid-point between the vesting date and the end of the contractual term). The Company utilizes this method due to lack of historical exercise data of the Company’s stock-based awards.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computation of expected volatility was based on a calculation using the historical volatility of the Company's common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5" w:lineRule="exact"/>
        <w:rPr>
          <w:sz w:val="20"/>
          <w:szCs w:val="20"/>
          <w:color w:val="auto"/>
        </w:rPr>
      </w:pPr>
    </w:p>
    <w:p>
      <w:pPr>
        <w:jc w:val="both"/>
        <w:ind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Treasury Constant Maturities as provided by the Federal Reserve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 for periods corresponding with the expected term of option.</w:t>
      </w:r>
    </w:p>
    <w:p>
      <w:pPr>
        <w:spacing w:after="0" w:line="158" w:lineRule="exact"/>
        <w:rPr>
          <w:sz w:val="20"/>
          <w:szCs w:val="20"/>
          <w:color w:val="auto"/>
        </w:rPr>
      </w:pPr>
    </w:p>
    <w:p>
      <w:pPr>
        <w:jc w:val="both"/>
        <w:ind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 </w:t>
      </w:r>
      <w:r>
        <w:rPr>
          <w:rFonts w:ascii="Times New Roman" w:cs="Times New Roman" w:eastAsia="Times New Roman" w:hAnsi="Times New Roman"/>
          <w:sz w:val="18"/>
          <w:szCs w:val="18"/>
          <w:color w:val="auto"/>
        </w:rPr>
        <w:t>The Company has never paid dividends on its common stock and has no plans to pay dividends on its common stock.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used an expected dividend yield of zero.</w:t>
      </w:r>
    </w:p>
    <w:p>
      <w:pPr>
        <w:spacing w:after="0" w:line="160"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Stock-based compensation expense for stock options with time-based vesting conditions is recognized on a straight-line basis over the requisite service period, which is generally the vesting period. For stock options with performance-based vesting conditions, the Company does not recognize compensation expense until it is probable that the performance-based vesting condition will be achieved. The analysis to determine such probability involves estimates and judgements from management related to certain financial measures and achievements of strategic and operational milestones, which involve inherent risk and uncertainty regarding the future outcomes of the milestones. If actual results are not consistent with the Company’s estimates or assumptions, the Company may be exposed to changes in stock-based compensation expense that could be material.</w:t>
      </w:r>
    </w:p>
    <w:p>
      <w:pPr>
        <w:spacing w:after="0" w:line="18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For stock options with market-based vesting conditions, the conditions relate to the achievement of certain market capitalization targets of the Company. Using a Monte Carlo simulation model, the Company estimated the fair value of the market-based options on the grant date or modification date, with the associated stock-based compensation expense recognized over the requisite service period.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For stock options with both market-based and performance-based vesting conditions, the conditions relate to both the achievement of certain market capitalization targets of the Company, as well as the achievement of certain revenue and margin metrics. Using a Monte Carlo simulation model, the Company estimated the fair value of the market-based options on the grant date, along with a derived service period. Compensation expense for the awards is recognized over the requisite service period, which is the longer of the service period derived from the Monte Carlo simulation model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the Company will recognize expense using the accelerated attribution method over the requisite service period. If, at any point, the performance condition is no longer probable of being achieved or the employee is no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w:t>
      </w:r>
    </w:p>
    <w:p>
      <w:pPr>
        <w:spacing w:after="0" w:line="194"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Monte Carlo simulation models require the Company to make assumptions and judgements about the variables used in the calculations including the expected volatility, the risk-free interest rate, expected dividend yield, and the expected term. The assumptions used in the option-pricing model represent management’s best estimates. If factors change and different assumptions are used, the Company's stock-based compensation expense could be materially different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when it is more likely than not that some portion, or all of the Company’s deferred tax assets will not be realized.</w:t>
      </w:r>
    </w:p>
    <w:p>
      <w:pPr>
        <w:spacing w:after="0" w:line="180"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 contingencies using a benefit recognition model. If it considers that a tax position is more likely than not to be sustained upon audit, based solely on the technical merits of the position, it recognizes the benefit. The Company measures the benefit by determining the amount that is greater than 50% likely of being realized upon settlement, presuming that the tax position is examined by the appropriate taxing authority that has full knowledge of all relevant information. The Company is subject to taxation in the United States federal jurisdiction, and various state jurisdictions. The net operating loss and research and development credit carryforwards that are available for utilization in future years may be subject to examination by federal and state tax authorities. The Company’s policy is to recognize interest expense and penalties related to income tax matters as a component of income tax expense. As of December 31, 2025 and 2024, there were no significant accruals for interest related to unrecognized tax benefits or tax penalties.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displays comprehensive loss, and if applicable its components, as part of the consolidated statements of operations and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Potential common shares that have an anti-dilutive effect (i.e., those that increase income per share or decrease loss per share) are excluded from the calculation of diluted net loss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 presentation of the cash flows from operating activities within the consolidated statements of cash flows to conform to current period presentation. Specifically, the presentation of operating lease expenses has been reclassified from “Right-of-use assets” within “Changes in operating assets and liabilities” to “Non-cash lease expense” within “Adjustments to reconcile net loss to net cash used in operating activities”. Additionally, certain reclassifications have been made to the prior period presentation of other income within the consolidated statements of operations and comprehensive loss to conform to current period presentation. Specifically, the presentation of "Other expense" has been reclassified out of "Interest income, net." As a result of these changes, the presentation of these expenses in the comparative periods has been changed to conform to the current period. These reclassifications did not have an impact on the Company’s results of operations and total cash flows from operating activities for the years ended December 31, 2025 and 2024, respectively, or the Company's financial position as of December 31, 2025 and 2024, respectively.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requires greater disaggregation of information about a reporting entity's effective tax rate reconciliation as well as information on income taxes paid. This ASU applies to all entities subject to income taxes and is intended to help investors better understand an entity’s exposure to potential changes in jurisdictional tax legislation and assess income tax information that affects cash flow forecasts and capital allocation decisions. This ASU is effective for annual periods beginning after December 15, 2024, with early adoption permitted. The Company adopted this ASU retrospectively in the fiscal year ended December 31, 2025. See Note 12 for further details.</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 The Company is currently evaluating the impact of the new guidance on our consolidated financial statements and related disclosures.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provides a practical expedient to measure credit losses on current accounts receivable and current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Accounting Standards Codification 606, Revenue from Contracts with Customers. The practical expedient assumes that current conditions as of the balance sheet date do not change for the remaining life of the asset. The guidance is effective for the Company's interim and annual periods beginning in 2026. The Company is currently evaluating the impact of the new guidance on our consolidated financial statements and related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25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 following tables set forth the fair value of the Company’s financial assets, which consist of cash equivalents measured and recognized at fair value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00" w:type="dxa"/>
            <w:vAlign w:val="bottom"/>
            <w:vMerge w:val="restart"/>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00" w:type="dxa"/>
            <w:vAlign w:val="bottom"/>
            <w:vMerge w:val="restart"/>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record impairment charges related to its cash equivalents. During the years ended December 31, 2025 and 2024, the Company did not have any transfers between Level 1, Level 2 or Level 3 of the fair value hierarchy. Additionally, the Company did not have any financial liabilities measured on a recurring basis as of December 31, 2025 or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r>
      <w:tr>
        <w:trPr>
          <w:trHeight w:val="209"/>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68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r>
      <w:tr>
        <w:trPr>
          <w:trHeight w:val="229"/>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auto"/>
            </w:tcBorders>
            <w:shd w:val="clear" w:color="auto" w:fill="CCEEFF"/>
          </w:tcPr>
          <w:p>
            <w:pPr>
              <w:spacing w:after="0"/>
              <w:rPr>
                <w:sz w:val="19"/>
                <w:szCs w:val="19"/>
                <w:color w:val="auto"/>
              </w:rPr>
            </w:pPr>
          </w:p>
        </w:tc>
      </w:tr>
      <w:tr>
        <w:trPr>
          <w:trHeight w:val="210"/>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Pr>
          <w:p>
            <w:pPr>
              <w:spacing w:after="0"/>
              <w:rPr>
                <w:sz w:val="18"/>
                <w:szCs w:val="18"/>
                <w:color w:val="auto"/>
              </w:rPr>
            </w:pPr>
          </w:p>
        </w:tc>
      </w:tr>
      <w:tr>
        <w:trPr>
          <w:trHeight w:val="234"/>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top w:val="single" w:sz="8" w:color="auto"/>
              <w:bottom w:val="single" w:sz="8" w:color="auto"/>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and 2024, was $0.4 million and $0.5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Intangible assets primarily consist of acquired licenses to utilize certain patents, know-how and technology relating to the Company’s NPS for biomedical applications acquired from Old Dominion University Research Foundation (ODURF), Eastern Virginia Medical School (EVMS), and the University of Southern California. In addition, the Company entered into a sponsored research agreement (“SRA”) with Old Dominion University’s Frank Reidy Research Center for Bioelectrics, a leading research organization in the field, which includes certain intellectual property rights arising from the research. The Company is amortizing the intangible assets straight-line over an estimated useful life of 12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patents and licenses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68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8000" w:type="dxa"/>
            <w:vAlign w:val="bottom"/>
            <w:vMerge w:val="continue"/>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schedule of the amortization of intangible assets as of December 31, 2025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8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5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88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auto"/>
            </w:tcBorders>
          </w:tcPr>
          <w:p>
            <w:pPr>
              <w:spacing w:after="0"/>
              <w:rPr>
                <w:sz w:val="10"/>
                <w:szCs w:val="10"/>
                <w:color w:val="auto"/>
              </w:rPr>
            </w:pPr>
          </w:p>
        </w:tc>
        <w:tc>
          <w:tcPr>
            <w:tcW w:w="5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8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compensation-related costs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research and development services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settlement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698</w:t>
            </w:r>
          </w:p>
        </w:tc>
      </w:tr>
      <w:tr>
        <w:trPr>
          <w:trHeight w:val="25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7,027</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 xml:space="preserve">In 2014, the Company acquired three companies (the "Acquisitions") for aggregate consideration of $5.5 million.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recorded goodwill of $2.8 million in connection with the Acquisitions as the consideration paid exceeded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net tangible and intangible assets acquired.</w:t>
      </w:r>
    </w:p>
    <w:p>
      <w:pPr>
        <w:spacing w:after="0" w:line="174"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the Company reviews goodwill for impairment at least annually or whenever changes in circumstances indicate that it is more likely than not that the fair value of a reporting unit is less than its carrying amount. As of December 31, 2025, there were no indicators of impairment and it was determined that no impairment of goodwill existed.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Company leases office and laboratory facilities for its principal operations in Hayward, California, and office facilities for its corporate headquarters in Miami, Florida. These leases require monthly lease payments that may be subject to annual increases throughout the lease term. Certain of these leases also include renewal options at the election of the Company. These optional periods have not been considered in the determination of the right-of-use assets or lease liabilities associated with these leases as the Company did not consider it reasonably certain it would exercise the options. The Company conducted evaluations of its contracts and determined it has only operating leases. Variable lease expense for these leases primarily consists of common area maintenance and other operating costs.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lease costs and cash paid for the Company's leases were as follows (in thousands):</w:t>
      </w:r>
    </w:p>
    <w:p>
      <w:pPr>
        <w:spacing w:after="0" w:line="22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19685</wp:posOffset>
            </wp:positionV>
            <wp:extent cx="20059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6" w:lineRule="exact"/>
        <w:rPr>
          <w:sz w:val="20"/>
          <w:szCs w:val="20"/>
          <w:color w:val="auto"/>
        </w:rPr>
      </w:pPr>
    </w:p>
    <w:p>
      <w:pPr>
        <w:ind w:left="864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1,933</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weighted-average remaining lease term and discount rates for the Company’s leases were as follows:</w:t>
      </w:r>
    </w:p>
    <w:p>
      <w:pPr>
        <w:spacing w:after="0" w:line="22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 (in years)</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14"/>
        </w:trPr>
        <w:tc>
          <w:tcPr>
            <w:tcW w:w="808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71</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8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79"/>
        </w:trPr>
        <w:tc>
          <w:tcPr>
            <w:tcW w:w="9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maturities of the Company’s lease liabilities as of December 31, 2025 were as follows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9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229"/>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8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9"/>
        </w:trPr>
        <w:tc>
          <w:tcPr>
            <w:tcW w:w="9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r>
      <w:tr>
        <w:trPr>
          <w:trHeight w:val="230"/>
        </w:trPr>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09"/>
        </w:trPr>
        <w:tc>
          <w:tcPr>
            <w:tcW w:w="9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w:t>
            </w:r>
          </w:p>
        </w:tc>
      </w:tr>
      <w:tr>
        <w:trPr>
          <w:trHeight w:val="20"/>
        </w:trPr>
        <w:tc>
          <w:tcPr>
            <w:tcW w:w="12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right="20" w:firstLine="396"/>
        <w:spacing w:after="0" w:line="266" w:lineRule="auto"/>
        <w:rPr>
          <w:sz w:val="20"/>
          <w:szCs w:val="20"/>
          <w:color w:val="auto"/>
        </w:rPr>
      </w:pPr>
      <w:r>
        <w:rPr>
          <w:rFonts w:ascii="Times New Roman" w:cs="Times New Roman" w:eastAsia="Times New Roman" w:hAnsi="Times New Roman"/>
          <w:sz w:val="18"/>
          <w:szCs w:val="18"/>
          <w:color w:val="auto"/>
        </w:rPr>
        <w:t>The Company has authorized a total of 50,000,000 shares of preferred stock, par value $0.001 per share, none of which were outstanding as of December 31, 2025 and 2024. The Company’s Board of Directors (the “Board”) has the authority to issue preferred stock and to determine the rights, preferences, privileges, and restrictions, including voting rights, without any further vote or action by the Company’s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authorized a total of 500,000,000 shares of common stock, par value $0.001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Rights Offering and Subscription Rights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March 28, 2024, the Company announced that its Board unanimously approved plans to initiate a rights offering, whereby the Company would distribute non-transferable subscription rights at no charge to all holders of the Company's common stock, par value $0.001 per share (the "Common Stock"), as of the close of business on a record date to be determined. On May 20, 2024, the Company announced that the Board had set May 31, 2024 as the record date (the "Record Date"). All holders of Common Stock as of the Record Date received non-transferable subscription rights to purchase up to an aggregate of six million units (the "2024 Units") with an aggregate offering value of up to $60 million (the "2024 Rights Offering") at a price per 2024 Unit equal to the lesser of: (i) $10 (the "Initial Price") and (ii) the volume weighted average price of the Common Stock for the ten trading day period through and including the expiration date, June 26, 2024 (the "Expiration Date"), of the Rights Offering (the "Alternate Price"). Each subscription right entitled the holder to purchase 0.10864186 2024 Units for each share of Common Stock owned as of the Record Date. Each 2024 Unit consisted of one share of Common Stock and two warrants, each being a warrant to purchase one-half of one share of Common Stock. The subscription rights were to expire and have no value if they were not exercised prior to the Expiration Date. The Company determined that the equity-classified subscription rights represent a pro-rata distribution issued to existing stockholders as of the Record Date, which is based on a purchase price of $10 per 2024 Unit as compared to (1) the price of $11.55 per one share of Common Stock on the Record Date, plus (2) the value of the warrants on the Record Date. The Company determined the fair value of the equity-classified subscription rights as of the Record Date, which involved the use of a Monte Carlo simulation model to value the underlying warrants. The Monte Carlo simulation model was based on certain significant unobservable inputs, such as a risk-free interest rate, stock price volatility, dividend yield, and expected term of the rights offering. The fair value of the equity-classified subscription rights was $47.7 million and was recorded in equity on the balance sheet as part of additional paid-in capital. The deemed pro-rata distribution to shareholders of $47.7 million was reflected as an offsetting reduction in additional paid-in capital. The Company is in an accumulated deficit position and has elected a policy of recognizing the deemed pro-rata distribution to shareholders as a reduction to additional paid-in capital rather than a further increase to its accumulated deficit.</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July 3, 2024, the Company announced the closing of its 2024 Rights Offering. The 2024 Rights Offering resulted in the sale of six million 2024 Units, at a price of $10.00 per 2024 Unit. Each 2024 Unit consisted of one share of the Company’s common stock, par value $0.001 per share, and two warrants, each being a warrant to purchase one-half of one share of common stock. The common stock and warrants comprising the 2024 Units separated upon the closing of the 2024 Rights Offering and were issued individually. A total of 5,999,998 shares of common stock and warrants to acquire up to approximately an additional six million shares of common stock were issued in the offering. The Company received aggregate gross proceeds from the 2024 Rights Offering of $60 million. See 2024 Rights Offering Warrants below for additional details of the warrants. Robert W. Duggan, the Company’s majority stockholder and Co-Chairman, purchased approximately 88% of the units offered through the 2024 Rights Offering.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2024 Rights Offering Warrants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connection with the 2024 Rights Offering, the Company issued 2024 Rights Offering Warrants to purchase a total of 5,999,999 shares of its common stock at an exercise price of $11.00 per whole share, which equaled 110% of the subscription price for the Units. The aggregate number of shares of our common stock issuable upon the exercise of each set of warrants included in a given subscription for Units was rounded up to the nearest whole share. Warrants are exercisable immediately and will expire on the fifth anniversary of the closing of the 2024 Rights Offering. Half of the warrants issued in the rights offering were redeemable for $0.01 per underlying share of common stock, on not less than thirty days’ written notice, if the volume-weighted average price ("VWAP") of the Company’s common stock equaled or exceeded 150% of the exercise price for the warrants, or $16.50, for twenty consecutive trading days. In December 2024, the Company delivered an irrevocable notice of redemption to redeem this first tranche of common stock warrants because the VWAP of the Company's common stock over the twenty consecutive trading days before the notice was $18.85. Accordingly, pursuant to the 150% redemption feature, the Company redeemed 36,442 warrants on the redemption date, February 5, 2025, which would have entitled holder to purchase up to 18,221 shares of common stock, and none of these warrants are still outstanding. The other half of the warrants issued in the rights offering remain redeemable for $0.01 per underlying share of common stock, on not less than thirty days’ written notice, but only if the VWAP of the Company’s common stock equals or exceeds 200% of the exercise price for the warrants, or $22.00, for twenty consecutive trading days. As of December 31, 2025, there were no outstanding 2024 Rights Offering Warrants subject to the 150% redemption feature and there were 405,624 outstanding 2024 Rights Offering Warrants subject to the 200% redemption feature, entitling holders to purchase up to approximately 202,812 shares of common stock. During the year ended December 31, 2025, we have received a total of $14.1 million in gross proceeds from exercises of the 2024 Rights Offering Warrants. Cumulatively, as of December 31, 2025, we have received a total of $63.6 million in gross proceeds from exercises of the 2024 Rights Offering Warrants.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total warrant activity for the year ended December 31, 2025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638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8"/>
        </w:trPr>
        <w:tc>
          <w:tcPr>
            <w:tcW w:w="6380" w:type="dxa"/>
            <w:vAlign w:val="bottom"/>
          </w:tcPr>
          <w:p>
            <w:pPr>
              <w:spacing w:after="0"/>
              <w:rPr>
                <w:sz w:val="20"/>
                <w:szCs w:val="20"/>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0"/>
        </w:trPr>
        <w:tc>
          <w:tcPr>
            <w:tcW w:w="63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as of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2,996,967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(2,554,901)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Redeemed/Cancelled</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 outstanding as of December 31,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405,624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May 2017, the Company's Board of Directors (the "Board") adopted, and the Company’s stockholders approved, the Company’s 2017 Equity Incentive Plan (the "2017 Plan").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2017 Plan has a 10-year term, and provides for the grant of stock options, stock appreciation rights, restricted stock, RSUs, performance units, and performance shares to employees, directors and consultants of the Company and any parent or subsidiary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Compensation Committee of the Board. The number of shares of the Company’s common stock available for issuance under the 2017 Plan also include an annual increase on the first day of each fiscal year, equal to the least of (i) 1,200,000 shares, (ii) 4% of the Company’s common stock outstanding at December 31 of the immediately preceding year, or (iii) such number of shares as determined by the Board. On September 30, 2025, the Company's stockholders approved an amendment to the 2017 Plan, which provided for an increase in the number of shares of common stock reserved for issuance thereunder by 2,000,000 shares. As of December 31, 2025, 1,215,439 shares of common stock remained available for issuance under the 2017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Inducement Equity Incentive Plan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2017, the Board adopted the 2017 Inducement Equity Incentive Plan (the “Inducement Plan”) without stockholder approval and initially reserved 1,000,000 shares of the Company’s common stock for insurance pursuant to equity awards granted under the Inducement Plan. The Inducement Plan has a 10-year term and provides for the grant of equity-based awards, including non-statutory stock options, RSUs,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non-employee directors of the Company prior to the Inducement Plan’s adoption date. As of December 31, 2025, 2,304,109 shares of common stock were available for issuance under the Inducement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Employee Stock Purchase Plan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May 2017, the Board adopted, and the Company's stockholders approved, the Company’s 2017 Employee Stock Purchase Plan (the "2017 ESPP").</w:t>
      </w:r>
    </w:p>
    <w:p>
      <w:pPr>
        <w:spacing w:after="0" w:line="23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as of December 31 of the immediately preceding year, or (iii) such number of shares as determined by the Board. As of December 31, 2025, 851,582 shares of common stock were available for issuance under the 2017 ESPP.</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under the 2015 Plan, 2017 Plan and Inducement Plan for the year ended December 31, 2025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4"/>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56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462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 life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10"/>
        </w:trPr>
        <w:tc>
          <w:tcPr>
            <w:tcW w:w="46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2024</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10,979,332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97,563</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2,909,743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(592,612)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 December 31,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13,086,288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58,029</w:t>
            </w:r>
          </w:p>
        </w:tc>
        <w:tc>
          <w:tcPr>
            <w:tcW w:w="100" w:type="dxa"/>
            <w:vAlign w:val="bottom"/>
            <w:tcBorders>
              <w:bottom w:val="single" w:sz="8" w:color="CCEEFF"/>
            </w:tcBorders>
          </w:tcPr>
          <w:p>
            <w:pPr>
              <w:spacing w:after="0"/>
              <w:rPr>
                <w:sz w:val="18"/>
                <w:szCs w:val="18"/>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5,102,332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all stock options exercised during the years ended December 31, 2025 and 2024 was $7.3 million and $2.0 million, respectively. Intrinsic values of options exercised are calculated as the difference between the exercise price of the underlying options and the fair value of the common stock on the date of exercise. Intrinsic values of options outstanding are calculated as the difference between the exercise price of the underlying options and the fair value of the common stock as of the reporting date.</w:t>
      </w:r>
    </w:p>
    <w:p>
      <w:pPr>
        <w:spacing w:after="0" w:line="180" w:lineRule="exact"/>
        <w:rPr>
          <w:sz w:val="20"/>
          <w:szCs w:val="20"/>
          <w:color w:val="auto"/>
        </w:rPr>
      </w:pPr>
    </w:p>
    <w:p>
      <w:pPr>
        <w:ind w:left="160" w:firstLine="486"/>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weighted-average grant date fair value of options granted was $15.16 and $8.35, respectively.</w:t>
      </w:r>
    </w:p>
    <w:p>
      <w:pPr>
        <w:spacing w:after="0" w:line="16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has granted stock options with time-based, performance-based, market-based, and both market-based and performance-based vesting conditions. The Company grants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Performance-based stock options granted to certain Company executives and other employees contain performance conditions related to financial measures and achievements of strategic and operational milestones. The options will vest and become exercisable once the specific performance condition is fulfilled.</w:t>
      </w:r>
    </w:p>
    <w:p>
      <w:pPr>
        <w:spacing w:after="0" w:line="176"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Market-based stock options granted to certain Company executives and other employees contain market conditions related to achievement of market capitalization targets. The options will vest and become exercisable once the specific market capitalization target is fulfilled.</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Both market-based and performance-based stock options granted to certain Company executives contain market conditions related to the achievement of market capitalization targets as well as the achievement of revenue and margin metrics. The options will vest and become exercisable once both the specific market capitalization targets as well as the specific revenue and margin targets are fulfilled.</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Modifications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October 2024, the Board approved changes to the performance-based vesting conditions of certain unvested outstanding common stock option awards that were improbable of vesting. Specifically, 600,113 performance-based stock option awards were modified to time-based vesting criteria and 206,389 performance-based stock option awards were modified to market-based vesting criteria. The modified time-based awards will vest and become exercisable, subject to the individual’s continued employment or service through the applicable vesting date, based upon individually specific vesting schedules with annual vesting milestones. The vesting schedules have a range from two to four years. The modified market-based awards will vest and become exercisable, subject to the individual’s continued employment and service through the applicable vesting date, based upon the achievement of certain market capitalization targets.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in October 2024, the Board approved a modification to certain market-based awards to adopt a uniform methodology for calculating its market capitalization whereas they aligned all awards to use consecutive calendar days and not consecutive trading days in the calculation. These modifications resulted in approximately $3.2 million of additional stock-based compensation expense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in the consolidated statements of operations and comprehensive loss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36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9,555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7,293</w:t>
            </w: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80" w:type="dxa"/>
            <w:vAlign w:val="bottom"/>
          </w:tcPr>
          <w:p>
            <w:pPr>
              <w:spacing w:after="0"/>
              <w:rPr>
                <w:sz w:val="18"/>
                <w:szCs w:val="18"/>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21,457</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13,586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68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7" w:name="page78"/>
    <w:bookmarkEnd w:id="77"/>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left="10" w:firstLine="450"/>
        <w:spacing w:after="0" w:line="282" w:lineRule="auto"/>
        <w:rPr>
          <w:sz w:val="20"/>
          <w:szCs w:val="20"/>
          <w:color w:val="auto"/>
        </w:rPr>
      </w:pPr>
      <w:r>
        <w:rPr>
          <w:rFonts w:ascii="Times New Roman" w:cs="Times New Roman" w:eastAsia="Times New Roman" w:hAnsi="Times New Roman"/>
          <w:sz w:val="18"/>
          <w:szCs w:val="18"/>
          <w:color w:val="auto"/>
        </w:rPr>
        <w:t>As of December 31, 2025, not all of the performance conditions of the performance options are probable to be achieved. Stock-based compensation expense has only been recognized for those conditions that are assumed to be probable.</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 by award type was as follows (in thousands):</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Time-based options</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14,865</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options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Market-based options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2,926</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ESPP</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r>
      <w:tr>
        <w:trPr>
          <w:trHeight w:val="209"/>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21,457</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13,586</w:t>
            </w: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10" w:firstLine="45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a total of $29.5 million and $18.1 million of unrecognized compensation cost for time-based stock options outstanding, respectively, which is expected to be recognized over a weighted average period of 5.3 and 5.4 years, respectively.</w:t>
      </w:r>
    </w:p>
    <w:p>
      <w:pPr>
        <w:spacing w:after="0" w:line="162" w:lineRule="exact"/>
        <w:rPr>
          <w:sz w:val="20"/>
          <w:szCs w:val="20"/>
          <w:color w:val="auto"/>
        </w:rPr>
      </w:pPr>
    </w:p>
    <w:p>
      <w:pPr>
        <w:jc w:val="both"/>
        <w:ind w:left="10" w:firstLine="45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a total of $27.6 million and $11.0 million of unrecognized compensation cost for performance-based, market-based, and both market-based and performance-based stock options outstanding, respectively, which is expected to be recognized over a weighted average period of 2.7 and 1.6 years, respectively.</w:t>
      </w:r>
    </w:p>
    <w:p>
      <w:pPr>
        <w:spacing w:after="0" w:line="176" w:lineRule="exact"/>
        <w:rPr>
          <w:sz w:val="20"/>
          <w:szCs w:val="20"/>
          <w:color w:val="auto"/>
        </w:rPr>
      </w:pPr>
    </w:p>
    <w:p>
      <w:pPr>
        <w:jc w:val="both"/>
        <w:ind w:left="10" w:firstLine="450"/>
        <w:spacing w:after="0" w:line="258" w:lineRule="auto"/>
        <w:rPr>
          <w:sz w:val="20"/>
          <w:szCs w:val="20"/>
          <w:color w:val="auto"/>
        </w:rPr>
      </w:pPr>
      <w:r>
        <w:rPr>
          <w:rFonts w:ascii="Times New Roman" w:cs="Times New Roman" w:eastAsia="Times New Roman" w:hAnsi="Times New Roman"/>
          <w:sz w:val="18"/>
          <w:szCs w:val="18"/>
          <w:color w:val="auto"/>
        </w:rPr>
        <w:t>The fair value of time-based and performance-based stock options granted under the 2017 Plan and Inducement Plan and the shares available for purchase under the ESPP were determined using the Black-Scholes option pricing model on the grant date and modification date. The Company estimated the fair value of market-based stock options and both market and performance-based stock options using a Monte Carlo simulation model on the grant date and modification date. The following summarizes the range of assumptions used in calculating the fair value of the awards with stock options grouped by valuation methodology:</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Time-Based and Performance-Based Stock Options</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gridSpan w:val="2"/>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93% - 100%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Market-Based Stock Options and Market and Performance-Based Stock Options</w:t>
            </w:r>
            <w:r>
              <w:rPr>
                <w:rFonts w:ascii="Times New Roman" w:cs="Times New Roman" w:eastAsia="Times New Roman" w:hAnsi="Times New Roman"/>
                <w:sz w:val="25"/>
                <w:szCs w:val="25"/>
                <w:b w:val="1"/>
                <w:bCs w:val="1"/>
                <w:color w:val="auto"/>
                <w:vertAlign w:val="superscript"/>
              </w:rPr>
              <w:t>1</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6"/>
              </w:rPr>
              <w:t>90%</w:t>
            </w:r>
          </w:p>
        </w:tc>
        <w:tc>
          <w:tcPr>
            <w:tcW w:w="10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ESPP</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- 98%</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ind w:left="10" w:right="20" w:hanging="10"/>
        <w:spacing w:after="0" w:line="258" w:lineRule="auto"/>
        <w:tabs>
          <w:tab w:leader="none" w:pos="198"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Assumptions for the year ended December 31, 2024, under this header apply only to market-based stock options as market and performance-based stock options were not outstanding during the year ended December 31, 2024.</w:t>
      </w:r>
    </w:p>
    <w:p>
      <w:pPr>
        <w:spacing w:after="0" w:line="205" w:lineRule="exact"/>
        <w:rPr>
          <w:rFonts w:ascii="Times New Roman" w:cs="Times New Roman" w:eastAsia="Times New Roman" w:hAnsi="Times New Roman"/>
          <w:sz w:val="18"/>
          <w:szCs w:val="18"/>
          <w:i w:val="1"/>
          <w:iCs w:val="1"/>
          <w:color w:val="auto"/>
        </w:rPr>
      </w:pPr>
    </w:p>
    <w:p>
      <w:pPr>
        <w:ind w:left="270" w:hanging="252"/>
        <w:spacing w:after="0"/>
        <w:tabs>
          <w:tab w:leader="none" w:pos="27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229" w:lineRule="exact"/>
        <w:rPr>
          <w:sz w:val="20"/>
          <w:szCs w:val="20"/>
          <w:color w:val="auto"/>
        </w:rPr>
      </w:pPr>
    </w:p>
    <w:p>
      <w:pPr>
        <w:jc w:val="both"/>
        <w:ind w:left="170" w:firstLine="450"/>
        <w:spacing w:after="0" w:line="266" w:lineRule="auto"/>
        <w:rPr>
          <w:sz w:val="20"/>
          <w:szCs w:val="20"/>
          <w:color w:val="auto"/>
        </w:rPr>
      </w:pPr>
      <w:r>
        <w:rPr>
          <w:rFonts w:ascii="Times New Roman" w:cs="Times New Roman" w:eastAsia="Times New Roman" w:hAnsi="Times New Roman"/>
          <w:sz w:val="18"/>
          <w:szCs w:val="18"/>
          <w:color w:val="auto"/>
        </w:rPr>
        <w:t>The Company sponsors a 401(k) retirement plan for its employees under which it may make discretionary contributions. The plan provides for tax-deferred salary deductions for all employees and employee contributions are voluntary. The Company did not make any employer matching contributions to the plan during the years ended December 31, 2025 and 2024.</w:t>
      </w:r>
    </w:p>
    <w:p>
      <w:pPr>
        <w:spacing w:after="0" w:line="17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121" w:right="339" w:bottom="1440" w:gutter="0" w:footer="0" w:header="0"/>
        </w:sectPr>
      </w:pPr>
    </w:p>
    <w:bookmarkStart w:id="78" w:name="page79"/>
    <w:bookmarkEnd w:id="78"/>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10" w:firstLine="486"/>
        <w:spacing w:after="0" w:line="282" w:lineRule="auto"/>
        <w:rPr>
          <w:sz w:val="20"/>
          <w:szCs w:val="20"/>
          <w:color w:val="auto"/>
        </w:rPr>
      </w:pPr>
      <w:r>
        <w:rPr>
          <w:rFonts w:ascii="Times New Roman" w:cs="Times New Roman" w:eastAsia="Times New Roman" w:hAnsi="Times New Roman"/>
          <w:sz w:val="18"/>
          <w:szCs w:val="18"/>
          <w:color w:val="auto"/>
        </w:rPr>
        <w:t>Total loss before income taxes for the years ended December 31, 2025 and 2024 were $72.8 million and $53.6 million, respectively. All losses were domestic and there were no foreign losses.</w:t>
      </w:r>
    </w:p>
    <w:p>
      <w:pPr>
        <w:spacing w:after="0" w:line="162" w:lineRule="exact"/>
        <w:rPr>
          <w:sz w:val="20"/>
          <w:szCs w:val="20"/>
          <w:color w:val="auto"/>
        </w:rPr>
      </w:pPr>
    </w:p>
    <w:p>
      <w:pPr>
        <w:ind w:left="470"/>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did not recognize an income tax provision.</w:t>
      </w:r>
    </w:p>
    <w:p>
      <w:pPr>
        <w:spacing w:after="0" w:line="225" w:lineRule="exact"/>
        <w:rPr>
          <w:sz w:val="20"/>
          <w:szCs w:val="20"/>
          <w:color w:val="auto"/>
        </w:rPr>
      </w:pPr>
    </w:p>
    <w:p>
      <w:pPr>
        <w:ind w:left="10" w:firstLine="45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estimated by applying the statutory federal income tax rate to net loss before taxes as follows: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9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State income tax, net of federal tax benefit</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0" w:hanging="10"/>
        <w:spacing w:after="0" w:line="260" w:lineRule="auto"/>
        <w:tabs>
          <w:tab w:leader="none" w:pos="202"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State taxes in California comprise the majority (greater than 50 percent) of the state and local income taxes, net of federal effect category for both 2024 and 2025.</w:t>
      </w:r>
    </w:p>
    <w:p>
      <w:pPr>
        <w:spacing w:after="0" w:line="181" w:lineRule="exact"/>
        <w:rPr>
          <w:sz w:val="20"/>
          <w:szCs w:val="20"/>
          <w:color w:val="auto"/>
        </w:rPr>
      </w:pPr>
    </w:p>
    <w:p>
      <w:pPr>
        <w:jc w:val="both"/>
        <w:ind w:left="10" w:firstLine="486"/>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impact of carryforwards and temporary differences between the amounts of assets and liabilities for financial reporting purposes and such amounts as measured by tax laws. The carryforwards and temporary differences, which give rise to a significant portion of the Company’s deferred tax assets and liabilities as of December 31, 2025 and 2024, are as follows (in thousands):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503</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74,859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32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12,008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14,450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R&amp;D capitalization</w:t>
            </w:r>
          </w:p>
        </w:tc>
        <w:tc>
          <w:tcPr>
            <w:tcW w:w="32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18,527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122,824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(99,542</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vMerge w:val="continue"/>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jc w:val="right"/>
              <w:ind w:right="16"/>
              <w:spacing w:after="0" w:line="68" w:lineRule="exact"/>
              <w:rPr>
                <w:sz w:val="20"/>
                <w:szCs w:val="20"/>
                <w:color w:val="auto"/>
              </w:rPr>
            </w:pPr>
            <w:r>
              <w:rPr>
                <w:rFonts w:ascii="Times New Roman" w:cs="Times New Roman" w:eastAsia="Times New Roman" w:hAnsi="Times New Roman"/>
                <w:sz w:val="7"/>
                <w:szCs w:val="7"/>
                <w:color w:val="auto"/>
              </w:rPr>
              <w:t>(121,249</w:t>
            </w:r>
          </w:p>
        </w:tc>
        <w:tc>
          <w:tcPr>
            <w:tcW w:w="10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8000" w:type="dxa"/>
            <w:vAlign w:val="bottom"/>
            <w:tcBorders>
              <w:bottom w:val="single" w:sz="8" w:color="CCEEFF"/>
            </w:tcBorders>
            <w:vMerge w:val="continue"/>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jc w:val="right"/>
              <w:ind w:right="16"/>
              <w:spacing w:after="0" w:line="68" w:lineRule="exact"/>
              <w:rPr>
                <w:sz w:val="20"/>
                <w:szCs w:val="20"/>
                <w:color w:val="auto"/>
              </w:rPr>
            </w:pPr>
            <w:r>
              <w:rPr>
                <w:rFonts w:ascii="Times New Roman" w:cs="Times New Roman" w:eastAsia="Times New Roman" w:hAnsi="Times New Roman"/>
                <w:sz w:val="7"/>
                <w:szCs w:val="7"/>
                <w:color w:val="auto"/>
              </w:rPr>
              <w:t>(1,575</w:t>
            </w:r>
          </w:p>
        </w:tc>
        <w:tc>
          <w:tcPr>
            <w:tcW w:w="10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0" w:firstLine="486"/>
        <w:spacing w:after="0" w:line="266" w:lineRule="auto"/>
        <w:rPr>
          <w:sz w:val="20"/>
          <w:szCs w:val="20"/>
          <w:color w:val="auto"/>
        </w:rPr>
      </w:pPr>
      <w:r>
        <w:rPr>
          <w:rFonts w:ascii="Times New Roman" w:cs="Times New Roman" w:eastAsia="Times New Roman" w:hAnsi="Times New Roman"/>
          <w:sz w:val="18"/>
          <w:szCs w:val="18"/>
          <w:color w:val="auto"/>
        </w:rPr>
        <w:t>The Company’s unrecognized tax benefits as of December 31, 2025 and 2024 were $18.5 million and $17.4 million, respectively. If recognized, none of the unrecognized tax benefits would impact income tax expense to the extent that the Company continues to maintain a full valuation allowance against its deferred tax assets.</w:t>
      </w:r>
    </w:p>
    <w:p>
      <w:pPr>
        <w:spacing w:after="0" w:line="17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12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80"/>
        </w:trPr>
        <w:tc>
          <w:tcPr>
            <w:tcW w:w="89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 is as follows (in thousands):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09"/>
        </w:trPr>
        <w:tc>
          <w:tcPr>
            <w:tcW w:w="128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beginning of year</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2,993</w:t>
            </w:r>
          </w:p>
        </w:tc>
      </w:tr>
      <w:tr>
        <w:trPr>
          <w:trHeight w:val="22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18,526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taxes as components of interest expense and other expense, respectively. The Company did not accrue interest and penalties related to unrecognized tax benefits as of December 31, 2025 and does not anticipate any significant change within twelve months of this reporting date.</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Company’s valuation allowance increased by $21.7 million in the year ended December 31, 2025 and increased by $11.7 million in the year ended December 31, 2024.</w:t>
      </w:r>
    </w:p>
    <w:p>
      <w:pPr>
        <w:spacing w:after="0" w:line="162"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federal and state net operating loss (“NOL”) carryforwards of $575.0 million which begin to expire in 2034. Of the $281.9 million of federal NOLs, $256.3 million is carried forward indefinitely but is limited to 80% of the taxable income.</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U.S. federal and California research and development (“R&amp;D”) tax credits of approximately $10.5 million, and $10.6 million, respectively. The federal R&amp;D credits begin to expire in 2035, while California credits do not expire.</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for Federal and State. All jurisdictions and tax years currently remain open for IRS examination. As of December 31, 2025, the Company was not under examination by the Internal Revenue Service or any state tax jurisdiction.</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Internal Revenue Code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We believe that we have had one or more ownership changes prior to 2018, but recently performed a Section 382 study to analyze fiscal years 2018 through 2024, and we do not believe that we have had any additional ownership changes over that period. Possible future changes in our stock ownership could result in limitations.</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On July 4, 2025, H.R. 1, a U.S. budget reconciliation bill, was signed into law. The Company has assessed the provisions of the new legislation and has integrated the resulting impacts into its effective income tax rate. Management has concluded that the bill does not have an impact on the Company's consolidated financial statements for the current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warrants converted into common stock are considered common stock equivalents. Potential common shares that have an anti-dilutive effect (i.e., those that increase income per share or decrease loss per share) are excluded from the calculation of diluted net loss per share.</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outstanding equity instruments were excluded from the computation of diluted net loss per share for the periods presented because including them would have had an anti-dilutive effect:</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converted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right="3060" w:hanging="161"/>
        <w:spacing w:after="0" w:line="329" w:lineRule="auto"/>
        <w:rPr>
          <w:sz w:val="20"/>
          <w:szCs w:val="20"/>
          <w:color w:val="auto"/>
        </w:rPr>
      </w:pPr>
      <w:r>
        <w:rPr>
          <w:rFonts w:ascii="Times New Roman" w:cs="Times New Roman" w:eastAsia="Times New Roman" w:hAnsi="Times New Roman"/>
          <w:sz w:val="18"/>
          <w:szCs w:val="18"/>
          <w:color w:val="auto"/>
        </w:rPr>
        <w:t>Estimated shares issuable under the employee stock purchase plan Total</w:t>
      </w:r>
    </w:p>
    <w:p>
      <w:pPr>
        <w:spacing w:after="0" w:line="121"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19685</wp:posOffset>
            </wp:positionV>
            <wp:extent cx="2040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14605</wp:posOffset>
            </wp:positionV>
            <wp:extent cx="2040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1840" w:val="left"/>
        </w:tabs>
        <w:rPr>
          <w:sz w:val="20"/>
          <w:szCs w:val="20"/>
          <w:color w:val="auto"/>
        </w:rPr>
      </w:pPr>
      <w:r>
        <w:rPr>
          <w:rFonts w:ascii="Times New Roman" w:cs="Times New Roman" w:eastAsia="Times New Roman" w:hAnsi="Times New Roman"/>
          <w:sz w:val="18"/>
          <w:szCs w:val="18"/>
          <w:color w:val="auto"/>
        </w:rPr>
        <w:t>202,812</w:t>
      </w:r>
      <w:r>
        <w:rPr>
          <w:sz w:val="20"/>
          <w:szCs w:val="20"/>
          <w:color w:val="auto"/>
        </w:rPr>
        <w:tab/>
      </w:r>
      <w:r>
        <w:rPr>
          <w:rFonts w:ascii="Times New Roman" w:cs="Times New Roman" w:eastAsia="Times New Roman" w:hAnsi="Times New Roman"/>
          <w:sz w:val="18"/>
          <w:szCs w:val="18"/>
          <w:color w:val="auto"/>
        </w:rPr>
        <w:t>1,498,483</w:t>
      </w:r>
    </w:p>
    <w:p>
      <w:pPr>
        <w:spacing w:after="0" w:line="23"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18"/>
          <w:szCs w:val="18"/>
          <w:color w:val="auto"/>
        </w:rPr>
        <w:t>13,086,288</w:t>
      </w:r>
      <w:r>
        <w:rPr>
          <w:sz w:val="20"/>
          <w:szCs w:val="20"/>
          <w:color w:val="auto"/>
        </w:rPr>
        <w:tab/>
      </w:r>
      <w:r>
        <w:rPr>
          <w:rFonts w:ascii="Times New Roman" w:cs="Times New Roman" w:eastAsia="Times New Roman" w:hAnsi="Times New Roman"/>
          <w:sz w:val="18"/>
          <w:szCs w:val="18"/>
          <w:color w:val="auto"/>
        </w:rPr>
        <w:t>10,979,332</w:t>
      </w:r>
    </w:p>
    <w:p>
      <w:pPr>
        <w:spacing w:after="0" w:line="9" w:lineRule="exact"/>
        <w:rPr>
          <w:sz w:val="20"/>
          <w:szCs w:val="20"/>
          <w:color w:val="auto"/>
        </w:rPr>
      </w:pPr>
    </w:p>
    <w:p>
      <w:pPr>
        <w:jc w:val="both"/>
        <w:ind w:left="420"/>
        <w:spacing w:after="0"/>
        <w:tabs>
          <w:tab w:leader="none" w:pos="2060" w:val="left"/>
        </w:tabs>
        <w:rPr>
          <w:sz w:val="20"/>
          <w:szCs w:val="20"/>
          <w:color w:val="auto"/>
        </w:rPr>
      </w:pPr>
      <w:r>
        <w:rPr>
          <w:rFonts w:ascii="Times New Roman" w:cs="Times New Roman" w:eastAsia="Times New Roman" w:hAnsi="Times New Roman"/>
          <w:sz w:val="18"/>
          <w:szCs w:val="18"/>
          <w:color w:val="auto"/>
        </w:rPr>
        <w:t>58,015</w:t>
      </w:r>
      <w:r>
        <w:rPr>
          <w:sz w:val="20"/>
          <w:szCs w:val="20"/>
          <w:color w:val="auto"/>
        </w:rPr>
        <w:tab/>
      </w:r>
      <w:r>
        <w:rPr>
          <w:rFonts w:ascii="Times New Roman" w:cs="Times New Roman" w:eastAsia="Times New Roman" w:hAnsi="Times New Roman"/>
          <w:sz w:val="18"/>
          <w:szCs w:val="18"/>
          <w:color w:val="auto"/>
        </w:rPr>
        <w:t>29,922</w:t>
      </w:r>
    </w:p>
    <w:p>
      <w:pPr>
        <w:spacing w:after="0" w:line="23"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18"/>
          <w:szCs w:val="18"/>
          <w:color w:val="auto"/>
        </w:rPr>
        <w:t>13,347,115</w:t>
      </w:r>
      <w:r>
        <w:rPr>
          <w:sz w:val="20"/>
          <w:szCs w:val="20"/>
          <w:color w:val="auto"/>
        </w:rPr>
        <w:tab/>
      </w:r>
      <w:r>
        <w:rPr>
          <w:rFonts w:ascii="Times New Roman" w:cs="Times New Roman" w:eastAsia="Times New Roman" w:hAnsi="Times New Roman"/>
          <w:sz w:val="18"/>
          <w:szCs w:val="18"/>
          <w:color w:val="auto"/>
        </w:rPr>
        <w:t>12,507,737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14605</wp:posOffset>
            </wp:positionV>
            <wp:extent cx="204025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40255" cy="25400"/>
                    </a:xfrm>
                    <a:prstGeom prst="rect">
                      <a:avLst/>
                    </a:prstGeom>
                    <a:noFill/>
                  </pic:spPr>
                </pic:pic>
              </a:graphicData>
            </a:graphic>
          </wp:anchor>
        </w:drawing>
      </w:r>
    </w:p>
    <w:p>
      <w:pPr>
        <w:sectPr>
          <w:pgSz w:w="11900" w:h="16838" w:orient="portrait"/>
          <w:cols w:equalWidth="0" w:num="2">
            <w:col w:w="7840" w:space="720"/>
            <w:col w:w="2680"/>
          </w:cols>
          <w:pgMar w:left="320" w:top="108" w:right="339" w:bottom="1440" w:gutter="0" w:footer="0" w:header="0"/>
          <w:type w:val="continuous"/>
        </w:sectPr>
      </w:pPr>
    </w:p>
    <w:bookmarkStart w:id="80" w:name="page81"/>
    <w:bookmarkEnd w:id="8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jc w:val="both"/>
        <w:ind w:left="10" w:firstLine="486"/>
        <w:spacing w:after="0" w:line="253" w:lineRule="auto"/>
        <w:rPr>
          <w:sz w:val="20"/>
          <w:szCs w:val="20"/>
          <w:color w:val="auto"/>
        </w:rPr>
      </w:pPr>
      <w:r>
        <w:rPr>
          <w:rFonts w:ascii="Times New Roman" w:cs="Times New Roman" w:eastAsia="Times New Roman" w:hAnsi="Times New Roman"/>
          <w:sz w:val="18"/>
          <w:szCs w:val="18"/>
          <w:color w:val="auto"/>
        </w:rPr>
        <w:t>The Company conducts business as one operating and reportable segment relating to the research and development of the Company’s NPS technology. The Company's chief executive officer, who is the chief operating decision maker ("CODM"), views the Company’s operations and manages its business in one operating segment. The CODM uses the Company’s consolidated net loss to monitor actual results as compared to the budget in assessing segment performance and allocation of resources. Managing and allocating resources on an entity-wide basis enables the CODM to assess the overall level of resources available and how to best deploy these resources across functions and research and development projects that are in line with the Company’s long-term company-wide strategic goals. Consistent with this decision-making process, the CODM uses financial information for purposes of evaluating performance, forecasting future period financial results, allocating resources, and setting incentive targets. Operating expenses are used to monitor budget versus actual results. The CODM is regularly provided with more detailed expense information than what is included in our consolidated statement of operations and comprehensive loss. All product sales are in the United States and there are no significant groupings of product revenue the CODM considers or reviews when making operating decisions and assessing performance.</w:t>
      </w:r>
    </w:p>
    <w:p>
      <w:pPr>
        <w:spacing w:after="0" w:line="194" w:lineRule="exact"/>
        <w:rPr>
          <w:sz w:val="20"/>
          <w:szCs w:val="20"/>
          <w:color w:val="auto"/>
        </w:rPr>
      </w:pPr>
    </w:p>
    <w:p>
      <w:pPr>
        <w:jc w:val="both"/>
        <w:ind w:left="10" w:firstLine="486"/>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of the Company’s net loss, including the significant expense categories regularly provided to and reviewed by the CODM, as computed under U.S. GAAP to the Company’s total net loss in the statements of operations (in thousands).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Adjusted cost of product revenue</w:t>
            </w:r>
            <w:r>
              <w:rPr>
                <w:rFonts w:ascii="Times New Roman" w:cs="Times New Roman" w:eastAsia="Times New Roman" w:hAnsi="Times New Roman"/>
                <w:sz w:val="25"/>
                <w:szCs w:val="25"/>
                <w:color w:val="auto"/>
                <w:vertAlign w:val="superscript"/>
              </w:rPr>
              <w:t>1</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Cross platform research and engineering</w:t>
            </w:r>
            <w:r>
              <w:rPr>
                <w:rFonts w:ascii="Times New Roman" w:cs="Times New Roman" w:eastAsia="Times New Roman" w:hAnsi="Times New Roman"/>
                <w:sz w:val="25"/>
                <w:szCs w:val="25"/>
                <w:color w:val="auto"/>
                <w:vertAlign w:val="superscript"/>
              </w:rPr>
              <w:t>2</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13,487</w:t>
            </w:r>
          </w:p>
        </w:tc>
      </w:tr>
      <w:tr>
        <w:trPr>
          <w:trHeight w:val="216"/>
        </w:trPr>
        <w:tc>
          <w:tcPr>
            <w:tcW w:w="80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R&amp;D manufacturing and engineering</w:t>
            </w:r>
            <w:r>
              <w:rPr>
                <w:rFonts w:ascii="Times New Roman" w:cs="Times New Roman" w:eastAsia="Times New Roman" w:hAnsi="Times New Roman"/>
                <w:sz w:val="25"/>
                <w:szCs w:val="25"/>
                <w:color w:val="auto"/>
                <w:vertAlign w:val="superscript"/>
              </w:rPr>
              <w:t>3</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4,939</w:t>
            </w:r>
          </w:p>
        </w:tc>
      </w:tr>
      <w:tr>
        <w:trPr>
          <w:trHeight w:val="216"/>
        </w:trPr>
        <w:tc>
          <w:tcPr>
            <w:tcW w:w="80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Clinical and regulatory</w:t>
            </w:r>
            <w:r>
              <w:rPr>
                <w:rFonts w:ascii="Times New Roman" w:cs="Times New Roman" w:eastAsia="Times New Roman" w:hAnsi="Times New Roman"/>
                <w:sz w:val="25"/>
                <w:szCs w:val="25"/>
                <w:color w:val="auto"/>
                <w:vertAlign w:val="superscript"/>
              </w:rPr>
              <w:t>4</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4,052</w:t>
            </w:r>
          </w:p>
        </w:tc>
      </w:tr>
      <w:tr>
        <w:trPr>
          <w:trHeight w:val="216"/>
        </w:trPr>
        <w:tc>
          <w:tcPr>
            <w:tcW w:w="80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5"/>
                <w:szCs w:val="25"/>
                <w:color w:val="auto"/>
                <w:vertAlign w:val="superscript"/>
              </w:rPr>
              <w:t>5</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15,909</w:t>
            </w:r>
          </w:p>
        </w:tc>
      </w:tr>
      <w:tr>
        <w:trPr>
          <w:trHeight w:val="216"/>
        </w:trPr>
        <w:tc>
          <w:tcPr>
            <w:tcW w:w="80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5"/>
                <w:szCs w:val="25"/>
                <w:color w:val="auto"/>
                <w:vertAlign w:val="superscript"/>
              </w:rPr>
              <w:t>6</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3,106</w:t>
            </w:r>
          </w:p>
        </w:tc>
      </w:tr>
      <w:tr>
        <w:trPr>
          <w:trHeight w:val="216"/>
        </w:trPr>
        <w:tc>
          <w:tcPr>
            <w:tcW w:w="80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5"/>
                <w:szCs w:val="25"/>
                <w:color w:val="auto"/>
                <w:vertAlign w:val="superscript"/>
              </w:rPr>
              <w:t>7</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(72,781)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(53,585)</w:t>
            </w:r>
          </w:p>
        </w:tc>
      </w:tr>
      <w:tr>
        <w:trPr>
          <w:trHeight w:val="198"/>
        </w:trPr>
        <w:tc>
          <w:tcPr>
            <w:tcW w:w="800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___________________</w:t>
            </w:r>
          </w:p>
        </w:tc>
        <w:tc>
          <w:tcPr>
            <w:tcW w:w="9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bl>
    <w:p>
      <w:pPr>
        <w:jc w:val="both"/>
        <w:ind w:left="10" w:hanging="10"/>
        <w:spacing w:after="0" w:line="249" w:lineRule="auto"/>
        <w:tabs>
          <w:tab w:leader="none" w:pos="276"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Adjusted cost of product revenue includes material costs, cash compensation costs, fees paid to consultants and outside service providers and organizations, and other expenses relating to manufacturing the Company’s commercial products. It does not include stock-based compensation, depreciation, amortization, IT and facilities costs - see descriptions of Other segment items in footnote </w:t>
      </w:r>
      <w:r>
        <w:rPr>
          <w:rFonts w:ascii="Times New Roman" w:cs="Times New Roman" w:eastAsia="Times New Roman" w:hAnsi="Times New Roman"/>
          <w:sz w:val="18"/>
          <w:szCs w:val="18"/>
          <w:i w:val="1"/>
          <w:iCs w:val="1"/>
          <w:color w:val="auto"/>
        </w:rPr>
        <w:t>7</w:t>
      </w:r>
      <w:r>
        <w:rPr>
          <w:rFonts w:ascii="Times New Roman" w:cs="Times New Roman" w:eastAsia="Times New Roman" w:hAnsi="Times New Roman"/>
          <w:sz w:val="18"/>
          <w:szCs w:val="18"/>
          <w:color w:val="auto"/>
        </w:rPr>
        <w:t xml:space="preserve"> and General and administrative in footnote </w:t>
      </w:r>
      <w:r>
        <w:rPr>
          <w:rFonts w:ascii="Times New Roman" w:cs="Times New Roman" w:eastAsia="Times New Roman" w:hAnsi="Times New Roman"/>
          <w:sz w:val="18"/>
          <w:szCs w:val="18"/>
          <w:i w:val="1"/>
          <w:iCs w:val="1"/>
          <w:color w:val="auto"/>
        </w:rPr>
        <w:t>5</w:t>
      </w:r>
      <w:r>
        <w:rPr>
          <w:rFonts w:ascii="Times New Roman" w:cs="Times New Roman" w:eastAsia="Times New Roman" w:hAnsi="Times New Roman"/>
          <w:sz w:val="18"/>
          <w:szCs w:val="18"/>
          <w:color w:val="auto"/>
        </w:rPr>
        <w:t xml:space="preserve"> below.</w:t>
      </w:r>
    </w:p>
    <w:p>
      <w:pPr>
        <w:spacing w:after="0" w:line="3" w:lineRule="exact"/>
        <w:rPr>
          <w:rFonts w:ascii="Times New Roman" w:cs="Times New Roman" w:eastAsia="Times New Roman" w:hAnsi="Times New Roman"/>
          <w:sz w:val="18"/>
          <w:szCs w:val="18"/>
          <w:i w:val="1"/>
          <w:iCs w:val="1"/>
          <w:color w:val="auto"/>
        </w:rPr>
      </w:pPr>
    </w:p>
    <w:p>
      <w:pPr>
        <w:ind w:left="1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2 </w:t>
      </w:r>
      <w:r>
        <w:rPr>
          <w:rFonts w:ascii="Times New Roman" w:cs="Times New Roman" w:eastAsia="Times New Roman" w:hAnsi="Times New Roman"/>
          <w:sz w:val="18"/>
          <w:szCs w:val="18"/>
          <w:color w:val="auto"/>
        </w:rPr>
        <w:t>Cross platform research and engineering includes compensation costs, fees paid to consultants and outside service providers and organizations, prototype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and other expenses relating to the acquisition, design and development of the Company’s clinical stage devices.</w:t>
      </w:r>
    </w:p>
    <w:p>
      <w:pPr>
        <w:ind w:left="1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3 </w:t>
      </w:r>
      <w:r>
        <w:rPr>
          <w:rFonts w:ascii="Times New Roman" w:cs="Times New Roman" w:eastAsia="Times New Roman" w:hAnsi="Times New Roman"/>
          <w:sz w:val="18"/>
          <w:szCs w:val="18"/>
          <w:color w:val="auto"/>
        </w:rPr>
        <w:t>R&amp;D manufacturing and engineering includes compensation costs, fees paid to consultants and outside service providers and organizations, and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procurement of materials and the manufacturing of the Company’s clinical stage devices.</w:t>
      </w:r>
    </w:p>
    <w:p>
      <w:pPr>
        <w:ind w:left="1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4 </w:t>
      </w:r>
      <w:r>
        <w:rPr>
          <w:rFonts w:ascii="Times New Roman" w:cs="Times New Roman" w:eastAsia="Times New Roman" w:hAnsi="Times New Roman"/>
          <w:sz w:val="18"/>
          <w:szCs w:val="18"/>
          <w:color w:val="auto"/>
        </w:rPr>
        <w:t>Clinical and regulatory includes compensation costs, fees paid to consultants and outside service providers and organizations, and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trials and regulatory approvals required for the development of the Company’s clinical stage devices.</w:t>
      </w:r>
    </w:p>
    <w:p>
      <w:pPr>
        <w:ind w:left="1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5 </w:t>
      </w:r>
      <w:r>
        <w:rPr>
          <w:rFonts w:ascii="Times New Roman" w:cs="Times New Roman" w:eastAsia="Times New Roman" w:hAnsi="Times New Roman"/>
          <w:sz w:val="18"/>
          <w:szCs w:val="18"/>
          <w:color w:val="auto"/>
        </w:rPr>
        <w:t>General and administrative includes compensation costs and fees paid to consultants and outside service providers and organizations in support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of the Company, including finance, legal, human resources, IT and facilities.</w:t>
      </w:r>
    </w:p>
    <w:p>
      <w:pPr>
        <w:ind w:left="1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6 </w:t>
      </w:r>
      <w:r>
        <w:rPr>
          <w:rFonts w:ascii="Times New Roman" w:cs="Times New Roman" w:eastAsia="Times New Roman" w:hAnsi="Times New Roman"/>
          <w:sz w:val="18"/>
          <w:szCs w:val="18"/>
          <w:color w:val="auto"/>
        </w:rPr>
        <w:t>Sales and marketing includes compensation costs, fees paid to consultants and outside service providers and organizations,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and sales strategy as well as execution of marketing and sales initiatives for the Company's products.</w:t>
      </w:r>
    </w:p>
    <w:p>
      <w:pPr>
        <w:ind w:left="1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7 </w:t>
      </w:r>
      <w:r>
        <w:rPr>
          <w:rFonts w:ascii="Times New Roman" w:cs="Times New Roman" w:eastAsia="Times New Roman" w:hAnsi="Times New Roman"/>
          <w:sz w:val="18"/>
          <w:szCs w:val="18"/>
          <w:color w:val="auto"/>
        </w:rPr>
        <w:t>Other segment items includes stock-based compensation, depreciation and amortization.</w:t>
      </w:r>
    </w:p>
    <w:p>
      <w:pPr>
        <w:spacing w:after="0" w:line="207" w:lineRule="exact"/>
        <w:rPr>
          <w:sz w:val="20"/>
          <w:szCs w:val="20"/>
          <w:color w:val="auto"/>
        </w:rPr>
      </w:pPr>
    </w:p>
    <w:p>
      <w:pPr>
        <w:ind w:left="470"/>
        <w:spacing w:after="0"/>
        <w:rPr>
          <w:sz w:val="20"/>
          <w:szCs w:val="20"/>
          <w:color w:val="auto"/>
        </w:rPr>
      </w:pPr>
      <w:r>
        <w:rPr>
          <w:rFonts w:ascii="Times New Roman" w:cs="Times New Roman" w:eastAsia="Times New Roman" w:hAnsi="Times New Roman"/>
          <w:sz w:val="18"/>
          <w:szCs w:val="18"/>
          <w:color w:val="auto"/>
        </w:rPr>
        <w:t>As of December 31, 2025 and 2024, all of the Company’s long-lived assets are located in the United States.</w:t>
      </w:r>
    </w:p>
    <w:p>
      <w:pPr>
        <w:spacing w:after="0" w:line="2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On July 3, 2024, the Company announced the closing of its 2024 Rights Offering. The 2024 Rights Offering resulted in the sale of six million 2024 Units, at a price of $10.00 per 2024 Unit. Each 2024 Unit consisted of one share of the Company’s common stock, par value $0.001 per share, and two warrants, each being a warrant to purchase one-half of one share of common stock. The common stock and warrants comprising the 2024 Units separated upon the closing of the 2024 Rights Offering and were issued individually. A total of 5,999,998 shares of common stock and warrants to acquire up to approximately an additional six million shares of common stock were issued in the offering. The Company received aggregate gross proceeds from the 2024 Rights Offering of $60 million. Robert W. Duggan, the Company’s majority stockholder and Co-Chairman, purchased approximately 88% of the units offered through the 2024 Rights Offering. See Note 9 for further details.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Annual Report on Form 10-K. Based on this evaluation, our Chief Executive Officer and Chief Financial Officer have concluded that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 13a-15(f) under the Exchange Act. Under the supervision and with the participation of senior management, including our Chief Executive Officer, Chief Financial Officer, and Vice President of Accounting and Global Corporate Controller, we evaluated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on the evaluation under that framework and applicable SEC rules, our management concluded that our internal control over financial reporting was effective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year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160" w:firstLine="450"/>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or incorporated by reference into, this Annual Report on Form 10-K:</w:t>
      </w:r>
    </w:p>
    <w:p>
      <w:pPr>
        <w:spacing w:after="0" w:line="22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Item 8 of this Annual Report on Form 10-K.</w:t>
      </w:r>
    </w:p>
    <w:p>
      <w:pPr>
        <w:spacing w:after="0" w:line="225" w:lineRule="exact"/>
        <w:rPr>
          <w:rFonts w:ascii="Times New Roman" w:cs="Times New Roman" w:eastAsia="Times New Roman" w:hAnsi="Times New Roman"/>
          <w:sz w:val="18"/>
          <w:szCs w:val="18"/>
          <w:color w:val="auto"/>
        </w:rPr>
      </w:pPr>
    </w:p>
    <w:p>
      <w:pPr>
        <w:ind w:left="660" w:hanging="4"/>
        <w:spacing w:after="0" w:line="284" w:lineRule="auto"/>
        <w:tabs>
          <w:tab w:leader="none" w:pos="8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schedules are omitted because they are not required, are not applicable or the information is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or notes thereto.</w:t>
      </w:r>
    </w:p>
    <w:p>
      <w:pPr>
        <w:spacing w:after="0" w:line="16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or incorporated by reference into, this Annual Report on Form 10-K:</w:t>
      </w:r>
    </w:p>
    <w:p>
      <w:pPr>
        <w:sectPr>
          <w:pgSz w:w="11900" w:h="16838" w:orient="portrait"/>
          <w:cols w:equalWidth="0" w:num="1">
            <w:col w:w="11240"/>
          </w:cols>
          <w:pgMar w:left="320" w:top="121" w:right="339" w:bottom="0" w:gutter="0" w:footer="0" w:header="0"/>
        </w:sect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40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2.1</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3.1</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3.2</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4.1</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4.2</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10.2+</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10.3+</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10.4+</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10.5+</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10.6*</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10.7+</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10.8+</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10.9+</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10.10+</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18"/>
          <w:szCs w:val="18"/>
          <w:u w:val="single" w:color="auto"/>
          <w:color w:val="auto"/>
        </w:rPr>
        <w:t>+</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10.12</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10.13</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10.14</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10.15</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10.16+</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10.17+</w:t>
      </w:r>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10.18+</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10.19+</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10.20+</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10.21+</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10.22+</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10.23+</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14.1*</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19.1*</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21.1*</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23.1*</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31.1*</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31.2*</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20" w:type="dxa"/>
            <w:vAlign w:val="bottom"/>
            <w:gridSpan w:val="34"/>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gridSpan w:val="34"/>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Exhibit(s)</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5760" w:type="dxa"/>
            <w:vAlign w:val="bottom"/>
            <w:tcBorders>
              <w:top w:val="single" w:sz="8" w:color="auto"/>
            </w:tcBorders>
            <w:gridSpan w:val="43"/>
          </w:tcPr>
          <w:p>
            <w:pPr>
              <w:spacing w:after="0" w:line="169"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Plan of Conversion of Pulse Biosciences, Inc.</w:t>
              </w:r>
            </w:hyperlink>
          </w:p>
        </w:tc>
        <w:tc>
          <w:tcPr>
            <w:tcW w:w="10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8-K12B</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001-37744</w:t>
            </w:r>
          </w:p>
        </w:tc>
        <w:tc>
          <w:tcPr>
            <w:tcW w:w="100" w:type="dxa"/>
            <w:vAlign w:val="bottom"/>
          </w:tcPr>
          <w:p>
            <w:pPr>
              <w:spacing w:after="0"/>
              <w:rPr>
                <w:sz w:val="14"/>
                <w:szCs w:val="14"/>
                <w:color w:val="auto"/>
              </w:rPr>
            </w:pPr>
          </w:p>
        </w:tc>
        <w:tc>
          <w:tcPr>
            <w:tcW w:w="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14"/>
                <w:szCs w:val="14"/>
                <w:color w:val="auto"/>
              </w:rPr>
            </w:pPr>
          </w:p>
        </w:tc>
        <w:tc>
          <w:tcPr>
            <w:tcW w:w="12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Articles of Conversion</w:t>
              </w:r>
            </w:hyperlink>
          </w:p>
        </w:tc>
        <w:tc>
          <w:tcPr>
            <w:tcW w:w="1640" w:type="dxa"/>
            <w:vAlign w:val="bottom"/>
            <w:tcBorders>
              <w:top w:val="single" w:sz="8" w:color="0000EE"/>
            </w:tcBorders>
            <w:gridSpan w:val="16"/>
          </w:tcPr>
          <w:p>
            <w:pPr>
              <w:spacing w:after="0"/>
              <w:rPr>
                <w:sz w:val="17"/>
                <w:szCs w:val="17"/>
                <w:color w:val="auto"/>
              </w:rPr>
            </w:pPr>
          </w:p>
        </w:tc>
        <w:tc>
          <w:tcPr>
            <w:tcW w:w="2580" w:type="dxa"/>
            <w:vAlign w:val="bottom"/>
            <w:gridSpan w:val="22"/>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Certificate of Conversion</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Certificate of Incorporation of Pulse Biosciences, Inc.</w:t>
              </w:r>
            </w:hyperlink>
          </w:p>
        </w:tc>
        <w:tc>
          <w:tcPr>
            <w:tcW w:w="1980" w:type="dxa"/>
            <w:vAlign w:val="bottom"/>
            <w:gridSpan w:val="19"/>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Bylaws of Pulse Biosciences, Inc.</w:t>
              </w:r>
            </w:hyperlink>
          </w:p>
        </w:tc>
        <w:tc>
          <w:tcPr>
            <w:tcW w:w="3420" w:type="dxa"/>
            <w:vAlign w:val="bottom"/>
            <w:gridSpan w:val="31"/>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Specimen Common Stock Certificate</w:t>
              </w:r>
            </w:hyperlink>
          </w:p>
        </w:tc>
        <w:tc>
          <w:tcPr>
            <w:tcW w:w="3180" w:type="dxa"/>
            <w:vAlign w:val="bottom"/>
            <w:gridSpan w:val="27"/>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03">
              <w:r>
                <w:rPr>
                  <w:rFonts w:ascii="Times New Roman" w:cs="Times New Roman" w:eastAsia="Times New Roman" w:hAnsi="Times New Roman"/>
                  <w:sz w:val="18"/>
                  <w:szCs w:val="18"/>
                  <w:color w:val="0000EE"/>
                  <w:w w:val="96"/>
                </w:rPr>
                <w:t>Form of Warrant</w:t>
              </w:r>
            </w:hyperlink>
          </w:p>
        </w:tc>
        <w:tc>
          <w:tcPr>
            <w:tcW w:w="4660" w:type="dxa"/>
            <w:vAlign w:val="bottom"/>
            <w:gridSpan w:val="42"/>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S-3</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333-278494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April 3, 2024</w:t>
            </w: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Warrant Agent Agreement</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S-3</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333-278494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April 3, 2024</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Lease for facilities at 3955 Point Eden Way, Hayward, California, dated</w:t>
              </w:r>
            </w:hyperlink>
          </w:p>
        </w:tc>
        <w:tc>
          <w:tcPr>
            <w:tcW w:w="1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January 26, 2017</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20, 2017</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Employment Agreement between Mitchell E. Levinson and the Registrant</w:t>
              </w:r>
            </w:hyperlink>
          </w:p>
        </w:tc>
        <w:tc>
          <w:tcPr>
            <w:tcW w:w="520" w:type="dxa"/>
            <w:vAlign w:val="bottom"/>
            <w:gridSpan w:val="10"/>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31, 2022</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Employment Agreement between Kevin Danahy and the Registrant</w:t>
              </w:r>
            </w:hyperlink>
          </w:p>
        </w:tc>
        <w:tc>
          <w:tcPr>
            <w:tcW w:w="1000" w:type="dxa"/>
            <w:vAlign w:val="bottom"/>
            <w:gridSpan w:val="14"/>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31, 2022</w:t>
            </w:r>
          </w:p>
        </w:tc>
        <w:tc>
          <w:tcPr>
            <w:tcW w:w="0" w:type="dxa"/>
            <w:vAlign w:val="bottom"/>
          </w:tcPr>
          <w:p>
            <w:pPr>
              <w:spacing w:after="0"/>
              <w:rPr>
                <w:sz w:val="1"/>
                <w:szCs w:val="1"/>
                <w:color w:val="auto"/>
              </w:rPr>
            </w:pPr>
          </w:p>
        </w:tc>
      </w:tr>
      <w:tr>
        <w:trPr>
          <w:trHeight w:val="218"/>
        </w:trPr>
        <w:tc>
          <w:tcPr>
            <w:tcW w:w="5860" w:type="dxa"/>
            <w:vAlign w:val="bottom"/>
            <w:gridSpan w:val="44"/>
            <w:vMerge w:val="restart"/>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2015 Stock Incentive Plan</w:t>
              </w:r>
            </w:hyperlink>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22,</w:t>
            </w:r>
          </w:p>
        </w:tc>
        <w:tc>
          <w:tcPr>
            <w:tcW w:w="0" w:type="dxa"/>
            <w:vAlign w:val="bottom"/>
          </w:tcPr>
          <w:p>
            <w:pPr>
              <w:spacing w:after="0"/>
              <w:rPr>
                <w:sz w:val="1"/>
                <w:szCs w:val="1"/>
                <w:color w:val="auto"/>
              </w:rPr>
            </w:pPr>
          </w:p>
        </w:tc>
      </w:tr>
      <w:tr>
        <w:trPr>
          <w:trHeight w:val="86"/>
        </w:trPr>
        <w:tc>
          <w:tcPr>
            <w:tcW w:w="5860" w:type="dxa"/>
            <w:vAlign w:val="bottom"/>
            <w:gridSpan w:val="44"/>
            <w:vMerge w:val="continue"/>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333-208694</w:t>
            </w:r>
          </w:p>
        </w:tc>
        <w:tc>
          <w:tcPr>
            <w:tcW w:w="8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3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110"/>
        </w:trPr>
        <w:tc>
          <w:tcPr>
            <w:tcW w:w="740" w:type="dxa"/>
            <w:vAlign w:val="bottom"/>
            <w:tcBorders>
              <w:top w:val="single" w:sz="8" w:color="0000EE"/>
            </w:tcBorders>
          </w:tcPr>
          <w:p>
            <w:pPr>
              <w:spacing w:after="0"/>
              <w:rPr>
                <w:sz w:val="9"/>
                <w:szCs w:val="9"/>
                <w:color w:val="auto"/>
              </w:rPr>
            </w:pPr>
          </w:p>
        </w:tc>
        <w:tc>
          <w:tcPr>
            <w:tcW w:w="46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00" w:type="dxa"/>
            <w:vAlign w:val="bottom"/>
            <w:gridSpan w:val="39"/>
            <w:vMerge w:val="restart"/>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2017 Inducement Equity Incentive Plan and forms of agreements thereunder</w:t>
              </w:r>
            </w:hyperlink>
          </w:p>
        </w:tc>
        <w:tc>
          <w:tcPr>
            <w:tcW w:w="360" w:type="dxa"/>
            <w:vAlign w:val="bottom"/>
            <w:gridSpan w:val="5"/>
            <w:vMerge w:val="restart"/>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28,</w:t>
            </w:r>
          </w:p>
        </w:tc>
        <w:tc>
          <w:tcPr>
            <w:tcW w:w="0" w:type="dxa"/>
            <w:vAlign w:val="bottom"/>
          </w:tcPr>
          <w:p>
            <w:pPr>
              <w:spacing w:after="0"/>
              <w:rPr>
                <w:sz w:val="1"/>
                <w:szCs w:val="1"/>
                <w:color w:val="auto"/>
              </w:rPr>
            </w:pPr>
          </w:p>
        </w:tc>
      </w:tr>
      <w:tr>
        <w:trPr>
          <w:trHeight w:val="91"/>
        </w:trPr>
        <w:tc>
          <w:tcPr>
            <w:tcW w:w="5500" w:type="dxa"/>
            <w:vAlign w:val="bottom"/>
            <w:tcBorders>
              <w:bottom w:val="single" w:sz="8" w:color="0000EE"/>
            </w:tcBorders>
            <w:gridSpan w:val="39"/>
            <w:vMerge w:val="continue"/>
          </w:tcPr>
          <w:p>
            <w:pPr>
              <w:spacing w:after="0"/>
              <w:rPr>
                <w:sz w:val="7"/>
                <w:szCs w:val="7"/>
                <w:color w:val="auto"/>
              </w:rPr>
            </w:pPr>
          </w:p>
        </w:tc>
        <w:tc>
          <w:tcPr>
            <w:tcW w:w="360" w:type="dxa"/>
            <w:vAlign w:val="bottom"/>
            <w:gridSpan w:val="5"/>
            <w:vMerge w:val="continue"/>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129"/>
        </w:trPr>
        <w:tc>
          <w:tcPr>
            <w:tcW w:w="5860" w:type="dxa"/>
            <w:vAlign w:val="bottom"/>
            <w:gridSpan w:val="44"/>
            <w:vMerge w:val="restart"/>
          </w:tcPr>
          <w:p>
            <w:pPr>
              <w:spacing w:after="0"/>
              <w:rPr>
                <w:sz w:val="20"/>
                <w:szCs w:val="20"/>
                <w:color w:val="auto"/>
              </w:rPr>
            </w:pPr>
            <w:r>
              <w:rPr>
                <w:rFonts w:ascii="Times New Roman" w:cs="Times New Roman" w:eastAsia="Times New Roman" w:hAnsi="Times New Roman"/>
                <w:sz w:val="18"/>
                <w:szCs w:val="18"/>
                <w:color w:val="0000EE"/>
              </w:rPr>
              <w:t>2017 Equity Incentive Plan and forms of agreements thereunder</w:t>
            </w:r>
          </w:p>
        </w:tc>
        <w:tc>
          <w:tcPr>
            <w:tcW w:w="88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860" w:type="dxa"/>
            <w:vAlign w:val="bottom"/>
            <w:gridSpan w:val="44"/>
            <w:vMerge w:val="continue"/>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2017 Employee Stock Purchase Plan and forms of agreements thereunder</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19, 2017</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Executive  Employment  Agreement  between  Darrin  R.  Uecker  and  the</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December 22,</w:t>
            </w:r>
          </w:p>
        </w:tc>
        <w:tc>
          <w:tcPr>
            <w:tcW w:w="0" w:type="dxa"/>
            <w:vAlign w:val="bottom"/>
          </w:tcPr>
          <w:p>
            <w:pPr>
              <w:spacing w:after="0"/>
              <w:rPr>
                <w:sz w:val="1"/>
                <w:szCs w:val="1"/>
                <w:color w:val="auto"/>
              </w:rPr>
            </w:pPr>
          </w:p>
        </w:tc>
      </w:tr>
      <w:tr>
        <w:trPr>
          <w:trHeight w:val="196"/>
        </w:trPr>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11">
              <w:r>
                <w:rPr>
                  <w:rFonts w:ascii="Times New Roman" w:cs="Times New Roman" w:eastAsia="Times New Roman" w:hAnsi="Times New Roman"/>
                  <w:sz w:val="18"/>
                  <w:szCs w:val="18"/>
                  <w:color w:val="0000EE"/>
                  <w:w w:val="97"/>
                </w:rPr>
                <w:t>Registrant</w:t>
              </w:r>
            </w:hyperlink>
          </w:p>
        </w:tc>
        <w:tc>
          <w:tcPr>
            <w:tcW w:w="4980" w:type="dxa"/>
            <w:vAlign w:val="bottom"/>
            <w:tcBorders>
              <w:top w:val="single" w:sz="8" w:color="0000EE"/>
            </w:tcBorders>
            <w:gridSpan w:val="40"/>
          </w:tcPr>
          <w:p>
            <w:pPr>
              <w:spacing w:after="0"/>
              <w:rPr>
                <w:sz w:val="17"/>
                <w:szCs w:val="17"/>
                <w:color w:val="auto"/>
              </w:rPr>
            </w:pPr>
          </w:p>
        </w:tc>
        <w:tc>
          <w:tcPr>
            <w:tcW w:w="140" w:type="dxa"/>
            <w:vAlign w:val="bottom"/>
            <w:gridSpan w:val="3"/>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333-208694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Amendment to Employment Agreement between Darrin R. Uecker and Pulse</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October 11,</w:t>
            </w:r>
          </w:p>
        </w:tc>
        <w:tc>
          <w:tcPr>
            <w:tcW w:w="0" w:type="dxa"/>
            <w:vAlign w:val="bottom"/>
          </w:tcPr>
          <w:p>
            <w:pPr>
              <w:spacing w:after="0"/>
              <w:rPr>
                <w:sz w:val="1"/>
                <w:szCs w:val="1"/>
                <w:color w:val="auto"/>
              </w:rPr>
            </w:pPr>
          </w:p>
        </w:tc>
      </w:tr>
      <w:tr>
        <w:trPr>
          <w:trHeight w:val="196"/>
        </w:trPr>
        <w:tc>
          <w:tcPr>
            <w:tcW w:w="5720" w:type="dxa"/>
            <w:vAlign w:val="bottom"/>
            <w:tcBorders>
              <w:top w:val="single" w:sz="8" w:color="0000EE"/>
            </w:tcBorders>
            <w:gridSpan w:val="41"/>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Biosciences, Inc. dated October 5, 2016</w:t>
              </w:r>
            </w:hyperlink>
          </w:p>
        </w:tc>
        <w:tc>
          <w:tcPr>
            <w:tcW w:w="140" w:type="dxa"/>
            <w:vAlign w:val="bottom"/>
            <w:gridSpan w:val="3"/>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At-Will  Employment,  Confidential  Information,  Invention</w:t>
              </w:r>
            </w:hyperlink>
          </w:p>
        </w:tc>
        <w:tc>
          <w:tcPr>
            <w:tcW w:w="1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December 22,</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Assignment, and Arbitration Agreement for Employees</w:t>
              </w:r>
            </w:hyperlink>
          </w:p>
        </w:tc>
        <w:tc>
          <w:tcPr>
            <w:tcW w:w="1860" w:type="dxa"/>
            <w:vAlign w:val="bottom"/>
            <w:gridSpan w:val="18"/>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333-208694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Form of Indemnification Agreement</w:t>
              </w:r>
            </w:hyperlink>
          </w:p>
        </w:tc>
        <w:tc>
          <w:tcPr>
            <w:tcW w:w="3240" w:type="dxa"/>
            <w:vAlign w:val="bottom"/>
            <w:gridSpan w:val="29"/>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8-K12B</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18, 2018</w:t>
            </w: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First Amendment to the lease for facilities at 3955 Point Eden Way, Hayward,</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California, dated May 28, 2019</w:t>
              </w:r>
            </w:hyperlink>
          </w:p>
        </w:tc>
        <w:tc>
          <w:tcPr>
            <w:tcW w:w="3460" w:type="dxa"/>
            <w:vAlign w:val="bottom"/>
            <w:tcBorders>
              <w:top w:val="single" w:sz="8" w:color="0000EE"/>
            </w:tcBorders>
            <w:gridSpan w:val="29"/>
          </w:tcPr>
          <w:p>
            <w:pPr>
              <w:spacing w:after="0"/>
              <w:rPr>
                <w:sz w:val="17"/>
                <w:szCs w:val="17"/>
                <w:color w:val="auto"/>
              </w:rPr>
            </w:pPr>
          </w:p>
        </w:tc>
        <w:tc>
          <w:tcPr>
            <w:tcW w:w="140" w:type="dxa"/>
            <w:vAlign w:val="bottom"/>
            <w:gridSpan w:val="3"/>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31, 2019</w:t>
            </w: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At-the-Market Equity Offering Sales Agreement</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July 15, 2024</w:t>
            </w: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Indemnification Letter, dated May 27, 2022, by and between Pulse</w:t>
              </w:r>
            </w:hyperlink>
          </w:p>
        </w:tc>
        <w:tc>
          <w:tcPr>
            <w:tcW w:w="106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Biosciences, Inc. and Robert W. Duggan</w:t>
              </w:r>
            </w:hyperlink>
          </w:p>
        </w:tc>
        <w:tc>
          <w:tcPr>
            <w:tcW w:w="2940" w:type="dxa"/>
            <w:vAlign w:val="bottom"/>
            <w:gridSpan w:val="24"/>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10, 2022</w:t>
            </w: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Loan Agreement, dated as of September 20, 2022, by and between Pulse</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Biosciences, Inc. and Robert W. Duggan</w:t>
              </w:r>
            </w:hyperlink>
          </w:p>
        </w:tc>
        <w:tc>
          <w:tcPr>
            <w:tcW w:w="2360" w:type="dxa"/>
            <w:vAlign w:val="bottom"/>
            <w:tcBorders>
              <w:top w:val="single" w:sz="8" w:color="0000EE"/>
            </w:tcBorders>
            <w:gridSpan w:val="13"/>
          </w:tcPr>
          <w:p>
            <w:pPr>
              <w:spacing w:after="0"/>
              <w:rPr>
                <w:sz w:val="17"/>
                <w:szCs w:val="17"/>
                <w:color w:val="auto"/>
              </w:rPr>
            </w:pPr>
          </w:p>
        </w:tc>
        <w:tc>
          <w:tcPr>
            <w:tcW w:w="580" w:type="dxa"/>
            <w:vAlign w:val="bottom"/>
            <w:gridSpan w:val="11"/>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Amendment to Employment Agreement, between Darrin Uecker and Pulse</w:t>
              </w:r>
            </w:hyperlink>
          </w:p>
        </w:tc>
        <w:tc>
          <w:tcPr>
            <w:tcW w:w="46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Biosciences, Inc., dated September 20, 2022</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Amendment to Employment Agreement, between Kevin Danahy and Pulse</w:t>
              </w:r>
            </w:hyperlink>
          </w:p>
        </w:tc>
        <w:tc>
          <w:tcPr>
            <w:tcW w:w="4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28,</w:t>
            </w: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Biosciences, Inc., dated September 23, 2022</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Amendment to Employment Agreement, between Kevin Danahy and Pulse</w:t>
              </w:r>
            </w:hyperlink>
          </w:p>
        </w:tc>
        <w:tc>
          <w:tcPr>
            <w:tcW w:w="4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Biosciences, Inc., dated May 4, 2023</w:t>
              </w:r>
            </w:hyperlink>
          </w:p>
        </w:tc>
        <w:tc>
          <w:tcPr>
            <w:tcW w:w="3200" w:type="dxa"/>
            <w:vAlign w:val="bottom"/>
            <w:gridSpan w:val="28"/>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May 5, 2023</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Amendment to Employment Agreement, between Darrin Uecker and Pulse</w:t>
              </w:r>
            </w:hyperlink>
          </w:p>
        </w:tc>
        <w:tc>
          <w:tcPr>
            <w:tcW w:w="46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Biosciences, Inc., dated May 5, 2023</w:t>
              </w:r>
            </w:hyperlink>
          </w:p>
        </w:tc>
        <w:tc>
          <w:tcPr>
            <w:tcW w:w="3200" w:type="dxa"/>
            <w:vAlign w:val="bottom"/>
            <w:gridSpan w:val="28"/>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May 5, 2023</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Third Amendment to Employment Agreement, between Kevin Danahy and</w:t>
              </w:r>
            </w:hyperlink>
          </w:p>
        </w:tc>
        <w:tc>
          <w:tcPr>
            <w:tcW w:w="4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Pulse Biosciences, Inc., dated March 26, 2024</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28, 2024</w:t>
            </w: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Fourth Amendment to Employment Agreement, between Darrin Uecker and</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tcBorders>
              <w:top w:val="single" w:sz="8" w:color="0000EE"/>
            </w:tcBorders>
            <w:gridSpan w:val="38"/>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Pulse Biosciences, Inc., dated March 26, 2024</w:t>
              </w:r>
            </w:hyperlink>
          </w:p>
        </w:tc>
        <w:tc>
          <w:tcPr>
            <w:tcW w:w="380" w:type="dxa"/>
            <w:vAlign w:val="bottom"/>
            <w:gridSpan w:val="6"/>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28, 2024</w:t>
            </w: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Employment Agreement between Paul A. LaViolette and Pulse Biosciences,</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January 13,</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Inc., dated January 9, 2025</w:t>
              </w:r>
            </w:hyperlink>
          </w:p>
        </w:tc>
        <w:tc>
          <w:tcPr>
            <w:tcW w:w="3540" w:type="dxa"/>
            <w:vAlign w:val="bottom"/>
            <w:tcBorders>
              <w:top w:val="single" w:sz="8" w:color="0000EE"/>
            </w:tcBorders>
            <w:gridSpan w:val="28"/>
          </w:tcPr>
          <w:p>
            <w:pPr>
              <w:spacing w:after="0"/>
              <w:rPr>
                <w:sz w:val="17"/>
                <w:szCs w:val="17"/>
                <w:color w:val="auto"/>
              </w:rPr>
            </w:pPr>
          </w:p>
        </w:tc>
        <w:tc>
          <w:tcPr>
            <w:tcW w:w="380" w:type="dxa"/>
            <w:vAlign w:val="bottom"/>
            <w:gridSpan w:val="6"/>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Employment Agreement between Jon Skinner and Pulse Biosciences, Inc.,</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January 31,</w:t>
            </w:r>
          </w:p>
        </w:tc>
        <w:tc>
          <w:tcPr>
            <w:tcW w:w="0" w:type="dxa"/>
            <w:vAlign w:val="bottom"/>
          </w:tcPr>
          <w:p>
            <w:pPr>
              <w:spacing w:after="0"/>
              <w:rPr>
                <w:sz w:val="1"/>
                <w:szCs w:val="1"/>
                <w:color w:val="auto"/>
              </w:rPr>
            </w:pPr>
          </w:p>
        </w:tc>
      </w:tr>
      <w:tr>
        <w:trPr>
          <w:trHeight w:val="196"/>
        </w:trPr>
        <w:tc>
          <w:tcPr>
            <w:tcW w:w="536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dated January 31, 2025</w:t>
              </w:r>
            </w:hyperlink>
          </w:p>
        </w:tc>
        <w:tc>
          <w:tcPr>
            <w:tcW w:w="500" w:type="dxa"/>
            <w:vAlign w:val="bottom"/>
            <w:gridSpan w:val="9"/>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001-37744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 of Pulse Biosciences, Inc. (as amended and restated on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February 19, 2026)</w:t>
            </w:r>
          </w:p>
        </w:tc>
        <w:tc>
          <w:tcPr>
            <w:tcW w:w="4200" w:type="dxa"/>
            <w:vAlign w:val="bottom"/>
            <w:tcBorders>
              <w:top w:val="single" w:sz="8" w:color="0000EE"/>
            </w:tcBorders>
            <w:gridSpan w:val="36"/>
          </w:tcPr>
          <w:p>
            <w:pPr>
              <w:spacing w:after="0"/>
              <w:rPr>
                <w:sz w:val="17"/>
                <w:szCs w:val="17"/>
                <w:color w:val="auto"/>
              </w:rPr>
            </w:pPr>
          </w:p>
        </w:tc>
        <w:tc>
          <w:tcPr>
            <w:tcW w:w="28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List of Subsidiaries</w:t>
            </w:r>
          </w:p>
        </w:tc>
        <w:tc>
          <w:tcPr>
            <w:tcW w:w="4460" w:type="dxa"/>
            <w:vAlign w:val="bottom"/>
            <w:gridSpan w:val="39"/>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1540" w:type="dxa"/>
            <w:vAlign w:val="bottom"/>
            <w:gridSpan w:val="17"/>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w:t>
            </w:r>
          </w:p>
        </w:tc>
        <w:tc>
          <w:tcPr>
            <w:tcW w:w="780" w:type="dxa"/>
            <w:vAlign w:val="bottom"/>
            <w:gridSpan w:val="12"/>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760" w:type="dxa"/>
            <w:vAlign w:val="bottom"/>
            <w:gridSpan w:val="33"/>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Sarbanes-Oxley Act of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Certification of the Chief Executive Officer pursuant to Section 906 of the</w:t>
      </w:r>
    </w:p>
    <w:p>
      <w:pPr>
        <w:sectPr>
          <w:pgSz w:w="11900" w:h="16838" w:orient="portrait"/>
          <w:cols w:equalWidth="0" w:num="2">
            <w:col w:w="780" w:space="260"/>
            <w:col w:w="10200"/>
          </w:cols>
          <w:pgMar w:left="320" w:top="121" w:right="339" w:bottom="0" w:gutter="0" w:footer="0" w:header="0"/>
          <w:type w:val="continuous"/>
        </w:sectPr>
      </w:pPr>
    </w:p>
    <w:bookmarkStart w:id="85" w:name="page86"/>
    <w:bookmarkEnd w:id="85"/>
    <w:tbl>
      <w:tblPr>
        <w:tblLayout w:type="fixed"/>
        <w:tblInd w:w="12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Sarbanes-Oxley Act of 2002 (18 U.S.C. Section 1350).</w:t>
            </w:r>
          </w:p>
        </w:tc>
        <w:tc>
          <w:tcPr>
            <w:tcW w:w="17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53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pursuant to Section 906 of the</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 (18 U.S.C. Section 1350).</w:t>
            </w:r>
          </w:p>
        </w:tc>
        <w:tc>
          <w:tcPr>
            <w:tcW w:w="17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5"/>
              </w:rPr>
              <w:t>97.1+</w:t>
            </w:r>
          </w:p>
        </w:tc>
        <w:tc>
          <w:tcPr>
            <w:tcW w:w="21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Section 10D Clawback Policy</w:t>
              </w:r>
            </w:hyperlink>
          </w:p>
        </w:tc>
        <w:tc>
          <w:tcPr>
            <w:tcW w:w="3540" w:type="dxa"/>
            <w:vAlign w:val="bottom"/>
            <w:gridSpan w:val="3"/>
          </w:tcPr>
          <w:p>
            <w:pPr>
              <w:spacing w:after="0"/>
              <w:rPr>
                <w:sz w:val="17"/>
                <w:szCs w:val="17"/>
                <w:color w:val="auto"/>
              </w:rPr>
            </w:pPr>
          </w:p>
        </w:tc>
        <w:tc>
          <w:tcPr>
            <w:tcW w:w="106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001-37744</w:t>
            </w:r>
          </w:p>
        </w:tc>
        <w:tc>
          <w:tcPr>
            <w:tcW w:w="76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3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w w:val="97"/>
              </w:rPr>
              <w:t>March 28, 2024</w:t>
            </w:r>
          </w:p>
        </w:tc>
      </w:tr>
      <w:tr>
        <w:trPr>
          <w:trHeight w:val="218"/>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101.INS</w:t>
            </w:r>
          </w:p>
        </w:tc>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101.SCH</w:t>
            </w:r>
          </w:p>
        </w:tc>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101.CAL</w:t>
            </w:r>
          </w:p>
        </w:tc>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101.DEF</w:t>
            </w:r>
          </w:p>
        </w:tc>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101.LAB</w:t>
            </w:r>
          </w:p>
        </w:tc>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101.PRE</w:t>
            </w:r>
          </w:p>
        </w:tc>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ind w:left="1040" w:right="4580" w:hanging="715"/>
        <w:spacing w:after="0" w:line="260"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9" w:lineRule="exact"/>
        <w:rPr>
          <w:sz w:val="20"/>
          <w:szCs w:val="20"/>
          <w:color w:val="auto"/>
        </w:rPr>
      </w:pPr>
    </w:p>
    <w:p>
      <w:pPr>
        <w:ind w:left="1040" w:right="4460" w:hanging="6"/>
        <w:spacing w:after="0" w:line="260" w:lineRule="auto"/>
        <w:tabs>
          <w:tab w:leader="none" w:pos="11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a grant of confidential treatment.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Section 13 or 15(d)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ectPr>
          <w:pgSz w:w="11900" w:h="16838" w:orient="portrait"/>
          <w:cols w:equalWidth="0" w:num="1">
            <w:col w:w="11240"/>
          </w:cols>
          <w:pgMar w:left="320" w:top="121" w:right="33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19, 2026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90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Paul A. LaViolette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-1069340</wp:posOffset>
            </wp:positionH>
            <wp:positionV relativeFrom="paragraph">
              <wp:posOffset>17145</wp:posOffset>
            </wp:positionV>
            <wp:extent cx="3206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3">
            <w:col w:w="4920" w:space="720"/>
            <w:col w:w="1300" w:space="720"/>
            <w:col w:w="3580"/>
          </w:cols>
          <w:pgMar w:left="320" w:top="121" w:right="339" w:bottom="1440" w:gutter="0" w:footer="0" w:header="0"/>
          <w:type w:val="continuous"/>
        </w:sectPr>
      </w:pPr>
    </w:p>
    <w:p>
      <w:pPr>
        <w:jc w:val="center"/>
        <w:ind w:left="5740"/>
        <w:spacing w:after="0"/>
        <w:rPr>
          <w:sz w:val="20"/>
          <w:szCs w:val="20"/>
          <w:color w:val="auto"/>
        </w:rPr>
      </w:pPr>
      <w:r>
        <w:rPr>
          <w:rFonts w:ascii="Times New Roman" w:cs="Times New Roman" w:eastAsia="Times New Roman" w:hAnsi="Times New Roman"/>
          <w:sz w:val="18"/>
          <w:szCs w:val="18"/>
          <w:color w:val="auto"/>
        </w:rPr>
        <w:t>Paul A. LaViolette</w:t>
      </w:r>
    </w:p>
    <w:p>
      <w:pPr>
        <w:spacing w:after="0" w:line="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Paul A. LaViolette and Jon Skinner, jointly and severally, as his true and lawful attorney-in-fact and agent, with full power of substitution, each with power to act alone, to sign and execute on behalf of the undersigned any and all amendments to this Annual Report on Form 10-K, and to perform any acts necessary in order to file the same, with all exhibits thereto and other documents in connection therewith with the Securities and Exchange Commission, granting unto said attorney-in-fact and agent full power and authority to do and perform each and every act and thing requested and necessary to be done in connection therewith, as fully to all intents and purposes as he might or could do in person, hereby ratifying and confirming all that said attorney-in-fact and agent, or their or his or her substitutes, shall do or cause to be done by virtue hereof.</w:t>
      </w:r>
    </w:p>
    <w:p>
      <w:pPr>
        <w:spacing w:after="0" w:line="18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t>
            </w:r>
          </w:p>
        </w:tc>
        <w:tc>
          <w:tcPr>
            <w:tcW w:w="2520" w:type="dxa"/>
            <w:vAlign w:val="bottom"/>
            <w:tcBorders>
              <w:bottom w:val="single" w:sz="8" w:color="auto"/>
            </w:tcBorders>
            <w:gridSpan w:val="2"/>
          </w:tcPr>
          <w:p>
            <w:pPr>
              <w:jc w:val="center"/>
              <w:ind w:right="850"/>
              <w:spacing w:after="0"/>
              <w:rPr>
                <w:sz w:val="20"/>
                <w:szCs w:val="20"/>
                <w:color w:val="auto"/>
              </w:rPr>
            </w:pPr>
            <w:r>
              <w:rPr>
                <w:rFonts w:ascii="Times New Roman" w:cs="Times New Roman" w:eastAsia="Times New Roman" w:hAnsi="Times New Roman"/>
                <w:sz w:val="18"/>
                <w:szCs w:val="18"/>
                <w:color w:val="auto"/>
                <w:w w:val="98"/>
              </w:rPr>
              <w:t>Paul A. LaViolette</w:t>
            </w:r>
          </w:p>
        </w:tc>
        <w:tc>
          <w:tcPr>
            <w:tcW w:w="1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Co-Chairman of the Board of Directors</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28"/>
        </w:trPr>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Paul A. LaViolette</w:t>
            </w:r>
          </w:p>
        </w:tc>
        <w:tc>
          <w:tcPr>
            <w:tcW w:w="12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w:t>
            </w:r>
          </w:p>
        </w:tc>
        <w:tc>
          <w:tcPr>
            <w:tcW w:w="2520" w:type="dxa"/>
            <w:vAlign w:val="bottom"/>
            <w:tcBorders>
              <w:bottom w:val="single" w:sz="8" w:color="auto"/>
            </w:tcBorders>
            <w:gridSpan w:val="2"/>
          </w:tcPr>
          <w:p>
            <w:pPr>
              <w:jc w:val="center"/>
              <w:ind w:right="890"/>
              <w:spacing w:after="0"/>
              <w:rPr>
                <w:sz w:val="20"/>
                <w:szCs w:val="20"/>
                <w:color w:val="auto"/>
              </w:rPr>
            </w:pPr>
            <w:r>
              <w:rPr>
                <w:rFonts w:ascii="Times New Roman" w:cs="Times New Roman" w:eastAsia="Times New Roman" w:hAnsi="Times New Roman"/>
                <w:sz w:val="18"/>
                <w:szCs w:val="18"/>
                <w:color w:val="auto"/>
                <w:w w:val="98"/>
              </w:rPr>
              <w:t>Robert W. Duggan</w:t>
            </w:r>
          </w:p>
        </w:tc>
        <w:tc>
          <w:tcPr>
            <w:tcW w:w="1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Co-Chairman of the Board of Directors</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28"/>
        </w:trPr>
        <w:tc>
          <w:tcPr>
            <w:tcW w:w="38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Robert W. Duggan</w:t>
            </w: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93"/>
              </w:rPr>
              <w:t>/s/</w:t>
            </w:r>
          </w:p>
        </w:tc>
        <w:tc>
          <w:tcPr>
            <w:tcW w:w="2520" w:type="dxa"/>
            <w:vAlign w:val="bottom"/>
            <w:tcBorders>
              <w:bottom w:val="single" w:sz="8" w:color="auto"/>
            </w:tcBorders>
            <w:gridSpan w:val="2"/>
          </w:tcPr>
          <w:p>
            <w:pPr>
              <w:jc w:val="center"/>
              <w:ind w:right="830"/>
              <w:spacing w:after="0"/>
              <w:rPr>
                <w:sz w:val="20"/>
                <w:szCs w:val="20"/>
                <w:color w:val="auto"/>
              </w:rPr>
            </w:pPr>
            <w:r>
              <w:rPr>
                <w:rFonts w:ascii="Times New Roman" w:cs="Times New Roman" w:eastAsia="Times New Roman" w:hAnsi="Times New Roman"/>
                <w:sz w:val="18"/>
                <w:szCs w:val="18"/>
                <w:color w:val="auto"/>
                <w:w w:val="99"/>
              </w:rPr>
              <w:t>Darrin R. Uecker</w:t>
            </w:r>
          </w:p>
        </w:tc>
        <w:tc>
          <w:tcPr>
            <w:tcW w:w="1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Technology Officer and 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28"/>
        </w:trPr>
        <w:tc>
          <w:tcPr>
            <w:tcW w:w="1300" w:type="dxa"/>
            <w:vAlign w:val="bottom"/>
          </w:tcPr>
          <w:p>
            <w:pPr>
              <w:spacing w:after="0"/>
              <w:rPr>
                <w:sz w:val="19"/>
                <w:szCs w:val="19"/>
                <w:color w:val="auto"/>
              </w:rPr>
            </w:pPr>
          </w:p>
        </w:tc>
        <w:tc>
          <w:tcPr>
            <w:tcW w:w="2520" w:type="dxa"/>
            <w:vAlign w:val="bottom"/>
            <w:gridSpan w:val="2"/>
          </w:tcPr>
          <w:p>
            <w:pPr>
              <w:jc w:val="center"/>
              <w:ind w:right="1190"/>
              <w:spacing w:after="0"/>
              <w:rPr>
                <w:sz w:val="20"/>
                <w:szCs w:val="20"/>
                <w:color w:val="auto"/>
              </w:rPr>
            </w:pPr>
            <w:r>
              <w:rPr>
                <w:rFonts w:ascii="Times New Roman" w:cs="Times New Roman" w:eastAsia="Times New Roman" w:hAnsi="Times New Roman"/>
                <w:sz w:val="18"/>
                <w:szCs w:val="18"/>
                <w:color w:val="auto"/>
                <w:w w:val="99"/>
              </w:rPr>
              <w:t>Darrin R. Uecker</w:t>
            </w: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93"/>
              </w:rPr>
              <w:t>/s/</w:t>
            </w:r>
          </w:p>
        </w:tc>
        <w:tc>
          <w:tcPr>
            <w:tcW w:w="2520" w:type="dxa"/>
            <w:vAlign w:val="bottom"/>
            <w:tcBorders>
              <w:bottom w:val="single" w:sz="8" w:color="auto"/>
            </w:tcBorders>
            <w:gridSpan w:val="2"/>
          </w:tcPr>
          <w:p>
            <w:pPr>
              <w:jc w:val="center"/>
              <w:ind w:right="830"/>
              <w:spacing w:after="0"/>
              <w:rPr>
                <w:sz w:val="20"/>
                <w:szCs w:val="20"/>
                <w:color w:val="auto"/>
              </w:rPr>
            </w:pPr>
            <w:r>
              <w:rPr>
                <w:rFonts w:ascii="Times New Roman" w:cs="Times New Roman" w:eastAsia="Times New Roman" w:hAnsi="Times New Roman"/>
                <w:sz w:val="18"/>
                <w:szCs w:val="18"/>
                <w:color w:val="auto"/>
                <w:w w:val="99"/>
              </w:rPr>
              <w:t>Manmeet S. Soni</w:t>
            </w:r>
          </w:p>
        </w:tc>
        <w:tc>
          <w:tcPr>
            <w:tcW w:w="1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28"/>
        </w:trPr>
        <w:tc>
          <w:tcPr>
            <w:tcW w:w="1300" w:type="dxa"/>
            <w:vAlign w:val="bottom"/>
          </w:tcPr>
          <w:p>
            <w:pPr>
              <w:spacing w:after="0"/>
              <w:rPr>
                <w:sz w:val="19"/>
                <w:szCs w:val="19"/>
                <w:color w:val="auto"/>
              </w:rPr>
            </w:pPr>
          </w:p>
        </w:tc>
        <w:tc>
          <w:tcPr>
            <w:tcW w:w="2520" w:type="dxa"/>
            <w:vAlign w:val="bottom"/>
            <w:gridSpan w:val="2"/>
          </w:tcPr>
          <w:p>
            <w:pPr>
              <w:jc w:val="center"/>
              <w:ind w:right="1190"/>
              <w:spacing w:after="0"/>
              <w:rPr>
                <w:sz w:val="20"/>
                <w:szCs w:val="20"/>
                <w:color w:val="auto"/>
              </w:rPr>
            </w:pPr>
            <w:r>
              <w:rPr>
                <w:rFonts w:ascii="Times New Roman" w:cs="Times New Roman" w:eastAsia="Times New Roman" w:hAnsi="Times New Roman"/>
                <w:sz w:val="18"/>
                <w:szCs w:val="18"/>
                <w:color w:val="auto"/>
                <w:w w:val="99"/>
              </w:rPr>
              <w:t>Manmeet S. Soni</w:t>
            </w: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2300" w:type="dxa"/>
            <w:vAlign w:val="bottom"/>
            <w:tcBorders>
              <w:bottom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w w:val="98"/>
              </w:rPr>
              <w:t>Maria Sainz</w:t>
            </w:r>
          </w:p>
        </w:tc>
        <w:tc>
          <w:tcPr>
            <w:tcW w:w="1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28"/>
        </w:trPr>
        <w:tc>
          <w:tcPr>
            <w:tcW w:w="1300" w:type="dxa"/>
            <w:vAlign w:val="bottom"/>
          </w:tcPr>
          <w:p>
            <w:pPr>
              <w:spacing w:after="0"/>
              <w:rPr>
                <w:sz w:val="19"/>
                <w:szCs w:val="19"/>
                <w:color w:val="auto"/>
              </w:rPr>
            </w:pPr>
          </w:p>
        </w:tc>
        <w:tc>
          <w:tcPr>
            <w:tcW w:w="2520" w:type="dxa"/>
            <w:vAlign w:val="bottom"/>
            <w:gridSpan w:val="2"/>
          </w:tcPr>
          <w:p>
            <w:pPr>
              <w:jc w:val="center"/>
              <w:ind w:right="1190"/>
              <w:spacing w:after="0"/>
              <w:rPr>
                <w:sz w:val="20"/>
                <w:szCs w:val="20"/>
                <w:color w:val="auto"/>
              </w:rPr>
            </w:pPr>
            <w:r>
              <w:rPr>
                <w:rFonts w:ascii="Times New Roman" w:cs="Times New Roman" w:eastAsia="Times New Roman" w:hAnsi="Times New Roman"/>
                <w:sz w:val="18"/>
                <w:szCs w:val="18"/>
                <w:color w:val="auto"/>
              </w:rPr>
              <w:t>Maria Sainz</w:t>
            </w: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Richard A. van den Broek</w:t>
            </w:r>
          </w:p>
        </w:tc>
        <w:tc>
          <w:tcPr>
            <w:tcW w:w="1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28"/>
        </w:trPr>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Richard A. van den Broek</w:t>
            </w: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w:t>
            </w:r>
          </w:p>
        </w:tc>
        <w:tc>
          <w:tcPr>
            <w:tcW w:w="2520" w:type="dxa"/>
            <w:vAlign w:val="bottom"/>
            <w:tcBorders>
              <w:bottom w:val="single" w:sz="8" w:color="auto"/>
            </w:tcBorders>
            <w:gridSpan w:val="2"/>
          </w:tcPr>
          <w:p>
            <w:pPr>
              <w:jc w:val="center"/>
              <w:ind w:right="830"/>
              <w:spacing w:after="0"/>
              <w:rPr>
                <w:sz w:val="20"/>
                <w:szCs w:val="20"/>
                <w:color w:val="auto"/>
              </w:rPr>
            </w:pPr>
            <w:r>
              <w:rPr>
                <w:rFonts w:ascii="Times New Roman" w:cs="Times New Roman" w:eastAsia="Times New Roman" w:hAnsi="Times New Roman"/>
                <w:sz w:val="18"/>
                <w:szCs w:val="18"/>
                <w:color w:val="auto"/>
              </w:rPr>
              <w:t>Mahkam Zanganeh</w:t>
            </w:r>
          </w:p>
        </w:tc>
        <w:tc>
          <w:tcPr>
            <w:tcW w:w="1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28"/>
        </w:trPr>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Mahkam Zanganeh</w:t>
            </w:r>
          </w:p>
        </w:tc>
        <w:tc>
          <w:tcPr>
            <w:tcW w:w="1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2300" w:type="dxa"/>
            <w:vAlign w:val="bottom"/>
            <w:tcBorders>
              <w:bottom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color w:val="auto"/>
              </w:rPr>
              <w:t>Jon Skinner</w:t>
            </w:r>
          </w:p>
        </w:tc>
        <w:tc>
          <w:tcPr>
            <w:tcW w:w="1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28"/>
        </w:trPr>
        <w:tc>
          <w:tcPr>
            <w:tcW w:w="1300" w:type="dxa"/>
            <w:vAlign w:val="bottom"/>
          </w:tcPr>
          <w:p>
            <w:pPr>
              <w:spacing w:after="0"/>
              <w:rPr>
                <w:sz w:val="19"/>
                <w:szCs w:val="19"/>
                <w:color w:val="auto"/>
              </w:rPr>
            </w:pPr>
          </w:p>
        </w:tc>
        <w:tc>
          <w:tcPr>
            <w:tcW w:w="2520" w:type="dxa"/>
            <w:vAlign w:val="bottom"/>
            <w:gridSpan w:val="2"/>
          </w:tcPr>
          <w:p>
            <w:pPr>
              <w:jc w:val="center"/>
              <w:ind w:right="1190"/>
              <w:spacing w:after="0"/>
              <w:rPr>
                <w:sz w:val="20"/>
                <w:szCs w:val="20"/>
                <w:color w:val="auto"/>
              </w:rPr>
            </w:pPr>
            <w:r>
              <w:rPr>
                <w:rFonts w:ascii="Times New Roman" w:cs="Times New Roman" w:eastAsia="Times New Roman" w:hAnsi="Times New Roman"/>
                <w:sz w:val="18"/>
                <w:szCs w:val="18"/>
                <w:color w:val="auto"/>
                <w:w w:val="98"/>
              </w:rPr>
              <w:t>Jon Skinner</w:t>
            </w:r>
          </w:p>
        </w:tc>
        <w:tc>
          <w:tcPr>
            <w:tcW w:w="12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520" w:type="dxa"/>
            <w:vAlign w:val="bottom"/>
            <w:tcBorders>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/s/</w:t>
            </w:r>
          </w:p>
        </w:tc>
        <w:tc>
          <w:tcPr>
            <w:tcW w:w="2300" w:type="dxa"/>
            <w:vAlign w:val="bottom"/>
            <w:tcBorders>
              <w:bottom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w w:val="98"/>
              </w:rPr>
              <w:t>Steven Weber</w:t>
            </w:r>
          </w:p>
        </w:tc>
        <w:tc>
          <w:tcPr>
            <w:tcW w:w="12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VP, Accounting and Global Corporate Controller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2026</w:t>
            </w:r>
          </w:p>
        </w:tc>
      </w:tr>
      <w:tr>
        <w:trPr>
          <w:trHeight w:val="228"/>
        </w:trPr>
        <w:tc>
          <w:tcPr>
            <w:tcW w:w="1300" w:type="dxa"/>
            <w:vAlign w:val="bottom"/>
          </w:tcPr>
          <w:p>
            <w:pPr>
              <w:spacing w:after="0"/>
              <w:rPr>
                <w:sz w:val="19"/>
                <w:szCs w:val="19"/>
                <w:color w:val="auto"/>
              </w:rPr>
            </w:pPr>
          </w:p>
        </w:tc>
        <w:tc>
          <w:tcPr>
            <w:tcW w:w="2520" w:type="dxa"/>
            <w:vAlign w:val="bottom"/>
            <w:gridSpan w:val="2"/>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Steven Weber</w:t>
            </w:r>
          </w:p>
        </w:tc>
        <w:tc>
          <w:tcPr>
            <w:tcW w:w="120" w:type="dxa"/>
            <w:vAlign w:val="bottom"/>
          </w:tcPr>
          <w:p>
            <w:pPr>
              <w:spacing w:after="0"/>
              <w:rPr>
                <w:sz w:val="19"/>
                <w:szCs w:val="19"/>
                <w:color w:val="auto"/>
              </w:rPr>
            </w:pPr>
          </w:p>
        </w:tc>
        <w:tc>
          <w:tcPr>
            <w:tcW w:w="5520" w:type="dxa"/>
            <w:vAlign w:val="bottom"/>
          </w:tcPr>
          <w:p>
            <w:pPr>
              <w:jc w:val="right"/>
              <w:ind w:right="147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40" w:type="dxa"/>
            <w:vAlign w:val="bottom"/>
            <w:gridSpan w:val="2"/>
          </w:tcPr>
          <w:p>
            <w:pPr>
              <w:jc w:val="right"/>
              <w:ind w:right="365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10.6</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Approved by Stockholders 9/30/25</w:t>
      </w:r>
    </w:p>
    <w:p>
      <w:pPr>
        <w:spacing w:after="0" w:line="223"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AMENDED AND RESTATED 2017 EQUITY INCENTIVE PLAN</w:t>
      </w:r>
    </w:p>
    <w:p>
      <w:pPr>
        <w:spacing w:after="0" w:line="207" w:lineRule="exact"/>
        <w:rPr>
          <w:sz w:val="20"/>
          <w:szCs w:val="20"/>
          <w:color w:val="auto"/>
        </w:rPr>
      </w:pPr>
    </w:p>
    <w:p>
      <w:pPr>
        <w:ind w:left="860" w:hanging="315"/>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225" w:lineRule="exact"/>
        <w:rPr>
          <w:rFonts w:ascii="Times New Roman" w:cs="Times New Roman" w:eastAsia="Times New Roman" w:hAnsi="Times New Roman"/>
          <w:sz w:val="18"/>
          <w:szCs w:val="18"/>
          <w:color w:val="auto"/>
        </w:rPr>
      </w:pPr>
    </w:p>
    <w:p>
      <w:pPr>
        <w:ind w:left="1680" w:hanging="325"/>
        <w:spacing w:after="0"/>
        <w:tabs>
          <w:tab w:leader="none" w:pos="1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225" w:lineRule="exact"/>
        <w:rPr>
          <w:rFonts w:ascii="Times New Roman" w:cs="Times New Roman" w:eastAsia="Times New Roman" w:hAnsi="Times New Roman"/>
          <w:sz w:val="18"/>
          <w:szCs w:val="18"/>
          <w:color w:val="auto"/>
        </w:rPr>
      </w:pPr>
    </w:p>
    <w:p>
      <w:pPr>
        <w:ind w:left="1680" w:hanging="325"/>
        <w:spacing w:after="0"/>
        <w:tabs>
          <w:tab w:leader="none" w:pos="1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225" w:lineRule="exact"/>
        <w:rPr>
          <w:rFonts w:ascii="Times New Roman" w:cs="Times New Roman" w:eastAsia="Times New Roman" w:hAnsi="Times New Roman"/>
          <w:sz w:val="18"/>
          <w:szCs w:val="18"/>
          <w:color w:val="auto"/>
        </w:rPr>
      </w:pPr>
    </w:p>
    <w:p>
      <w:pPr>
        <w:ind w:left="1680" w:hanging="325"/>
        <w:spacing w:after="0"/>
        <w:tabs>
          <w:tab w:leader="none" w:pos="1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left="860"/>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Restricted Stock, Restricted Stock Units, Stock Appreciation Rights, Performance Units and Performance Shares.</w:t>
      </w:r>
    </w:p>
    <w:p>
      <w:pPr>
        <w:spacing w:after="0" w:line="162" w:lineRule="exact"/>
        <w:rPr>
          <w:sz w:val="20"/>
          <w:szCs w:val="20"/>
          <w:color w:val="auto"/>
        </w:rPr>
      </w:pPr>
    </w:p>
    <w:p>
      <w:pPr>
        <w:ind w:left="860" w:hanging="315"/>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 Plan.</w:t>
      </w:r>
    </w:p>
    <w:p>
      <w:pPr>
        <w:spacing w:after="0" w:line="225" w:lineRule="exact"/>
        <w:rPr>
          <w:sz w:val="20"/>
          <w:szCs w:val="20"/>
          <w:color w:val="auto"/>
        </w:rPr>
      </w:pPr>
    </w:p>
    <w:p>
      <w:pPr>
        <w:jc w:val="both"/>
        <w:ind w:left="220" w:hanging="215"/>
        <w:spacing w:after="0" w:line="261"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and the related issuance of Shares thereunder, including but not limited to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80" w:lineRule="exact"/>
        <w:rPr>
          <w:sz w:val="20"/>
          <w:szCs w:val="20"/>
          <w:color w:val="auto"/>
        </w:rPr>
      </w:pPr>
    </w:p>
    <w:p>
      <w:pPr>
        <w:jc w:val="both"/>
        <w:ind w:left="200" w:right="20" w:hanging="202"/>
        <w:spacing w:after="0" w:line="282"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162" w:lineRule="exact"/>
        <w:rPr>
          <w:sz w:val="20"/>
          <w:szCs w:val="20"/>
          <w:color w:val="auto"/>
        </w:rPr>
      </w:pPr>
    </w:p>
    <w:p>
      <w:pPr>
        <w:jc w:val="both"/>
        <w:ind w:left="220" w:hanging="215"/>
        <w:spacing w:after="0" w:line="282"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200" w:hanging="195"/>
        <w:spacing w:after="0"/>
        <w:tabs>
          <w:tab w:leader="none" w:pos="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jc w:val="both"/>
        <w:ind w:left="2200" w:hanging="318"/>
        <w:spacing w:after="0" w:line="256" w:lineRule="auto"/>
        <w:tabs>
          <w:tab w:leader="none" w:pos="22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187" w:lineRule="exact"/>
        <w:rPr>
          <w:sz w:val="20"/>
          <w:szCs w:val="20"/>
          <w:color w:val="auto"/>
        </w:rPr>
      </w:pPr>
    </w:p>
    <w:p>
      <w:pPr>
        <w:jc w:val="both"/>
        <w:ind w:left="680" w:hanging="228"/>
        <w:spacing w:after="0" w:line="281" w:lineRule="auto"/>
        <w:rPr>
          <w:sz w:val="20"/>
          <w:szCs w:val="20"/>
          <w:color w:val="auto"/>
        </w:rPr>
      </w:pPr>
      <w:r>
        <w:rPr>
          <w:rFonts w:ascii="Times New Roman" w:cs="Times New Roman" w:eastAsia="Times New Roman" w:hAnsi="Times New Roman"/>
          <w:sz w:val="17"/>
          <w:szCs w:val="17"/>
          <w:color w:val="auto"/>
        </w:rPr>
        <w:t>(ii)A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339090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1200" w:top="337" w:right="339" w:bottom="1440" w:gutter="0" w:footer="0" w:header="0"/>
        </w:sectPr>
      </w:pPr>
    </w:p>
    <w:bookmarkStart w:id="88" w:name="page89"/>
    <w:bookmarkEnd w:id="88"/>
    <w:p>
      <w:pPr>
        <w:jc w:val="both"/>
        <w:ind w:left="700" w:hanging="269"/>
        <w:spacing w:after="0" w:line="254" w:lineRule="auto"/>
        <w:rPr>
          <w:sz w:val="20"/>
          <w:szCs w:val="20"/>
          <w:color w:val="auto"/>
        </w:rPr>
      </w:pPr>
      <w:r>
        <w:rPr>
          <w:rFonts w:ascii="Times New Roman" w:cs="Times New Roman" w:eastAsia="Times New Roman" w:hAnsi="Times New Roman"/>
          <w:sz w:val="18"/>
          <w:szCs w:val="18"/>
          <w:color w:val="auto"/>
        </w:rPr>
        <w:t>(iii)A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w:t>
      </w:r>
    </w:p>
    <w:p>
      <w:pPr>
        <w:spacing w:after="0" w:line="3" w:lineRule="exact"/>
        <w:rPr>
          <w:sz w:val="20"/>
          <w:szCs w:val="20"/>
          <w:color w:val="auto"/>
        </w:rPr>
      </w:pPr>
    </w:p>
    <w:p>
      <w:pPr>
        <w:jc w:val="both"/>
        <w:ind w:left="700" w:firstLine="7"/>
        <w:spacing w:after="0" w:line="251" w:lineRule="auto"/>
        <w:tabs>
          <w:tab w:leader="none" w:pos="10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jc w:val="both"/>
        <w:ind w:left="700"/>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jc w:val="both"/>
        <w:ind w:left="700"/>
        <w:spacing w:after="0" w:line="261"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80" w:lineRule="exact"/>
        <w:rPr>
          <w:sz w:val="20"/>
          <w:szCs w:val="20"/>
          <w:color w:val="auto"/>
        </w:rPr>
      </w:pPr>
    </w:p>
    <w:p>
      <w:pPr>
        <w:jc w:val="both"/>
        <w:ind w:left="700"/>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ind w:left="220" w:hanging="215"/>
        <w:spacing w:after="0" w:line="266"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76" w:lineRule="exact"/>
        <w:rPr>
          <w:sz w:val="20"/>
          <w:szCs w:val="20"/>
          <w:color w:val="auto"/>
        </w:rPr>
      </w:pPr>
    </w:p>
    <w:p>
      <w:pPr>
        <w:jc w:val="both"/>
        <w:ind w:left="220" w:right="20" w:hanging="215"/>
        <w:spacing w:after="0" w:line="282" w:lineRule="auto"/>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a duly authorized committee of the Board, in accordance with Section 4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Pulse Biosciences, Inc., a Nevada corporation, or any successor thereto.</w:t>
      </w:r>
    </w:p>
    <w:p>
      <w:pPr>
        <w:spacing w:after="0" w:line="225" w:lineRule="exact"/>
        <w:rPr>
          <w:sz w:val="20"/>
          <w:szCs w:val="20"/>
          <w:color w:val="auto"/>
        </w:rPr>
      </w:pPr>
    </w:p>
    <w:p>
      <w:pPr>
        <w:jc w:val="both"/>
        <w:ind w:left="220" w:hanging="215"/>
        <w:spacing w:after="0" w:line="258" w:lineRule="auto"/>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including an advisor, engaged by the Company or a Parent or Subsidiary to render bona fide services to such entity, or engaged by a third party, such as a third-party payrolling service or employer of record, to render bona fide services to the Company or a Parent or Subsidiary, provided the services (i) are not in connection with the offer or sale of securities in a capital-raising transaction, and (ii) do not directly promote or maintain a market for the Company’s securities, in each case, within the meaning of Form S-8 promulgated under the Securities Act.</w:t>
      </w:r>
    </w:p>
    <w:p>
      <w:pPr>
        <w:spacing w:after="0" w:line="183" w:lineRule="exact"/>
        <w:rPr>
          <w:sz w:val="20"/>
          <w:szCs w:val="20"/>
          <w:color w:val="auto"/>
        </w:rPr>
      </w:pPr>
    </w:p>
    <w:p>
      <w:pPr>
        <w:jc w:val="both"/>
        <w:ind w:left="180" w:hanging="175"/>
        <w:spacing w:after="0" w:line="282" w:lineRule="auto"/>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means the latest possible date that will not jeopardize the qualification of an Award granted under the Plan as “performance-based compensation” under Section 162(m) of the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377190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1200" w:top="580" w:right="339" w:bottom="1440" w:gutter="0" w:footer="0" w:header="0"/>
        </w:sectPr>
      </w:pPr>
    </w:p>
    <w:bookmarkStart w:id="89" w:name="page90"/>
    <w:bookmarkEnd w:id="89"/>
    <w:p>
      <w:pPr>
        <w:jc w:val="both"/>
        <w:ind w:left="220" w:hanging="215"/>
        <w:spacing w:after="0" w:line="266" w:lineRule="auto"/>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Neither service as a Director nor payment of a director’s fee by the Company will be sufficient to constitute “employment” by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left="220" w:hanging="215"/>
        <w:spacing w:after="0" w:line="258" w:lineRule="auto"/>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83" w:lineRule="exact"/>
        <w:rPr>
          <w:sz w:val="20"/>
          <w:szCs w:val="20"/>
          <w:color w:val="auto"/>
        </w:rPr>
      </w:pPr>
    </w:p>
    <w:p>
      <w:pPr>
        <w:ind w:left="200" w:hanging="195"/>
        <w:spacing w:after="0"/>
        <w:tabs>
          <w:tab w:leader="none" w:pos="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jc w:val="both"/>
        <w:ind w:left="600" w:hanging="122"/>
        <w:spacing w:after="0" w:line="258" w:lineRule="auto"/>
        <w:tabs>
          <w:tab w:leader="none" w:pos="6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83" w:lineRule="exact"/>
        <w:rPr>
          <w:sz w:val="20"/>
          <w:szCs w:val="20"/>
          <w:color w:val="auto"/>
        </w:rPr>
      </w:pPr>
    </w:p>
    <w:p>
      <w:pPr>
        <w:jc w:val="both"/>
        <w:ind w:left="600" w:hanging="147"/>
        <w:spacing w:after="0" w:line="261" w:lineRule="auto"/>
        <w:rPr>
          <w:sz w:val="20"/>
          <w:szCs w:val="20"/>
          <w:color w:val="auto"/>
        </w:rPr>
      </w:pPr>
      <w:r>
        <w:rPr>
          <w:rFonts w:ascii="Times New Roman" w:cs="Times New Roman" w:eastAsia="Times New Roman" w:hAnsi="Times New Roman"/>
          <w:sz w:val="18"/>
          <w:szCs w:val="18"/>
          <w:color w:val="auto"/>
        </w:rPr>
        <w:t xml:space="preserve">ii.If the Common Stock is regularly quoted by a recognized securities dealer but selling prices are not reported, the Fair Market Value of a Share will be the mean between the high bid and low asked prices for the Common Stock on the date of determination (or, if no bids and asks were reported on that date, as applicable, on the last trading date such bids and asks were reported), as reported in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or such other source as the Administrator deems reliable; or</w:t>
      </w:r>
    </w:p>
    <w:p>
      <w:pPr>
        <w:spacing w:after="0" w:line="180" w:lineRule="exact"/>
        <w:rPr>
          <w:sz w:val="20"/>
          <w:szCs w:val="20"/>
          <w:color w:val="auto"/>
        </w:rPr>
      </w:pPr>
    </w:p>
    <w:p>
      <w:pPr>
        <w:jc w:val="both"/>
        <w:ind w:left="660" w:hanging="201"/>
        <w:spacing w:after="0" w:line="282" w:lineRule="auto"/>
        <w:rPr>
          <w:sz w:val="20"/>
          <w:szCs w:val="20"/>
          <w:color w:val="auto"/>
        </w:rPr>
      </w:pPr>
      <w:r>
        <w:rPr>
          <w:rFonts w:ascii="Times New Roman" w:cs="Times New Roman" w:eastAsia="Times New Roman" w:hAnsi="Times New Roman"/>
          <w:sz w:val="18"/>
          <w:szCs w:val="18"/>
          <w:color w:val="auto"/>
        </w:rPr>
        <w:t>iii.In the absence of an established market for the Common Stock, the Fair Market Value will be determined in good faith by the Administrator.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sz w:val="20"/>
          <w:szCs w:val="20"/>
          <w:color w:val="auto"/>
        </w:rPr>
      </w:pPr>
    </w:p>
    <w:p>
      <w:pPr>
        <w:ind w:left="180" w:hanging="175"/>
        <w:spacing w:after="0" w:line="282"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by its terms qualifies and is intended to qualify as an incentive stock option within the meaning of Section 422 of the Code and the regulations promulgated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8"/>
          <w:szCs w:val="18"/>
          <w:u w:val="single" w:color="auto"/>
          <w:color w:val="auto"/>
        </w:rPr>
        <w:t>“Inside Director</w:t>
      </w:r>
      <w:r>
        <w:rPr>
          <w:rFonts w:ascii="Times New Roman" w:cs="Times New Roman" w:eastAsia="Times New Roman" w:hAnsi="Times New Roman"/>
          <w:sz w:val="18"/>
          <w:szCs w:val="18"/>
          <w:color w:val="auto"/>
        </w:rPr>
        <w:t>” means a Director who is an Employee.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225" w:lineRule="exact"/>
        <w:rPr>
          <w:sz w:val="20"/>
          <w:szCs w:val="20"/>
          <w:color w:val="auto"/>
        </w:rPr>
      </w:pPr>
    </w:p>
    <w:p>
      <w:pPr>
        <w:ind w:left="260" w:hanging="256"/>
        <w:spacing w:after="0" w:line="282" w:lineRule="auto"/>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will have the meaning set forth in Section 11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377190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1200" w:top="580" w:right="339" w:bottom="1440" w:gutter="0" w:footer="0" w:header="0"/>
        </w:sectPr>
      </w:pPr>
    </w:p>
    <w:bookmarkStart w:id="90" w:name="page91"/>
    <w:bookmarkEnd w:id="90"/>
    <w:p>
      <w:pPr>
        <w:jc w:val="both"/>
        <w:ind w:left="500" w:right="20" w:hanging="283"/>
        <w:spacing w:after="0" w:line="282" w:lineRule="auto"/>
        <w:rPr>
          <w:sz w:val="20"/>
          <w:szCs w:val="20"/>
          <w:color w:val="auto"/>
        </w:rPr>
      </w:pPr>
      <w:r>
        <w:rPr>
          <w:rFonts w:ascii="Times New Roman" w:cs="Times New Roman" w:eastAsia="Times New Roman" w:hAnsi="Times New Roman"/>
          <w:sz w:val="18"/>
          <w:szCs w:val="18"/>
          <w:color w:val="auto"/>
        </w:rPr>
        <w:t>(cc)“</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any Fiscal Year of the Company or such other period as determined by the Administrator in its sole discretion.</w:t>
      </w:r>
    </w:p>
    <w:p>
      <w:pPr>
        <w:spacing w:after="0" w:line="162" w:lineRule="exact"/>
        <w:rPr>
          <w:sz w:val="20"/>
          <w:szCs w:val="20"/>
          <w:color w:val="auto"/>
        </w:rPr>
      </w:pPr>
    </w:p>
    <w:p>
      <w:pPr>
        <w:jc w:val="both"/>
        <w:ind w:left="520" w:right="20" w:hanging="309"/>
        <w:spacing w:after="0" w:line="282" w:lineRule="auto"/>
        <w:rPr>
          <w:sz w:val="20"/>
          <w:szCs w:val="20"/>
          <w:color w:val="auto"/>
        </w:rPr>
      </w:pPr>
      <w:r>
        <w:rPr>
          <w:rFonts w:ascii="Times New Roman" w:cs="Times New Roman" w:eastAsia="Times New Roman" w:hAnsi="Times New Roman"/>
          <w:sz w:val="18"/>
          <w:szCs w:val="18"/>
          <w:color w:val="auto"/>
        </w:rPr>
        <w:t>(dd)“</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2" w:lineRule="exact"/>
        <w:rPr>
          <w:sz w:val="20"/>
          <w:szCs w:val="20"/>
          <w:color w:val="auto"/>
        </w:rPr>
      </w:pPr>
    </w:p>
    <w:p>
      <w:pPr>
        <w:jc w:val="both"/>
        <w:ind w:left="500" w:hanging="283"/>
        <w:spacing w:after="0" w:line="266" w:lineRule="auto"/>
        <w:rPr>
          <w:sz w:val="20"/>
          <w:szCs w:val="20"/>
          <w:color w:val="auto"/>
        </w:rPr>
      </w:pPr>
      <w:r>
        <w:rPr>
          <w:rFonts w:ascii="Times New Roman" w:cs="Times New Roman" w:eastAsia="Times New Roman" w:hAnsi="Times New Roman"/>
          <w:sz w:val="18"/>
          <w:szCs w:val="18"/>
          <w:color w:val="auto"/>
        </w:rPr>
        <w:t>(ee)“</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6" w:lineRule="exact"/>
        <w:rPr>
          <w:sz w:val="20"/>
          <w:szCs w:val="20"/>
          <w:color w:val="auto"/>
        </w:rPr>
      </w:pPr>
    </w:p>
    <w:p>
      <w:pPr>
        <w:jc w:val="both"/>
        <w:ind w:left="460" w:hanging="242"/>
        <w:spacing w:after="0" w:line="266" w:lineRule="auto"/>
        <w:rPr>
          <w:sz w:val="20"/>
          <w:szCs w:val="20"/>
          <w:color w:val="auto"/>
        </w:rPr>
      </w:pPr>
      <w:r>
        <w:rPr>
          <w:rFonts w:ascii="Times New Roman" w:cs="Times New Roman" w:eastAsia="Times New Roman" w:hAnsi="Times New Roman"/>
          <w:sz w:val="18"/>
          <w:szCs w:val="18"/>
          <w:color w:val="auto"/>
        </w:rPr>
        <w:t>(ff)“</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(gg)“</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2017 Equity Incentive Plan.</w:t>
      </w:r>
    </w:p>
    <w:p>
      <w:pPr>
        <w:spacing w:after="0" w:line="225" w:lineRule="exact"/>
        <w:rPr>
          <w:sz w:val="20"/>
          <w:szCs w:val="20"/>
          <w:color w:val="auto"/>
        </w:rPr>
      </w:pPr>
    </w:p>
    <w:p>
      <w:pPr>
        <w:jc w:val="both"/>
        <w:ind w:left="520" w:hanging="309"/>
        <w:spacing w:after="0" w:line="282" w:lineRule="auto"/>
        <w:rPr>
          <w:sz w:val="20"/>
          <w:szCs w:val="20"/>
          <w:color w:val="auto"/>
        </w:rPr>
      </w:pPr>
      <w:r>
        <w:rPr>
          <w:rFonts w:ascii="Times New Roman" w:cs="Times New Roman" w:eastAsia="Times New Roman" w:hAnsi="Times New Roman"/>
          <w:sz w:val="18"/>
          <w:szCs w:val="18"/>
          <w:color w:val="auto"/>
        </w:rPr>
        <w:t>(hh)“</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 Restricted Stock award under Section 7 of the Plan, or issued pursuant to the early exercise of an Option.</w:t>
      </w:r>
    </w:p>
    <w:p>
      <w:pPr>
        <w:spacing w:after="0" w:line="162" w:lineRule="exact"/>
        <w:rPr>
          <w:sz w:val="20"/>
          <w:szCs w:val="20"/>
          <w:color w:val="auto"/>
        </w:rPr>
      </w:pPr>
    </w:p>
    <w:p>
      <w:pPr>
        <w:jc w:val="both"/>
        <w:ind w:left="460" w:hanging="229"/>
        <w:spacing w:after="0" w:line="282" w:lineRule="auto"/>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62" w:lineRule="exact"/>
        <w:rPr>
          <w:sz w:val="20"/>
          <w:szCs w:val="20"/>
          <w:color w:val="auto"/>
        </w:rPr>
      </w:pPr>
    </w:p>
    <w:p>
      <w:pPr>
        <w:jc w:val="both"/>
        <w:ind w:left="460" w:right="20" w:hanging="229"/>
        <w:spacing w:after="0" w:line="282" w:lineRule="auto"/>
        <w:rPr>
          <w:sz w:val="20"/>
          <w:szCs w:val="20"/>
          <w:color w:val="auto"/>
        </w:rPr>
      </w:pPr>
      <w:r>
        <w:rPr>
          <w:rFonts w:ascii="Times New Roman" w:cs="Times New Roman" w:eastAsia="Times New Roman" w:hAnsi="Times New Roman"/>
          <w:sz w:val="18"/>
          <w:szCs w:val="18"/>
          <w:color w:val="auto"/>
        </w:rPr>
        <w:t>(jj)“</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(kk)“</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(ll)“</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(mm)“</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15 of the Plan.</w:t>
      </w:r>
    </w:p>
    <w:p>
      <w:pPr>
        <w:spacing w:after="0" w:line="225" w:lineRule="exact"/>
        <w:rPr>
          <w:sz w:val="20"/>
          <w:szCs w:val="20"/>
          <w:color w:val="auto"/>
        </w:rPr>
      </w:pPr>
    </w:p>
    <w:p>
      <w:pPr>
        <w:jc w:val="both"/>
        <w:ind w:left="520" w:hanging="309"/>
        <w:spacing w:after="0" w:line="282" w:lineRule="auto"/>
        <w:rPr>
          <w:sz w:val="20"/>
          <w:szCs w:val="20"/>
          <w:color w:val="auto"/>
        </w:rPr>
      </w:pPr>
      <w:r>
        <w:rPr>
          <w:rFonts w:ascii="Times New Roman" w:cs="Times New Roman" w:eastAsia="Times New Roman" w:hAnsi="Times New Roman"/>
          <w:sz w:val="18"/>
          <w:szCs w:val="18"/>
          <w:color w:val="auto"/>
        </w:rPr>
        <w:t>(nn)“</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9 is designated as a Stock Appreciation Right.</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(oo)“</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60" w:hanging="134"/>
        <w:spacing w:after="0" w:line="254"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15 of the Plan, the maximum aggregate number of Shares that may be issued under the Plan is 4,875,000 Shares, plus (i) the number of Shares added to the Plan pursuant to Section 3(b), and (ii) the sum of (A) any Shares that, as of the date of initial stockholder approval of this Plan, have been reserved but not issued pursuant to any awards granted under the Company’s 2015 Stock Incentive Plan, as amended (the “2015 Plan”), and are not subject to any awards granted thereunder, and (B) any Shares subject to stock options or similar awards granted under the 2015 Plan that, after the date of initial stockholder approval of this Plan, expire or otherwise terminate without having been exercised in full and Shares issued pursuant to awards granted under the 2015 Plan that are forfeited to or repurchased by the Company, with the maximum number of Shares to be added to the Plan pursuant to clause (ii) equal to 5,000,000. The Shares may be authorized, but unissued, or reacquired Common Stock.</w:t>
      </w:r>
    </w:p>
    <w:p>
      <w:pPr>
        <w:spacing w:after="0" w:line="192" w:lineRule="exact"/>
        <w:rPr>
          <w:sz w:val="20"/>
          <w:szCs w:val="20"/>
          <w:color w:val="auto"/>
        </w:rPr>
      </w:pPr>
    </w:p>
    <w:p>
      <w:pPr>
        <w:jc w:val="both"/>
        <w:ind w:left="360" w:hanging="134"/>
        <w:spacing w:after="0" w:line="258"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Subject to the provisions of Section 15 of the Plan, the number of Shares available for issuance under the Plan will be increased on the first day of each Fiscal Year beginning with the 2018 Fiscal Year, in an amount equal to the least of (i) 1,200,000 Shares, (ii) four percent (4%) of the outstanding Shares on the last day of the immediately preceding Fiscal Year or (iii) such number of Shares determined by the Board; provided, that such determination under clause (iii) will be made no later than the last day of the immediately preceding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351155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91" w:name="page92"/>
    <w:bookmarkEnd w:id="91"/>
    <w:p>
      <w:pPr>
        <w:jc w:val="both"/>
        <w:ind w:left="360" w:hanging="134"/>
        <w:spacing w:after="0" w:line="252"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3(a), plus, to the extent allowable under Section 422 of the Code, any Shares that become available for issuance under the Plan pursuant to Sections 3(b) and 3(c).</w:t>
      </w:r>
    </w:p>
    <w:p>
      <w:pPr>
        <w:spacing w:after="0" w:line="195" w:lineRule="exact"/>
        <w:rPr>
          <w:sz w:val="20"/>
          <w:szCs w:val="20"/>
          <w:color w:val="auto"/>
        </w:rPr>
      </w:pPr>
    </w:p>
    <w:p>
      <w:pPr>
        <w:jc w:val="both"/>
        <w:ind w:left="360" w:right="20" w:hanging="134"/>
        <w:spacing w:after="0" w:line="282"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60" w:hanging="135"/>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 the Plan.</w:t>
      </w:r>
    </w:p>
    <w:p>
      <w:pPr>
        <w:spacing w:after="0" w:line="225" w:lineRule="exact"/>
        <w:rPr>
          <w:sz w:val="20"/>
          <w:szCs w:val="20"/>
          <w:color w:val="auto"/>
        </w:rPr>
      </w:pPr>
    </w:p>
    <w:p>
      <w:pPr>
        <w:jc w:val="both"/>
        <w:ind w:left="820" w:hanging="147"/>
        <w:spacing w:after="0" w:line="266" w:lineRule="auto"/>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u w:val="single" w:color="auto"/>
          <w:color w:val="auto"/>
        </w:rPr>
        <w:t>Section 162(m)</w:t>
      </w:r>
      <w:r>
        <w:rPr>
          <w:rFonts w:ascii="Times New Roman" w:cs="Times New Roman" w:eastAsia="Times New Roman" w:hAnsi="Times New Roman"/>
          <w:sz w:val="18"/>
          <w:szCs w:val="18"/>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76" w:lineRule="exact"/>
        <w:rPr>
          <w:sz w:val="20"/>
          <w:szCs w:val="20"/>
          <w:color w:val="auto"/>
        </w:rPr>
      </w:pPr>
    </w:p>
    <w:p>
      <w:pPr>
        <w:jc w:val="both"/>
        <w:ind w:left="880" w:right="20" w:hanging="201"/>
        <w:spacing w:after="0" w:line="282" w:lineRule="auto"/>
        <w:rPr>
          <w:sz w:val="20"/>
          <w:szCs w:val="20"/>
          <w:color w:val="auto"/>
        </w:rPr>
      </w:pPr>
      <w:r>
        <w:rPr>
          <w:rFonts w:ascii="Times New Roman" w:cs="Times New Roman" w:eastAsia="Times New Roman" w:hAnsi="Times New Roman"/>
          <w:sz w:val="18"/>
          <w:szCs w:val="18"/>
          <w:color w:val="auto"/>
        </w:rPr>
        <w:t>iii.</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2" w:lineRule="exact"/>
        <w:rPr>
          <w:sz w:val="20"/>
          <w:szCs w:val="20"/>
          <w:color w:val="auto"/>
        </w:rPr>
      </w:pPr>
    </w:p>
    <w:p>
      <w:pPr>
        <w:jc w:val="both"/>
        <w:ind w:left="840" w:hanging="174"/>
        <w:spacing w:after="0" w:line="282" w:lineRule="auto"/>
        <w:rPr>
          <w:sz w:val="20"/>
          <w:szCs w:val="20"/>
          <w:color w:val="auto"/>
        </w:rPr>
      </w:pPr>
      <w:r>
        <w:rPr>
          <w:rFonts w:ascii="Times New Roman" w:cs="Times New Roman" w:eastAsia="Times New Roman" w:hAnsi="Times New Roman"/>
          <w:sz w:val="18"/>
          <w:szCs w:val="18"/>
          <w:color w:val="auto"/>
        </w:rPr>
        <w:t>iv.</w:t>
      </w: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162" w:lineRule="exact"/>
        <w:rPr>
          <w:sz w:val="20"/>
          <w:szCs w:val="20"/>
          <w:color w:val="auto"/>
        </w:rPr>
      </w:pPr>
    </w:p>
    <w:p>
      <w:pPr>
        <w:ind w:left="360" w:hanging="134"/>
        <w:spacing w:after="0" w:line="282"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to determine the Fair Market Value;</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ii.to select the Service Providers to whom Awards may be granted hereunder;</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iii.to determine the number of Shares to be covered by each Award granted hereunder;</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iv.to approve forms of Award Agreements for use under the Plan;</w:t>
      </w:r>
    </w:p>
    <w:p>
      <w:pPr>
        <w:spacing w:after="0" w:line="225" w:lineRule="exact"/>
        <w:rPr>
          <w:sz w:val="20"/>
          <w:szCs w:val="20"/>
          <w:color w:val="auto"/>
        </w:rPr>
      </w:pPr>
    </w:p>
    <w:p>
      <w:pPr>
        <w:jc w:val="both"/>
        <w:ind w:left="820" w:hanging="134"/>
        <w:spacing w:after="0" w:line="261" w:lineRule="auto"/>
        <w:rPr>
          <w:sz w:val="20"/>
          <w:szCs w:val="20"/>
          <w:color w:val="auto"/>
        </w:rPr>
      </w:pPr>
      <w:r>
        <w:rPr>
          <w:rFonts w:ascii="Times New Roman" w:cs="Times New Roman" w:eastAsia="Times New Roman" w:hAnsi="Times New Roman"/>
          <w:sz w:val="18"/>
          <w:szCs w:val="18"/>
          <w:color w:val="auto"/>
        </w:rPr>
        <w:t>v.to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vi.to institute and determine the terms and conditions of an Exchange Program;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vii.to construe and interpret the terms of the Plan and Awards granted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240030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92" w:name="page93"/>
    <w:bookmarkEnd w:id="92"/>
    <w:p>
      <w:pPr>
        <w:jc w:val="both"/>
        <w:ind w:left="960" w:hanging="296"/>
        <w:spacing w:after="0" w:line="266" w:lineRule="auto"/>
        <w:rPr>
          <w:sz w:val="20"/>
          <w:szCs w:val="20"/>
          <w:color w:val="auto"/>
        </w:rPr>
      </w:pPr>
      <w:r>
        <w:rPr>
          <w:rFonts w:ascii="Times New Roman" w:cs="Times New Roman" w:eastAsia="Times New Roman" w:hAnsi="Times New Roman"/>
          <w:sz w:val="18"/>
          <w:szCs w:val="18"/>
          <w:color w:val="auto"/>
        </w:rPr>
        <w:t>viii.to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76" w:lineRule="exact"/>
        <w:rPr>
          <w:sz w:val="20"/>
          <w:szCs w:val="20"/>
          <w:color w:val="auto"/>
        </w:rPr>
      </w:pPr>
    </w:p>
    <w:p>
      <w:pPr>
        <w:jc w:val="both"/>
        <w:ind w:left="860" w:hanging="188"/>
        <w:spacing w:after="0" w:line="266" w:lineRule="auto"/>
        <w:rPr>
          <w:sz w:val="20"/>
          <w:szCs w:val="20"/>
          <w:color w:val="auto"/>
        </w:rPr>
      </w:pPr>
      <w:r>
        <w:rPr>
          <w:rFonts w:ascii="Times New Roman" w:cs="Times New Roman" w:eastAsia="Times New Roman" w:hAnsi="Times New Roman"/>
          <w:sz w:val="18"/>
          <w:szCs w:val="18"/>
          <w:color w:val="auto"/>
        </w:rPr>
        <w:t>ix.to modify or amend each Award (subject to Section 20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x.to allow Participants to satisfy tax withholding obligations in such manner as prescribed in Section 16 of the Plan;</w:t>
      </w:r>
    </w:p>
    <w:p>
      <w:pPr>
        <w:spacing w:after="0" w:line="225" w:lineRule="exact"/>
        <w:rPr>
          <w:sz w:val="20"/>
          <w:szCs w:val="20"/>
          <w:color w:val="auto"/>
        </w:rPr>
      </w:pPr>
    </w:p>
    <w:p>
      <w:pPr>
        <w:jc w:val="both"/>
        <w:ind w:left="860" w:hanging="188"/>
        <w:spacing w:after="0" w:line="282" w:lineRule="auto"/>
        <w:rPr>
          <w:sz w:val="20"/>
          <w:szCs w:val="20"/>
          <w:color w:val="auto"/>
        </w:rPr>
      </w:pPr>
      <w:r>
        <w:rPr>
          <w:rFonts w:ascii="Times New Roman" w:cs="Times New Roman" w:eastAsia="Times New Roman" w:hAnsi="Times New Roman"/>
          <w:sz w:val="18"/>
          <w:szCs w:val="18"/>
          <w:color w:val="auto"/>
        </w:rPr>
        <w:t>xi.to authorize any person to execute on behalf of the Company any instrument required to effect the grant of an Award previously granted by the Administrator;</w:t>
      </w:r>
    </w:p>
    <w:p>
      <w:pPr>
        <w:spacing w:after="0" w:line="162" w:lineRule="exact"/>
        <w:rPr>
          <w:sz w:val="20"/>
          <w:szCs w:val="20"/>
          <w:color w:val="auto"/>
        </w:rPr>
      </w:pPr>
    </w:p>
    <w:p>
      <w:pPr>
        <w:jc w:val="both"/>
        <w:ind w:left="920" w:hanging="242"/>
        <w:spacing w:after="0" w:line="282" w:lineRule="auto"/>
        <w:rPr>
          <w:sz w:val="20"/>
          <w:szCs w:val="20"/>
          <w:color w:val="auto"/>
        </w:rPr>
      </w:pPr>
      <w:r>
        <w:rPr>
          <w:rFonts w:ascii="Times New Roman" w:cs="Times New Roman" w:eastAsia="Times New Roman" w:hAnsi="Times New Roman"/>
          <w:sz w:val="18"/>
          <w:szCs w:val="18"/>
          <w:color w:val="auto"/>
        </w:rPr>
        <w:t>xii.to allow a Participant to defer the receipt of the payment of cash or the delivery of Shares that otherwise would be due to such Participant under an Award;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xiii.to make all other determinations deemed necessary or advisable for administering the Plan.</w:t>
      </w:r>
    </w:p>
    <w:p>
      <w:pPr>
        <w:spacing w:after="0" w:line="225" w:lineRule="exact"/>
        <w:rPr>
          <w:sz w:val="20"/>
          <w:szCs w:val="20"/>
          <w:color w:val="auto"/>
        </w:rPr>
      </w:pPr>
    </w:p>
    <w:p>
      <w:pPr>
        <w:ind w:left="360" w:hanging="134"/>
        <w:spacing w:after="0" w:line="282"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w:t>
      </w:r>
    </w:p>
    <w:p>
      <w:pPr>
        <w:spacing w:after="0" w:line="162"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60" w:hanging="135"/>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20" w:hanging="122"/>
        <w:spacing w:after="0" w:line="256" w:lineRule="auto"/>
        <w:tabs>
          <w:tab w:leader="none" w:pos="8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87" w:lineRule="exact"/>
        <w:rPr>
          <w:sz w:val="20"/>
          <w:szCs w:val="20"/>
          <w:color w:val="auto"/>
        </w:rPr>
      </w:pPr>
    </w:p>
    <w:p>
      <w:pPr>
        <w:jc w:val="both"/>
        <w:ind w:left="820" w:hanging="147"/>
        <w:spacing w:after="0" w:line="261" w:lineRule="auto"/>
        <w:rPr>
          <w:sz w:val="20"/>
          <w:szCs w:val="20"/>
          <w:color w:val="auto"/>
        </w:rPr>
      </w:pPr>
      <w:r>
        <w:rPr>
          <w:rFonts w:ascii="Times New Roman" w:cs="Times New Roman" w:eastAsia="Times New Roman" w:hAnsi="Times New Roman"/>
          <w:sz w:val="18"/>
          <w:szCs w:val="18"/>
          <w:color w:val="auto"/>
        </w:rPr>
        <w:t>ii.The Administrator will have complete discretion to determine the number of Shares subject to an Option granted to any Participant. Notwithstanding the foregoing sentence, for Stock Options intended to qualify as “performance-based compensation” within the meaning of Section 162(m) of the Code, during any Fiscal Year no Participant will receive Stock Options to acquire more than an aggregate of 400,000 shares.</w:t>
      </w:r>
    </w:p>
    <w:p>
      <w:pPr>
        <w:spacing w:after="0" w:line="180" w:lineRule="exact"/>
        <w:rPr>
          <w:sz w:val="20"/>
          <w:szCs w:val="20"/>
          <w:color w:val="auto"/>
        </w:rPr>
      </w:pPr>
    </w:p>
    <w:p>
      <w:pPr>
        <w:jc w:val="both"/>
        <w:ind w:left="360" w:hanging="134"/>
        <w:spacing w:after="0" w:line="258"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Administrator, subject to the following:</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1.In the case of an Incentive Stock Option</w:t>
      </w:r>
    </w:p>
    <w:p>
      <w:pPr>
        <w:spacing w:after="0" w:line="225" w:lineRule="exact"/>
        <w:rPr>
          <w:sz w:val="20"/>
          <w:szCs w:val="20"/>
          <w:color w:val="auto"/>
        </w:rPr>
      </w:pPr>
    </w:p>
    <w:p>
      <w:pPr>
        <w:jc w:val="both"/>
        <w:ind w:left="1180" w:hanging="175"/>
        <w:spacing w:after="0" w:line="266" w:lineRule="auto"/>
        <w:rPr>
          <w:sz w:val="20"/>
          <w:szCs w:val="20"/>
          <w:color w:val="auto"/>
        </w:rPr>
      </w:pPr>
      <w:r>
        <w:rPr>
          <w:rFonts w:ascii="Times New Roman" w:cs="Times New Roman" w:eastAsia="Times New Roman" w:hAnsi="Times New Roman"/>
          <w:sz w:val="18"/>
          <w:szCs w:val="18"/>
          <w:color w:val="auto"/>
        </w:rPr>
        <w:t>A.granted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208915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93" w:name="page94"/>
    <w:bookmarkEnd w:id="93"/>
    <w:p>
      <w:pPr>
        <w:ind w:left="960" w:hanging="175"/>
        <w:spacing w:after="0" w:line="282" w:lineRule="auto"/>
        <w:rPr>
          <w:sz w:val="20"/>
          <w:szCs w:val="20"/>
          <w:color w:val="auto"/>
        </w:rPr>
      </w:pPr>
      <w:r>
        <w:rPr>
          <w:rFonts w:ascii="Times New Roman" w:cs="Times New Roman" w:eastAsia="Times New Roman" w:hAnsi="Times New Roman"/>
          <w:sz w:val="18"/>
          <w:szCs w:val="18"/>
          <w:color w:val="auto"/>
        </w:rPr>
        <w:t>B.granted to any Employee other than an Employee described in paragraph (A) immediately above, the per Share exercise price will be no less than one hundred percent (100%) of the Fair Market Value per Share on the date of grant.</w:t>
      </w:r>
    </w:p>
    <w:p>
      <w:pPr>
        <w:spacing w:after="0" w:line="162" w:lineRule="exact"/>
        <w:rPr>
          <w:sz w:val="20"/>
          <w:szCs w:val="20"/>
          <w:color w:val="auto"/>
        </w:rPr>
      </w:pPr>
    </w:p>
    <w:p>
      <w:pPr>
        <w:jc w:val="both"/>
        <w:ind w:left="840" w:right="20" w:hanging="134"/>
        <w:spacing w:after="0" w:line="282" w:lineRule="auto"/>
        <w:rPr>
          <w:sz w:val="20"/>
          <w:szCs w:val="20"/>
          <w:color w:val="auto"/>
        </w:rPr>
      </w:pPr>
      <w:r>
        <w:rPr>
          <w:rFonts w:ascii="Times New Roman" w:cs="Times New Roman" w:eastAsia="Times New Roman" w:hAnsi="Times New Roman"/>
          <w:sz w:val="18"/>
          <w:szCs w:val="18"/>
          <w:color w:val="auto"/>
        </w:rPr>
        <w:t>2.In the case of a Nonstatutory Stock Option, the per Share exercise price will be no less than one hundred percent (100%) of the Fair Market Value per Share on the date of grant.</w:t>
      </w:r>
    </w:p>
    <w:p>
      <w:pPr>
        <w:spacing w:after="0" w:line="162" w:lineRule="exact"/>
        <w:rPr>
          <w:sz w:val="20"/>
          <w:szCs w:val="20"/>
          <w:color w:val="auto"/>
        </w:rPr>
      </w:pPr>
    </w:p>
    <w:p>
      <w:pPr>
        <w:jc w:val="both"/>
        <w:ind w:left="840" w:right="20" w:hanging="134"/>
        <w:spacing w:after="0" w:line="266" w:lineRule="auto"/>
        <w:rPr>
          <w:sz w:val="20"/>
          <w:szCs w:val="20"/>
          <w:color w:val="auto"/>
        </w:rPr>
      </w:pPr>
      <w:r>
        <w:rPr>
          <w:rFonts w:ascii="Times New Roman" w:cs="Times New Roman" w:eastAsia="Times New Roman" w:hAnsi="Times New Roman"/>
          <w:sz w:val="18"/>
          <w:szCs w:val="18"/>
          <w:color w:val="auto"/>
        </w:rPr>
        <w:t>3.Notwithstanding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6" w:lineRule="exact"/>
        <w:rPr>
          <w:sz w:val="20"/>
          <w:szCs w:val="20"/>
          <w:color w:val="auto"/>
        </w:rPr>
      </w:pPr>
    </w:p>
    <w:p>
      <w:pPr>
        <w:jc w:val="both"/>
        <w:ind w:left="600" w:hanging="147"/>
        <w:spacing w:after="0" w:line="282" w:lineRule="auto"/>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2" w:lineRule="exact"/>
        <w:rPr>
          <w:sz w:val="20"/>
          <w:szCs w:val="20"/>
          <w:color w:val="auto"/>
        </w:rPr>
      </w:pPr>
    </w:p>
    <w:p>
      <w:pPr>
        <w:jc w:val="both"/>
        <w:ind w:left="660" w:hanging="201"/>
        <w:spacing w:after="0" w:line="254" w:lineRule="auto"/>
        <w:rPr>
          <w:sz w:val="20"/>
          <w:szCs w:val="20"/>
          <w:color w:val="auto"/>
        </w:rPr>
      </w:pPr>
      <w:r>
        <w:rPr>
          <w:rFonts w:ascii="Times New Roman" w:cs="Times New Roman" w:eastAsia="Times New Roman" w:hAnsi="Times New Roman"/>
          <w:sz w:val="18"/>
          <w:szCs w:val="18"/>
          <w:color w:val="auto"/>
        </w:rPr>
        <w:t>iii.</w:t>
      </w: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00" w:hanging="120"/>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94" w:lineRule="exact"/>
        <w:rPr>
          <w:sz w:val="20"/>
          <w:szCs w:val="20"/>
          <w:color w:val="auto"/>
        </w:rPr>
      </w:pPr>
    </w:p>
    <w:p>
      <w:pPr>
        <w:jc w:val="both"/>
        <w:ind w:left="600"/>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337185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1200" w:top="580" w:right="339" w:bottom="1440" w:gutter="0" w:footer="0" w:header="0"/>
        </w:sectPr>
      </w:pPr>
    </w:p>
    <w:bookmarkStart w:id="94" w:name="page95"/>
    <w:bookmarkEnd w:id="94"/>
    <w:p>
      <w:pPr>
        <w:jc w:val="both"/>
        <w:ind w:left="820" w:hanging="147"/>
        <w:spacing w:after="0" w:line="254" w:lineRule="auto"/>
        <w:rPr>
          <w:sz w:val="20"/>
          <w:szCs w:val="20"/>
          <w:color w:val="auto"/>
        </w:rPr>
      </w:pP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92" w:lineRule="exact"/>
        <w:rPr>
          <w:sz w:val="20"/>
          <w:szCs w:val="20"/>
          <w:color w:val="auto"/>
        </w:rPr>
      </w:pPr>
    </w:p>
    <w:p>
      <w:pPr>
        <w:jc w:val="both"/>
        <w:ind w:left="880" w:hanging="209"/>
        <w:spacing w:after="0" w:line="254"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92" w:lineRule="exact"/>
        <w:rPr>
          <w:sz w:val="20"/>
          <w:szCs w:val="20"/>
          <w:color w:val="auto"/>
        </w:rPr>
      </w:pPr>
    </w:p>
    <w:p>
      <w:pPr>
        <w:jc w:val="both"/>
        <w:ind w:left="840" w:hanging="174"/>
        <w:spacing w:after="0" w:line="253" w:lineRule="auto"/>
        <w:rPr>
          <w:sz w:val="20"/>
          <w:szCs w:val="20"/>
          <w:color w:val="auto"/>
        </w:rPr>
      </w:pPr>
      <w:r>
        <w:rPr>
          <w:rFonts w:ascii="Times New Roman" w:cs="Times New Roman" w:eastAsia="Times New Roman" w:hAnsi="Times New Roman"/>
          <w:sz w:val="18"/>
          <w:szCs w:val="18"/>
          <w:color w:val="auto"/>
        </w:rPr>
        <w:t>iv.</w:t>
      </w: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60" w:hanging="134"/>
        <w:spacing w:after="0" w:line="282"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2" w:lineRule="exact"/>
        <w:rPr>
          <w:sz w:val="20"/>
          <w:szCs w:val="20"/>
          <w:color w:val="auto"/>
        </w:rPr>
      </w:pPr>
    </w:p>
    <w:p>
      <w:pPr>
        <w:jc w:val="both"/>
        <w:ind w:left="360" w:hanging="134"/>
        <w:spacing w:after="0" w:line="255"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Notwithstanding the foregoing sentence, for restricted stock intended to qualify as “performance-based compensation” within the meaning of Section 162(m) of the Code, during any Fiscal Year no Participant will receive more than an aggregate of 250,000 Shares of Restricted Stock. Unless the Administrator determines otherwise, Shares of Restricted Stock will be held by the Company as escrow agent until the restrictions on such Shares have lapsed. Unless the Administrator determines otherwise, the Company as escrow agent will hold Shares of Restricted Stock until the restrictions on such Shares have lapsed.</w:t>
      </w:r>
    </w:p>
    <w:p>
      <w:pPr>
        <w:spacing w:after="0" w:line="189" w:lineRule="exact"/>
        <w:rPr>
          <w:sz w:val="20"/>
          <w:szCs w:val="20"/>
          <w:color w:val="auto"/>
        </w:rPr>
      </w:pPr>
    </w:p>
    <w:p>
      <w:pPr>
        <w:jc w:val="both"/>
        <w:ind w:left="360" w:hanging="134"/>
        <w:spacing w:after="0" w:line="282"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62" w:lineRule="exact"/>
        <w:rPr>
          <w:sz w:val="20"/>
          <w:szCs w:val="20"/>
          <w:color w:val="auto"/>
        </w:rPr>
      </w:pPr>
    </w:p>
    <w:p>
      <w:pPr>
        <w:jc w:val="both"/>
        <w:ind w:left="360" w:right="20" w:hanging="134"/>
        <w:spacing w:after="0" w:line="282"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2" w:lineRule="exact"/>
        <w:rPr>
          <w:sz w:val="20"/>
          <w:szCs w:val="20"/>
          <w:color w:val="auto"/>
        </w:rPr>
      </w:pPr>
    </w:p>
    <w:p>
      <w:pPr>
        <w:jc w:val="both"/>
        <w:ind w:left="360" w:hanging="134"/>
        <w:spacing w:after="0" w:line="261"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348615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95" w:name="page96"/>
    <w:bookmarkEnd w:id="95"/>
    <w:p>
      <w:pPr>
        <w:ind w:left="360" w:hanging="107"/>
        <w:spacing w:after="0" w:line="282"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2" w:lineRule="exact"/>
        <w:rPr>
          <w:sz w:val="20"/>
          <w:szCs w:val="20"/>
          <w:color w:val="auto"/>
        </w:rPr>
      </w:pPr>
    </w:p>
    <w:p>
      <w:pPr>
        <w:jc w:val="both"/>
        <w:ind w:left="360" w:hanging="134"/>
        <w:spacing w:after="0" w:line="261"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0" w:lineRule="exact"/>
        <w:rPr>
          <w:sz w:val="20"/>
          <w:szCs w:val="20"/>
          <w:color w:val="auto"/>
        </w:rPr>
      </w:pPr>
    </w:p>
    <w:p>
      <w:pPr>
        <w:jc w:val="both"/>
        <w:ind w:left="360" w:hanging="134"/>
        <w:spacing w:after="0" w:line="282" w:lineRule="auto"/>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2" w:lineRule="exact"/>
        <w:rPr>
          <w:sz w:val="20"/>
          <w:szCs w:val="20"/>
          <w:color w:val="auto"/>
        </w:rPr>
      </w:pPr>
    </w:p>
    <w:p>
      <w:pPr>
        <w:jc w:val="both"/>
        <w:ind w:left="360" w:hanging="107"/>
        <w:spacing w:after="0" w:line="258"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Section 162(m) Performance Restrictions</w:t>
      </w:r>
      <w:r>
        <w:rPr>
          <w:rFonts w:ascii="Times New Roman" w:cs="Times New Roman" w:eastAsia="Times New Roman" w:hAnsi="Times New Roman"/>
          <w:sz w:val="18"/>
          <w:szCs w:val="18"/>
          <w:color w:val="auto"/>
        </w:rPr>
        <w:t>. For purposes of qualifying grants of Restricted Stock as “performance-based compensation” under Section 162(m) of the Code, the Administrator, in its discretion, may set restrictions based upon the achievement of Performance Goals. The Performance Goals will be set by the Administrator on or before the Determination Date. In granting Restricted Stock which is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60" w:hanging="134"/>
        <w:spacing w:after="0" w:line="266"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6" w:lineRule="exact"/>
        <w:rPr>
          <w:sz w:val="20"/>
          <w:szCs w:val="20"/>
          <w:color w:val="auto"/>
        </w:rPr>
      </w:pPr>
    </w:p>
    <w:p>
      <w:pPr>
        <w:jc w:val="both"/>
        <w:ind w:left="360" w:hanging="134"/>
        <w:spacing w:after="0" w:line="261"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Each Award of Restricted Stock Units will be evidenced by an Award Agreement that will specify the vesting criteria, and such other terms and conditions as the Administrator, in its sole discretion will determine.</w:t>
      </w:r>
    </w:p>
    <w:p>
      <w:pPr>
        <w:spacing w:after="0" w:line="180" w:lineRule="exact"/>
        <w:rPr>
          <w:sz w:val="20"/>
          <w:szCs w:val="20"/>
          <w:color w:val="auto"/>
        </w:rPr>
      </w:pPr>
    </w:p>
    <w:p>
      <w:pPr>
        <w:jc w:val="both"/>
        <w:ind w:left="360" w:hanging="134"/>
        <w:spacing w:after="0" w:line="266"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6" w:lineRule="exact"/>
        <w:rPr>
          <w:sz w:val="20"/>
          <w:szCs w:val="20"/>
          <w:color w:val="auto"/>
        </w:rPr>
      </w:pPr>
    </w:p>
    <w:p>
      <w:pPr>
        <w:jc w:val="both"/>
        <w:ind w:left="360" w:right="20" w:hanging="134"/>
        <w:spacing w:after="0" w:line="266"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225" w:lineRule="exact"/>
        <w:rPr>
          <w:sz w:val="20"/>
          <w:szCs w:val="20"/>
          <w:color w:val="auto"/>
        </w:rPr>
      </w:pPr>
    </w:p>
    <w:p>
      <w:pPr>
        <w:jc w:val="both"/>
        <w:ind w:left="360" w:hanging="107"/>
        <w:spacing w:after="0" w:line="256"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u w:val="single" w:color="auto"/>
          <w:color w:val="auto"/>
        </w:rPr>
        <w:t>Section 162(m) Performance Restrictions</w:t>
      </w:r>
      <w:r>
        <w:rPr>
          <w:rFonts w:ascii="Times New Roman" w:cs="Times New Roman" w:eastAsia="Times New Roman" w:hAnsi="Times New Roman"/>
          <w:sz w:val="18"/>
          <w:szCs w:val="18"/>
          <w:color w:val="auto"/>
        </w:rPr>
        <w:t>. For purposes of qualifying grants of Restricted Stock Units as “performance-based compensation” under Section 162(m) of the Code, the Administrator, in its discretion, may set restrictions based upon the achievement of Performance Goals. The Performance Goals will be set by the Administrator on or before the Determination Date. In granting Restricted Stock Units which are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60" w:hanging="134"/>
        <w:spacing w:after="0" w:line="282"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337185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96" w:name="page97"/>
    <w:bookmarkEnd w:id="96"/>
    <w:p>
      <w:pPr>
        <w:jc w:val="both"/>
        <w:ind w:left="360" w:hanging="134"/>
        <w:spacing w:after="0" w:line="282"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 granted to any Service Provider.</w:t>
      </w:r>
    </w:p>
    <w:p>
      <w:pPr>
        <w:spacing w:after="0" w:line="162" w:lineRule="exact"/>
        <w:rPr>
          <w:sz w:val="20"/>
          <w:szCs w:val="20"/>
          <w:color w:val="auto"/>
        </w:rPr>
      </w:pPr>
    </w:p>
    <w:p>
      <w:pPr>
        <w:jc w:val="both"/>
        <w:ind w:left="360" w:hanging="134"/>
        <w:spacing w:after="0" w:line="261"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80" w:lineRule="exact"/>
        <w:rPr>
          <w:sz w:val="20"/>
          <w:szCs w:val="20"/>
          <w:color w:val="auto"/>
        </w:rPr>
      </w:pPr>
    </w:p>
    <w:p>
      <w:pPr>
        <w:jc w:val="both"/>
        <w:ind w:left="360" w:hanging="134"/>
        <w:spacing w:after="0" w:line="266"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6" w:lineRule="exact"/>
        <w:rPr>
          <w:sz w:val="20"/>
          <w:szCs w:val="20"/>
          <w:color w:val="auto"/>
        </w:rPr>
      </w:pPr>
    </w:p>
    <w:p>
      <w:pPr>
        <w:jc w:val="both"/>
        <w:ind w:left="360" w:hanging="134"/>
        <w:spacing w:after="0" w:line="266"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ten (10) years from the date of grant or such shorter term as may be provided in the Award Agreement, as determined by the Administrator, in its sole discretion. Notwithstanding the foregoing, the rules of Section 6(d) relating to exercise also will apply to Stock Appreciation Rights.</w:t>
      </w:r>
    </w:p>
    <w:p>
      <w:pPr>
        <w:spacing w:after="0" w:line="176" w:lineRule="exact"/>
        <w:rPr>
          <w:sz w:val="20"/>
          <w:szCs w:val="20"/>
          <w:color w:val="auto"/>
        </w:rPr>
      </w:pPr>
    </w:p>
    <w:p>
      <w:pPr>
        <w:ind w:left="360" w:right="20" w:hanging="107"/>
        <w:spacing w:after="0" w:line="282"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The difference between the Fair Market Value of a Share on the date of exercise over the exercise price; times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ii.The number of Shares with respect to which the Stock Appreciation Right is exercised.</w:t>
      </w:r>
    </w:p>
    <w:p>
      <w:pPr>
        <w:spacing w:after="0" w:line="225" w:lineRule="exact"/>
        <w:rPr>
          <w:sz w:val="20"/>
          <w:szCs w:val="20"/>
          <w:color w:val="auto"/>
        </w:rPr>
      </w:pPr>
    </w:p>
    <w:p>
      <w:pPr>
        <w:ind w:left="60" w:right="200"/>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60" w:right="240" w:hanging="134"/>
        <w:spacing w:after="0" w:line="266"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6" w:lineRule="exact"/>
        <w:rPr>
          <w:sz w:val="20"/>
          <w:szCs w:val="20"/>
          <w:color w:val="auto"/>
        </w:rPr>
      </w:pPr>
    </w:p>
    <w:p>
      <w:pPr>
        <w:ind w:left="360" w:right="20" w:hanging="134"/>
        <w:spacing w:after="0" w:line="282"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2" w:lineRule="exact"/>
        <w:rPr>
          <w:sz w:val="20"/>
          <w:szCs w:val="20"/>
          <w:color w:val="auto"/>
        </w:rPr>
      </w:pPr>
    </w:p>
    <w:p>
      <w:pPr>
        <w:ind w:left="360" w:right="20" w:hanging="134"/>
        <w:spacing w:after="0" w:line="25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92" w:lineRule="exact"/>
        <w:rPr>
          <w:sz w:val="20"/>
          <w:szCs w:val="20"/>
          <w:color w:val="auto"/>
        </w:rPr>
      </w:pPr>
    </w:p>
    <w:p>
      <w:pPr>
        <w:ind w:left="360" w:right="300" w:hanging="134"/>
        <w:spacing w:after="0" w:line="258"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351155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97" w:name="page98"/>
    <w:bookmarkEnd w:id="97"/>
    <w:p>
      <w:pPr>
        <w:ind w:left="364" w:right="20" w:hanging="134"/>
        <w:spacing w:after="0" w:line="261"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80" w:lineRule="exact"/>
        <w:rPr>
          <w:sz w:val="20"/>
          <w:szCs w:val="20"/>
          <w:color w:val="auto"/>
        </w:rPr>
      </w:pPr>
    </w:p>
    <w:p>
      <w:pPr>
        <w:ind w:left="364" w:right="40" w:hanging="107"/>
        <w:spacing w:after="0" w:line="282"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2" w:lineRule="exact"/>
        <w:rPr>
          <w:sz w:val="20"/>
          <w:szCs w:val="20"/>
          <w:color w:val="auto"/>
        </w:rPr>
      </w:pPr>
    </w:p>
    <w:p>
      <w:pPr>
        <w:ind w:left="364" w:right="80" w:hanging="134"/>
        <w:spacing w:after="0" w:line="256"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Section 162(m) Performance Restrictions</w:t>
      </w:r>
      <w:r>
        <w:rPr>
          <w:rFonts w:ascii="Times New Roman" w:cs="Times New Roman" w:eastAsia="Times New Roman" w:hAnsi="Times New Roman"/>
          <w:sz w:val="18"/>
          <w:szCs w:val="18"/>
          <w:color w:val="auto"/>
        </w:rPr>
        <w:t>. For purposes of qualifying grants of Performance Units/Shares as “performance-based compensation” under Section 162(m) of the Code, the Administrator, in its discretion, may set restrictions based upon the achievement of Performance Goals. The Performance Goals will be set by the Administrator on or before the Determination Date. In granting Performance Units/Shares which are intended to qualify under Section 162(m) of the Code, the Administrator will follow any procedures determined by it from time to time to be necessary or appropriate to ensure qualification of the Award under Section 162(m) of the Code (e.g., in determining the Performance Goals).</w:t>
      </w:r>
    </w:p>
    <w:p>
      <w:pPr>
        <w:spacing w:after="0" w:line="187" w:lineRule="exact"/>
        <w:rPr>
          <w:sz w:val="20"/>
          <w:szCs w:val="20"/>
          <w:color w:val="auto"/>
        </w:rPr>
      </w:pPr>
    </w:p>
    <w:p>
      <w:pPr>
        <w:ind w:left="224" w:hanging="224"/>
        <w:spacing w:after="0"/>
        <w:tabs>
          <w:tab w:leader="none" w:pos="22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Performance-Based Compensation Under Code Section 162(m)</w:t>
      </w:r>
      <w:r>
        <w:rPr>
          <w:rFonts w:ascii="Times New Roman" w:cs="Times New Roman" w:eastAsia="Times New Roman" w:hAnsi="Times New Roman"/>
          <w:sz w:val="17"/>
          <w:szCs w:val="17"/>
          <w:color w:val="auto"/>
        </w:rPr>
        <w:t>.</w:t>
      </w:r>
    </w:p>
    <w:p>
      <w:pPr>
        <w:spacing w:after="0" w:line="236" w:lineRule="exact"/>
        <w:rPr>
          <w:rFonts w:ascii="Times New Roman" w:cs="Times New Roman" w:eastAsia="Times New Roman" w:hAnsi="Times New Roman"/>
          <w:sz w:val="17"/>
          <w:szCs w:val="17"/>
          <w:color w:val="auto"/>
        </w:rPr>
      </w:pPr>
    </w:p>
    <w:p>
      <w:pPr>
        <w:ind w:left="364" w:hanging="135"/>
        <w:spacing w:after="0" w:line="258" w:lineRule="auto"/>
        <w:tabs>
          <w:tab w:leader="none" w:pos="3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the Administrator, in its discretion, decides to grant an Award intended to qualify as “performance-based compensation” under Code Section 162(m), the provisions of this Section 11 will control over any contrary provision in the Plan; provided, however, that the Administrator may in its discretion grant Awards that are not intended to qualify as “performance-based compensation” under Section 162(m) of the Code to such Participants that are based on Performance Goals or other specific criteria or goals but that do not satisfy the requirements of this Section 11.</w:t>
      </w:r>
    </w:p>
    <w:p>
      <w:pPr>
        <w:spacing w:after="0" w:line="183" w:lineRule="exact"/>
        <w:rPr>
          <w:sz w:val="20"/>
          <w:szCs w:val="20"/>
          <w:color w:val="auto"/>
        </w:rPr>
      </w:pPr>
    </w:p>
    <w:p>
      <w:pPr>
        <w:ind w:left="364" w:right="20" w:hanging="134"/>
        <w:spacing w:after="0" w:line="255"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The granting and/or vesting of Awards of Restricted Stock, Restricted Stock Units, Performance Shares and Performance Units and other incentives under the Plan may be made subject to the attainment of performance goals relating to one or more business criteria within the meaning of Code Section 162(m) and may provide for a targeted level or levels of achievement (“</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Any Performance Goals may be used to measure the performance of the Company as a whole or a business unit of the Company and may be measured relative to a peer group or index. The Performance Goals may differ from Participant to Participant and from Award to Award. Prior to the Determination Date, the Administrator will determine whether any significant element(s) will be included in or excluded from the calculation of any Performance Goal with respect to any Participant.</w:t>
      </w:r>
    </w:p>
    <w:p>
      <w:pPr>
        <w:spacing w:after="0" w:line="189" w:lineRule="exact"/>
        <w:rPr>
          <w:sz w:val="20"/>
          <w:szCs w:val="20"/>
          <w:color w:val="auto"/>
        </w:rPr>
      </w:pPr>
    </w:p>
    <w:p>
      <w:pPr>
        <w:ind w:left="364" w:right="60" w:hanging="134"/>
        <w:spacing w:after="0" w:line="253"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To the extent necessary to comply with the performance-based compensation provisions of Code Section 162(m), with respect to any Award granted subject to Performance Goals, within the first twenty-five percent (25%) of the Performance Period, but in no event more than ninety (90) days following the commencement of any Performance Period (or such other time as may be required or permitted by Code Section 162(m)), the Administrator will, in writing, (i) designate one or more Participants to whom an Award will be made, (ii) select the Performance Goals applicable to the Performance Period, (iii) establish the Performance Goals, and amounts of such Awards, as applicable, which may be earned for such Performance Period, and (iv) specify the relationship between Performance Goals and the amounts of such Awards, as applicable, to be earned by each Participant for such Performance Period. Following the completion of each Performance Period, the Administrator will certify in writing whether the applicable Performance Goals have been achieved for such Performance Period. In determining the amounts earned by a Participant, the Administrator will have the right to reduce or eliminate (but not to increase) the amount payable at a given level of performance to take into account additional factors that the Administrator may deem relevant to the assessment of individual or corporate performance for the Performance Period. A Participant will be eligible to receive payment pursuant to an Award for a Performance Period only if the Performance Goals for such period are achieved.</w:t>
      </w:r>
    </w:p>
    <w:p>
      <w:pPr>
        <w:spacing w:after="0" w:line="190" w:lineRule="exact"/>
        <w:rPr>
          <w:sz w:val="20"/>
          <w:szCs w:val="20"/>
          <w:color w:val="auto"/>
        </w:rPr>
      </w:pPr>
    </w:p>
    <w:p>
      <w:pPr>
        <w:ind w:left="364" w:right="60" w:hanging="134"/>
        <w:spacing w:after="0" w:line="258"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Additional Limitations</w:t>
      </w:r>
      <w:r>
        <w:rPr>
          <w:rFonts w:ascii="Times New Roman" w:cs="Times New Roman" w:eastAsia="Times New Roman" w:hAnsi="Times New Roman"/>
          <w:sz w:val="18"/>
          <w:szCs w:val="18"/>
          <w:color w:val="auto"/>
        </w:rPr>
        <w:t>. Notwithstanding any other provision of the Plan, any Award which is granted to a Participant and is intended to constitute qualified performance based compensation under Code Section 162(m) will be subject to any additional limitations set forth in the Code (including any amendment to Section 162(m)) or any regulations and ruling issued thereunder that are requirements for qualification as qualified performance-based compensation as described in Section 162(m) of the Code, and the Plan will be deemed amended to the extent necessary to conform to such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98" w:name="page99"/>
    <w:bookmarkEnd w:id="98"/>
    <w:p>
      <w:pPr>
        <w:ind w:right="160" w:hanging="228"/>
        <w:spacing w:after="0" w:line="282" w:lineRule="auto"/>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Outside Director Limitations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The Administrator will have complete discretion in determining the number of Awards granted to each Outside Director.</w:t>
      </w:r>
    </w:p>
    <w:p>
      <w:pPr>
        <w:spacing w:after="0" w:line="162" w:lineRule="exact"/>
        <w:rPr>
          <w:sz w:val="20"/>
          <w:szCs w:val="20"/>
          <w:color w:val="auto"/>
        </w:rPr>
      </w:pPr>
    </w:p>
    <w:p>
      <w:pPr>
        <w:ind w:right="80" w:hanging="228"/>
        <w:spacing w:after="0" w:line="255" w:lineRule="auto"/>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89" w:lineRule="exact"/>
        <w:rPr>
          <w:sz w:val="20"/>
          <w:szCs w:val="20"/>
          <w:color w:val="auto"/>
        </w:rPr>
      </w:pPr>
    </w:p>
    <w:p>
      <w:pPr>
        <w:ind w:hanging="228"/>
        <w:spacing w:after="0" w:line="261" w:lineRule="auto"/>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80" w:lineRule="exact"/>
        <w:rPr>
          <w:sz w:val="20"/>
          <w:szCs w:val="20"/>
          <w:color w:val="auto"/>
        </w:rPr>
      </w:pPr>
    </w:p>
    <w:p>
      <w:pPr>
        <w:ind w:left="780" w:hanging="329"/>
        <w:spacing w:after="0"/>
        <w:tabs>
          <w:tab w:leader="none" w:pos="7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0" w:hanging="135"/>
        <w:spacing w:after="0" w:line="256" w:lineRule="auto"/>
        <w:tabs>
          <w:tab w:leader="none" w:pos="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set forth in Sections 3, 6, 7, 8, 9 and 10 of the Plan.</w:t>
      </w:r>
    </w:p>
    <w:p>
      <w:pPr>
        <w:spacing w:after="0" w:line="187" w:lineRule="exact"/>
        <w:rPr>
          <w:sz w:val="20"/>
          <w:szCs w:val="20"/>
          <w:color w:val="auto"/>
        </w:rPr>
      </w:pPr>
    </w:p>
    <w:p>
      <w:pPr>
        <w:ind w:left="140" w:right="180" w:hanging="134"/>
        <w:spacing w:after="0" w:line="266"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previously has not been exercised, an Award will terminate immediately prior to the consummation of such proposed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346075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1200" w:top="580" w:right="339" w:bottom="1440" w:gutter="0" w:footer="0" w:header="0"/>
        </w:sectPr>
      </w:pPr>
    </w:p>
    <w:bookmarkStart w:id="99" w:name="page100"/>
    <w:bookmarkEnd w:id="99"/>
    <w:p>
      <w:pPr>
        <w:ind w:right="100" w:hanging="134"/>
        <w:spacing w:after="0" w:line="255"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Change in Control, each outstanding Award will be treated as the Administrator determines, including, without limitation, that (i) Awards may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Change in Control;</w:t>
      </w:r>
    </w:p>
    <w:p>
      <w:pPr>
        <w:spacing w:after="0" w:line="3" w:lineRule="exact"/>
        <w:rPr>
          <w:sz w:val="20"/>
          <w:szCs w:val="20"/>
          <w:color w:val="auto"/>
        </w:rPr>
      </w:pPr>
    </w:p>
    <w:p>
      <w:pPr>
        <w:spacing w:after="0" w:line="251" w:lineRule="auto"/>
        <w:tabs>
          <w:tab w:leader="none" w:pos="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Awards will vest and become exercisable, realizable, or payable, or restrictions applicable to an Award will lapse, in whole or in part prior to or upon consummation of such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15(c), the Administrator will not be required to treat all Awards similarly in the transaction.</w:t>
      </w:r>
    </w:p>
    <w:p>
      <w:pPr>
        <w:spacing w:after="0" w:line="1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15(c)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348615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1340" w:top="580" w:right="359" w:bottom="1440" w:gutter="0" w:footer="0" w:header="0"/>
        </w:sectPr>
      </w:pPr>
    </w:p>
    <w:bookmarkStart w:id="100" w:name="page101"/>
    <w:bookmarkEnd w:id="100"/>
    <w:p>
      <w:pPr>
        <w:ind w:left="360" w:right="60" w:hanging="134"/>
        <w:spacing w:after="0" w:line="258"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Outside Director Awards</w:t>
      </w:r>
      <w:r>
        <w:rPr>
          <w:rFonts w:ascii="Times New Roman" w:cs="Times New Roman" w:eastAsia="Times New Roman" w:hAnsi="Times New Roman"/>
          <w:sz w:val="18"/>
          <w:szCs w:val="18"/>
          <w:color w:val="auto"/>
        </w:rPr>
        <w:t>. With respect to Awards granted to an Outside Director, in the event of a Change in Control, the Participant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60" w:right="40" w:hanging="134"/>
        <w:spacing w:after="0" w:line="261"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80" w:lineRule="exact"/>
        <w:rPr>
          <w:sz w:val="20"/>
          <w:szCs w:val="20"/>
          <w:color w:val="auto"/>
        </w:rPr>
      </w:pPr>
    </w:p>
    <w:p>
      <w:pPr>
        <w:ind w:left="360" w:right="80" w:hanging="134"/>
        <w:spacing w:after="0" w:line="254"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amount required to be withheld or other greater amount up to the maximum statutory rate under Applicable Laws, as applicable to the Participant, if such other greater amount would not result in adverse financial accounting treatment, as determined by the Company (including in connection with the effectiveness of FASB Accounting Standards Update 2016-09 amending FASB Accounting Standards Codification Topic 718, Compensation – Stock Compensation),, or (c) 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188" w:lineRule="exact"/>
        <w:rPr>
          <w:sz w:val="20"/>
          <w:szCs w:val="20"/>
          <w:color w:val="auto"/>
        </w:rPr>
      </w:pPr>
    </w:p>
    <w:p>
      <w:pPr>
        <w:ind w:left="360" w:hanging="134"/>
        <w:spacing w:after="0" w:line="25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92" w:lineRule="exact"/>
        <w:rPr>
          <w:sz w:val="20"/>
          <w:szCs w:val="20"/>
          <w:color w:val="auto"/>
        </w:rPr>
      </w:pPr>
    </w:p>
    <w:p>
      <w:pPr>
        <w:ind w:left="220" w:right="260" w:hanging="228"/>
        <w:spacing w:after="0" w:line="266" w:lineRule="auto"/>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6" w:lineRule="exact"/>
        <w:rPr>
          <w:sz w:val="20"/>
          <w:szCs w:val="20"/>
          <w:color w:val="auto"/>
        </w:rPr>
      </w:pPr>
    </w:p>
    <w:p>
      <w:pPr>
        <w:ind w:left="220" w:right="220" w:hanging="228"/>
        <w:spacing w:after="0" w:line="266" w:lineRule="auto"/>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6" w:lineRule="exact"/>
        <w:rPr>
          <w:sz w:val="20"/>
          <w:szCs w:val="20"/>
          <w:color w:val="auto"/>
        </w:rPr>
      </w:pPr>
    </w:p>
    <w:p>
      <w:pPr>
        <w:ind w:left="220" w:right="220" w:hanging="228"/>
        <w:spacing w:after="0" w:line="282" w:lineRule="auto"/>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23 of the Plan, the Plan will become effective upon its adoption by the Board. It will continue in effect for a term of ten (10) years from the date adopted by the Board, unless terminated earlier under Section 20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337185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sz w:val="20"/>
          <w:szCs w:val="20"/>
          <w:color w:val="auto"/>
        </w:rPr>
      </w:pPr>
    </w:p>
    <w:p>
      <w:pPr>
        <w:ind w:left="360" w:right="480" w:hanging="134"/>
        <w:spacing w:after="0" w:line="282"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2" w:lineRule="exact"/>
        <w:rPr>
          <w:sz w:val="20"/>
          <w:szCs w:val="20"/>
          <w:color w:val="auto"/>
        </w:rPr>
      </w:pPr>
    </w:p>
    <w:p>
      <w:pPr>
        <w:ind w:left="360" w:right="60" w:hanging="134"/>
        <w:spacing w:after="0" w:line="261"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60" w:right="280" w:hanging="134"/>
        <w:spacing w:after="0" w:line="266"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6" w:lineRule="exact"/>
        <w:rPr>
          <w:sz w:val="20"/>
          <w:szCs w:val="20"/>
          <w:color w:val="auto"/>
        </w:rPr>
      </w:pPr>
    </w:p>
    <w:p>
      <w:pPr>
        <w:jc w:val="both"/>
        <w:ind w:left="360" w:right="420" w:hanging="134"/>
        <w:spacing w:after="0" w:line="266"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6" w:lineRule="exact"/>
        <w:rPr>
          <w:sz w:val="20"/>
          <w:szCs w:val="20"/>
          <w:color w:val="auto"/>
        </w:rPr>
      </w:pPr>
    </w:p>
    <w:p>
      <w:pPr>
        <w:ind w:left="220" w:hanging="228"/>
        <w:spacing w:after="0" w:line="256" w:lineRule="auto"/>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7" w:lineRule="exact"/>
        <w:rPr>
          <w:sz w:val="20"/>
          <w:szCs w:val="20"/>
          <w:color w:val="auto"/>
        </w:rPr>
      </w:pPr>
    </w:p>
    <w:p>
      <w:pPr>
        <w:ind w:left="220" w:right="180" w:hanging="228"/>
        <w:spacing w:after="0" w:line="282" w:lineRule="auto"/>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337185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580" w:right="379" w:bottom="1440" w:gutter="0" w:footer="0" w:header="0"/>
        </w:sectPr>
      </w:pPr>
    </w:p>
    <w:bookmarkStart w:id="102" w:name="page103"/>
    <w:bookmarkEnd w:id="10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Unless otherwise defined herein, the terms defined in the Pulse Biosciences, Inc. 2017 Equity Incentive Plan (the “Plan”) will have the same defined meanings in this Stock Option Agreement including the Notice of Stock Option Grant (the “Notice of Grant”), the Terms and Conditions of Stock Option Grant, and the appendices and exhibits attached thereto (all together, the “Award Agreement”).</w:t>
      </w:r>
    </w:p>
    <w:p>
      <w:pPr>
        <w:spacing w:after="0" w:line="172" w:lineRule="exact"/>
        <w:rPr>
          <w:sz w:val="20"/>
          <w:szCs w:val="20"/>
          <w:color w:val="auto"/>
        </w:rPr>
      </w:pPr>
    </w:p>
    <w:p>
      <w:pPr>
        <w:ind w:left="50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Name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%%FIRST_NAME_LAST_NAME%-%</w:t>
      </w:r>
    </w:p>
    <w:p>
      <w:pPr>
        <w:spacing w:after="0" w:line="225" w:lineRule="exact"/>
        <w:rPr>
          <w:sz w:val="20"/>
          <w:szCs w:val="20"/>
          <w:color w:val="auto"/>
        </w:rPr>
      </w:pPr>
    </w:p>
    <w:p>
      <w:pPr>
        <w:ind w:left="500"/>
        <w:spacing w:after="0"/>
        <w:tabs>
          <w:tab w:leader="none" w:pos="278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color w:val="auto"/>
        </w:rPr>
        <w:t>%%ADDRESS_LINE_1%-%</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%%ADDRESS_LINE_2%-%</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%%CITY_STATE_ZIPCODE%-%</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%%COUNTRY%-%</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an Option to purchase Common Stock of Pulse Biosciences, Inc. (the “Company”), subject to the terms and conditions of the Plan and this Award Agreement, as follows: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%%OPTION_NUMBER%-%</w:t>
            </w: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%%OPTION_DATE,'Month DD, YYYY'%-%</w:t>
            </w: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%%VEST_BASE_DATE, 'Month DD, YYYY'%-%</w:t>
            </w: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Granted</w:t>
            </w:r>
          </w:p>
        </w:tc>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%%TOTAL_SHARES_GRANTED,7%-%</w:t>
            </w: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%%OPTION_PRICE,'$999,999,999.99'%-%</w:t>
            </w: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%%TOTAL_OPTION_PRICE,'$999,999,999.99'%-%</w:t>
            </w: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%%OPTION_TYPE_LONG%-%</w:t>
            </w: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Term/Expiration Date</w:t>
            </w:r>
          </w:p>
        </w:tc>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%%EXPIRE_DATE_PERIOD1,'Month DD, YYYY'%-%</w:t>
            </w:r>
          </w:p>
        </w:tc>
      </w:tr>
      <w:tr>
        <w:trPr>
          <w:trHeight w:val="391"/>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424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Subject to accelerated vesting as set forth below or in the Plan, this Option will be exercisable, in whole or in part, in accordance with the following schedule or as otherwise delivered to you in a signed writing by the Company: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%%GRANT_USER_DEFINED_FIELD_3%-%</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Termination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15 of the Plan.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On November 1, 2023, in accordance with applicable law, including 229 CFR § 240.10D, the Company adopted a policy to recoup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claw back) certain “Erroneously Awarded Compensation” in the event the Company restates its financial reports (the “Policy”). This Option is subject to the Policy, although the Policy only applies to Executive Officers, as defined by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3" w:name="page104"/>
    <w:bookmarkEnd w:id="103"/>
    <w:p>
      <w:pPr>
        <w:ind w:left="500"/>
        <w:spacing w:after="0"/>
        <w:rPr>
          <w:sz w:val="20"/>
          <w:szCs w:val="20"/>
          <w:color w:val="auto"/>
        </w:rPr>
      </w:pP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Participant acknowledges receipt of a copy of the Plan and Policy and represents that he/sheshe/they is familiar with the terms and provisions thereof, and hereby accepts this Award Agreement subject to all of the terms and provisions of the Plan and Policy. Participant has reviewed the Plan, the Policy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the Policy or this Award Agreement. Participant further agrees to notify the Company upon any change in the residence address indicated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PULSE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94130" cy="41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12941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LaViolette,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0629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%%FIRST_NAME_LAST_NAME%-%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04" w:name="page105"/>
    <w:bookmarkEnd w:id="104"/>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STOCK OPTION GRANT</w:t>
      </w:r>
    </w:p>
    <w:p>
      <w:pPr>
        <w:spacing w:after="0" w:line="229" w:lineRule="exact"/>
        <w:rPr>
          <w:sz w:val="20"/>
          <w:szCs w:val="20"/>
          <w:color w:val="auto"/>
        </w:rPr>
      </w:pPr>
    </w:p>
    <w:p>
      <w:pPr>
        <w:ind w:left="140" w:right="80" w:hanging="134"/>
        <w:spacing w:after="0" w:line="258"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hereby grants to the individual (the “Participant”) named in the Notice of Stock Option Grant of this Award Agreement (the “Notice of Grant”) an option (the “Option”) to purchase the number of Shares, as set forth in the Notice of Grant, at the exercise price per Share set forth in the Notice of Grant (the “Exercise Price”), subject to all of the terms and conditions in this Award Agreement and the Plan, which is incorporated herein by reference. Subject to Section 20(c) of the Plan, in the event of a conflict between the terms and conditions of the Plan and the terms and conditions of this Award Agreement, the terms and conditions of the Plan will prevail.</w:t>
      </w:r>
    </w:p>
    <w:p>
      <w:pPr>
        <w:spacing w:after="0" w:line="183" w:lineRule="exact"/>
        <w:rPr>
          <w:sz w:val="20"/>
          <w:szCs w:val="20"/>
          <w:color w:val="auto"/>
        </w:rPr>
      </w:pPr>
    </w:p>
    <w:p>
      <w:pPr>
        <w:ind w:left="1320" w:right="20" w:hanging="317"/>
        <w:spacing w:after="0" w:line="254" w:lineRule="auto"/>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Incentive Stock Option,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91" w:lineRule="exact"/>
        <w:rPr>
          <w:rFonts w:ascii="Times New Roman" w:cs="Times New Roman" w:eastAsia="Times New Roman" w:hAnsi="Times New Roman"/>
          <w:sz w:val="18"/>
          <w:szCs w:val="18"/>
          <w:color w:val="auto"/>
        </w:rPr>
      </w:pPr>
    </w:p>
    <w:p>
      <w:pPr>
        <w:ind w:left="1320" w:hanging="331"/>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non-U.S. taxpayers, the Option will be designated as an NSO.</w:t>
      </w:r>
    </w:p>
    <w:p>
      <w:pPr>
        <w:spacing w:after="0" w:line="225" w:lineRule="exact"/>
        <w:rPr>
          <w:sz w:val="20"/>
          <w:szCs w:val="20"/>
          <w:color w:val="auto"/>
        </w:rPr>
      </w:pPr>
    </w:p>
    <w:p>
      <w:pPr>
        <w:ind w:left="140" w:right="120" w:hanging="134"/>
        <w:spacing w:after="0" w:line="261"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80" w:lineRule="exact"/>
        <w:rPr>
          <w:sz w:val="20"/>
          <w:szCs w:val="20"/>
          <w:color w:val="auto"/>
        </w:rPr>
      </w:pPr>
    </w:p>
    <w:p>
      <w:pPr>
        <w:ind w:left="140" w:right="120" w:hanging="134"/>
        <w:spacing w:after="0" w:line="266"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20" w:right="340" w:hanging="317"/>
        <w:spacing w:after="0" w:line="282"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may be exercised only within the term set out in the Notice of Grant, and may be exercised during such term only in accordance with the Plan and the terms of this Award Agreement.</w:t>
      </w:r>
    </w:p>
    <w:p>
      <w:pPr>
        <w:spacing w:after="0" w:line="161" w:lineRule="exact"/>
        <w:rPr>
          <w:rFonts w:ascii="Times New Roman" w:cs="Times New Roman" w:eastAsia="Times New Roman" w:hAnsi="Times New Roman"/>
          <w:sz w:val="18"/>
          <w:szCs w:val="18"/>
          <w:color w:val="auto"/>
        </w:rPr>
      </w:pPr>
    </w:p>
    <w:p>
      <w:pPr>
        <w:ind w:left="1320" w:hanging="331"/>
        <w:spacing w:after="0" w:line="255" w:lineRule="auto"/>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This Option is exercisable by delivery of an exercise notice (the “Exercise Notice”)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will be by any of the following, or a combination thereof, at the election of Participant:</w:t>
      </w:r>
    </w:p>
    <w:p>
      <w:pPr>
        <w:spacing w:after="0" w:line="225" w:lineRule="exact"/>
        <w:rPr>
          <w:sz w:val="20"/>
          <w:szCs w:val="20"/>
          <w:color w:val="auto"/>
        </w:rPr>
      </w:pPr>
    </w:p>
    <w:p>
      <w:pPr>
        <w:ind w:left="1320" w:hanging="317"/>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320" w:hanging="331"/>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left="1320" w:right="300" w:hanging="317"/>
        <w:spacing w:after="0" w:line="282" w:lineRule="auto"/>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formal cashless exercise program adopted by the Company in connection with the Plan;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40" w:top="576" w:right="339" w:bottom="1440" w:gutter="0" w:footer="0" w:header="0"/>
        </w:sectPr>
      </w:pPr>
    </w:p>
    <w:bookmarkStart w:id="105" w:name="page106"/>
    <w:bookmarkEnd w:id="105"/>
    <w:p>
      <w:pPr>
        <w:ind w:left="1320" w:right="40" w:hanging="331"/>
        <w:spacing w:after="0" w:line="266" w:lineRule="auto"/>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is a U.S. employee, 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20" w:hanging="317"/>
        <w:spacing w:after="0" w:line="252" w:lineRule="auto"/>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regardless of any action taken by the Company or, if different, Participant’s employer (the “Employer”), the ultimate liability for any tax and/or social insurance liability obligations and requirements in connection with the Option, including, without limitation, (a)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(b) the Participant’s and, to the extent required by the Company (or Employer), the Company’s (or Employer’s) fringe benefit tax liability, if any, associated with the grant, vesting, or exercise of the Option or sale of Shares, and (c) any other Company (or Employer)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(ii)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90" w:lineRule="exact"/>
        <w:rPr>
          <w:rFonts w:ascii="Times New Roman" w:cs="Times New Roman" w:eastAsia="Times New Roman" w:hAnsi="Times New Roman"/>
          <w:sz w:val="18"/>
          <w:szCs w:val="18"/>
          <w:color w:val="auto"/>
        </w:rPr>
      </w:pPr>
    </w:p>
    <w:p>
      <w:pPr>
        <w:ind w:left="1320" w:right="20" w:hanging="331"/>
        <w:spacing w:after="0" w:line="253" w:lineRule="auto"/>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Employer shall withhold the minimum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(a) paying cash, (b) electing to have the Company withhold otherwise deliverable Shares having a Fair Market Value equal to the amount of such Tax Obligations, (c) withholding the amount of such Tax Obligations from Participant’s wages or other cash compensation paid to Participant by the company and/or the Employer,</w:t>
      </w:r>
    </w:p>
    <w:p>
      <w:pPr>
        <w:ind w:left="1320" w:right="60" w:hanging="7"/>
        <w:spacing w:after="0" w:line="251" w:lineRule="auto"/>
        <w:tabs>
          <w:tab w:leader="none" w:pos="157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already vested and owned Shares having a Fair Market Value equal to such Tax Obligations, or (e)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192" w:lineRule="exact"/>
        <w:rPr>
          <w:rFonts w:ascii="Times New Roman" w:cs="Times New Roman" w:eastAsia="Times New Roman" w:hAnsi="Times New Roman"/>
          <w:sz w:val="18"/>
          <w:szCs w:val="18"/>
          <w:color w:val="auto"/>
        </w:rPr>
      </w:pPr>
    </w:p>
    <w:p>
      <w:pPr>
        <w:ind w:left="1320" w:right="120" w:hanging="317"/>
        <w:spacing w:after="0" w:line="258" w:lineRule="auto"/>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Disqualifying Disposition of ISO Shares</w:t>
      </w:r>
      <w:r>
        <w:rPr>
          <w:rFonts w:ascii="Times New Roman" w:cs="Times New Roman" w:eastAsia="Times New Roman" w:hAnsi="Times New Roman"/>
          <w:sz w:val="18"/>
          <w:szCs w:val="18"/>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40" w:top="580" w:right="359" w:bottom="1440" w:gutter="0" w:footer="0" w:header="0"/>
        </w:sectPr>
      </w:pPr>
    </w:p>
    <w:bookmarkStart w:id="106" w:name="page107"/>
    <w:bookmarkEnd w:id="106"/>
    <w:p>
      <w:pPr>
        <w:ind w:left="1320" w:hanging="331"/>
        <w:spacing w:after="0" w:line="253" w:lineRule="auto"/>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194" w:lineRule="exact"/>
        <w:rPr>
          <w:sz w:val="20"/>
          <w:szCs w:val="20"/>
          <w:color w:val="auto"/>
        </w:rPr>
      </w:pPr>
    </w:p>
    <w:p>
      <w:pPr>
        <w:ind w:left="140" w:right="200" w:hanging="134"/>
        <w:spacing w:after="0" w:line="258" w:lineRule="auto"/>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3" w:lineRule="exact"/>
        <w:rPr>
          <w:sz w:val="20"/>
          <w:szCs w:val="20"/>
          <w:color w:val="auto"/>
        </w:rPr>
      </w:pPr>
    </w:p>
    <w:p>
      <w:pPr>
        <w:ind w:left="140" w:right="20" w:hanging="134"/>
        <w:spacing w:after="0" w:line="272" w:lineRule="auto"/>
        <w:rPr>
          <w:sz w:val="20"/>
          <w:szCs w:val="20"/>
          <w:color w:val="auto"/>
        </w:rPr>
      </w:pPr>
      <w:r>
        <w:rPr>
          <w:rFonts w:ascii="Times New Roman" w:cs="Times New Roman" w:eastAsia="Times New Roman" w:hAnsi="Times New Roman"/>
          <w:sz w:val="17"/>
          <w:szCs w:val="17"/>
          <w:color w:val="auto"/>
        </w:rPr>
        <w:t>8.</w:t>
      </w:r>
      <w:r>
        <w:rPr>
          <w:rFonts w:ascii="Times New Roman" w:cs="Times New Roman" w:eastAsia="Times New Roman" w:hAnsi="Times New Roman"/>
          <w:sz w:val="17"/>
          <w:szCs w:val="17"/>
          <w:u w:val="single" w:color="auto"/>
          <w:color w:val="auto"/>
        </w:rPr>
        <w:t>No Guarantee of Continued Service</w:t>
      </w:r>
      <w:r>
        <w:rPr>
          <w:rFonts w:ascii="Times New Roman" w:cs="Times New Roman" w:eastAsia="Times New Roman" w:hAnsi="Times New Roman"/>
          <w:sz w:val="17"/>
          <w:szCs w:val="17"/>
          <w:color w:val="auto"/>
        </w:rPr>
        <w:t>. PARTICIPANT ACKNOWLEDGES AND AGREES THAT THE VESTING OF SHARES PURSUANT TO THE VESTING SCHEDULE HEREOF IS EARNED ONLY BY CONTINUING AS A SERVICE PROVIDER AT THE WILL OF THE COMPANY (OR THE EMPLOYER)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the Option, Participant acknowledges, understands and agrees that:</w:t>
      </w:r>
    </w:p>
    <w:p>
      <w:pPr>
        <w:spacing w:after="0" w:line="225" w:lineRule="exact"/>
        <w:rPr>
          <w:sz w:val="20"/>
          <w:szCs w:val="20"/>
          <w:color w:val="auto"/>
        </w:rPr>
      </w:pPr>
    </w:p>
    <w:p>
      <w:pPr>
        <w:ind w:left="1320" w:right="560" w:hanging="317"/>
        <w:spacing w:after="0" w:line="282" w:lineRule="auto"/>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options, or benefits in lieu of options, even if options have been granted in the past;</w:t>
      </w:r>
    </w:p>
    <w:p>
      <w:pPr>
        <w:spacing w:after="0" w:line="161" w:lineRule="exact"/>
        <w:rPr>
          <w:rFonts w:ascii="Times New Roman" w:cs="Times New Roman" w:eastAsia="Times New Roman" w:hAnsi="Times New Roman"/>
          <w:sz w:val="18"/>
          <w:szCs w:val="18"/>
          <w:color w:val="auto"/>
        </w:rPr>
      </w:pPr>
    </w:p>
    <w:p>
      <w:pPr>
        <w:ind w:left="1320" w:hanging="331"/>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 or other grants,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1320" w:hanging="317"/>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left="1320" w:hanging="331"/>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any Shares acquired under the Plan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ind w:left="1320" w:right="20" w:hanging="317"/>
        <w:spacing w:after="0" w:line="266" w:lineRule="auto"/>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360" w:hanging="330"/>
        <w:spacing w:after="0"/>
        <w:tabs>
          <w:tab w:leader="none" w:pos="1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1320" w:hanging="331"/>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do not increase in value, the Option will have no value;</w:t>
      </w:r>
    </w:p>
    <w:p>
      <w:pPr>
        <w:spacing w:after="0" w:line="225" w:lineRule="exact"/>
        <w:rPr>
          <w:rFonts w:ascii="Times New Roman" w:cs="Times New Roman" w:eastAsia="Times New Roman" w:hAnsi="Times New Roman"/>
          <w:sz w:val="18"/>
          <w:szCs w:val="18"/>
          <w:color w:val="auto"/>
        </w:rPr>
      </w:pPr>
    </w:p>
    <w:p>
      <w:pPr>
        <w:ind w:left="1320" w:right="300" w:hanging="331"/>
        <w:spacing w:after="0" w:line="282" w:lineRule="auto"/>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exercises the Option and acquires Shares, the value of such Shares may increase or decrease in value, even below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40" w:top="580" w:right="339" w:bottom="1440" w:gutter="0" w:footer="0" w:header="0"/>
        </w:sectPr>
      </w:pPr>
    </w:p>
    <w:bookmarkStart w:id="107" w:name="page108"/>
    <w:bookmarkEnd w:id="107"/>
    <w:p>
      <w:pPr>
        <w:ind w:left="1120" w:hanging="330"/>
        <w:spacing w:after="0" w:line="252" w:lineRule="auto"/>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97" w:lineRule="exact"/>
        <w:rPr>
          <w:rFonts w:ascii="Times New Roman" w:cs="Times New Roman" w:eastAsia="Times New Roman" w:hAnsi="Times New Roman"/>
          <w:sz w:val="18"/>
          <w:szCs w:val="18"/>
          <w:color w:val="auto"/>
        </w:rPr>
      </w:pPr>
    </w:p>
    <w:p>
      <w:pPr>
        <w:ind w:left="1120" w:right="120" w:hanging="330"/>
        <w:spacing w:after="0" w:line="266" w:lineRule="auto"/>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1080" w:hanging="331"/>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i.the Option and the Shares subject to the Option are not part of normal or expected compensation or salary for any purpose;</w:t>
      </w:r>
    </w:p>
    <w:p>
      <w:pPr>
        <w:spacing w:after="0" w:line="225" w:lineRule="exact"/>
        <w:rPr>
          <w:sz w:val="20"/>
          <w:szCs w:val="20"/>
          <w:color w:val="auto"/>
        </w:rPr>
      </w:pPr>
    </w:p>
    <w:p>
      <w:pPr>
        <w:ind w:left="580" w:right="120" w:hanging="148"/>
        <w:spacing w:after="0" w:line="266" w:lineRule="auto"/>
        <w:rPr>
          <w:sz w:val="20"/>
          <w:szCs w:val="20"/>
          <w:color w:val="auto"/>
        </w:rPr>
      </w:pPr>
      <w:r>
        <w:rPr>
          <w:rFonts w:ascii="Times New Roman" w:cs="Times New Roman" w:eastAsia="Times New Roman" w:hAnsi="Times New Roman"/>
          <w:sz w:val="18"/>
          <w:szCs w:val="18"/>
          <w:color w:val="auto"/>
        </w:rPr>
        <w:t>ii.Participant acknowledges and agrees that none of the Company, the Employer,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76" w:lineRule="exact"/>
        <w:rPr>
          <w:sz w:val="20"/>
          <w:szCs w:val="20"/>
          <w:color w:val="auto"/>
        </w:rPr>
      </w:pPr>
    </w:p>
    <w:p>
      <w:pPr>
        <w:ind w:left="620" w:right="40" w:hanging="202"/>
        <w:spacing w:after="0" w:line="254" w:lineRule="auto"/>
        <w:rPr>
          <w:sz w:val="20"/>
          <w:szCs w:val="20"/>
          <w:color w:val="auto"/>
        </w:rPr>
      </w:pPr>
      <w:r>
        <w:rPr>
          <w:rFonts w:ascii="Times New Roman" w:cs="Times New Roman" w:eastAsia="Times New Roman" w:hAnsi="Times New Roman"/>
          <w:sz w:val="18"/>
          <w:szCs w:val="18"/>
          <w:color w:val="auto"/>
        </w:rPr>
        <w:t>iii.no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200" w:lineRule="exact"/>
        <w:rPr>
          <w:sz w:val="20"/>
          <w:szCs w:val="20"/>
          <w:color w:val="auto"/>
        </w:rPr>
      </w:pPr>
    </w:p>
    <w:p>
      <w:pPr>
        <w:spacing w:after="0" w:line="208" w:lineRule="exact"/>
        <w:rPr>
          <w:sz w:val="20"/>
          <w:szCs w:val="20"/>
          <w:color w:val="auto"/>
        </w:rPr>
      </w:pPr>
    </w:p>
    <w:p>
      <w:pPr>
        <w:ind w:right="80" w:hanging="228"/>
        <w:spacing w:after="0" w:line="261" w:lineRule="auto"/>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348615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580" w:right="339" w:bottom="1440" w:gutter="0" w:footer="0" w:header="0"/>
        </w:sectPr>
      </w:pPr>
    </w:p>
    <w:bookmarkStart w:id="108" w:name="page109"/>
    <w:bookmarkEnd w:id="108"/>
    <w:p>
      <w:pPr>
        <w:ind w:left="333" w:right="40" w:hanging="333"/>
        <w:spacing w:after="0" w:line="262" w:lineRule="auto"/>
        <w:tabs>
          <w:tab w:leader="none" w:pos="3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personal data as described in this Award Agreement and any other Option grant materials by and among, as applicable, the Employer, the Company and any Parent or Subsidiary for the exclusive purpose of implementing, administering and managing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participation in the Plan.</w:t>
      </w:r>
    </w:p>
    <w:p>
      <w:pPr>
        <w:spacing w:after="0" w:line="176" w:lineRule="exact"/>
        <w:rPr>
          <w:rFonts w:ascii="Times New Roman" w:cs="Times New Roman" w:eastAsia="Times New Roman" w:hAnsi="Times New Roman"/>
          <w:sz w:val="18"/>
          <w:szCs w:val="18"/>
          <w:color w:val="auto"/>
        </w:rPr>
      </w:pPr>
    </w:p>
    <w:p>
      <w:pPr>
        <w:jc w:val="both"/>
        <w:ind w:left="333"/>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Participant understands that the Company and the Employer may hold certain personal information about Participant, including, but not limited to,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favor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79" w:lineRule="exact"/>
        <w:rPr>
          <w:rFonts w:ascii="Times New Roman" w:cs="Times New Roman" w:eastAsia="Times New Roman" w:hAnsi="Times New Roman"/>
          <w:sz w:val="18"/>
          <w:szCs w:val="18"/>
          <w:color w:val="auto"/>
        </w:rPr>
      </w:pPr>
    </w:p>
    <w:p>
      <w:pPr>
        <w:jc w:val="both"/>
        <w:ind w:left="333"/>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country of operation (e.g., the United States) may have different data privacy laws and protections than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country. Participant understands that if he or she resides outside the United</w:t>
      </w:r>
    </w:p>
    <w:p>
      <w:pPr>
        <w:spacing w:after="0" w:line="3" w:lineRule="exact"/>
        <w:rPr>
          <w:rFonts w:ascii="Times New Roman" w:cs="Times New Roman" w:eastAsia="Times New Roman" w:hAnsi="Times New Roman"/>
          <w:sz w:val="18"/>
          <w:szCs w:val="18"/>
          <w:color w:val="auto"/>
        </w:rPr>
      </w:pPr>
    </w:p>
    <w:p>
      <w:pPr>
        <w:jc w:val="both"/>
        <w:ind w:left="33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States,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participation in the Plan. Participant understands that Data will be held only as long as is necessary to implement, administer and manage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participation in the Plan.</w:t>
      </w:r>
    </w:p>
    <w:p>
      <w:pPr>
        <w:spacing w:after="0" w:line="1" w:lineRule="exact"/>
        <w:rPr>
          <w:rFonts w:ascii="Times New Roman" w:cs="Times New Roman" w:eastAsia="Times New Roman" w:hAnsi="Times New Roman"/>
          <w:sz w:val="18"/>
          <w:szCs w:val="18"/>
          <w:color w:val="auto"/>
        </w:rPr>
      </w:pPr>
    </w:p>
    <w:p>
      <w:pPr>
        <w:jc w:val="both"/>
        <w:ind w:left="333"/>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consent is that the Company would not be able to grant Participant Options or other equity awards or administer or maintain such awards. Therefore, Participant understands that refusing or withdrawing his or her consent may affect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participate in the Plan. For more information on the consequences of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refusal to consent or withdrawal of consent, Participant understands that he or she may contact his or her local human resources representative.</w:t>
      </w:r>
    </w:p>
    <w:p>
      <w:pPr>
        <w:spacing w:after="0" w:line="193" w:lineRule="exact"/>
        <w:rPr>
          <w:rFonts w:ascii="Times New Roman" w:cs="Times New Roman" w:eastAsia="Times New Roman" w:hAnsi="Times New Roman"/>
          <w:sz w:val="18"/>
          <w:szCs w:val="18"/>
          <w:color w:val="auto"/>
        </w:rPr>
      </w:pPr>
    </w:p>
    <w:p>
      <w:pPr>
        <w:ind w:left="333" w:right="360" w:hanging="333"/>
        <w:spacing w:after="0" w:line="266" w:lineRule="auto"/>
        <w:tabs>
          <w:tab w:leader="none" w:pos="3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Pulse Biosciences, Inc., 849 Mitten Rd. #104, Burlingame, CA 94010, or at such other address as the Company may hereafter designate in writing.</w:t>
      </w:r>
    </w:p>
    <w:p>
      <w:pPr>
        <w:spacing w:after="0" w:line="175" w:lineRule="exact"/>
        <w:rPr>
          <w:rFonts w:ascii="Times New Roman" w:cs="Times New Roman" w:eastAsia="Times New Roman" w:hAnsi="Times New Roman"/>
          <w:sz w:val="18"/>
          <w:szCs w:val="18"/>
          <w:color w:val="auto"/>
        </w:rPr>
      </w:pPr>
    </w:p>
    <w:p>
      <w:pPr>
        <w:ind w:left="333" w:right="860" w:hanging="333"/>
        <w:spacing w:after="0" w:line="282" w:lineRule="auto"/>
        <w:tabs>
          <w:tab w:leader="none" w:pos="3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This Option may not be transferred in any manner otherwise than by will or by the laws of descent or distribution and may be exercised during the lifetime of Participant only by Participant.</w:t>
      </w:r>
    </w:p>
    <w:p>
      <w:pPr>
        <w:spacing w:after="0" w:line="161" w:lineRule="exact"/>
        <w:rPr>
          <w:rFonts w:ascii="Times New Roman" w:cs="Times New Roman" w:eastAsia="Times New Roman" w:hAnsi="Times New Roman"/>
          <w:sz w:val="18"/>
          <w:szCs w:val="18"/>
          <w:color w:val="auto"/>
        </w:rPr>
      </w:pPr>
    </w:p>
    <w:p>
      <w:pPr>
        <w:ind w:left="333" w:right="40" w:hanging="333"/>
        <w:spacing w:after="0" w:line="261" w:lineRule="auto"/>
        <w:tabs>
          <w:tab w:leader="none" w:pos="3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79" w:lineRule="exact"/>
        <w:rPr>
          <w:rFonts w:ascii="Times New Roman" w:cs="Times New Roman" w:eastAsia="Times New Roman" w:hAnsi="Times New Roman"/>
          <w:sz w:val="18"/>
          <w:szCs w:val="18"/>
          <w:color w:val="auto"/>
        </w:rPr>
      </w:pPr>
    </w:p>
    <w:p>
      <w:pPr>
        <w:ind w:left="333" w:right="120" w:hanging="333"/>
        <w:spacing w:after="0" w:line="253" w:lineRule="auto"/>
        <w:tabs>
          <w:tab w:leader="none" w:pos="3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foreign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357505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73"/>
          </w:cols>
          <w:pgMar w:left="787" w:top="360" w:right="339" w:bottom="1440" w:gutter="0" w:footer="0" w:header="0"/>
        </w:sectPr>
      </w:pPr>
    </w:p>
    <w:bookmarkStart w:id="109" w:name="page110"/>
    <w:bookmarkEnd w:id="109"/>
    <w:p>
      <w:pPr>
        <w:ind w:left="333" w:right="360" w:hanging="333"/>
        <w:spacing w:after="0" w:line="282" w:lineRule="auto"/>
        <w:tabs>
          <w:tab w:leader="none" w:pos="3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left="333" w:right="80" w:hanging="333"/>
        <w:spacing w:after="0" w:line="256" w:lineRule="auto"/>
        <w:tabs>
          <w:tab w:leader="none" w:pos="3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7" w:lineRule="exact"/>
        <w:rPr>
          <w:rFonts w:ascii="Times New Roman" w:cs="Times New Roman" w:eastAsia="Times New Roman" w:hAnsi="Times New Roman"/>
          <w:sz w:val="18"/>
          <w:szCs w:val="18"/>
          <w:color w:val="auto"/>
        </w:rPr>
      </w:pPr>
    </w:p>
    <w:p>
      <w:pPr>
        <w:ind w:left="333" w:right="300" w:hanging="333"/>
        <w:spacing w:after="0" w:line="261" w:lineRule="auto"/>
        <w:tabs>
          <w:tab w:leader="none" w:pos="3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18"/>
          <w:szCs w:val="18"/>
          <w:color w:val="auto"/>
        </w:rPr>
      </w:pPr>
    </w:p>
    <w:p>
      <w:pPr>
        <w:ind w:left="333" w:right="420" w:hanging="333"/>
        <w:spacing w:after="0" w:line="282" w:lineRule="auto"/>
        <w:tabs>
          <w:tab w:leader="none" w:pos="3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1" w:lineRule="exact"/>
        <w:rPr>
          <w:rFonts w:ascii="Times New Roman" w:cs="Times New Roman" w:eastAsia="Times New Roman" w:hAnsi="Times New Roman"/>
          <w:sz w:val="18"/>
          <w:szCs w:val="18"/>
          <w:color w:val="auto"/>
        </w:rPr>
      </w:pPr>
    </w:p>
    <w:p>
      <w:pPr>
        <w:ind w:left="333" w:right="320" w:hanging="333"/>
        <w:spacing w:after="0" w:line="266" w:lineRule="auto"/>
        <w:tabs>
          <w:tab w:leader="none" w:pos="3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75" w:lineRule="exact"/>
        <w:rPr>
          <w:rFonts w:ascii="Times New Roman" w:cs="Times New Roman" w:eastAsia="Times New Roman" w:hAnsi="Times New Roman"/>
          <w:sz w:val="18"/>
          <w:szCs w:val="18"/>
          <w:color w:val="auto"/>
        </w:rPr>
      </w:pPr>
    </w:p>
    <w:p>
      <w:pPr>
        <w:ind w:left="333" w:right="120" w:hanging="333"/>
        <w:spacing w:after="0" w:line="266" w:lineRule="auto"/>
        <w:tabs>
          <w:tab w:leader="none" w:pos="3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75" w:lineRule="exact"/>
        <w:rPr>
          <w:rFonts w:ascii="Times New Roman" w:cs="Times New Roman" w:eastAsia="Times New Roman" w:hAnsi="Times New Roman"/>
          <w:sz w:val="18"/>
          <w:szCs w:val="18"/>
          <w:color w:val="auto"/>
        </w:rPr>
      </w:pPr>
    </w:p>
    <w:p>
      <w:pPr>
        <w:ind w:left="333" w:hanging="333"/>
        <w:spacing w:after="0" w:line="258" w:lineRule="auto"/>
        <w:tabs>
          <w:tab w:leader="none" w:pos="3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Award Agreement will be governed by the laws of California, without giving effect to the conflict of law principles thereof. For purposes of litigating any dispute that arises under this Option or this Award Agreement, the parties hereby submit to and consent to the jurisdiction of the State of California, and agree that such litigation will be conducted in the courts of San Francisco, California, or the federal courts for the United States for the Northern District of California, and no other courts, where this Option is made and/or to be performed.</w:t>
      </w:r>
    </w:p>
    <w:p>
      <w:pPr>
        <w:spacing w:after="0" w:line="183" w:lineRule="exact"/>
        <w:rPr>
          <w:rFonts w:ascii="Times New Roman" w:cs="Times New Roman" w:eastAsia="Times New Roman" w:hAnsi="Times New Roman"/>
          <w:sz w:val="18"/>
          <w:szCs w:val="18"/>
          <w:color w:val="auto"/>
        </w:rPr>
      </w:pPr>
    </w:p>
    <w:p>
      <w:pPr>
        <w:ind w:left="333" w:right="40" w:hanging="333"/>
        <w:spacing w:after="0" w:line="258" w:lineRule="auto"/>
        <w:tabs>
          <w:tab w:leader="none" w:pos="3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this Option shall be subject to any special terms and conditions set forth in any appendix to this Award Agreement for Participant’s country (the “Country Addendum”). Moreover, if Participant relocates to one of the countries included in the Country Addendum,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3" w:lineRule="exact"/>
        <w:rPr>
          <w:rFonts w:ascii="Times New Roman" w:cs="Times New Roman" w:eastAsia="Times New Roman" w:hAnsi="Times New Roman"/>
          <w:sz w:val="18"/>
          <w:szCs w:val="18"/>
          <w:color w:val="auto"/>
        </w:rPr>
      </w:pPr>
    </w:p>
    <w:p>
      <w:pPr>
        <w:ind w:left="333" w:right="60" w:hanging="333"/>
        <w:spacing w:after="0" w:line="255" w:lineRule="auto"/>
        <w:tabs>
          <w:tab w:leader="none" w:pos="3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354330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53"/>
          </w:cols>
          <w:pgMar w:left="787" w:top="580" w:right="359" w:bottom="1440" w:gutter="0" w:footer="0" w:header="0"/>
        </w:sectPr>
      </w:pPr>
    </w:p>
    <w:bookmarkStart w:id="110" w:name="page111"/>
    <w:bookmarkEnd w:id="110"/>
    <w:p>
      <w:pPr>
        <w:ind w:left="333" w:hanging="333"/>
        <w:spacing w:after="0" w:line="261" w:lineRule="auto"/>
        <w:tabs>
          <w:tab w:leader="none" w:pos="33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left="333" w:hanging="333"/>
        <w:spacing w:after="0" w:line="258" w:lineRule="auto"/>
        <w:tabs>
          <w:tab w:leader="none" w:pos="33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its own tax advisors the U.S. federal, state, local and foreign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351155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93"/>
          </w:cols>
          <w:pgMar w:left="787" w:top="580" w:right="4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capitalized terms used but not defined in this Country Addendum shall have the meanings set forth in the Plan, the and/or the Award Agreement to which this Country Addendum is attached.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May 16, 2017.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346075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6" w:right="339" w:bottom="1440" w:gutter="0" w:footer="0" w:header="0"/>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Pulse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3957 Point Eden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Hayward, CA 94545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Stock Administration</w:t>
      </w:r>
    </w:p>
    <w:p>
      <w:pPr>
        <w:spacing w:after="0" w:line="207" w:lineRule="exact"/>
        <w:rPr>
          <w:sz w:val="20"/>
          <w:szCs w:val="20"/>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Effective as of today, ________________, _____, the undersigned (“Purchaser”) hereby elects to purchase</w:t>
      </w:r>
    </w:p>
    <w:p>
      <w:pPr>
        <w:spacing w:after="0" w:line="27" w:lineRule="exact"/>
        <w:rPr>
          <w:rFonts w:ascii="Times New Roman" w:cs="Times New Roman" w:eastAsia="Times New Roman" w:hAnsi="Times New Roman"/>
          <w:sz w:val="18"/>
          <w:szCs w:val="18"/>
          <w:color w:val="auto"/>
        </w:rPr>
      </w:pPr>
    </w:p>
    <w:p>
      <w:pPr>
        <w:ind w:left="72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 shares (the “Shares”) of the Common Stock of Pulse Biosciences, Inc. (the “Company”) under and pursuant to the 2017 Equity Incentive Plan (the “Plan”) and the Stock Option Agreement, dated ________ and including the Notice of Grant, the Terms and Conditions of Stock Option Grant, and appendices and exhibits attached thereto (the “Award Agreement”). The purchase price for the Shares will be $_____________, as required by the Award Agreement.</w:t>
      </w:r>
    </w:p>
    <w:p>
      <w:pPr>
        <w:spacing w:after="0" w:line="188" w:lineRule="exact"/>
        <w:rPr>
          <w:rFonts w:ascii="Times New Roman" w:cs="Times New Roman" w:eastAsia="Times New Roman" w:hAnsi="Times New Roman"/>
          <w:sz w:val="18"/>
          <w:szCs w:val="18"/>
          <w:color w:val="auto"/>
        </w:rPr>
      </w:pPr>
    </w:p>
    <w:p>
      <w:pPr>
        <w:ind w:left="720" w:right="20"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Purchaser herewith delivers to the Company the full purchase price of the Shares and any Tax Obligations (as defined in Section 7(a) of the Award Agreement) to be paid in connection with the exercise of the Option.</w:t>
      </w:r>
    </w:p>
    <w:p>
      <w:pPr>
        <w:spacing w:after="0" w:line="161" w:lineRule="exact"/>
        <w:rPr>
          <w:rFonts w:ascii="Times New Roman" w:cs="Times New Roman" w:eastAsia="Times New Roman" w:hAnsi="Times New Roman"/>
          <w:sz w:val="18"/>
          <w:szCs w:val="18"/>
          <w:color w:val="auto"/>
        </w:rPr>
      </w:pPr>
    </w:p>
    <w:p>
      <w:pPr>
        <w:ind w:left="720" w:right="180"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Purchaser</w:t>
      </w:r>
      <w:r>
        <w:rPr>
          <w:rFonts w:ascii="Times New Roman" w:cs="Times New Roman" w:eastAsia="Times New Roman" w:hAnsi="Times New Roman"/>
          <w:sz w:val="18"/>
          <w:szCs w:val="18"/>
          <w:color w:val="auto"/>
        </w:rPr>
        <w:t>. Purchaser acknowledges that Purchaser has received, read and understood the Plan and the Award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ind w:left="720" w:right="60" w:hanging="319"/>
        <w:spacing w:after="0" w:line="258"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15 of the Plan.</w:t>
      </w:r>
    </w:p>
    <w:p>
      <w:pPr>
        <w:spacing w:after="0" w:line="183" w:lineRule="exact"/>
        <w:rPr>
          <w:rFonts w:ascii="Times New Roman" w:cs="Times New Roman" w:eastAsia="Times New Roman" w:hAnsi="Times New Roman"/>
          <w:sz w:val="18"/>
          <w:szCs w:val="18"/>
          <w:color w:val="auto"/>
        </w:rPr>
      </w:pPr>
    </w:p>
    <w:p>
      <w:pPr>
        <w:ind w:left="720" w:hanging="319"/>
        <w:spacing w:after="0" w:line="266"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75" w:lineRule="exact"/>
        <w:rPr>
          <w:rFonts w:ascii="Times New Roman" w:cs="Times New Roman" w:eastAsia="Times New Roman" w:hAnsi="Times New Roman"/>
          <w:sz w:val="18"/>
          <w:szCs w:val="18"/>
          <w:color w:val="auto"/>
        </w:rPr>
      </w:pPr>
    </w:p>
    <w:p>
      <w:pPr>
        <w:ind w:left="720" w:hanging="319"/>
        <w:spacing w:after="0" w:line="258"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ectPr>
          <w:pgSz w:w="11900" w:h="16838" w:orient="portrait"/>
          <w:cols w:equalWidth="0" w:num="1">
            <w:col w:w="11040"/>
          </w:cols>
          <w:pgMar w:left="480" w:top="576" w:right="379" w:bottom="1440" w:gutter="0" w:footer="0" w:header="0"/>
        </w:sectPr>
      </w:pPr>
    </w:p>
    <w:p>
      <w:pPr>
        <w:spacing w:after="0" w:line="3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Submitted by:</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PURCHASER</w:t>
      </w:r>
    </w:p>
    <w:p>
      <w:pPr>
        <w:spacing w:after="0" w:line="200" w:lineRule="exact"/>
        <w:rPr>
          <w:sz w:val="20"/>
          <w:szCs w:val="20"/>
          <w:color w:val="auto"/>
        </w:rPr>
      </w:pPr>
    </w:p>
    <w:p>
      <w:pPr>
        <w:spacing w:after="0" w:line="24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-127635</wp:posOffset>
            </wp:positionV>
            <wp:extent cx="16630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-127635</wp:posOffset>
            </wp:positionV>
            <wp:extent cx="16630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291465</wp:posOffset>
            </wp:positionV>
            <wp:extent cx="16630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574675</wp:posOffset>
            </wp:positionV>
            <wp:extent cx="16630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PULSE BIOSCIENCES, INC.</w:t>
      </w:r>
    </w:p>
    <w:p>
      <w:pPr>
        <w:spacing w:after="0" w:line="200" w:lineRule="exact"/>
        <w:rPr>
          <w:sz w:val="20"/>
          <w:szCs w:val="20"/>
          <w:color w:val="auto"/>
        </w:rPr>
      </w:pPr>
    </w:p>
    <w:p>
      <w:pPr>
        <w:spacing w:after="0" w:line="266"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16630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6630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6060" w:space="720"/>
            <w:col w:w="4260"/>
          </w:cols>
          <w:pgMar w:left="480" w:top="57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-120650</wp:posOffset>
            </wp:positionV>
            <wp:extent cx="16630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ectPr>
          <w:pgSz w:w="11900" w:h="16838" w:orient="portrait"/>
          <w:cols w:equalWidth="0" w:num="1">
            <w:col w:w="11040"/>
          </w:cols>
          <w:pgMar w:left="480" w:top="576" w:right="379" w:bottom="1440" w:gutter="0" w:footer="0" w:header="0"/>
          <w:type w:val="continuous"/>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Pulse Biosciences, Inc. (“</w:t>
      </w:r>
      <w:r>
        <w:rPr>
          <w:rFonts w:ascii="Times New Roman" w:cs="Times New Roman" w:eastAsia="Times New Roman" w:hAnsi="Times New Roman"/>
          <w:sz w:val="18"/>
          <w:szCs w:val="18"/>
          <w:b w:val="1"/>
          <w:bCs w:val="1"/>
          <w:i w:val="1"/>
          <w:iCs w:val="1"/>
          <w:color w:val="auto"/>
        </w:rPr>
        <w:t>Pulse Biosciences</w:t>
      </w:r>
      <w:r>
        <w:rPr>
          <w:rFonts w:ascii="Times New Roman" w:cs="Times New Roman" w:eastAsia="Times New Roman" w:hAnsi="Times New Roman"/>
          <w:sz w:val="18"/>
          <w:szCs w:val="18"/>
          <w:color w:val="auto"/>
        </w:rPr>
        <w:t>”) is committed to maintaining the highest standards of business conduct and ethics. This Code of Business Conduct and Ethics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reflects the business practices and principles of behavior that support this commitment, and is designed to deter wrongdoing and promote the standards set forth within. This Code does not address every issue that may arise in the course of your work, but it sets out basic principles and standards applicable to all Pulse Biosciences employees, officers, directors, temporary agency personnel and contract personnel on a worldwide basis (“</w:t>
      </w:r>
      <w:r>
        <w:rPr>
          <w:rFonts w:ascii="Times New Roman" w:cs="Times New Roman" w:eastAsia="Times New Roman" w:hAnsi="Times New Roman"/>
          <w:sz w:val="18"/>
          <w:szCs w:val="18"/>
          <w:b w:val="1"/>
          <w:bCs w:val="1"/>
          <w:i w:val="1"/>
          <w:iCs w:val="1"/>
          <w:color w:val="auto"/>
        </w:rPr>
        <w:t>Pulse Biosciences Personnel</w:t>
      </w:r>
      <w:r>
        <w:rPr>
          <w:rFonts w:ascii="Times New Roman" w:cs="Times New Roman" w:eastAsia="Times New Roman" w:hAnsi="Times New Roman"/>
          <w:sz w:val="18"/>
          <w:szCs w:val="18"/>
          <w:color w:val="auto"/>
        </w:rPr>
        <w:t>”) who must conduct themselves in accordance with this Code and seek to avoid even the appearance of improper behavior, and is designed to deter wrongdoing and promote the standards set forth within. We expect all Pulse Biosciences Personnel to read and understand the Code and its application to the performance of his or her business responsibilities.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adhere to the Code may result in disciplinary action, up to, and including, termination of your employment or other relationship with the Company, as applicable. Failure to report wrongdoing of which you have knowledge may, in itself, be a basis for disciplinary action.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Officers, managers, and other supervisors are expected to develop in employees a sense of commitment to the letter and spirit of the Code. Those who lead or direct the work of employees or contractors, or any distributors, agents, or other third parties acting on our behalf, are also expected to ensure that all such employees, contractors, and other third parties conform to Code standards when working for or on behalf of Pulse Biosciences. The compliance environment within each supervisor’s assigned area of responsibility will be a factor in evaluating the quality of that individual’s performance.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Code covers a wide range of business practices and procedures and is designed to encourage ethical behavior and promote the standards set forth below. It is intended to advise Pulse Biosciences Personnel of situations that could possibly result in non-compliance with applicable laws, rules or regulations. While strict compliance by Pulse Biosciences Personnel with applicable legal requirements is not a new policy, this Code is intended to establish a framework for compliance. This Code does not include all of Pulse Biosciences’ practices that are designed to achieve compliance with legal and ethical requirements, as Pulse Biosciences maintains and implements other policies and procedures that are intended to supplement the Code. Pulse Biosciences Personnel are also subject to other agreements, such as confidentiality and non-competition agreements, and agreements to protect our intellectual property.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adopt additional policies and procedures with which Pulse Biosciences Personnel are expected to comply, if applicable to them. However, it is the responsibility of each Pulse Biosciences Personnel to apply common sense, together with his or her own highest personal ethical standards, in making business decisions where there is no stated guideline in the Code. If a Pulse Biosciences Personnel is uncertain about a course of action, he or she should consult the Chief Financial Officer (the “</w:t>
      </w:r>
      <w:r>
        <w:rPr>
          <w:rFonts w:ascii="Times New Roman" w:cs="Times New Roman" w:eastAsia="Times New Roman" w:hAnsi="Times New Roman"/>
          <w:sz w:val="18"/>
          <w:szCs w:val="18"/>
          <w:b w:val="1"/>
          <w:bCs w:val="1"/>
          <w:i w:val="1"/>
          <w:iCs w:val="1"/>
          <w:color w:val="auto"/>
        </w:rPr>
        <w:t>Compliance Officer</w:t>
      </w:r>
      <w:r>
        <w:rPr>
          <w:rFonts w:ascii="Times New Roman" w:cs="Times New Roman" w:eastAsia="Times New Roman" w:hAnsi="Times New Roman"/>
          <w:sz w:val="18"/>
          <w:szCs w:val="18"/>
          <w:color w:val="auto"/>
        </w:rPr>
        <w:t>”) or Pulse Biosciences’ outside legal counsel (“</w:t>
      </w:r>
      <w:r>
        <w:rPr>
          <w:rFonts w:ascii="Times New Roman" w:cs="Times New Roman" w:eastAsia="Times New Roman" w:hAnsi="Times New Roman"/>
          <w:sz w:val="18"/>
          <w:szCs w:val="18"/>
          <w:b w:val="1"/>
          <w:bCs w:val="1"/>
          <w:i w:val="1"/>
          <w:iCs w:val="1"/>
          <w:color w:val="auto"/>
        </w:rPr>
        <w:t>Counsel</w:t>
      </w:r>
      <w:r>
        <w:rPr>
          <w:rFonts w:ascii="Times New Roman" w:cs="Times New Roman" w:eastAsia="Times New Roman" w:hAnsi="Times New Roman"/>
          <w:sz w:val="18"/>
          <w:szCs w:val="18"/>
          <w:color w:val="auto"/>
        </w:rPr>
        <w:t>”). To the extent that there is any conflict between a national, state or local law, rule or regulation and a policy in this Code, you must comply with the applicable law or regulation; however, if a local custom or policy conflicts with this Code, you must comply with this Code.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about these conflicts, you should ask Pulse Biosciences’ Compliance Officer.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Action by members of your immediate family, significant others or other persons who live in your household or are dependent on you for their well-being (referred to in the Code as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also may potentially result in ethical issues to the extent that they involve Pulse Biosciences’ business. For example, acceptance of inappropriate payments or gifts by a Family Member from one of our suppliers could create a conflict of interest and result in a Code violation attributable to you; likewise, the purchase or sale of stock by a family member while in possession of material, non-public information could be a violation of insider trading laws and result in a Code violation attributable to you. Consequently, in complying with the Code, you should consider not only your own conduct, but also that of your immediate Family Members, significant others and other persons who live in your household.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YOU SHOULD NOT HESITATE TO ASK QUESTIONS ABOUT WHETHER ANY CONDUCT MAY VIOLATE THE CODE, VOICE CONCERNS, OR CLARIFY GRAY AREAS. SECTION 14 BELOW DETAILS THE COMPLIANCE RESOURCES AVAILABLE TO YOU. IN ADDITION, YOU MUST BE ALERT TO POSSIBLE VIOLATIONS OF THE CODE BY OTHERS AND REPORT SUSPECTED VIOLATIONS, WITHOUT FEAR OF ANY FORM OF RETALIATION, AS FURTHER DESCRIBED IN SECTION 13.</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Corporate Integrity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the policy of Pulse Biosciences to promote high standards of integrity by conducting our affairs in an honest and ethical manner. The integrity and reputation of Pulse Biosciences depends on the honesty, fairness and integrity brought to the job by each person associated with us. Unyielding personal integrity is the foundation of corporate integrity. This responsibility cannot be delegated or assumed by Pulse Biosciences or any supervisor.</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Conflicts of Interest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Your decisions and actions during your employment with Pulse Biosciences should be based on the best interests of Pulse Biosciences, and not personal relationships or benefits. A “conflict of interest” exists when a person’s private interests interfere, or appear to interfere, with the interests of Pulse Biosciences. A conflict situation can arise when an employee or director takes actions or has interests that may make it difficult to perform his or her Company work objectively and effectively. Conflicts of interest may also arise when an employee or director, or a member of his or her family, receives improper personal benefits as a result of his or her position with the Company. You must avoid any private interest that may influence your ability to act in the interests of Pulse Biosciences or that may make it difficult for you to perform your work objectively.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Conflicts of interest are prohibited as a matter of Company policy. The mere existence of a relationship with outside firms is not automatically prohibited. While it is not feasible to describe all possible conflicts of interest that could develop, some of the more common conflicts that employees should avoid include the following:</w:t>
      </w:r>
    </w:p>
    <w:p>
      <w:pPr>
        <w:spacing w:after="0" w:line="176" w:lineRule="exact"/>
        <w:rPr>
          <w:sz w:val="20"/>
          <w:szCs w:val="20"/>
          <w:color w:val="auto"/>
        </w:rPr>
      </w:pPr>
    </w:p>
    <w:p>
      <w:pPr>
        <w:ind w:left="1300" w:right="300" w:hanging="320"/>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of the Company</w:t>
      </w:r>
      <w:r>
        <w:rPr>
          <w:rFonts w:ascii="Times New Roman" w:cs="Times New Roman" w:eastAsia="Times New Roman" w:hAnsi="Times New Roman"/>
          <w:sz w:val="18"/>
          <w:szCs w:val="18"/>
          <w:color w:val="auto"/>
        </w:rPr>
        <w:t>. Unauthorized divulging of confidential information to outsiders and misuse of confidential information is a violation of this policy whether or not for personal gain and whether or not harm to the Company is intended.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61"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of Other Parties</w:t>
      </w:r>
      <w:r>
        <w:rPr>
          <w:rFonts w:ascii="Times New Roman" w:cs="Times New Roman" w:eastAsia="Times New Roman" w:hAnsi="Times New Roman"/>
          <w:sz w:val="18"/>
          <w:szCs w:val="18"/>
          <w:color w:val="auto"/>
        </w:rPr>
        <w:t>. No Pulse Biosciences Personnel may improperly use or disclose to the Company any proprietary information or trade secrets of any former or concurrent employer or other person or entity with whom obligations of confidentiality exist, or improperly use or authorize the use of any inventions that are the subject of patent claims of any other person or entity.</w:t>
      </w:r>
    </w:p>
    <w:p>
      <w:pPr>
        <w:spacing w:after="0" w:line="179"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Employment</w:t>
      </w:r>
      <w:r>
        <w:rPr>
          <w:rFonts w:ascii="Times New Roman" w:cs="Times New Roman" w:eastAsia="Times New Roman" w:hAnsi="Times New Roman"/>
          <w:sz w:val="18"/>
          <w:szCs w:val="18"/>
          <w:color w:val="auto"/>
        </w:rPr>
        <w:t>. Pulse Biosciences strongly discourages outside employment. You may not have outside employment or business dealings with any of the following: (i) any organization that prepares, audits or certifies statements or documents pertinent to our business and financial accounts, and (ii) our current and potential clients, competitors, vendors and suppliers.</w:t>
      </w:r>
    </w:p>
    <w:p>
      <w:pPr>
        <w:spacing w:after="0" w:line="175" w:lineRule="exact"/>
        <w:rPr>
          <w:rFonts w:ascii="Times New Roman" w:cs="Times New Roman" w:eastAsia="Times New Roman" w:hAnsi="Times New Roman"/>
          <w:sz w:val="18"/>
          <w:szCs w:val="18"/>
          <w:color w:val="auto"/>
        </w:rPr>
      </w:pPr>
    </w:p>
    <w:p>
      <w:pPr>
        <w:ind w:left="1300" w:hanging="320"/>
        <w:spacing w:after="0" w:line="25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Receiving Improper Financial Interests</w:t>
      </w:r>
      <w:r>
        <w:rPr>
          <w:rFonts w:ascii="Times New Roman" w:cs="Times New Roman" w:eastAsia="Times New Roman" w:hAnsi="Times New Roman"/>
          <w:sz w:val="18"/>
          <w:szCs w:val="18"/>
          <w:color w:val="auto"/>
        </w:rPr>
        <w:t>. No Pulse Biosciences Personnel may provide or obtain improper benefits or favors because of his or her position with Pulse Biosciences. For example, no Pulse Biosciences Personnel may accept or offer substantial personal gifts or excessive entertainment, favors, or payments to or from competitors, customers, suppliers, or potential suppliers, which may be deemed to constitute undue influence or otherwise be improper or embarrassing to the Company. Further, no Pulse Biosciences Personnel may have a financial interest, either directly or through a Family Member, in a business enterprise if that interest affects the performance of their duties or conflicts with the interests of Pulse Biosciences.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5" w:name="page116"/>
    <w:bookmarkEnd w:id="115"/>
    <w:p>
      <w:pPr>
        <w:ind w:left="1300" w:right="240" w:hanging="320"/>
        <w:spacing w:after="0" w:line="289" w:lineRule="auto"/>
        <w:tabs>
          <w:tab w:leader="none" w:pos="13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Conflicting Financial Interests</w:t>
      </w:r>
      <w:r>
        <w:rPr>
          <w:rFonts w:ascii="Times New Roman" w:cs="Times New Roman" w:eastAsia="Times New Roman" w:hAnsi="Times New Roman"/>
          <w:sz w:val="17"/>
          <w:szCs w:val="17"/>
          <w:color w:val="auto"/>
        </w:rPr>
        <w:t>. Having a direct or indirect financial interest in, or relationship with, a competitor, customer or supplier, where such interest or relationship might influence in any manner a decision or course of action by the employee that affects Pulse Biosciences, except that ownership of less than 0.1% of the publicly-traded stock of a corporation will not be considered a conflict.</w:t>
      </w:r>
    </w:p>
    <w:p>
      <w:pPr>
        <w:spacing w:after="0" w:line="157" w:lineRule="exact"/>
        <w:rPr>
          <w:rFonts w:ascii="Times New Roman" w:cs="Times New Roman" w:eastAsia="Times New Roman" w:hAnsi="Times New Roman"/>
          <w:sz w:val="17"/>
          <w:szCs w:val="17"/>
          <w:color w:val="auto"/>
        </w:rPr>
      </w:pPr>
    </w:p>
    <w:p>
      <w:pPr>
        <w:ind w:left="1300" w:hanging="320"/>
        <w:spacing w:after="0" w:line="261"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 No person may use Pulse Biosciences property or information, or his or her position with Pulse Biosciences, to secure a personal business opportunity or a business opportunity for a Family Member. If you discover a business opportunity through the use of Pulse Biosciences property, information, or through your position at Pulse Biosciences, you must first present the opportunity to Pulse Biosciences before pursuing the opportunity in your individual capacity.</w:t>
      </w:r>
    </w:p>
    <w:p>
      <w:pPr>
        <w:spacing w:after="0" w:line="179" w:lineRule="exact"/>
        <w:rPr>
          <w:rFonts w:ascii="Times New Roman" w:cs="Times New Roman" w:eastAsia="Times New Roman" w:hAnsi="Times New Roman"/>
          <w:sz w:val="18"/>
          <w:szCs w:val="18"/>
          <w:color w:val="auto"/>
        </w:rPr>
      </w:pPr>
    </w:p>
    <w:p>
      <w:pPr>
        <w:ind w:left="1300" w:right="20" w:hanging="320"/>
        <w:spacing w:after="0" w:line="258"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on Boards or Committees</w:t>
      </w:r>
      <w:r>
        <w:rPr>
          <w:rFonts w:ascii="Times New Roman" w:cs="Times New Roman" w:eastAsia="Times New Roman" w:hAnsi="Times New Roman"/>
          <w:sz w:val="18"/>
          <w:szCs w:val="18"/>
          <w:color w:val="auto"/>
        </w:rPr>
        <w:t>. No Pulse Biosciences Personnel may serve on a board of directors or trustees or on a committee of any entity whose interests could be expected to conflict with those of Pulse Biosciences. Pulse Biosciences Personnel must obtain approval from the Compliance Officer before accepting any such position. Community participation by Pulse Biosciences Personnel is considered important, however, Pulse Biosciences also encourages those planning on participating in a charitable or other community organization to consult with the Compliance Officer before taking a service or board position with those types of entities.</w:t>
      </w:r>
    </w:p>
    <w:p>
      <w:pPr>
        <w:spacing w:after="0" w:line="183"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Honorariums</w:t>
      </w:r>
      <w:r>
        <w:rPr>
          <w:rFonts w:ascii="Times New Roman" w:cs="Times New Roman" w:eastAsia="Times New Roman" w:hAnsi="Times New Roman"/>
          <w:sz w:val="18"/>
          <w:szCs w:val="18"/>
          <w:color w:val="auto"/>
        </w:rPr>
        <w:t>. With prior approval, Pulse Biosciences personnel acting in their capacity as a representative of Pulse Biosciences, may give lectures, conduct seminars, publish articles in books or engage in any other similar activity for which he or she may be paid a fee or honorarium. However, any fees, honorariums or reimbursements must be transferred to Pulse Biosciences unless written approval is given to retain them.</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certain exceptional circumstances, a situation involving a conflict of interest may be permitted. See the section titled “Amendment, Modification and Waiver” regarding waivers of this Code of Conduct.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 conflict of interest will sometimes develop accidentally and is not always easy to identify. If you feel you have a conflict, you must disclose it to the Compliance Officer; further, any potential conflicts must be identified in connection with your annual review of this Code. Finally, if you observe a situation that you believe to be a conflict, you must report that as well.</w:t>
      </w:r>
    </w:p>
    <w:p>
      <w:pPr>
        <w:spacing w:after="0" w:line="1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Insider Trading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Pulse Biosciences maintains an Insider Trading Policy that prohibits all trading activities in Pulse Biosciences securities as well as the securities of other companies while you are in possession of material, non-public information, and places other restrictions on the manner and timing in which employees may invest in Pulse Biosciences securities and on the types of Pulse Biosciences securities in which employees may invest. The Insider Trading Policy also prohibits the unauthorized dissemination of material non-public information concerning Pulse Biosciences to others who may benefit by trading on the basis of such information. Additionally, Family Members may not a) trade in stock or other securities while in possession of material nonpublic information or b) pass on material nonpublic information to others without express authorization by Pulse Biosciences or recommend to others that they trade in stock or other securities based on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Members of the Board, executive officers, and employees are subject to blackout periods during which they are prohibited from trading in Pulse Biosciences’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review Pulse Biosciences’ Insider Trading policy. Specific questions on buying and selling stock should be referred to the Compliance Officer. Violation of this section of the Code and other policies about insider trading may result in a violation of securities laws and potentially exposes Pulse Biosciences Personnel and Pulse Biosciences to significant legal fines and imprisonment.</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Competition and Fair Dealing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 Biosciences seeks to compete fairly and honestly. Pulse Biosciences Personnel should endeavor to respect the rights of and deal fairly with our customers, suppliers, competitors and employees. No Pulse Biosciences Personnel should take unfair advantage of anyone through manipulation, concealment, abuse of privileged information, misrepresentation of material facts, or any other intentional unfair-dealing practice.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purpose of business entertainment and gifts in a commercial setting is to create good will and sound working relationships, not to gain unfair advantage with customers. The basic principal is that no gift or entertainment may be accepted or provided if it obligates you, or appears to obligate you, to the individual receiving or giving the gift or entertainment. Unless approved in advance by the Compliance Officer, government officials of the United States, the states and municipalities and officials of foreign governments at all levels should not be entertained in any special manner or given any gifts. No gift or entertainment should ever be offered, given, provided or accepted by any Pulse Biosciences Personnel, Family Member or agent unless it: (1) is not a cash gift, (2) is consistent with customary business practices, (3) is not excessive in value, (4) cannot be construed as a bribe or payoff, and (5) does not violate any laws or regulations. Please discuss with the Compliance Officer any gifts or proposed gifts which you are not certain are appropriate to give or receive.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Pulse Biosciences also has strict rules concerning contractual agreements. All terms of our business agreements must be expressed in an approved form of contract or purchase order. Informal commitments to customers are strictly prohibited; these kinds of commitments might be made in a face to face conversation, a telephone call, or an email. Therefore, persons must be careful to use only our approved forms of contracting and not to unintentionally modify a written and approved contract, purchase order or other agreement.</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Respecting Others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 Biosciences is committed to fostering an inclusive workplace where talented people want to stay and develop their careers and advance the scientific area in which we operate. Supporting a diverse, engaged workforce allows us to be successful in building trust, empowering teams, and outperforming our peers and competitors.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Pulse Biosciences requires the Pulse Biosciences Personnel to act with mutual respect and give professional treatment to others in our workplace. Teamwork is essential to our future, and nothing damages a team more quickly than a lack of mutual respect. Pulse Biosciences Personnel share a mutual responsibility to keep one another informed of any information that may be important to everyone’s job performance and understanding our business and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Pulse Biosciences recognizes your right to form personal relationships with those you meet in the workplace; however, you are expected to use good judgment to ensure your personal relationships do not negatively affect your job performance or interfere with your or our ability to supervise Pulse Biosciences Personnel. Favoritism, open displays of affection and making business decisions based on emotions or personal relationships are inappropriate. Situations that involve borrowing money or making loans between Pulse Biosciences Personnel or involving Family Members must be avoided, unless it is a minimal amount. Similarly, exceptional gifts and entertainment between and among Pulse Biosciences Personnel can create conflicts and such situations should be avoided. Use your good judgment to act respectfully to one another.</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Obligations to Each Other</w:t>
      </w:r>
    </w:p>
    <w:p>
      <w:pPr>
        <w:spacing w:after="0" w:line="227"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Equal Employment Opportunity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Pulse Biosciences is firmly committed to providing equal opportunity in all aspects of employment and strictly prohibits any form of harassment in the workplace on the basis of a protected characteristic, such as race, religion, creed, color, sex, age, marital status, national origin, sexual orientation, citizenship status, Vietnam-era or disabled veteran status, medical condition or physical or mental disability. We will promptly take appropriate action to prevent and discipline behavior that violates this policy.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Pulse Biosciences will not tolerate harassment of an employee in any of the areas listed above. Any employee who violates this policy is subject to discipline up to and including discharge. Any incident of harassment by any person should be reported promptly to management. Appropriate confidential action will be taken.</w:t>
      </w:r>
    </w:p>
    <w:p>
      <w:pPr>
        <w:spacing w:after="0" w:line="174"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No Harassment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Pulse Biosciences will not tolerate any form of harassment. Harassment in employment on the basis of sex, race, color, national origin, ancestry, citizenship, religion, age, physical or mental disability, medical condition, sexual orientation, gender identity or veteran or marital status is unlawful under federal and state law. Our policy against harassment applies in all work-related settings and activities, whether on or off company premises. It also extends to Pulse Biosciences Personnel interactions with our supplies, vendors, clinical participants and other with which Pulse Biosciences acts. Therefore, think before you speak or act; be careful about what you say and do, where you say or do something, when you say or do something and your objective in something you say or your actions, which might be received as inappropriate or as harassment.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Unlawful harassment in employment may take many different forms, forms and includes pictures, drawings, cartoons, jokes, slurs and offensive remarks, whether delivered verbally, graphically or in electronic media, including email. Some examples are:</w:t>
      </w:r>
    </w:p>
    <w:p>
      <w:pPr>
        <w:spacing w:after="0" w:line="162" w:lineRule="exact"/>
        <w:rPr>
          <w:sz w:val="20"/>
          <w:szCs w:val="20"/>
          <w:color w:val="auto"/>
        </w:rPr>
      </w:pPr>
    </w:p>
    <w:p>
      <w:pPr>
        <w:ind w:left="660" w:right="52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remarks about a person’s race, color, sex, age, sexual orientation, gender identity, religion, disability, national origin and other legally protected status;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Verbal conduct such as epithets, derogatory comments, slurs, or unwanted comments and jokes;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Visual conduct such as derogatory posters, cartoons, drawings or gestures;</w:t>
      </w:r>
    </w:p>
    <w:p>
      <w:pPr>
        <w:spacing w:after="0" w:line="225"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conduct such as blocking normal movement, restraining, touching, or otherwise physically interfering with the work of another individual;</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Threatening or demanding that an individual submit to certain conduct or perform certain actions in order to keep or get a job, to avoid some other loss, or as a condition of job benefits, security or promotion;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Retaliation by any of the above means for having reported harassment or discrimination, or having assisted another employee to report harassment or discrimination.</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Sexual harassment includes intentional or unintentional, unwelcome sexual advances with or without touching, coerced sexual acts, requests or demands for sexual favors or other verbal or physical conduct of a sexual nature, when:</w:t>
      </w:r>
    </w:p>
    <w:p>
      <w:pPr>
        <w:spacing w:after="0" w:line="162"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such conduct is made either explicitly or implicitly a term or condition of an individual’s employment;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or rejection of such conduct by an individual is used as the basis for employment decisions affecting such individual; or</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conduct has the purpose or effect of unreasonably interfering with an individual’s work performance or creating an intimidating, hostile or offensive working environment.</w:t>
      </w:r>
    </w:p>
    <w:p>
      <w:pPr>
        <w:spacing w:after="0" w:line="160"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C.</w:t>
      </w:r>
      <w:r>
        <w:rPr>
          <w:sz w:val="20"/>
          <w:szCs w:val="20"/>
          <w:color w:val="auto"/>
        </w:rPr>
        <w:tab/>
      </w:r>
      <w:r>
        <w:rPr>
          <w:rFonts w:ascii="Times New Roman" w:cs="Times New Roman" w:eastAsia="Times New Roman" w:hAnsi="Times New Roman"/>
          <w:sz w:val="17"/>
          <w:szCs w:val="17"/>
          <w:i w:val="1"/>
          <w:iCs w:val="1"/>
          <w:color w:val="auto"/>
        </w:rPr>
        <w:t>Violence Prevention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 Biosciences is committed to providing a safe, violence-free workplace and strictly prohibits employees, consultants, customers, visitors, or anyone else on Pulse Biosciences premises from behaving in a violent or threatening manner. Workplace violence can include, but is not limited to threats, violent behavior, bringing weapons onto Pulse Biosciences premises, or causing physical damage.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 Biosciences Personnel many not bring weapons onto Pulse Biosciences property or to Pulse Biosciences sponsored events. This includes weapons used for sporting purposes or otherwise, whether or not you have a license to carry or use the weapons. Weapons of any kind have no place in the work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Pulse Biosciences encourages reports of potential or actual violence, and will take appropriate corrective action, which may include warnings, probation, or termination.</w:t>
      </w:r>
    </w:p>
    <w:p>
      <w:pPr>
        <w:spacing w:after="0" w:line="160"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D.</w:t>
        <w:tab/>
        <w:t>Safety</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Pulse Biosciences desires to maintain safe working conditions for all employees. All employees must be safety conscious and report any potential safety hazards at any site where you may be conducting work on behalf of Pulse Biosciences immediately to management.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injury, no matter how minor, during the course of employment must be reported promptly to your manager. If you or another employee is injured on the job, you should seek medical treatment immediately. If necessary, call an ambulance. If the injury is less serious, contact management and make arrangements to get medical help. If you are injured, you may be sent to one of Pulse Biosciences’ designated physicians for medical treatment, dependent upon circumstances.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Pulse Biosciences Personnel should also be alert to individuals who are on Pulse Biosciences property without proper authorization. Make sure you observe all physical access rules in your location and report incidents of unauthorized entry to your manager or to security personnel.</w:t>
      </w:r>
    </w:p>
    <w:p>
      <w:pPr>
        <w:spacing w:after="0" w:line="160"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E.</w:t>
        <w:tab/>
        <w:t>Substance Abuse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seek to maintain safe and efficient working conditions for our employees in an environment free of alcohol and drugs. Substance abuse is incompatible with health, safety and success at Pulse Biosciences. All employees must abide by the following policy as a condition of continued employment.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 Biosciences prohibits the unauthorized use, possession, purchase, sale, manufacture, distribution, transportation or dispensation of alcohol or being under the influence of alcohol while performing Company business or while on Company premises during normal working hours, with the exception of reasonable consumption of alcohol when served at Company-sponsored events.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 Biosciences also prohibits the unlawful use, possession, purchase, sale, manufacture, distribution, transportation or dispensation of any illegal drug or other controlled substance or being under the influence of illegal drugs or other controlled substances, including the abuse of a legal drug or working while impaired by the use of a legal drug, while performing Company business or being on Company premises.</w:t>
      </w:r>
    </w:p>
    <w:p>
      <w:pPr>
        <w:spacing w:after="0" w:line="174"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Health and Safety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 Biosciences strives to provide a safe and healthy work environment. Each employee has responsibility for maintaining a safe and healthy workplace for all Pulse Biosciences Personnel by following safety and health rules and practices and reporting accidents, injuries and unsafe equipment, practices or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Financial Integrity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Accurate and reliable financial and business records are of critical importance in meeting Pulse Biosciences’ financial, legal, and business obligations. You must complete all Pulse Biosciences documents accurately, truthfully, and in a timely manner, including all travel and expense reports. The making of false or misleading entries, records, reports or documentation is strictly prohibited.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required to disclose accurate and complete information regarding Pulse Biosciences and the results of our operations. It is Pulse Biosciences policy to make full, fair, accurate, timely and understandable disclosure in compliance with all applicable laws and regulations in all documents that Pulse Biosciences provides to investors, government agencies, and in all other public communications made by Pulse Biosciences.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Dishonest or inaccurate reporting can lead to civil or even criminal liability for you and Pulse Biosciences and can lead to a loss of public faith in Pulse Biosciences. Anyone who believes that a violation of law or a failure of compliance has occurred, or is occurring, has a duty to report such information to the General Counsel or to the Audit Committee of the Board of Directors.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Pulse Biosciences Personnel must maintain the confidentiality of confidential information entrusted to them by Pulse Biosciences. Confidential information includes all non-public information regarding Pulse Biosciences, including but not limited to our research activities and results of our research and development, our past, current and intended technologies, our patents, our know-how, and the conduct and results of any clinical trials as well as, in the case of human subjects, the particulars about participants in those trials, personnel and benefit files as well as other information about employees, computer records, financial data, details of engagement, process descriptions, technical and business information, production, manufacturing and engineering processes, finances, customers, marketing and production and future business plans of Pulse Biosciences. Confidential information also includes information about our licensors and licensees, our suppliers and our customers. Additionally, you should not discuss the private affairs of your co-workers and their work histories. Our employees are subject to non-competition, confidentiality, inventions and secrets provisions in separate agreements, which must be strictly followed. The obligation to preserve confidential information continues even after employment ends.</w:t>
      </w:r>
    </w:p>
    <w:p>
      <w:pPr>
        <w:spacing w:after="0" w:line="1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Protection and Proper Use of Pulse Biosciences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 Biosciences Personnel should endeavor to protect all of our assets and ensure their efficient use. Theft, carelessness, and waste have a direct impact on Pulse Biosciences’ profitability. Pulse Biosciences equipment should not be used for non-company business, though incidental personal use may be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1" w:name="page122"/>
    <w:bookmarkEnd w:id="1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obligation of Pulse Biosciences Personnel to protect our assets includes protecting its proprietary information. Proprietary information includes intellectual property such as trade secrets, patents, trademarks, and copyrights, as well as business, marketing and service plans, engineering and manufacturing ideas, designs, databases, records, salary information and any unpublished financial data and reports. Unauthorized use or distribution of this information would violate this Code and other policies of Pulse Biosciences as well as employment related agreements. It could also be illegal. This behavior may result in dismissal and result in civil or criminal penalties.</w:t>
      </w:r>
    </w:p>
    <w:p>
      <w:pPr>
        <w:spacing w:after="0" w:line="17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tab/>
        <w:t>Working with Government Personnel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Pulse Biosciences from time to time may work with government agencies in different capacities, such as the approval process for our technologies, licensing of our technologies, patent prosecutions, and government grants. While you must follow the standards of doing what is right with any party with which Pulse Biosciences has concourse, because government officials are obligated to follow specific codes of conduct and laws, special care must be taken in government procurement. Pulse Biosciences maintains an Anti-Corruption Policy that sets forth its commitment to the highest level of professional and ethical standards in the conduct of its business in all countries in which it operates or otherwise has business connections, including the United States. Some key requirements for doing business with government are:</w:t>
      </w:r>
    </w:p>
    <w:p>
      <w:pPr>
        <w:spacing w:after="0" w:line="187" w:lineRule="exact"/>
        <w:rPr>
          <w:sz w:val="20"/>
          <w:szCs w:val="20"/>
          <w:color w:val="auto"/>
        </w:rPr>
      </w:pPr>
    </w:p>
    <w:p>
      <w:pPr>
        <w:ind w:left="1300" w:hanging="320"/>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representing which Company products are covered by government contracts;</w:t>
      </w:r>
    </w:p>
    <w:p>
      <w:pPr>
        <w:spacing w:after="0" w:line="225"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improperly soliciting or obtaining confidential information, such as sealed competitors’ bids, from government officials prior to the award of a contract; and</w:t>
      </w:r>
    </w:p>
    <w:p>
      <w:pPr>
        <w:spacing w:after="0" w:line="161" w:lineRule="exact"/>
        <w:rPr>
          <w:rFonts w:ascii="Times New Roman" w:cs="Times New Roman" w:eastAsia="Times New Roman" w:hAnsi="Times New Roman"/>
          <w:sz w:val="18"/>
          <w:szCs w:val="18"/>
          <w:color w:val="auto"/>
        </w:rPr>
      </w:pPr>
    </w:p>
    <w:p>
      <w:pPr>
        <w:ind w:left="1300" w:right="720" w:hanging="320"/>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present and former government personnel may only occur in compliance with applicable laws and regulations (as well as consulting the Compliance Officer).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also must not accept or present anything if it obligates you, or appears to obligate you, to do something for any government official or other person. Don’t attempt to avoid laws by making payments to or through third parties: be cautious when selecting or dealing with agents and third-party providers. Never make any payment that you do not record on the Pulse Biosciences books and records. Never issue invoices or charges that are inaccurate, incorrect or unauthorized.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 Biosciences Personnel are expected to cooperate with government officials in investigations and audits. Do not avoid, contravene or otherwise interfere with any government investigation or audit, and do not destroy or alter any Pulse Biosciences documents (whether electronic or paper) in anticipation of a request for those documents from a government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ind w:left="66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A.</w:t>
        <w:tab/>
        <w:t>Gifts and Entertainment for U.S. Officials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government has a number of laws and regulations regarding business gratuities which may be accepted by U.S. government personnel. What is acceptable in the commercial business environment may be entirely unacceptable in dealings with the U.S. government. The promise, offer, or delivery to an official or employee of the U.S. government of a gift, favor (which can include a promise to do something) or other gratuity in violation of these rules would not only violate Pulse Biosciences policy but could also be a criminal offense. For example, it may be illegal to give even an inexpensive gift or meal to a U.S. government employee or official. The rules vary depending on the location of and the position held by the government employee or official; state and local governments may also have similar rules. To prevent violations, review planned gifts, meals or entertainment for U.S. government employees or officials with the Compliance Officer advance, and be sure to accurately document all such business expenses.</w:t>
      </w:r>
    </w:p>
    <w:p>
      <w:pPr>
        <w:spacing w:after="0" w:line="187"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B.</w:t>
        <w:tab/>
        <w:t>Gifts and Entertainment for Non-U.S. Officials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U.S. Foreign Corrupt Practices Act prohibits giving anything of value (including gifts, meals, entertainments, transportation, lodging, or other benefits), directly or indirectly, to officials and their Family Members of foreign governments or foreign political candidates in order to obtain or retain business. Pulse Biosciences Personnel are strictly prohibited from making illegal payments to government officials of any country.</w:t>
      </w:r>
    </w:p>
    <w:p>
      <w:pPr>
        <w:spacing w:after="0" w:line="174"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C.</w:t>
      </w:r>
      <w:r>
        <w:rPr>
          <w:sz w:val="20"/>
          <w:szCs w:val="20"/>
          <w:color w:val="auto"/>
        </w:rPr>
        <w:tab/>
      </w:r>
      <w:r>
        <w:rPr>
          <w:rFonts w:ascii="Times New Roman" w:cs="Times New Roman" w:eastAsia="Times New Roman" w:hAnsi="Times New Roman"/>
          <w:sz w:val="17"/>
          <w:szCs w:val="17"/>
          <w:i w:val="1"/>
          <w:iCs w:val="1"/>
          <w:color w:val="auto"/>
        </w:rPr>
        <w:t>Trade Restrictions and Export Controls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countries periodically impose restrictions on exports and other dealings with certain other countries, persons, or groups. Export laws may control trading of commodities or technologies that are considered to be strategically important because they have the potential to be used for military purposes. Laws may cover travel to or from a sanctioned country, imports or exports, new investments, and other related topics. Certain laws also prohibit support of boycott activities. If your work involves the sale or shipment of products, technologies or services across international borders, check with the Compliance Officer to ensure compliance with any laws or restrictions that apply.</w:t>
      </w:r>
    </w:p>
    <w:p>
      <w:pPr>
        <w:spacing w:after="0" w:line="17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Amendment, Modification and Waiver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amendment or waiver of any provision of this Code of Conduct must be approved in writing by the Board, or any committee of the Board to which such authority has been delegated, and promptly disclosed pursuant to applicable laws and regulations. Any waiver or modification of this Code of Conduct for the Company’s principal executive and senior financial officers will be promptly disclosed to the Company’s stockholders if and as required by applicable law and/or the rules of the applicable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3" w:name="page124"/>
    <w:bookmarkEnd w:id="123"/>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Reporting any Illegal or Unethical Behavior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 Biosciences Personnel are strongly encouraged bring questions or concerns about what to do in a certain situation or if you believe someone is doing, or is about to do, something that violates the law, Pulse Biosciences policies or this Code. Pulse Biosciences Personnel should discuss observed illegal or unethical behavior with supervisors, managers or other appropriate personnel, such as the Compliance Officer.</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No Retaliation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Pulse Biosciences values an atmosphere of open communication for all Company employees. Pulse Biosciences has zero tolerance for acts of retaliation by Pulse Biosciences Personnel against one another, and does not and will not permit retaliation of any kind by or on behalf of the Company, or its directors, officers or employees, against good faith reports or complaints of suspected violations of this Code or other illegal or unethical conduct. Zero means zero – no one has the authority to justify any act of retaliation. Any Pulse Biosciences Personnel who engages in retaliation will be subject to disciplinary action, up to and including termination.</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Compliance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must all work to ensure prompt and consistent action against violations of the Code. However, in some situations it is difficult to know if a violation has occurred. Since we cannot anticipate every situation that will arise, it is important that we have a way to approach a new question or problem. These are the steps to keep in mind:</w:t>
      </w:r>
    </w:p>
    <w:p>
      <w:pPr>
        <w:spacing w:after="0" w:line="176"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Make sure you have all the facts</w:t>
      </w:r>
      <w:r>
        <w:rPr>
          <w:rFonts w:ascii="Times New Roman" w:cs="Times New Roman" w:eastAsia="Times New Roman" w:hAnsi="Times New Roman"/>
          <w:sz w:val="18"/>
          <w:szCs w:val="18"/>
          <w:color w:val="auto"/>
        </w:rPr>
        <w:t>. In order to reach the right solutions, we must be as fully informed as possible.</w:t>
      </w:r>
    </w:p>
    <w:p>
      <w:pPr>
        <w:spacing w:after="0" w:line="22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Ask yourself: What specifically am I being asked to do? Does it seem unethical or improper</w:t>
      </w:r>
      <w:r>
        <w:rPr>
          <w:rFonts w:ascii="Times New Roman" w:cs="Times New Roman" w:eastAsia="Times New Roman" w:hAnsi="Times New Roman"/>
          <w:sz w:val="18"/>
          <w:szCs w:val="18"/>
          <w:color w:val="auto"/>
        </w:rPr>
        <w:t>? This will enable you to focus on the specific question you are faced with, and the alternatives you have. Use your judgment and common sense; if something seems unethical or improper, it probably is.</w:t>
      </w:r>
    </w:p>
    <w:p>
      <w:pPr>
        <w:spacing w:after="0" w:line="17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Clarify your responsibility and role</w:t>
      </w:r>
      <w:r>
        <w:rPr>
          <w:rFonts w:ascii="Times New Roman" w:cs="Times New Roman" w:eastAsia="Times New Roman" w:hAnsi="Times New Roman"/>
          <w:sz w:val="18"/>
          <w:szCs w:val="18"/>
          <w:color w:val="auto"/>
        </w:rPr>
        <w:t>. In most situations, there is shared responsibility. Are your colleagues informed? It may help to get others involved and discuss the problem.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4" w:name="page125"/>
    <w:bookmarkEnd w:id="124"/>
    <w:p>
      <w:pPr>
        <w:ind w:left="980" w:right="80" w:hanging="324"/>
        <w:spacing w:after="0" w:line="266"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Discuss the problem with your supervisor</w:t>
      </w:r>
      <w:r>
        <w:rPr>
          <w:rFonts w:ascii="Times New Roman" w:cs="Times New Roman" w:eastAsia="Times New Roman" w:hAnsi="Times New Roman"/>
          <w:sz w:val="18"/>
          <w:szCs w:val="18"/>
          <w:color w:val="auto"/>
        </w:rPr>
        <w:t>. This is the basic guidance for all situations. In many cases, your supervisor will be more knowledgeable about the question, and will appreciate being brought into the decision-making process. Remember that it is your supervisor’s responsibility to help solve problems.</w:t>
      </w:r>
    </w:p>
    <w:p>
      <w:pPr>
        <w:spacing w:after="0" w:line="17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Seek help from Pulse Biosciences resources</w:t>
      </w:r>
      <w:r>
        <w:rPr>
          <w:rFonts w:ascii="Times New Roman" w:cs="Times New Roman" w:eastAsia="Times New Roman" w:hAnsi="Times New Roman"/>
          <w:sz w:val="18"/>
          <w:szCs w:val="18"/>
          <w:color w:val="auto"/>
        </w:rPr>
        <w:t>. In the rare case where it may not be appropriate to discuss an issue with your supervisor, or where you do not feel comfortable approaching your supervisor with your question, you may discuss the situation with either the Compliance Officer or Counsel. If you prefer to submit your concerns in writing, address them to:</w:t>
      </w:r>
    </w:p>
    <w:p>
      <w:pPr>
        <w:spacing w:after="0" w:line="17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Pulse Biosciences, Inc.</w:t>
      </w:r>
    </w:p>
    <w:p>
      <w:pPr>
        <w:spacing w:after="0" w:line="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Attn: Compliance Officer</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3957 Point Eden Way</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Hayward, California 94545</w:t>
      </w:r>
    </w:p>
    <w:p>
      <w:pPr>
        <w:spacing w:after="0" w:line="207" w:lineRule="exact"/>
        <w:rPr>
          <w:sz w:val="20"/>
          <w:szCs w:val="20"/>
          <w:color w:val="auto"/>
        </w:rPr>
      </w:pPr>
    </w:p>
    <w:p>
      <w:pPr>
        <w:ind w:left="980" w:right="40" w:hanging="324"/>
        <w:spacing w:after="0" w:line="266"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You may report ethical violations in confidence and without fear of retaliation</w:t>
      </w:r>
      <w:r>
        <w:rPr>
          <w:rFonts w:ascii="Times New Roman" w:cs="Times New Roman" w:eastAsia="Times New Roman" w:hAnsi="Times New Roman"/>
          <w:sz w:val="18"/>
          <w:szCs w:val="18"/>
          <w:color w:val="auto"/>
        </w:rPr>
        <w:t>. If your situation requires that your identity be kept secret, your anonymity will be protected. Pulse Biosciences does not permit retaliation of any kind against employees for good faith reports of ethical violations.</w:t>
      </w:r>
    </w:p>
    <w:p>
      <w:pPr>
        <w:spacing w:after="0" w:line="17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Investigations of Suspected Violations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reported violations of the Code will be promptly investigated and treated confidentially to the extent reasonably possible. Audits to monitor compliance will be conducted as commercially reasonable and necessary or as required by applicable law or regulation.</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Discipline for Violations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 Biosciences will use every reasonable effort to prevent conduct not in compliance with the Code and to halt any such conduct as soon as possible after its discovery. Subject to applicable law and agreements, Pulse Biosciences Personnel who violate this Code and other Pulse Biosciences policies and procedures may be subject to disciplinary action, up to and including discharge.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Remember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Ultimate responsibility to ensure that we as a company comply with the many laws, regulations and ethical standards affecting our business rests with each of us. You must become familiar with and conduct yourself strictly in compliance with those laws, regulations and standards and Pulse Biosciences’ policies and guidelines pertaining to them.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 FORM</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 have received and read the Pulse Biosciences Code of Business Conduct and Ethics, and I understand its contents. I agree to comply fully with the standards, policies and procedures contained in the Code and the related policies and procedures of Pulse Biosciences. I understand I have an obligation to report to my supervisors and/or the Compliance Officer of Pulse Biosciences any suspected violations of the Code that I am aware of. I acknowledge that the Code is a statement of policies for business conduct and does not, in any way, constitute an employment contract or an assurance of continued employment.</w:t>
      </w:r>
    </w:p>
    <w:p>
      <w:pPr>
        <w:spacing w:after="0" w:line="183"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At this point in time, I am aware of the following circumstances that may constitute “conflicts of interest” or potential “conflicts of interest” as defined in the Code (identify, or if none, state “none”):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0" w:lineRule="exact"/>
        <w:rPr>
          <w:sz w:val="20"/>
          <w:szCs w:val="20"/>
          <w:color w:val="auto"/>
        </w:rPr>
      </w:pPr>
    </w:p>
    <w:p>
      <w:pPr>
        <w:sectPr>
          <w:pgSz w:w="11900" w:h="16838" w:orient="portrait"/>
          <w:cols w:equalWidth="0" w:num="2">
            <w:col w:w="1060" w:space="400"/>
            <w:col w:w="9780"/>
          </w:cols>
          <w:pgMar w:left="320" w:top="576" w:right="3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0" w:lineRule="exact"/>
        <w:rPr>
          <w:sz w:val="20"/>
          <w:szCs w:val="20"/>
          <w:color w:val="auto"/>
        </w:rPr>
      </w:pPr>
    </w:p>
    <w:p>
      <w:pPr>
        <w:sectPr>
          <w:pgSz w:w="11900" w:h="16838" w:orient="portrait"/>
          <w:cols w:equalWidth="0" w:num="2">
            <w:col w:w="740" w:space="420"/>
            <w:col w:w="10080"/>
          </w:cols>
          <w:pgMar w:left="320" w:top="576" w:right="3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ectPr>
          <w:pgSz w:w="11900" w:h="16838" w:orient="portrait"/>
          <w:cols w:equalWidth="0" w:num="2">
            <w:col w:w="480" w:space="720"/>
            <w:col w:w="10040"/>
          </w:cols>
          <w:pgMar w:left="320" w:top="576" w:right="33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19685</wp:posOffset>
            </wp:positionV>
            <wp:extent cx="2048510" cy="771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204851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Amended and Approved by the Board of Directors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Effective February 19, 2026</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Federal and state securities laws prohibit any person who is aware of material nonpublic information about a company from trading in securities of that company. These laws also prohibit a person from disclosing material nonpublic information to other persons who may trade on the basis of that information.</w:t>
      </w:r>
    </w:p>
    <w:p>
      <w:pPr>
        <w:spacing w:after="0" w:line="172"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The Board of Directors of Pulse Biosciences, Inc. (together with its subsidiaries,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this policy to promote compliance with these laws and to protect our Company from the serious liabilities and penalties that can result from violations of these laws. Insider trading is illegal and a violation of this policy.</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It is your responsibility to comply with the securities laws and this policy. If you have questions about this policy, please contact our General Counsel and Corporate Secretary.</w:t>
      </w:r>
    </w:p>
    <w:p>
      <w:pPr>
        <w:spacing w:after="0" w:line="16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have designated the General Counsel and Corporate Secretary as the Compliance Officer in respect of issues under this policy. The Compliance Officer may be changed from time to time by our Board of Directors or Chief Executive Officer and any change will be communicated to you. The Compliance Officer may designate others, from time to time, to assist with the execution of his or her duties under this policy.</w:t>
      </w:r>
    </w:p>
    <w:p>
      <w:pPr>
        <w:spacing w:after="0" w:line="172" w:lineRule="exact"/>
        <w:rPr>
          <w:sz w:val="20"/>
          <w:szCs w:val="20"/>
          <w:color w:val="auto"/>
        </w:rPr>
      </w:pPr>
    </w:p>
    <w:p>
      <w:pPr>
        <w:ind w:left="1200" w:hanging="315"/>
        <w:spacing w:after="0"/>
        <w:tabs>
          <w:tab w:leader="none" w:pos="120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PERSONS SUBJECT TO THIS POLICY</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you are an employee, officer, director, consultant, contractor, agent, or other service provider of the Company or any of its subsidiaries both inside and outside of the United States (each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then this policy applies to you.</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policy also applies to your immediate family members, persons who share a household with you, persons who are your economic dependents, and any other person or entity whose transactions in securities are directed by you or are subject to your influence or control. You are responsible for making sure that these other persons and entities comply with this policy.</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addition to this policy, our directors, executive officers and certain other designated persons who have access to material nonpublic information about us are subject to a supplemental policy that imposes additional restrictions on their trading in Company securities.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II.  CORE TRADING AND DISCLOSURE RESTRICTIONS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trading and disclosure restrictions apply under this policy:</w:t>
      </w:r>
    </w:p>
    <w:p>
      <w:pPr>
        <w:spacing w:after="0" w:line="225" w:lineRule="exact"/>
        <w:rPr>
          <w:sz w:val="20"/>
          <w:szCs w:val="20"/>
          <w:color w:val="auto"/>
        </w:rPr>
      </w:pPr>
    </w:p>
    <w:p>
      <w:pPr>
        <w:ind w:left="1580" w:hanging="317"/>
        <w:spacing w:after="0"/>
        <w:tabs>
          <w:tab w:leader="none" w:pos="1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material nonpublic information regarding us, you must not trade or advise anyone else to trade in our securities.</w:t>
      </w:r>
    </w:p>
    <w:p>
      <w:pPr>
        <w:spacing w:after="0" w:line="27" w:lineRule="exact"/>
        <w:rPr>
          <w:rFonts w:ascii="Times New Roman" w:cs="Times New Roman" w:eastAsia="Times New Roman" w:hAnsi="Times New Roman"/>
          <w:sz w:val="18"/>
          <w:szCs w:val="18"/>
          <w:color w:val="auto"/>
        </w:rPr>
      </w:pPr>
    </w:p>
    <w:p>
      <w:pPr>
        <w:jc w:val="both"/>
        <w:ind w:left="1580" w:hanging="317"/>
        <w:spacing w:after="0" w:line="250" w:lineRule="auto"/>
        <w:tabs>
          <w:tab w:leader="none" w:pos="1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material nonpublic information regarding any other company that you obtained from your employment or relationship with us, you must not trade or advise anyone else to trade in the securities of that other company until such information has been publicly disclosed.</w:t>
      </w:r>
    </w:p>
    <w:p>
      <w:pPr>
        <w:spacing w:after="0" w:line="1"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share material nonpublic information with people in our company whose jobs do not require them to have the information.</w:t>
      </w:r>
    </w:p>
    <w:p>
      <w:pPr>
        <w:spacing w:after="0" w:line="9" w:lineRule="exact"/>
        <w:rPr>
          <w:rFonts w:ascii="Times New Roman" w:cs="Times New Roman" w:eastAsia="Times New Roman" w:hAnsi="Times New Roman"/>
          <w:sz w:val="18"/>
          <w:szCs w:val="18"/>
          <w:color w:val="auto"/>
        </w:rPr>
      </w:pPr>
    </w:p>
    <w:p>
      <w:pPr>
        <w:ind w:left="1580" w:right="20" w:hanging="317"/>
        <w:spacing w:after="0" w:line="250" w:lineRule="auto"/>
        <w:tabs>
          <w:tab w:leader="none" w:pos="1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disclose any nonpublic information, material or otherwise, concerning the Company to anyone outside the Company without the prior authorization of the Compliance Officer.</w:t>
      </w:r>
    </w:p>
    <w:p>
      <w:pPr>
        <w:ind w:left="1580" w:hanging="317"/>
        <w:spacing w:after="0"/>
        <w:tabs>
          <w:tab w:leader="none" w:pos="1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use any material nonpublic information to express an opinion or make a recommendation about trading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ind w:left="820"/>
        <w:spacing w:after="0"/>
        <w:rPr>
          <w:sz w:val="20"/>
          <w:szCs w:val="20"/>
          <w:color w:val="auto"/>
        </w:rPr>
      </w:pPr>
      <w:r>
        <w:rPr>
          <w:rFonts w:ascii="Times New Roman" w:cs="Times New Roman" w:eastAsia="Times New Roman" w:hAnsi="Times New Roman"/>
          <w:sz w:val="18"/>
          <w:szCs w:val="18"/>
          <w:b w:val="1"/>
          <w:bCs w:val="1"/>
          <w:color w:val="auto"/>
        </w:rPr>
        <w:t>III. TRANSACTIONS COVERED BY THIS POLICY</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This policy applies to any purchase, sale, loan or other transfer or disposition of Company securities, including our common stock, options to purchase our common stock, restricted stock units, any other type of securities that we may issue, such as preferred stock, convertible debentures and warrants, as well as any other arrangement that generates gains or losses from or based on changes in the prices of such securities including derivative securities (such as exchange-traded put or call options, swaps, caps and collars, hedging and pledging transactions, and short sales involving Company securities, as well as any offer to engage in the transactions discussed above.</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Notwithstanding this general rule, certain transactions under Company benefit plans are not prohibited by this policy. These transactions are discussed in this policy under the heading “Exceptions to this policy for certain transactions under Company benefit plans.”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IV. DEFINITION OF MATERIAL NONPUBLIC INFORMATION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information. </w:t>
      </w:r>
      <w:r>
        <w:rPr>
          <w:rFonts w:ascii="Times New Roman" w:cs="Times New Roman" w:eastAsia="Times New Roman" w:hAnsi="Times New Roman"/>
          <w:sz w:val="18"/>
          <w:szCs w:val="18"/>
          <w:color w:val="auto"/>
        </w:rPr>
        <w:t>Information about our company is “material” if there is a substantial likelihood that a reasonable shareholder or investor would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 it important in making a decision to buy, sell or hold our securities, or if the disclosure of the information would be expected to significantly alter the total mix of the information in the marketplace about us. In simple terms, material information is any type of information that could reasonably be expected to affect the market price of our securities. Both positive and negative information may be material. It is not possible to define all categories of “material” information; however, some examples include, but are not limited to:</w:t>
      </w:r>
    </w:p>
    <w:p>
      <w:pPr>
        <w:spacing w:after="0" w:line="183" w:lineRule="exact"/>
        <w:rPr>
          <w:sz w:val="20"/>
          <w:szCs w:val="20"/>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and earnings estimates (including changes of previously announced estimates);</w:t>
      </w:r>
    </w:p>
    <w:p>
      <w:pPr>
        <w:spacing w:after="0" w:line="27"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for our products;</w:t>
      </w:r>
    </w:p>
    <w:p>
      <w:pPr>
        <w:spacing w:after="0" w:line="9"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business plans or budgets, as well as a significant change in our operations, projections or strategic plans;</w:t>
      </w:r>
    </w:p>
    <w:p>
      <w:pPr>
        <w:spacing w:after="0" w:line="9"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merger or acquisition;</w:t>
      </w:r>
    </w:p>
    <w:p>
      <w:pPr>
        <w:spacing w:after="0" w:line="9"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sale of significant assets or subsidiaries;</w:t>
      </w:r>
    </w:p>
    <w:p>
      <w:pPr>
        <w:spacing w:after="0" w:line="9"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major supplier or customer;</w:t>
      </w:r>
    </w:p>
    <w:p>
      <w:pPr>
        <w:spacing w:after="0" w:line="9"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product or discovery;</w:t>
      </w:r>
    </w:p>
    <w:p>
      <w:pPr>
        <w:spacing w:after="0" w:line="9"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pricing change in our products or services;</w:t>
      </w:r>
    </w:p>
    <w:p>
      <w:pPr>
        <w:spacing w:after="0" w:line="9"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of a stock split, a public or private securities offering by us or a change in our dividend policies or amounts;</w:t>
      </w:r>
    </w:p>
    <w:p>
      <w:pPr>
        <w:spacing w:after="0" w:line="9"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senior management;</w:t>
      </w:r>
    </w:p>
    <w:p>
      <w:pPr>
        <w:spacing w:after="0" w:line="9"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data breach or cybersecurity event; and</w:t>
      </w:r>
    </w:p>
    <w:p>
      <w:pPr>
        <w:spacing w:after="0" w:line="9"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threatened major lawsuit.</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Nonpublic information. </w:t>
      </w:r>
      <w:r>
        <w:rPr>
          <w:rFonts w:ascii="Times New Roman" w:cs="Times New Roman" w:eastAsia="Times New Roman" w:hAnsi="Times New Roman"/>
          <w:sz w:val="18"/>
          <w:szCs w:val="18"/>
          <w:color w:val="auto"/>
        </w:rPr>
        <w:t>Nonpublic information is information that is not generally available to the investing public. If you are aware of material nonpublic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subject to the trading window periods describe in Section VI below, you may not trade until the information has been widely disclosed to the public (for example, through a press release or an SEC filing) and the market has had sufficient time to absorb the information. For purposes of this policy, information will generally be considered public after the second full trading day following the Company’s public release of the information. For example, if we issued a press release after the market opens on a Tuesday, the first day that trading could occur would be on Friday.</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you are not sure whether information is material or nonpublic, consult with the Compliance Officer for guidance before engaging in any transaction in Company securities.</w:t>
      </w:r>
    </w:p>
    <w:p>
      <w:pPr>
        <w:spacing w:after="0" w:line="158" w:lineRule="exact"/>
        <w:rPr>
          <w:sz w:val="20"/>
          <w:szCs w:val="20"/>
          <w:color w:val="auto"/>
        </w:rPr>
      </w:pPr>
    </w:p>
    <w:p>
      <w:pPr>
        <w:ind w:left="68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UNAUTHORIZED DISCLOSURE OF INFORMATION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You are prohibited from disclosing to anyone inside or outside the Company any nonpublic information obtained at or through the Company, except when such disclosure is part of your regular duties and is needed to enable the Company to carry out its business properly and effectively.</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laws that govern the timing of our disclosures of material information to the public and others. Our Company’s policy is that only certain designated employees may discuss the Company with the news media, securities analysts and investors. All inquiries from outsiders regarding material nonpublic information about the Company should be forwarded to the Company’s Chief Executive Officer. Accordingly, when an inquiry is made by an outsider, the following response will generally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i w:val="1"/>
          <w:iCs w:val="1"/>
          <w:color w:val="auto"/>
        </w:rPr>
        <w:t>“As to these types of matters,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spokesperson is its Chief Executive Officer. If there is any comment, he (or she) would be the one to contact.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following procedures are appropriate in protecting the confidentiality of Company information: (i) avoid discussions of confidential matters in places where they might be overheard or otherwise disseminated; (ii) mark sensitive documents “confidential” and use sealed envelopes marked “confidential”; (iii) secure confidential documents and restrict the copying of sensitive documents; (iv) provide instructions to receptionists regarding outside inquiries; (v) use code names for sensitive projects; (vi) use passwords to restrict computer access; and (vii) do not use any Internet message boards or similar medium available to the public to post any unauthorized messages regarding the Company or our business, financial condition, employees, clients or other matters related to us.</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VI. ADDITIONAL TRADING POLICY</w:t>
      </w:r>
    </w:p>
    <w:p>
      <w:pPr>
        <w:spacing w:after="0" w:line="22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 may not trade in Company securities outside of a trading window. </w:t>
      </w:r>
      <w:r>
        <w:rPr>
          <w:rFonts w:ascii="Times New Roman" w:cs="Times New Roman" w:eastAsia="Times New Roman" w:hAnsi="Times New Roman"/>
          <w:sz w:val="18"/>
          <w:szCs w:val="18"/>
          <w:color w:val="auto"/>
        </w:rPr>
        <w:t>For purposes of this policy, a “trading window” will commence at the close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on the second full trading day following the day of public disclosure of the Company’s financial results for a particular fiscal quarter or year and will terminate at the end of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of the quarter in which the information was disclosed. For example, with respect to the release of financial results for the Company’s second fiscal quarter, the trading window would start at the close of business on the second full trading day following the day of public release of the Company’s second quarter financial results and end on the close of business on September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For the Company’s fiscal year end release of financial results, the trading window would start at the close of business on the second trading day following the release of the Company’s fiscal year financial results and end on the close of business on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For purposes of clarity, in the event that the Company releases its financial results for a particular fiscal quarter or year prior to the opening of trading on the morning of a particular trading day, that day shall be deemed the first trading day for purposes of this policy. For example, if the Company releases its financial results for a particular fiscal quarter or year prior to the opening of trading on a Tuesday morning that is otherwise a normal trading day (i.e., not a federal holiday), the trading window would start at the close of business on the following trading day, Wednesday.</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 during a trading window, you may not trade during a special blackout period. </w:t>
      </w:r>
      <w:r>
        <w:rPr>
          <w:rFonts w:ascii="Times New Roman" w:cs="Times New Roman" w:eastAsia="Times New Roman" w:hAnsi="Times New Roman"/>
          <w:sz w:val="18"/>
          <w:szCs w:val="18"/>
          <w:color w:val="auto"/>
        </w:rPr>
        <w:t>The Company always retains the right to impose additional or longer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blackout periods at any time. You may not trade in Company securities during any special blackout periods that the Company may designate with the prior written approval of the Chief Executive Officer (or the Chief Financial Officer, if the Chief Executive Officer is unavailable). The Chief Executive Officer, Chief Financial Officer or Compliance Officer of the Company will advise you in writing of when a special blackout period commences and ends. You may not disclose to any outside third party that a special blackout period has been designated.</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You may not trade during a trading window without prior notice and approval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a trading window, you may trade in Company securities only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notifying and obtaining the approval of the Compliance Officer. If you decide to engage in a transaction involving Company securities during a trading window, you must notify the Compliance Officer in writing of the amount and nature of the proposed trade(s) at least two business days prior to the proposed transaction, and certify in writing that you are not in possession of material nonpublic information concerning the Company. You must not engage in the transaction unless and until the Compliance Officer provides his or her approval in writing. Any determination by the Compliance Officer to disapprove a proposed trade will require the concurrence of the Chief Executive Officer (or the Compensation Committee of the Board, if the Chief Executive Officer is unavailable). Proposed trades by the Chief Financial Officer will require approval by any of (i) the Chief Executive Officer; or (ii) the Compensation Committee of the Board. The Compliance Officer (or the Chief Executive Officer or Compensation Committee of the Board, as applicable) must consult with the Company’s outside securities counsel prior to approving any transaction in the Company’s securities. The existence of these approval procedures does not in any way obligate the Compliance Officer to approve any transaction.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Except as permitted by SEC rules, you may not trade in Company equity securities during a pension plan blackout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 are an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director, you may not trade or transfer during any pension fund blackout period any equity security of the Company that you acquired in connection with your service as an officer or director, except to the extent such trade or transfer is permitted by SEC rules. A pension plan blackout period is generally any period of more than three consecutive business days under an individual account plan during which purchases or sales of Company equity securities are prohibited under the plan (whether by us or a fiduciary of the plan), excluding certain regularly scheduled blackouts and blackouts imposed solely in connection with certain corporate transactions such as mergers. Any profits made by you in violation of this proscription are recoverable by us. We will notify plan participants, directors, officers and the SEC in advance of any pension plan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9" w:name="page130"/>
    <w:bookmarkEnd w:id="129"/>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 may not trade in puts or calls or engage in short sales with respect to Company securities. </w:t>
      </w:r>
      <w:r>
        <w:rPr>
          <w:rFonts w:ascii="Times New Roman" w:cs="Times New Roman" w:eastAsia="Times New Roman" w:hAnsi="Times New Roman"/>
          <w:sz w:val="18"/>
          <w:szCs w:val="18"/>
          <w:color w:val="auto"/>
        </w:rPr>
        <w:t>Trading in “puts” and “calls” (publicly traded options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 or buy stock) and engaging in short sales are often perceived as involving insider trading and they may focus your attention on the Company’s short-term performance rather than its long -term objectives. In addition, Section 16(c) of the Securities Exchange Act of 1934 prohibits officers and directors from engaging in short sales. Therefore, transactions in puts, calls and other derivative securities with respect to Company securities on an exchange or in any other organized market are prohibited by this policy, as are short sales of Company securities.</w:t>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VII.CONSEQUENCES OF VIOLATING SECURITIES LAWS OR THIS POLICY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consequences of violating the securities laws or this policy can be severe. They include the following:</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Civil and criminal penalties. </w:t>
      </w:r>
      <w:r>
        <w:rPr>
          <w:rFonts w:ascii="Times New Roman" w:cs="Times New Roman" w:eastAsia="Times New Roman" w:hAnsi="Times New Roman"/>
          <w:sz w:val="18"/>
          <w:szCs w:val="18"/>
          <w:color w:val="auto"/>
        </w:rPr>
        <w:t>If you violate the insider trading or tipping laws, you may be required to:</w:t>
      </w:r>
    </w:p>
    <w:p>
      <w:pPr>
        <w:spacing w:after="0" w:line="229" w:lineRule="exact"/>
        <w:rPr>
          <w:sz w:val="20"/>
          <w:szCs w:val="20"/>
          <w:color w:val="auto"/>
        </w:rPr>
      </w:pPr>
    </w:p>
    <w:p>
      <w:pPr>
        <w:ind w:left="1580" w:hanging="317"/>
        <w:spacing w:after="0"/>
        <w:tabs>
          <w:tab w:leader="none" w:pos="15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civil penalties up to three times the profit made or loss avoided</w:t>
      </w:r>
    </w:p>
    <w:p>
      <w:pPr>
        <w:spacing w:after="0" w:line="27"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 criminal penalty of up to $5 million</w:t>
      </w:r>
    </w:p>
    <w:p>
      <w:pPr>
        <w:spacing w:after="0" w:line="9" w:lineRule="exact"/>
        <w:rPr>
          <w:rFonts w:ascii="Times New Roman" w:cs="Times New Roman" w:eastAsia="Times New Roman" w:hAnsi="Times New Roman"/>
          <w:sz w:val="18"/>
          <w:szCs w:val="18"/>
          <w:color w:val="auto"/>
        </w:rPr>
      </w:pPr>
    </w:p>
    <w:p>
      <w:pPr>
        <w:ind w:left="1580" w:hanging="317"/>
        <w:spacing w:after="0"/>
        <w:tabs>
          <w:tab w:leader="none" w:pos="15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a jail term of up to 20 years.</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the Company and/or the supervisors of a person who violates these laws may also be subject to civil or criminal penalties if they did not take appropriate steps to prevent illegal trading.</w:t>
      </w:r>
    </w:p>
    <w:p>
      <w:pPr>
        <w:spacing w:after="0" w:line="15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Discipline. </w:t>
      </w:r>
      <w:r>
        <w:rPr>
          <w:rFonts w:ascii="Times New Roman" w:cs="Times New Roman" w:eastAsia="Times New Roman" w:hAnsi="Times New Roman"/>
          <w:sz w:val="18"/>
          <w:szCs w:val="18"/>
          <w:color w:val="auto"/>
        </w:rPr>
        <w:t>If you violate this policy or insider trading or tipping laws, you may be subject to disciplinary action by the Company,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including termination for cause. A violation of our Company policy is not necessarily the same as a violation of law and we may determine that specific conduct violates its policy, whether or not the conduct also violates the law. We are not required to await the filing or conclusion of a civil or criminal action against an alleged violator before taking disciplinary action.</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of Violations. </w:t>
      </w:r>
      <w:r>
        <w:rPr>
          <w:rFonts w:ascii="Times New Roman" w:cs="Times New Roman" w:eastAsia="Times New Roman" w:hAnsi="Times New Roman"/>
          <w:sz w:val="18"/>
          <w:szCs w:val="18"/>
          <w:color w:val="auto"/>
        </w:rPr>
        <w:t>Any employee, officer, director, consultant, contractor, agent, or other service provider who violates this policy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or state laws governing insider trading or tipping, or knows of any such violation by any other employee, officer or director, must report the violation immediately to the Chief Executive Offer.</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VIII.EXCEPTIONS TO THIS POLICY FOR CERTAIN TRANSACTIONS UNDER COMPANY BENEFIT PLANS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transactions in Company securities under Company benefit plans are not prohibited by this policy. These are:</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 Exercises. </w:t>
      </w:r>
      <w:r>
        <w:rPr>
          <w:rFonts w:ascii="Times New Roman" w:cs="Times New Roman" w:eastAsia="Times New Roman" w:hAnsi="Times New Roman"/>
          <w:sz w:val="18"/>
          <w:szCs w:val="18"/>
          <w:color w:val="auto"/>
        </w:rPr>
        <w:t>This policy does not apply to your exercise of a stock option where the purchase of stock options is paid in cash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continue to be held by you following such exercise. It also does not apply to your election to have the Company withhold shares subject to an option to satisfy tax withholding requirements. This policy does apply, however, to sales of shares received upon exercise of an option.</w:t>
      </w:r>
    </w:p>
    <w:p>
      <w:pPr>
        <w:spacing w:after="0" w:line="1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Receipt and Vesting of Equity Awards. </w:t>
      </w:r>
      <w:r>
        <w:rPr>
          <w:rFonts w:ascii="Times New Roman" w:cs="Times New Roman" w:eastAsia="Times New Roman" w:hAnsi="Times New Roman"/>
          <w:sz w:val="18"/>
          <w:szCs w:val="18"/>
          <w:color w:val="auto"/>
        </w:rPr>
        <w:t>This policy does not apply to your receipt upon vesting of equity awards, including stock options,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units, restricted stock, or other equity compensation awards, provided that the shares continue to be held by you following such vesting. It also does not apply to your election to have the Company withhold shares subject to vesting to satisfy tax withholding requirements. This policy does apply, however, to sales of shares received upon such vesting.</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ESPP Purchases. </w:t>
      </w:r>
      <w:r>
        <w:rPr>
          <w:rFonts w:ascii="Times New Roman" w:cs="Times New Roman" w:eastAsia="Times New Roman" w:hAnsi="Times New Roman"/>
          <w:sz w:val="18"/>
          <w:szCs w:val="18"/>
          <w:color w:val="auto"/>
        </w:rPr>
        <w:t>This policy does not apply to purchases from the Company’s employee stock purchase plan. This policy does apply, however,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subsequent sales of such shares.</w:t>
      </w:r>
    </w:p>
    <w:p>
      <w:pPr>
        <w:spacing w:after="0" w:line="15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 to Cover Transactions. </w:t>
      </w:r>
      <w:r>
        <w:rPr>
          <w:rFonts w:ascii="Times New Roman" w:cs="Times New Roman" w:eastAsia="Times New Roman" w:hAnsi="Times New Roman"/>
          <w:sz w:val="18"/>
          <w:szCs w:val="18"/>
          <w:color w:val="auto"/>
        </w:rPr>
        <w:t>This policy does not apply to sell to cover transactions, to the extent approved and implemented by the Company, 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withheld by the Company upon vesting of equity awards and sold in order to satisfy tax withholding requirements; however, this exception does not apply to any other sale or trade.</w:t>
      </w:r>
    </w:p>
    <w:p>
      <w:pPr>
        <w:spacing w:after="0" w:line="1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Form of Ownership. </w:t>
      </w:r>
      <w:r>
        <w:rPr>
          <w:rFonts w:ascii="Times New Roman" w:cs="Times New Roman" w:eastAsia="Times New Roman" w:hAnsi="Times New Roman"/>
          <w:sz w:val="18"/>
          <w:szCs w:val="18"/>
          <w:color w:val="auto"/>
        </w:rPr>
        <w:t>This policy does not apply to changes in form of ownership, for example, a transfer from your individual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to a trust for which you are the trustee; provided that you continue to retain ownership of the shares following such change in the form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0" w:name="page131"/>
    <w:bookmarkEnd w:id="130"/>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w:t>
      </w:r>
      <w:r>
        <w:rPr>
          <w:rFonts w:ascii="Times New Roman" w:cs="Times New Roman" w:eastAsia="Times New Roman" w:hAnsi="Times New Roman"/>
          <w:sz w:val="18"/>
          <w:szCs w:val="18"/>
          <w:color w:val="auto"/>
        </w:rPr>
        <w:t>This policy does not apply to purchases of Company stock in our 401(k) plan resulting from your periodic contribution of money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through a payroll deduction election. This policy does apply, however, to certain elections you may make under our 401(k) plan, including (a) an election to increase or decrease the percentage of your periodic contributions that will be allocated to the Company stock fund, (b) an election to make an intra- plan transfer of an existing account balance into or out of the Company stock fund, (c) an election to borrow money against your 401(k) plan account if the loan will result in a liquidation of some or all of your Company stock fund balance, and (d) your election to pre-pay a plan loan if the pre-payment will result in allocation of loan proceeds to the Company stock fund.</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IX. EXCEPTIONS TO THIS POLICY FOR TRANSACTIONS UNDER SEC RULE 10B5-1 TRADING PLANS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Rule 10b5-1 under the Securities Exchange Act of 1934 provides an affirmative defense against insider trading liability for transactions made pursuant to a qualifying written trading plan (a “</w:t>
      </w:r>
      <w:r>
        <w:rPr>
          <w:rFonts w:ascii="Times New Roman" w:cs="Times New Roman" w:eastAsia="Times New Roman" w:hAnsi="Times New Roman"/>
          <w:sz w:val="18"/>
          <w:szCs w:val="18"/>
          <w:b w:val="1"/>
          <w:bCs w:val="1"/>
          <w:color w:val="auto"/>
        </w:rPr>
        <w:t>Trading Plan</w:t>
      </w:r>
      <w:r>
        <w:rPr>
          <w:rFonts w:ascii="Times New Roman" w:cs="Times New Roman" w:eastAsia="Times New Roman" w:hAnsi="Times New Roman"/>
          <w:sz w:val="18"/>
          <w:szCs w:val="18"/>
          <w:color w:val="auto"/>
        </w:rPr>
        <w:t>”). Transactions under a pre-approved Trading Plan that complies with this Section IX are not prohibited by this policy, even if they occur during a blackout period or while the Covered Person possesses material nonpublic information.</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To be eligible to enter into, modify, or terminate a Trading Plan, you must pre-clear its adoption, modification or termination, as applicable, with the Compliance Officer, who will consult with the Company’s outside securities counsel, as appropriate, prior to pre-clearing any plan or approving any change to any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Company’s Senior Leadership (defined below) must obtain advance written approval from the Audit Committee of the Board of Directors, acting in consultation with the Compliance Officer, before entering into any 10b5-1 plan or changing or terminating any 10b5-1 plan already in place. The Audit Committee and Compliance Officer, together with the Company’s outside securities counsel, are responsible for ensuring that each proposed Trading Plan satisfies all applicable requirements of Rule 10b5-1, as amended from time to time, including those relating to cooling-off periods, limits on the number and type of plans, required certifications by directors and officers, and the good-faith adoption and operation of such plans. The Compliance Officer shall maintain a complete record of all Trading Plans approved, modified, or terminated, and shall coordinate all related Section 16 and other securities law filings. For purposes hereof, the Company’s “</w:t>
      </w:r>
      <w:r>
        <w:rPr>
          <w:rFonts w:ascii="Times New Roman" w:cs="Times New Roman" w:eastAsia="Times New Roman" w:hAnsi="Times New Roman"/>
          <w:sz w:val="18"/>
          <w:szCs w:val="18"/>
          <w:b w:val="1"/>
          <w:bCs w:val="1"/>
          <w:color w:val="auto"/>
        </w:rPr>
        <w:t>Senior Leadership</w:t>
      </w:r>
      <w:r>
        <w:rPr>
          <w:rFonts w:ascii="Times New Roman" w:cs="Times New Roman" w:eastAsia="Times New Roman" w:hAnsi="Times New Roman"/>
          <w:sz w:val="18"/>
          <w:szCs w:val="18"/>
          <w:color w:val="auto"/>
        </w:rPr>
        <w:t>” consists of (i) each of the Company’s executive officers, as defined by Rule 3b-7 of the Securities Exchange Act of 1934 (17 C.F.R. § 240.3b-7), as well as (ii) each of the current Company employees who report directly to any Company executive officer provided they have day-to-day managerial responsibility for a principal business unit, division, or corporate function of the Company.</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Without limiting the foregoing, approval of a Trading Plan requires, at a minimum, that:</w:t>
      </w:r>
    </w:p>
    <w:p>
      <w:pPr>
        <w:spacing w:after="0" w:line="225" w:lineRule="exact"/>
        <w:rPr>
          <w:sz w:val="20"/>
          <w:szCs w:val="20"/>
          <w:color w:val="auto"/>
        </w:rPr>
      </w:pPr>
    </w:p>
    <w:p>
      <w:pPr>
        <w:ind w:left="1580" w:hanging="317"/>
        <w:spacing w:after="0"/>
        <w:tabs>
          <w:tab w:leader="none" w:pos="1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Person is not in possession of material nonpublic information at the time of plan adoption;</w:t>
      </w:r>
    </w:p>
    <w:p>
      <w:pPr>
        <w:spacing w:after="0" w:line="27" w:lineRule="exact"/>
        <w:rPr>
          <w:rFonts w:ascii="Times New Roman" w:cs="Times New Roman" w:eastAsia="Times New Roman" w:hAnsi="Times New Roman"/>
          <w:sz w:val="18"/>
          <w:szCs w:val="18"/>
          <w:color w:val="auto"/>
        </w:rPr>
      </w:pPr>
    </w:p>
    <w:p>
      <w:pPr>
        <w:ind w:left="1580" w:hanging="317"/>
        <w:spacing w:after="0" w:line="250" w:lineRule="auto"/>
        <w:tabs>
          <w:tab w:leader="none" w:pos="1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entered into in good faith, during an open trading window, and not as part of any scheme to evade the prohibitions of Rule 10b-5; and</w:t>
      </w:r>
    </w:p>
    <w:p>
      <w:pPr>
        <w:ind w:left="1580" w:hanging="317"/>
        <w:spacing w:after="0"/>
        <w:tabs>
          <w:tab w:leader="none" w:pos="1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and officers, the plan includes the written certifications required by Rule 10b5-1, as in effect at the time of adoption.</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Audit Committee and Compliance Officer are not obligated to approve any proposed Trading Plan. Covered Persons who wish to establish a Trading Plan should contact the Compliance Officer well in advance of the desired adoption date to allow adequate time for review by the Audit Committee and outside securities counsel.</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X.OTHER EXCEPTIONS TO THIS POLICY</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Nothing about this policy limits anyone’s participation in an offering of Company securities by the Company, such as a rights offering financing offered to existing Company stockholders, or limits any related party transaction approved by our Board of Directors.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XI. PROTECTED ACTIVITY NOT PROHIBITED</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1" w:name="page132"/>
    <w:bookmarkEnd w:id="131"/>
    <w:p>
      <w:pPr>
        <w:ind w:left="620"/>
        <w:spacing w:after="0"/>
        <w:rPr>
          <w:sz w:val="20"/>
          <w:szCs w:val="20"/>
          <w:color w:val="auto"/>
        </w:rPr>
      </w:pPr>
      <w:r>
        <w:rPr>
          <w:rFonts w:ascii="Times New Roman" w:cs="Times New Roman" w:eastAsia="Times New Roman" w:hAnsi="Times New Roman"/>
          <w:sz w:val="18"/>
          <w:szCs w:val="18"/>
          <w:b w:val="1"/>
          <w:bCs w:val="1"/>
          <w:color w:val="auto"/>
        </w:rPr>
        <w:t>XII.AMENDMENTS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amend or waive this policy at any time, for any reason, subject to applicable laws, rules and regulations, and with or without notice, although it will attempt to provide notice in advance of any change. Unless otherwise permitted by this policy, any amendments or waivers of this policy must be approved by the Board of Directors of the Company.</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XIII.COMPANY ASSISTANCE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you have a question about this policy or whether it applies to a particular transaction, contact our Compliance Officer for additional guidance. The Compliance Officer will regularly consult with the Company’s outside securities counsel with respect to transactions and other matters covered by this policy.</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[END OF DOCUMENT]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ACKNOWLEDGEMENT OF RECEIPT OF INSIDER TRADING POLICY</w:t>
      </w:r>
    </w:p>
    <w:p>
      <w:pPr>
        <w:spacing w:after="0" w:line="225"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color w:val="auto"/>
        </w:rPr>
        <w:t>I have received and read the Pulse Biosciences, Inc. Insider Trading Policy (“</w:t>
      </w:r>
      <w:r>
        <w:rPr>
          <w:rFonts w:ascii="Times New Roman" w:cs="Times New Roman" w:eastAsia="Times New Roman" w:hAnsi="Times New Roman"/>
          <w:sz w:val="18"/>
          <w:szCs w:val="18"/>
          <w:b w:val="1"/>
          <w:bCs w:val="1"/>
          <w:color w:val="auto"/>
        </w:rPr>
        <w:t>Insider Trading Policy</w:t>
      </w:r>
      <w:r>
        <w:rPr>
          <w:rFonts w:ascii="Times New Roman" w:cs="Times New Roman" w:eastAsia="Times New Roman" w:hAnsi="Times New Roman"/>
          <w:sz w:val="18"/>
          <w:szCs w:val="18"/>
          <w:color w:val="auto"/>
        </w:rPr>
        <w:t>”). I understand the standards and policies contained in the Insider Trading Policy and agree to comply with its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17830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17830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17830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tcPr>
          <w:p>
            <w:pPr>
              <w:ind w:left="2120"/>
              <w:spacing w:after="0"/>
              <w:rPr>
                <w:sz w:val="20"/>
                <w:szCs w:val="20"/>
                <w:color w:val="auto"/>
              </w:rPr>
            </w:pPr>
            <w:r>
              <w:rPr>
                <w:rFonts w:ascii="Times New Roman" w:cs="Times New Roman" w:eastAsia="Times New Roman" w:hAnsi="Times New Roman"/>
                <w:sz w:val="18"/>
                <w:szCs w:val="18"/>
                <w:color w:val="auto"/>
                <w:w w:val="96"/>
              </w:rPr>
              <w:t>Exhibit 21.1</w:t>
            </w:r>
          </w:p>
        </w:tc>
      </w:tr>
      <w:tr>
        <w:trPr>
          <w:trHeight w:val="432"/>
        </w:trPr>
        <w:tc>
          <w:tcPr>
            <w:tcW w:w="4180" w:type="dxa"/>
            <w:vAlign w:val="bottom"/>
          </w:tcPr>
          <w:p>
            <w:pPr>
              <w:spacing w:after="0"/>
              <w:rPr>
                <w:sz w:val="24"/>
                <w:szCs w:val="24"/>
                <w:color w:val="auto"/>
              </w:rPr>
            </w:pPr>
          </w:p>
        </w:tc>
        <w:tc>
          <w:tcPr>
            <w:tcW w:w="39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List of Subsidiaries</w:t>
            </w: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648"/>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Subsidiary</w:t>
            </w: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8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Ownership Position</w:t>
            </w: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NanoBlate Corp., a Delaware Corporation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BioElectroMed Corp., a California Corporation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3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Pulse Biosciences BV</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Netherlands</w:t>
            </w:r>
          </w:p>
        </w:tc>
        <w:tc>
          <w:tcPr>
            <w:tcW w:w="3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2783162 Ontario Inc.</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Ontario</w:t>
            </w:r>
          </w:p>
        </w:tc>
        <w:tc>
          <w:tcPr>
            <w:tcW w:w="3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bl>
    <w:p>
      <w:pPr>
        <w:sectPr>
          <w:pgSz w:w="11900" w:h="16838" w:orient="portrait"/>
          <w:cols w:equalWidth="0" w:num="1">
            <w:col w:w="11240"/>
          </w:cols>
          <w:pgMar w:left="320" w:top="12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333-280805, 333-278494, 333-278322, 333-273944, 333-259330, 333-246346, 333-237577, 333-227974, 333-224800, 333-219104, and 333-219096 on Form S-3 and Registration Statement Nos. 333-285374, 333-285383, 333-271808, 333-264957, 333-256992, 333-254451, 333-237225, 333-229320, 333-222582, 333-221788, 333-218164, and 333-216897 on Form S-8 of our report dated February 19, 2026, relating to the financial statements of Pulse Biosciences, Inc. appearing in this Annual Report on Form 10-K for the year ended December 31,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ectPr>
          <w:pgSz w:w="11900" w:h="16838" w:orient="portrait"/>
          <w:cols w:equalWidth="0" w:num="1">
            <w:col w:w="11240"/>
          </w:cols>
          <w:pgMar w:left="32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LaViolette, certify that:</w:t>
      </w:r>
    </w:p>
    <w:p>
      <w:pPr>
        <w:spacing w:after="0" w:line="225"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Pulse Biosciences,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2026</w:t>
            </w:r>
          </w:p>
        </w:tc>
        <w:tc>
          <w:tcPr>
            <w:tcW w:w="51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Paul A. LaViolette</w:t>
            </w:r>
          </w:p>
        </w:tc>
      </w:tr>
      <w:tr>
        <w:trPr>
          <w:trHeight w:val="191"/>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Paul A. LaViolette</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left="480" w:right="18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Skinner, certify that:</w:t>
      </w:r>
    </w:p>
    <w:p>
      <w:pPr>
        <w:spacing w:after="0" w:line="225" w:lineRule="exact"/>
        <w:rPr>
          <w:sz w:val="20"/>
          <w:szCs w:val="20"/>
          <w:color w:val="auto"/>
        </w:rPr>
      </w:pPr>
    </w:p>
    <w:p>
      <w:pPr>
        <w:ind w:left="240" w:hanging="232"/>
        <w:spacing w:after="0"/>
        <w:tabs>
          <w:tab w:leader="none" w:pos="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Pulse Biosciences, Inc.;</w:t>
      </w:r>
    </w:p>
    <w:p>
      <w:pPr>
        <w:spacing w:after="0" w:line="225" w:lineRule="exact"/>
        <w:rPr>
          <w:rFonts w:ascii="Times New Roman" w:cs="Times New Roman" w:eastAsia="Times New Roman" w:hAnsi="Times New Roman"/>
          <w:sz w:val="18"/>
          <w:szCs w:val="18"/>
          <w:color w:val="auto"/>
        </w:rPr>
      </w:pPr>
    </w:p>
    <w:p>
      <w:pPr>
        <w:ind w:left="240" w:right="40" w:hanging="232"/>
        <w:spacing w:after="0" w:line="312" w:lineRule="auto"/>
        <w:tabs>
          <w:tab w:leader="none" w:pos="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240" w:right="500" w:hanging="232"/>
        <w:spacing w:after="0" w:line="282" w:lineRule="auto"/>
        <w:tabs>
          <w:tab w:leader="none" w:pos="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240" w:right="120" w:hanging="232"/>
        <w:spacing w:after="0" w:line="266" w:lineRule="auto"/>
        <w:tabs>
          <w:tab w:leader="none" w:pos="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60" w:right="40" w:hanging="223"/>
        <w:spacing w:after="0" w:line="266" w:lineRule="auto"/>
        <w:tabs>
          <w:tab w:leader="none" w:pos="4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60" w:right="40" w:hanging="223"/>
        <w:spacing w:after="0" w:line="266" w:lineRule="auto"/>
        <w:tabs>
          <w:tab w:leader="none" w:pos="4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60" w:right="100" w:hanging="223"/>
        <w:spacing w:after="0" w:line="282" w:lineRule="auto"/>
        <w:tabs>
          <w:tab w:leader="none" w:pos="4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60" w:right="120" w:hanging="223"/>
        <w:spacing w:after="0" w:line="266" w:lineRule="auto"/>
        <w:tabs>
          <w:tab w:leader="none" w:pos="4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40" w:right="420" w:hanging="232"/>
        <w:spacing w:after="0" w:line="282" w:lineRule="auto"/>
        <w:tabs>
          <w:tab w:leader="none" w:pos="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60" w:right="20" w:hanging="223"/>
        <w:spacing w:after="0" w:line="282" w:lineRule="auto"/>
        <w:tabs>
          <w:tab w:leader="none" w:pos="4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60" w:hanging="223"/>
        <w:spacing w:after="0" w:line="282" w:lineRule="auto"/>
        <w:tabs>
          <w:tab w:leader="none" w:pos="4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2026</w:t>
            </w:r>
          </w:p>
        </w:tc>
        <w:tc>
          <w:tcPr>
            <w:tcW w:w="51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Jon Skinner</w:t>
            </w:r>
          </w:p>
        </w:tc>
      </w:tr>
      <w:tr>
        <w:trPr>
          <w:trHeight w:val="191"/>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40" w:firstLine="45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Pulse Biosciences, Inc. (the “Company”) on Form 10-K for the fiscal year ended December 31, 2025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720" w:hanging="262"/>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180" w:firstLine="458"/>
        <w:spacing w:after="0" w:line="282" w:lineRule="auto"/>
        <w:tabs>
          <w:tab w:leader="none" w:pos="70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2026</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A. LaViolette</w:t>
            </w:r>
          </w:p>
        </w:tc>
      </w:tr>
      <w:tr>
        <w:trPr>
          <w:trHeight w:val="191"/>
        </w:trPr>
        <w:tc>
          <w:tcPr>
            <w:tcW w:w="608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A. LaViolette</w:t>
            </w:r>
          </w:p>
        </w:tc>
      </w:tr>
      <w:tr>
        <w:trPr>
          <w:trHeight w:val="216"/>
        </w:trPr>
        <w:tc>
          <w:tcPr>
            <w:tcW w:w="60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0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right="40" w:firstLine="8"/>
        <w:spacing w:after="0" w:line="261" w:lineRule="auto"/>
        <w:tabs>
          <w:tab w:leader="none" w:pos="4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 except to the extent the Company specifically incorporates these certifications by reference therein.</w:t>
      </w:r>
    </w:p>
    <w:p>
      <w:pPr>
        <w:sectPr>
          <w:pgSz w:w="11900" w:h="16838" w:orient="portrait"/>
          <w:cols w:equalWidth="0" w:num="1">
            <w:col w:w="11240"/>
          </w:cols>
          <w:pgMar w:left="32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Pulse Biosciences, Inc. (the “Company”) on Form 10-K for the fiscal year ended December 31, 2025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560" w:hanging="246"/>
        <w:spacing w:after="0"/>
        <w:tabs>
          <w:tab w:leader="none" w:pos="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60" w:right="60" w:firstLine="154"/>
        <w:spacing w:after="0" w:line="282" w:lineRule="auto"/>
        <w:tabs>
          <w:tab w:leader="none" w:pos="57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2026</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Skinner</w:t>
            </w:r>
          </w:p>
        </w:tc>
      </w:tr>
      <w:tr>
        <w:trPr>
          <w:trHeight w:val="191"/>
        </w:trPr>
        <w:tc>
          <w:tcPr>
            <w:tcW w:w="608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6"/>
        </w:trPr>
        <w:tc>
          <w:tcPr>
            <w:tcW w:w="60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jc w:val="both"/>
        <w:ind w:left="160" w:right="200" w:hanging="8"/>
        <w:spacing w:after="0" w:line="261" w:lineRule="auto"/>
        <w:tabs>
          <w:tab w:leader="none" w:pos="61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 except to the extent the Company specifically incorporates these certifications by reference therein.</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upperLetter"/>
      <w:start w:val="35"/>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bullet"/>
      <w:start w:val="1"/>
    </w:lvl>
    <w:lvl w:ilvl="1">
      <w:lvlJc w:val="left"/>
      <w:lvlText w:val="%2."/>
      <w:numFmt w:val="decimal"/>
      <w:start w:val="11"/>
    </w:lvl>
  </w:abstractNum>
  <w:abstractNum w:abstractNumId="32">
    <w:nsid w:val="180115BE"/>
    <w:multiLevelType w:val="hybridMultilevel"/>
    <w:lvl w:ilvl="0">
      <w:lvlJc w:val="left"/>
      <w:lvlText w:val="1"/>
      <w:numFmt w:val="bullet"/>
      <w:start w:val="1"/>
    </w:lvl>
  </w:abstractNum>
  <w:abstractNum w:abstractNumId="33">
    <w:nsid w:val="235BA861"/>
    <w:multiLevelType w:val="hybridMultilevel"/>
    <w:lvl w:ilvl="0">
      <w:lvlJc w:val="left"/>
      <w:lvlText w:val="1"/>
      <w:numFmt w:val="bullet"/>
      <w:start w:val="1"/>
    </w:lvl>
  </w:abstractNum>
  <w:abstractNum w:abstractNumId="34">
    <w:nsid w:val="47398C89"/>
    <w:multiLevelType w:val="hybridMultilevel"/>
    <w:lvl w:ilvl="0">
      <w:lvlJc w:val="left"/>
      <w:lvlText w:val="(%1)"/>
      <w:numFmt w:val="lowerLetter"/>
      <w:start w:val="1"/>
    </w:lvl>
    <w:lvl w:ilvl="1">
      <w:lvlJc w:val="left"/>
      <w:lvlText w:val="%2."/>
      <w:numFmt w:val="decimal"/>
      <w:start w:val="1"/>
    </w:lvl>
  </w:abstractNum>
  <w:abstractNum w:abstractNumId="35">
    <w:nsid w:val="354FE9F9"/>
    <w:multiLevelType w:val="hybridMultilevel"/>
    <w:lvl w:ilvl="0">
      <w:lvlJc w:val="left"/>
      <w:lvlText w:val="%1"/>
      <w:numFmt w:val="decimal"/>
      <w:start w:val="104"/>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1."/>
      <w:numFmt w:val="decimal"/>
      <w:start w:val="1"/>
    </w:lvl>
    <w:lvl w:ilvl="1">
      <w:lvlJc w:val="left"/>
      <w:lvlText w:val="●"/>
      <w:numFmt w:val="bullet"/>
      <w:start w:val="1"/>
    </w:lvl>
  </w:abstractNum>
  <w:abstractNum w:abstractNumId="38">
    <w:nsid w:val="D34B6A8"/>
    <w:multiLevelType w:val="hybridMultilevel"/>
    <w:lvl w:ilvl="0">
      <w:lvlJc w:val="left"/>
      <w:lvlText w:val="%1."/>
      <w:numFmt w:val="decimal"/>
      <w:start w:val="2"/>
    </w:lvl>
  </w:abstractNum>
  <w:abstractNum w:abstractNumId="39">
    <w:nsid w:val="10233C99"/>
    <w:multiLevelType w:val="hybridMultilevel"/>
    <w:lvl w:ilvl="0">
      <w:lvlJc w:val="left"/>
      <w:lvlText w:val="(%1)"/>
      <w:numFmt w:val="lowerLetter"/>
      <w:start w:val="6"/>
    </w:lvl>
    <w:lvl w:ilvl="1">
      <w:lvlJc w:val="left"/>
      <w:lvlText w:val="(%2)"/>
      <w:numFmt w:val="lowerRoman"/>
      <w:start w:val="1"/>
    </w:lvl>
  </w:abstractNum>
  <w:abstractNum w:abstractNumId="40">
    <w:nsid w:val="3F6AB60F"/>
    <w:multiLevelType w:val="hybridMultilevel"/>
    <w:lvl w:ilvl="0">
      <w:lvlJc w:val="left"/>
      <w:lvlText w:val="(%1)"/>
      <w:numFmt w:val="upperLetter"/>
      <w:start w:val="1"/>
    </w:lvl>
  </w:abstractNum>
  <w:abstractNum w:abstractNumId="41">
    <w:nsid w:val="61574095"/>
    <w:multiLevelType w:val="hybridMultilevel"/>
    <w:lvl w:ilvl="0">
      <w:lvlJc w:val="left"/>
      <w:lvlText w:val="(%1)"/>
      <w:numFmt w:val="lowerLetter"/>
      <w:start w:val="18"/>
    </w:lvl>
    <w:lvl w:ilvl="1">
      <w:lvlJc w:val="left"/>
      <w:lvlText w:val="%2."/>
      <w:numFmt w:val="lowerRoman"/>
      <w:start w:val="1"/>
    </w:lvl>
  </w:abstractNum>
  <w:abstractNum w:abstractNumId="42">
    <w:nsid w:val="7E0C57B1"/>
    <w:multiLevelType w:val="hybridMultilevel"/>
    <w:lvl w:ilvl="0">
      <w:lvlJc w:val="left"/>
      <w:lvlText w:val="%1."/>
      <w:numFmt w:val="lowerLetter"/>
      <w:start w:val="1"/>
    </w:lvl>
    <w:lvl w:ilvl="1">
      <w:lvlJc w:val="left"/>
      <w:lvlText w:val="%2"/>
      <w:numFmt w:val="lowerLetter"/>
      <w:start w:val="1"/>
    </w:lvl>
  </w:abstractNum>
  <w:abstractNum w:abstractNumId="43">
    <w:nsid w:val="77AE35EB"/>
    <w:multiLevelType w:val="hybridMultilevel"/>
    <w:lvl w:ilvl="0">
      <w:lvlJc w:val="left"/>
      <w:lvlText w:val="%1."/>
      <w:numFmt w:val="lowerLetter"/>
      <w:start w:val="1"/>
    </w:lvl>
    <w:lvl w:ilvl="1">
      <w:lvlJc w:val="left"/>
      <w:lvlText w:val="%2."/>
      <w:numFmt w:val="lowerRoman"/>
      <w:start w:val="1"/>
    </w:lvl>
  </w:abstractNum>
  <w:abstractNum w:abstractNumId="44">
    <w:nsid w:val="579BE4F1"/>
    <w:multiLevelType w:val="hybridMultilevel"/>
    <w:lvl w:ilvl="0">
      <w:lvlJc w:val="left"/>
      <w:lvlText w:val="%1."/>
      <w:numFmt w:val="lowerRoman"/>
      <w:start w:val="3"/>
    </w:lvl>
  </w:abstractNum>
  <w:abstractNum w:abstractNumId="45">
    <w:nsid w:val="310C50B3"/>
    <w:multiLevelType w:val="hybridMultilevel"/>
    <w:lvl w:ilvl="0">
      <w:lvlJc w:val="left"/>
      <w:lvlText w:val="%1."/>
      <w:numFmt w:val="decimal"/>
      <w:start w:val="11"/>
    </w:lvl>
    <w:lvl w:ilvl="1">
      <w:lvlJc w:val="left"/>
      <w:lvlText w:val="%2."/>
      <w:numFmt w:val="lowerLetter"/>
      <w:start w:val="1"/>
    </w:lvl>
  </w:abstractNum>
  <w:abstractNum w:abstractNumId="46">
    <w:nsid w:val="5FF87E05"/>
    <w:multiLevelType w:val="hybridMultilevel"/>
    <w:lvl w:ilvl="0">
      <w:lvlJc w:val="left"/>
      <w:lvlText w:val="%1"/>
      <w:numFmt w:val="lowerLetter"/>
      <w:start w:val="1"/>
    </w:lvl>
    <w:lvl w:ilvl="1">
      <w:lvlJc w:val="left"/>
      <w:lvlText w:val="%2."/>
      <w:numFmt w:val="decimal"/>
      <w:start w:val="15"/>
    </w:lvl>
  </w:abstractNum>
  <w:abstractNum w:abstractNumId="47">
    <w:nsid w:val="2F305DEF"/>
    <w:multiLevelType w:val="hybridMultilevel"/>
    <w:lvl w:ilvl="0">
      <w:lvlJc w:val="left"/>
      <w:lvlText w:val="%1."/>
      <w:numFmt w:val="lowerLetter"/>
      <w:start w:val="1"/>
    </w:lvl>
    <w:lvl w:ilvl="1">
      <w:lvlJc w:val="left"/>
      <w:lvlText w:val="%2"/>
      <w:numFmt w:val="decimal"/>
      <w:start w:val="1"/>
    </w:lvl>
  </w:abstractNum>
  <w:abstractNum w:abstractNumId="48">
    <w:nsid w:val="25A70BF7"/>
    <w:multiLevelType w:val="hybridMultilevel"/>
    <w:lvl w:ilvl="0">
      <w:lvlJc w:val="left"/>
      <w:lvlText w:val="(%1)"/>
      <w:numFmt w:val="lowerRoman"/>
      <w:start w:val="3"/>
    </w:lvl>
  </w:abstractNum>
  <w:abstractNum w:abstractNumId="49">
    <w:nsid w:val="1DBABF00"/>
    <w:multiLevelType w:val="hybridMultilevel"/>
    <w:lvl w:ilvl="0">
      <w:lvlJc w:val="left"/>
      <w:lvlText w:val="%1."/>
      <w:numFmt w:val="lowerLetter"/>
      <w:start w:val="1"/>
    </w:lvl>
  </w:abstractNum>
  <w:abstractNum w:abstractNumId="50">
    <w:nsid w:val="4AD084E9"/>
    <w:multiLevelType w:val="hybridMultilevel"/>
    <w:lvl w:ilvl="0">
      <w:lvlJc w:val="left"/>
      <w:lvlText w:val="%1."/>
      <w:numFmt w:val="lowerLetter"/>
      <w:start w:val="1"/>
    </w:lvl>
  </w:abstractNum>
  <w:abstractNum w:abstractNumId="51">
    <w:nsid w:val="1F48EAA1"/>
    <w:multiLevelType w:val="hybridMultilevel"/>
    <w:lvl w:ilvl="0">
      <w:lvlJc w:val="left"/>
      <w:lvlText w:val="%1."/>
      <w:numFmt w:val="lowerLetter"/>
      <w:start w:val="1"/>
    </w:lvl>
  </w:abstractNum>
  <w:abstractNum w:abstractNumId="52">
    <w:nsid w:val="1381823A"/>
    <w:multiLevelType w:val="hybridMultilevel"/>
    <w:lvl w:ilvl="0">
      <w:lvlJc w:val="left"/>
      <w:lvlText w:val="%1."/>
      <w:numFmt w:val="lowerLetter"/>
      <w:start w:val="4"/>
    </w:lvl>
  </w:abstractNum>
  <w:abstractNum w:abstractNumId="53">
    <w:nsid w:val="5DB70AE5"/>
    <w:multiLevelType w:val="hybridMultilevel"/>
    <w:lvl w:ilvl="0">
      <w:lvlJc w:val="left"/>
      <w:lvlText w:val="%1."/>
      <w:numFmt w:val="lowerLetter"/>
      <w:start w:val="1"/>
    </w:lvl>
    <w:lvl w:ilvl="1">
      <w:lvlJc w:val="left"/>
      <w:lvlText w:val="(%2)"/>
      <w:numFmt w:val="lowerLetter"/>
      <w:start w:val="4"/>
    </w:lvl>
  </w:abstractNum>
  <w:abstractNum w:abstractNumId="54">
    <w:nsid w:val="100F8FCA"/>
    <w:multiLevelType w:val="hybridMultilevel"/>
    <w:lvl w:ilvl="0">
      <w:lvlJc w:val="left"/>
      <w:lvlText w:val="%1."/>
      <w:numFmt w:val="lowerLetter"/>
      <w:start w:val="4"/>
    </w:lvl>
  </w:abstractNum>
  <w:abstractNum w:abstractNumId="55">
    <w:nsid w:val="6590700B"/>
    <w:multiLevelType w:val="hybridMultilevel"/>
    <w:lvl w:ilvl="0">
      <w:lvlJc w:val="left"/>
      <w:lvlText w:val="%1."/>
      <w:numFmt w:val="lowerLetter"/>
      <w:start w:val="1"/>
    </w:lvl>
  </w:abstractNum>
  <w:abstractNum w:abstractNumId="56">
    <w:nsid w:val="15014ACB"/>
    <w:multiLevelType w:val="hybridMultilevel"/>
    <w:lvl w:ilvl="0">
      <w:lvlJc w:val="left"/>
      <w:lvlText w:val="%1."/>
      <w:numFmt w:val="lowerLetter"/>
      <w:start w:val="9"/>
    </w:lvl>
  </w:abstractNum>
  <w:abstractNum w:abstractNumId="57">
    <w:nsid w:val="5F5E7FD0"/>
    <w:multiLevelType w:val="hybridMultilevel"/>
    <w:lvl w:ilvl="0">
      <w:lvlJc w:val="left"/>
      <w:lvlText w:val="%1."/>
      <w:numFmt w:val="decimal"/>
      <w:start w:val="11"/>
    </w:lvl>
  </w:abstractNum>
  <w:abstractNum w:abstractNumId="58">
    <w:nsid w:val="98A3148"/>
    <w:multiLevelType w:val="hybridMultilevel"/>
    <w:lvl w:ilvl="0">
      <w:lvlJc w:val="left"/>
      <w:lvlText w:val="%1."/>
      <w:numFmt w:val="decimal"/>
      <w:start w:val="16"/>
    </w:lvl>
  </w:abstractNum>
  <w:abstractNum w:abstractNumId="59">
    <w:nsid w:val="799D0247"/>
    <w:multiLevelType w:val="hybridMultilevel"/>
    <w:lvl w:ilvl="0">
      <w:lvlJc w:val="left"/>
      <w:lvlText w:val="%1."/>
      <w:numFmt w:val="decimal"/>
      <w:start w:val="25"/>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1."/>
      <w:numFmt w:val="upperLetter"/>
      <w:start w:val="6"/>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1."/>
      <w:numFmt w:val="decimal"/>
      <w:start w:val="14"/>
    </w:lvl>
    <w:lvl w:ilvl="1">
      <w:lvlJc w:val="left"/>
      <w:lvlText w:val="●"/>
      <w:numFmt w:val="bullet"/>
      <w:start w:val="1"/>
    </w:lvl>
  </w:abstractNum>
  <w:abstractNum w:abstractNumId="71">
    <w:nsid w:val="11447B73"/>
    <w:multiLevelType w:val="hybridMultilevel"/>
    <w:lvl w:ilvl="0">
      <w:lvlJc w:val="left"/>
      <w:lvlText w:val="%1."/>
      <w:numFmt w:val="upperLetter"/>
      <w:start w:val="9"/>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1."/>
      <w:numFmt w:val="decimal"/>
      <w:start w:val="1"/>
    </w:lvl>
    <w:lvl w:ilvl="1">
      <w:lvlJc w:val="left"/>
      <w:lvlText w:val="%2)"/>
      <w:numFmt w:val="lowerLetter"/>
      <w:start w:val="1"/>
    </w:lvl>
  </w:abstractNum>
  <w:abstractNum w:abstractNumId="77">
    <w:nsid w:val="68EB2F63"/>
    <w:multiLevelType w:val="hybridMultilevel"/>
    <w:lvl w:ilvl="0">
      <w:lvlJc w:val="left"/>
      <w:lvlText w:val="%1."/>
      <w:numFmt w:val="decimal"/>
      <w:start w:val="1"/>
    </w:lvl>
    <w:lvl w:ilvl="1">
      <w:lvlJc w:val="left"/>
      <w:lvlText w:val="%2)"/>
      <w:numFmt w:val="lowerLetter"/>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jpe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jpe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97" Type="http://schemas.openxmlformats.org/officeDocument/2006/relationships/hyperlink" Target="http://www.sec.gov/Archives/edgar/data/1625101/000162510118000036/plse-20180618xex2_1.htm" TargetMode="External"/><Relationship Id="rId98" Type="http://schemas.openxmlformats.org/officeDocument/2006/relationships/hyperlink" Target="http://www.sec.gov/Archives/edgar/data/1625101/000162510118000036/plse-20180618xex3_1.htm" TargetMode="External"/><Relationship Id="rId99" Type="http://schemas.openxmlformats.org/officeDocument/2006/relationships/hyperlink" Target="http://www.sec.gov/Archives/edgar/data/1625101/000162510118000036/plse-20180618xex3_2.htm" TargetMode="External"/><Relationship Id="rId100" Type="http://schemas.openxmlformats.org/officeDocument/2006/relationships/hyperlink" Target="http://www.sec.gov/Archives/edgar/data/1625101/000162510118000036/plse-20180618xex3_3.htm" TargetMode="External"/><Relationship Id="rId101" Type="http://schemas.openxmlformats.org/officeDocument/2006/relationships/hyperlink" Target="http://www.sec.gov/Archives/edgar/data/1625101/000162510118000036/plse-20180618xex3_4.htm" TargetMode="External"/><Relationship Id="rId102" Type="http://schemas.openxmlformats.org/officeDocument/2006/relationships/hyperlink" Target="http://www.sec.gov/Archives/edgar/data/1625101/000162510118000036/plse-20180618xex4_1.htm" TargetMode="External"/><Relationship Id="rId103" Type="http://schemas.openxmlformats.org/officeDocument/2006/relationships/hyperlink" Target="http://www.sec.gov/Archives/edgar/data/1625101/000143774924010918/ex_649528.htm" TargetMode="External"/><Relationship Id="rId104" Type="http://schemas.openxmlformats.org/officeDocument/2006/relationships/hyperlink" Target="http://www.sec.gov/Archives/edgar/data/1625101/000143774924010918/ex_649529.htm" TargetMode="External"/><Relationship Id="rId105" Type="http://schemas.openxmlformats.org/officeDocument/2006/relationships/hyperlink" Target="http://www.sec.gov/Archives/edgar/data/1625101/000162510117000011/plse-20161231xex10_1.htm" TargetMode="External"/><Relationship Id="rId106" Type="http://schemas.openxmlformats.org/officeDocument/2006/relationships/hyperlink" Target="http://www.sec.gov/Archives/edgar/data/1625101/000162510122000016/plse-20211231xex10_4.htm" TargetMode="External"/><Relationship Id="rId107" Type="http://schemas.openxmlformats.org/officeDocument/2006/relationships/hyperlink" Target="http://www.sec.gov/Archives/edgar/data/1625101/000162510122000016/plse-20211231xex10_5.htm" TargetMode="External"/><Relationship Id="rId108" Type="http://schemas.openxmlformats.org/officeDocument/2006/relationships/hyperlink" Target="http://www.sec.gov/Archives/edgar/data/1625101/000119312515410608/d11949dex102.htm" TargetMode="External"/><Relationship Id="rId109" Type="http://schemas.openxmlformats.org/officeDocument/2006/relationships/hyperlink" Target="http://www.sec.gov/Archives/edgar/data/1625101/000162510117000044/plse-20171128xex10_1.htm" TargetMode="External"/><Relationship Id="rId110" Type="http://schemas.openxmlformats.org/officeDocument/2006/relationships/hyperlink" Target="http://www.sec.gov/Archives/edgar/data/1625101/000156276217000071/plse-20170519xex10_2.htm" TargetMode="External"/><Relationship Id="rId111" Type="http://schemas.openxmlformats.org/officeDocument/2006/relationships/hyperlink" Target="http://www.sec.gov/Archives/edgar/data/1625101/000119312515410608/d11949dex109.htm" TargetMode="External"/><Relationship Id="rId112" Type="http://schemas.openxmlformats.org/officeDocument/2006/relationships/hyperlink" Target="http://www.sec.gov/Archives/edgar/data/1625101/000156276216000431/plse-20161011xex10_1.htm" TargetMode="External"/><Relationship Id="rId113" Type="http://schemas.openxmlformats.org/officeDocument/2006/relationships/hyperlink" Target="http://www.sec.gov/Archives/edgar/data/1625101/000119312515410608/d11949dex1010.htm" TargetMode="External"/><Relationship Id="rId114" Type="http://schemas.openxmlformats.org/officeDocument/2006/relationships/hyperlink" Target="http://www.sec.gov/Archives/edgar/data/1625101/000162510118000036/plse-20180618xex10_1.htm" TargetMode="External"/><Relationship Id="rId115" Type="http://schemas.openxmlformats.org/officeDocument/2006/relationships/hyperlink" Target="http://www.sec.gov/Archives/edgar/data/1625101/000162510119000025/plse-20190531xex10_19.htm" TargetMode="External"/><Relationship Id="rId116" Type="http://schemas.openxmlformats.org/officeDocument/2006/relationships/hyperlink" Target="http://www.sec.gov/Archives/edgar/data/1625101/000119312524178827/d867904dex11.htm" TargetMode="External"/><Relationship Id="rId117" Type="http://schemas.openxmlformats.org/officeDocument/2006/relationships/hyperlink" Target="http://www.sec.gov/Archives/edgar/data/1625101/000162510122000061/plse-20220630xex10_1.htm" TargetMode="External"/><Relationship Id="rId118" Type="http://schemas.openxmlformats.org/officeDocument/2006/relationships/hyperlink" Target="http://www.sec.gov/Archives/edgar/data/1625101/000138713122009977/ex10-1.htm" TargetMode="External"/><Relationship Id="rId119" Type="http://schemas.openxmlformats.org/officeDocument/2006/relationships/hyperlink" Target="http://www.sec.gov/Archives/edgar/data/1625101/000138713122009977/ex10-2.htm" TargetMode="External"/><Relationship Id="rId120" Type="http://schemas.openxmlformats.org/officeDocument/2006/relationships/hyperlink" Target="http://www.sec.gov/Archives/edgar/data/1625101/000138713122010041/ex10-1.htm" TargetMode="External"/><Relationship Id="rId121" Type="http://schemas.openxmlformats.org/officeDocument/2006/relationships/hyperlink" Target="http://www.sec.gov/Archives/edgar/data/1625101/000143774923012849/ex_514882.htm" TargetMode="External"/><Relationship Id="rId122" Type="http://schemas.openxmlformats.org/officeDocument/2006/relationships/hyperlink" Target="http://www.sec.gov/Archives/edgar/data/1625101/000143774923012849/ex_514883.htm" TargetMode="External"/><Relationship Id="rId123" Type="http://schemas.openxmlformats.org/officeDocument/2006/relationships/hyperlink" Target="http://www.sec.gov/Archives/edgar/data/1625101/000143774924009815/ex_646101.htm" TargetMode="External"/><Relationship Id="rId124" Type="http://schemas.openxmlformats.org/officeDocument/2006/relationships/hyperlink" Target="http://www.sec.gov/Archives/edgar/data/1625101/000143774924009815/ex_646102.htm" TargetMode="External"/><Relationship Id="rId125" Type="http://schemas.openxmlformats.org/officeDocument/2006/relationships/hyperlink" Target="http://www.sec.gov/Archives/edgar/data/1625101/000143774925001006/ex_764902.htm" TargetMode="External"/><Relationship Id="rId126" Type="http://schemas.openxmlformats.org/officeDocument/2006/relationships/hyperlink" Target="http://www.sec.gov/Archives/edgar/data/1625101/000143774925002664/ex_773340.htm" TargetMode="External"/><Relationship Id="rId127" Type="http://schemas.openxmlformats.org/officeDocument/2006/relationships/hyperlink" Target="http://www.sec.gov/Archives/edgar/data/1625101/000143774924009815/ex_6456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2026-02-19T15:47:07Z</dcterms:created>
  <dcterms:modified xsi:type="dcterms:W3CDTF">2026-02-19T15:47:07Z</dcterms:modified>
</cp:coreProperties>
</file>