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lse20230630_10q.htm"/>
      <w:bookmarkStart w:id="1" w:name="ksplse20230630_10q"/>
      <w:bookmarkEnd w:id="0"/>
      <w:bookmarkEnd w:id="1"/>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w:t>
      </w:r>
      <w:r>
        <w:rPr>
          <w:rFonts w:ascii="Times New Roman" w:hAnsi="Times New Roman"/>
          <w:caps w:val="false"/>
          <w:smallCaps w:val="false"/>
          <w:sz w:val="24"/>
        </w:rPr>
        <w:t> </w:t>
      </w:r>
      <w:r>
        <w:rPr>
          <w:rFonts w:ascii="Times New Roman" w:hAnsi="Times New Roman"/>
          <w:b/>
          <w:caps w:val="false"/>
          <w:smallCaps w:val="false"/>
          <w:sz w:val="24"/>
        </w:rPr>
        <w:t>AND</w:t>
      </w:r>
      <w:r>
        <w:rPr>
          <w:rFonts w:ascii="Times New Roman" w:hAnsi="Times New Roman"/>
          <w:caps w:val="false"/>
          <w:smallCaps w:val="false"/>
          <w:sz w:val="24"/>
        </w:rPr>
        <w:t> </w:t>
      </w:r>
      <w:r>
        <w:rPr>
          <w:rFonts w:ascii="Times New Roman" w:hAnsi="Times New Roman"/>
          <w:b/>
          <w:caps w:val="false"/>
          <w:smallCaps w:val="false"/>
          <w:sz w:val="24"/>
        </w:rPr>
        <w:t>EXCHANGE</w:t>
      </w:r>
      <w:r>
        <w:rPr>
          <w:rFonts w:ascii="Times New Roman" w:hAnsi="Times New Roman"/>
          <w:caps w:val="false"/>
          <w:smallCaps w:val="false"/>
          <w:sz w:val="24"/>
        </w:rPr>
        <w:t> </w:t>
      </w:r>
      <w:r>
        <w:rPr>
          <w:rFonts w:ascii="Times New Roman" w:hAnsi="Times New Roman"/>
          <w:b/>
          <w:caps w:val="false"/>
          <w:smallCaps w:val="false"/>
          <w:sz w:val="24"/>
        </w:rPr>
        <w:t>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w:t>
      </w:r>
      <w:r>
        <w:rPr>
          <w:rFonts w:ascii="Times New Roman" w:hAnsi="Times New Roman"/>
          <w:caps w:val="false"/>
          <w:smallCaps w:val="false"/>
          <w:sz w:val="20"/>
        </w:rPr>
        <w:t> </w:t>
      </w:r>
      <w:r>
        <w:rPr>
          <w:rFonts w:ascii="Times New Roman" w:hAnsi="Times New Roman"/>
          <w:b/>
          <w:caps w:val="false"/>
          <w:smallCaps w:val="false"/>
          <w:sz w:val="20"/>
        </w:rPr>
        <w:t>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8"/>
        </w:rPr>
      </w:pPr>
      <w:r>
        <w:rPr>
          <w:rFonts w:ascii="Times New Roman" w:hAnsi="Times New Roman"/>
          <w:b/>
          <w:caps w:val="false"/>
          <w:smallCaps w:val="false"/>
          <w:sz w:val="28"/>
        </w:rPr>
        <w:t>Form</w:t>
      </w:r>
      <w:r>
        <w:rPr>
          <w:rFonts w:ascii="Times New Roman" w:hAnsi="Times New Roman"/>
          <w:caps w:val="false"/>
          <w:smallCaps w:val="false"/>
          <w:sz w:val="28"/>
        </w:rPr>
        <w:t> </w:t>
      </w:r>
      <w:r>
        <w:rPr>
          <w:rFonts w:ascii="Times New Roman" w:hAnsi="Times New Roman"/>
          <w:b/>
          <w:caps w:val="false"/>
          <w:smallCaps w:val="false"/>
          <w:sz w:val="28"/>
        </w:rPr>
        <w:t>10-Q</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w:t>
      </w:r>
      <w:r>
        <w:rPr>
          <w:rFonts w:ascii="Times New Roman" w:hAnsi="Times New Roman"/>
          <w:caps w:val="false"/>
          <w:smallCaps w:val="false"/>
          <w:sz w:val="20"/>
        </w:rPr>
        <w:t xml:space="preserve"> </w:t>
      </w:r>
      <w:r>
        <w:rPr>
          <w:rFonts w:ascii="Times New Roman" w:hAnsi="Times New Roman"/>
          <w:b/>
          <w:caps w:val="false"/>
          <w:smallCaps w:val="false"/>
          <w:sz w:val="20"/>
        </w:rPr>
        <w:t>June 30,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transition period from</w:t>
      </w:r>
      <w:r>
        <w:rPr>
          <w:rFonts w:ascii="Times New Roman" w:hAnsi="Times New Roman"/>
          <w:caps w:val="false"/>
          <w:smallCaps w:val="false"/>
          <w:sz w:val="20"/>
        </w:rPr>
        <w:t xml:space="preserve">             </w:t>
      </w:r>
      <w:r>
        <w:rPr>
          <w:rFonts w:ascii="Times New Roman" w:hAnsi="Times New Roman"/>
          <w:b/>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001-34899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Pulse</w:t>
      </w:r>
      <w:r>
        <w:rPr>
          <w:rFonts w:ascii="Times New Roman" w:hAnsi="Times New Roman"/>
          <w:caps w:val="false"/>
          <w:smallCaps w:val="false"/>
          <w:sz w:val="36"/>
        </w:rPr>
        <w:t> </w:t>
      </w:r>
      <w:r>
        <w:rPr>
          <w:rFonts w:ascii="Times New Roman" w:hAnsi="Times New Roman"/>
          <w:b/>
          <w:caps w:val="false"/>
          <w:smallCaps w:val="false"/>
          <w:sz w:val="36"/>
        </w:rPr>
        <w:t>Biosciences,</w:t>
      </w:r>
      <w:r>
        <w:rPr>
          <w:rFonts w:ascii="Times New Roman" w:hAnsi="Times New Roman"/>
          <w:caps w:val="false"/>
          <w:smallCaps w:val="false"/>
          <w:sz w:val="36"/>
        </w:rPr>
        <w:t> </w:t>
      </w:r>
      <w:r>
        <w:rPr>
          <w:rFonts w:ascii="Times New Roman" w:hAnsi="Times New Roman"/>
          <w:b/>
          <w:caps w:val="false"/>
          <w:smallCaps w:val="false"/>
          <w:sz w:val="36"/>
        </w:rPr>
        <w:t>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3275"/>
        <w:gridCol w:w="1550"/>
      </w:tblGrid>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46-5696597</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(State or other jurisdiction of</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(I.R.S. Employer</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Identification No.)</w:t>
            </w:r>
          </w:p>
        </w:tc>
      </w:tr>
      <w:tr>
        <w:trPr/>
        <w:tc>
          <w:tcPr>
            <w:tcW w:w="327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3957 Point Eden Way</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Hayward, CA</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94545</w:t>
            </w:r>
          </w:p>
        </w:tc>
      </w:tr>
      <w:tr>
        <w:trPr/>
        <w:tc>
          <w:tcPr>
            <w:tcW w:w="32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(510)</w:t>
      </w:r>
      <w:r>
        <w:rPr>
          <w:rFonts w:ascii="Times New Roman" w:hAnsi="Times New Roman"/>
          <w:caps w:val="false"/>
          <w:smallCaps w:val="false"/>
          <w:sz w:val="20"/>
        </w:rPr>
        <w:t> </w:t>
      </w:r>
      <w:r>
        <w:rPr>
          <w:rFonts w:ascii="Times New Roman" w:hAnsi="Times New Roman"/>
          <w:b/>
          <w:caps w:val="false"/>
          <w:smallCaps w:val="false"/>
          <w:sz w:val="20"/>
        </w:rPr>
        <w:t>906-4600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75" w:type="dxa"/>
        <w:jc w:val="left"/>
        <w:tblInd w:w="0" w:type="dxa"/>
        <w:tblLayout w:type="fixed"/>
        <w:tblCellMar>
          <w:top w:w="0" w:type="dxa"/>
          <w:left w:w="0" w:type="dxa"/>
          <w:bottom w:w="0" w:type="dxa"/>
          <w:right w:w="0" w:type="dxa"/>
        </w:tblCellMar>
      </w:tblPr>
      <w:tblGrid>
        <w:gridCol w:w="3665"/>
        <w:gridCol w:w="1535"/>
        <w:gridCol w:w="3575"/>
      </w:tblGrid>
      <w:tr>
        <w:trPr/>
        <w:tc>
          <w:tcPr>
            <w:tcW w:w="3665"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36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6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 par value $0.001 per share</w:t>
            </w:r>
          </w:p>
        </w:tc>
        <w:tc>
          <w:tcPr>
            <w:tcW w:w="15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PLSE</w:t>
            </w:r>
          </w:p>
        </w:tc>
        <w:tc>
          <w:tcPr>
            <w:tcW w:w="357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1955"/>
        <w:gridCol w:w="290"/>
        <w:gridCol w:w="2360"/>
        <w:gridCol w:w="230"/>
      </w:tblGrid>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90"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5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number of shares outstanding of the registrant’s common stock as of July 31, 2023: 54,902,942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560"/>
      </w:tblGrid>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br/>
              <w:t> </w:t>
            </w:r>
            <w:r>
              <w:rPr>
                <w:rFonts w:ascii="Times New Roman" w:hAnsi="Times New Roman"/>
                <w:b/>
                <w:caps w:val="false"/>
                <w:smallCaps w:val="false"/>
                <w:sz w:val="20"/>
              </w:rPr>
              <w:t>No.</w:t>
            </w:r>
          </w:p>
        </w:tc>
      </w:tr>
      <w:tr>
        <w:trPr/>
        <w:tc>
          <w:tcPr>
            <w:tcW w:w="10205" w:type="dxa"/>
            <w:gridSpan w:val="2"/>
            <w:tcBorders/>
            <w:vAlign w:val="center"/>
          </w:tcPr>
          <w:p>
            <w:pPr>
              <w:pStyle w:val="TableContents"/>
              <w:bidi w:val="0"/>
              <w:spacing w:before="0" w:after="0"/>
              <w:ind w:left="0" w:right="0" w:hanging="0"/>
              <w:jc w:val="center"/>
              <w:rPr/>
            </w:pPr>
            <w:hyperlink w:anchor="Part1">
              <w:r>
                <w:rPr>
                  <w:rStyle w:val="InternetLink"/>
                  <w:rFonts w:ascii="Times New Roman" w:hAnsi="Times New Roman"/>
                  <w:b/>
                  <w:caps w:val="false"/>
                  <w:smallCaps w:val="false"/>
                  <w:sz w:val="20"/>
                </w:rPr>
                <w:t>PART I. FINANCIAL INFORMATION</w:t>
              </w:r>
            </w:hyperlink>
          </w:p>
        </w:tc>
      </w:tr>
      <w:tr>
        <w:trPr/>
        <w:tc>
          <w:tcPr>
            <w:tcW w:w="9645"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Item 1. Financial Statements (unaudited):</w:t>
              </w:r>
            </w:hyperlink>
          </w:p>
        </w:tc>
        <w:tc>
          <w:tcPr>
            <w:tcW w:w="560" w:type="dxa"/>
            <w:tcBorders/>
            <w:vAlign w:val="center"/>
          </w:tcPr>
          <w:p>
            <w:pPr>
              <w:pStyle w:val="TableContents"/>
              <w:bidi w:val="0"/>
              <w:spacing w:before="0" w:after="0"/>
              <w:ind w:left="0" w:right="0" w:hanging="0"/>
              <w:jc w:val="right"/>
              <w:rPr/>
            </w:pPr>
            <w:hyperlink w:anchor="f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bs">
              <w:r>
                <w:rPr>
                  <w:rStyle w:val="InternetLink"/>
                  <w:rFonts w:ascii="Times New Roman" w:hAnsi="Times New Roman"/>
                  <w:caps w:val="false"/>
                  <w:smallCaps w:val="false"/>
                  <w:sz w:val="20"/>
                </w:rPr>
                <w:t>Condensed Consolidated Balance Sheets as of June 30, 2023 and December 31, 2022</w:t>
              </w:r>
            </w:hyperlink>
          </w:p>
        </w:tc>
        <w:tc>
          <w:tcPr>
            <w:tcW w:w="560"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3</w:t>
              </w:r>
            </w:hyperlink>
          </w:p>
        </w:tc>
      </w:tr>
      <w:tr>
        <w:trPr/>
        <w:tc>
          <w:tcPr>
            <w:tcW w:w="9645" w:type="dxa"/>
            <w:tcBorders/>
            <w:vAlign w:val="center"/>
          </w:tcPr>
          <w:p>
            <w:pPr>
              <w:pStyle w:val="TableContents"/>
              <w:bidi w:val="0"/>
              <w:spacing w:before="0" w:after="0"/>
              <w:ind w:left="180" w:right="0" w:hanging="0"/>
              <w:jc w:val="left"/>
              <w:rPr/>
            </w:pPr>
            <w:hyperlink w:anchor="income">
              <w:r>
                <w:rPr>
                  <w:rStyle w:val="InternetLink"/>
                  <w:rFonts w:ascii="Times New Roman" w:hAnsi="Times New Roman"/>
                  <w:caps w:val="false"/>
                  <w:smallCaps w:val="false"/>
                  <w:sz w:val="20"/>
                </w:rPr>
                <w:t>Condensed Consolidated Statements of Operations and Comprehensive Loss for the Three- and Six-Month Periods Ended June 30, 2023 and 2022</w:t>
              </w:r>
            </w:hyperlink>
          </w:p>
        </w:tc>
        <w:tc>
          <w:tcPr>
            <w:tcW w:w="560"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4</w:t>
              </w:r>
            </w:hyperlink>
          </w:p>
        </w:tc>
      </w:tr>
      <w:tr>
        <w:trPr/>
        <w:tc>
          <w:tcPr>
            <w:tcW w:w="9645" w:type="dxa"/>
            <w:tcBorders/>
            <w:vAlign w:val="center"/>
          </w:tcPr>
          <w:p>
            <w:pPr>
              <w:pStyle w:val="TableContents"/>
              <w:bidi w:val="0"/>
              <w:spacing w:before="0" w:after="0"/>
              <w:ind w:left="180" w:right="0" w:hanging="0"/>
              <w:jc w:val="left"/>
              <w:rPr/>
            </w:pPr>
            <w:hyperlink w:anchor="cashflows">
              <w:r>
                <w:rPr>
                  <w:rStyle w:val="InternetLink"/>
                  <w:rFonts w:ascii="Times New Roman" w:hAnsi="Times New Roman"/>
                  <w:caps w:val="false"/>
                  <w:smallCaps w:val="false"/>
                  <w:sz w:val="20"/>
                </w:rPr>
                <w:t>Condensed Consolidated Statements of Cash Flows for the Six-Month Periods Ended June 30, 2023 and 2022</w:t>
              </w:r>
            </w:hyperlink>
          </w:p>
        </w:tc>
        <w:tc>
          <w:tcPr>
            <w:tcW w:w="560" w:type="dxa"/>
            <w:tcBorders/>
            <w:vAlign w:val="center"/>
          </w:tcPr>
          <w:p>
            <w:pPr>
              <w:pStyle w:val="TableContents"/>
              <w:bidi w:val="0"/>
              <w:spacing w:before="0" w:after="0"/>
              <w:ind w:left="0" w:right="0" w:hanging="0"/>
              <w:jc w:val="right"/>
              <w:rPr/>
            </w:pPr>
            <w:hyperlink w:anchor="cashflows">
              <w:r>
                <w:rPr>
                  <w:rStyle w:val="InternetLink"/>
                  <w:rFonts w:ascii="Times New Roman" w:hAnsi="Times New Roman"/>
                  <w:caps w:val="false"/>
                  <w:smallCaps w:val="false"/>
                  <w:sz w:val="20"/>
                </w:rPr>
                <w:t>5</w:t>
              </w:r>
            </w:hyperlink>
          </w:p>
        </w:tc>
      </w:tr>
      <w:tr>
        <w:trPr/>
        <w:tc>
          <w:tcPr>
            <w:tcW w:w="9645" w:type="dxa"/>
            <w:tcBorders/>
            <w:vAlign w:val="center"/>
          </w:tcPr>
          <w:p>
            <w:pPr>
              <w:pStyle w:val="TableContents"/>
              <w:bidi w:val="0"/>
              <w:spacing w:before="0" w:after="0"/>
              <w:ind w:left="200" w:right="0" w:hanging="0"/>
              <w:jc w:val="left"/>
              <w:rPr/>
            </w:pPr>
            <w:hyperlink w:anchor="equity">
              <w:r>
                <w:rPr>
                  <w:rStyle w:val="InternetLink"/>
                  <w:rFonts w:ascii="Times New Roman" w:hAnsi="Times New Roman"/>
                  <w:caps w:val="false"/>
                  <w:smallCaps w:val="false"/>
                  <w:sz w:val="20"/>
                </w:rPr>
                <w:t>Condensed Consolidated Statements of Stockholders’ Equity for the Three- and Six-Month Periods Ended June 30, 2023 and 2022</w:t>
              </w:r>
            </w:hyperlink>
          </w:p>
        </w:tc>
        <w:tc>
          <w:tcPr>
            <w:tcW w:w="56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6</w:t>
              </w:r>
            </w:hyperlink>
          </w:p>
        </w:tc>
      </w:tr>
      <w:tr>
        <w:trPr/>
        <w:tc>
          <w:tcPr>
            <w:tcW w:w="9645" w:type="dxa"/>
            <w:tcBorders/>
            <w:vAlign w:val="center"/>
          </w:tcPr>
          <w:p>
            <w:pPr>
              <w:pStyle w:val="TableContents"/>
              <w:bidi w:val="0"/>
              <w:spacing w:before="0" w:after="0"/>
              <w:ind w:left="200" w:right="0" w:hanging="0"/>
              <w:jc w:val="left"/>
              <w:rPr/>
            </w:pPr>
            <w:hyperlink w:anchor="notes">
              <w:r>
                <w:rPr>
                  <w:rStyle w:val="InternetLink"/>
                  <w:rFonts w:ascii="Times New Roman" w:hAnsi="Times New Roman"/>
                  <w:caps w:val="false"/>
                  <w:smallCaps w:val="false"/>
                  <w:sz w:val="20"/>
                </w:rPr>
                <w:t>Notes to Condensed Consolidated Financial Statements</w:t>
              </w:r>
            </w:hyperlink>
          </w:p>
        </w:tc>
        <w:tc>
          <w:tcPr>
            <w:tcW w:w="56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7</w:t>
              </w:r>
            </w:hyperlink>
          </w:p>
        </w:tc>
      </w:tr>
      <w:tr>
        <w:trPr/>
        <w:tc>
          <w:tcPr>
            <w:tcW w:w="9645"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Item 2. Management’s Discussion and Analysis of Financial Condition and Results of Operations</w:t>
              </w:r>
            </w:hyperlink>
          </w:p>
        </w:tc>
        <w:tc>
          <w:tcPr>
            <w:tcW w:w="560"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22</w:t>
              </w:r>
            </w:hyperlink>
          </w:p>
        </w:tc>
      </w:tr>
      <w:tr>
        <w:trPr/>
        <w:tc>
          <w:tcPr>
            <w:tcW w:w="9645"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caps w:val="false"/>
                  <w:smallCaps w:val="false"/>
                  <w:sz w:val="20"/>
                </w:rPr>
                <w:t>Item 3. Quantitative and Qualitative Disclosures About Market Risk</w:t>
              </w:r>
            </w:hyperlink>
          </w:p>
        </w:tc>
        <w:tc>
          <w:tcPr>
            <w:tcW w:w="560" w:type="dxa"/>
            <w:tcBorders/>
            <w:vAlign w:val="center"/>
          </w:tcPr>
          <w:p>
            <w:pPr>
              <w:pStyle w:val="TableContents"/>
              <w:bidi w:val="0"/>
              <w:spacing w:before="0" w:after="0"/>
              <w:ind w:left="0" w:right="0" w:hanging="0"/>
              <w:jc w:val="right"/>
              <w:rPr/>
            </w:pPr>
            <w:hyperlink w:anchor="item3">
              <w:r>
                <w:rPr>
                  <w:rStyle w:val="InternetLink"/>
                  <w:rFonts w:ascii="Times New Roman" w:hAnsi="Times New Roman"/>
                  <w:caps w:val="false"/>
                  <w:smallCaps w:val="false"/>
                  <w:sz w:val="20"/>
                </w:rPr>
                <w:t>32</w:t>
              </w:r>
            </w:hyperlink>
          </w:p>
        </w:tc>
      </w:tr>
      <w:tr>
        <w:trPr/>
        <w:tc>
          <w:tcPr>
            <w:tcW w:w="9645"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caps w:val="false"/>
                  <w:smallCaps w:val="false"/>
                  <w:sz w:val="20"/>
                </w:rPr>
                <w:t>Item 4. Controls and Procedures</w:t>
              </w:r>
            </w:hyperlink>
          </w:p>
        </w:tc>
        <w:tc>
          <w:tcPr>
            <w:tcW w:w="560" w:type="dxa"/>
            <w:tcBorders/>
            <w:vAlign w:val="center"/>
          </w:tcPr>
          <w:p>
            <w:pPr>
              <w:pStyle w:val="TableContents"/>
              <w:bidi w:val="0"/>
              <w:spacing w:before="0" w:after="0"/>
              <w:ind w:left="0" w:right="0" w:hanging="0"/>
              <w:jc w:val="right"/>
              <w:rPr/>
            </w:pPr>
            <w:hyperlink w:anchor="item4">
              <w:r>
                <w:rPr>
                  <w:rStyle w:val="InternetLink"/>
                  <w:rFonts w:ascii="Times New Roman" w:hAnsi="Times New Roman"/>
                  <w:caps w:val="false"/>
                  <w:smallCaps w:val="false"/>
                  <w:sz w:val="20"/>
                </w:rPr>
                <w:t>32</w:t>
              </w:r>
            </w:hyperlink>
          </w:p>
        </w:tc>
      </w:tr>
      <w:tr>
        <w:trPr/>
        <w:tc>
          <w:tcPr>
            <w:tcW w:w="9645"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0"/>
              <w:ind w:left="0" w:right="0" w:hanging="0"/>
              <w:jc w:val="center"/>
              <w:rPr/>
            </w:pPr>
            <w:hyperlink w:anchor="part2">
              <w:r>
                <w:rPr>
                  <w:rStyle w:val="InternetLink"/>
                  <w:rFonts w:ascii="Times New Roman" w:hAnsi="Times New Roman"/>
                  <w:b/>
                  <w:caps w:val="false"/>
                  <w:smallCaps w:val="false"/>
                  <w:sz w:val="20"/>
                </w:rPr>
                <w:t>PART II. OTHER INFORMATION</w:t>
              </w:r>
            </w:hyperlink>
          </w:p>
        </w:tc>
      </w:tr>
      <w:tr>
        <w:trPr/>
        <w:tc>
          <w:tcPr>
            <w:tcW w:w="9645"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Item 1. Legal Proceedings</w:t>
              </w:r>
            </w:hyperlink>
          </w:p>
        </w:tc>
        <w:tc>
          <w:tcPr>
            <w:tcW w:w="560"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33</w:t>
              </w:r>
            </w:hyperlink>
          </w:p>
        </w:tc>
      </w:tr>
      <w:tr>
        <w:trPr/>
        <w:tc>
          <w:tcPr>
            <w:tcW w:w="9645"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Item 1A. Risk Factors</w:t>
              </w:r>
            </w:hyperlink>
          </w:p>
        </w:tc>
        <w:tc>
          <w:tcPr>
            <w:tcW w:w="560"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33</w:t>
              </w:r>
            </w:hyperlink>
          </w:p>
        </w:tc>
      </w:tr>
      <w:tr>
        <w:trPr/>
        <w:tc>
          <w:tcPr>
            <w:tcW w:w="9645"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Item 2. Unregistered Sales of Equity Securities and Use of Proceeds</w:t>
              </w:r>
            </w:hyperlink>
          </w:p>
        </w:tc>
        <w:tc>
          <w:tcPr>
            <w:tcW w:w="560"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default">
              <w:r>
                <w:rPr>
                  <w:rStyle w:val="InternetLink"/>
                  <w:rFonts w:ascii="Times New Roman" w:hAnsi="Times New Roman"/>
                  <w:caps w:val="false"/>
                  <w:smallCaps w:val="false"/>
                  <w:sz w:val="20"/>
                </w:rPr>
                <w:t>Item 3. Default Upon Senior Securities</w:t>
              </w:r>
            </w:hyperlink>
          </w:p>
        </w:tc>
        <w:tc>
          <w:tcPr>
            <w:tcW w:w="560" w:type="dxa"/>
            <w:tcBorders/>
            <w:vAlign w:val="center"/>
          </w:tcPr>
          <w:p>
            <w:pPr>
              <w:pStyle w:val="TableContents"/>
              <w:bidi w:val="0"/>
              <w:spacing w:before="0" w:after="0"/>
              <w:ind w:left="0" w:right="0" w:hanging="0"/>
              <w:jc w:val="right"/>
              <w:rPr/>
            </w:pPr>
            <w:hyperlink w:anchor="default">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Item 4. Mine Safety Disclosures</w:t>
              </w:r>
            </w:hyperlink>
          </w:p>
        </w:tc>
        <w:tc>
          <w:tcPr>
            <w:tcW w:w="560"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otherinfo">
              <w:r>
                <w:rPr>
                  <w:rStyle w:val="InternetLink"/>
                  <w:rFonts w:ascii="Times New Roman" w:hAnsi="Times New Roman"/>
                  <w:caps w:val="false"/>
                  <w:smallCaps w:val="false"/>
                  <w:sz w:val="20"/>
                </w:rPr>
                <w:t>Item 5. Other Information</w:t>
              </w:r>
            </w:hyperlink>
          </w:p>
        </w:tc>
        <w:tc>
          <w:tcPr>
            <w:tcW w:w="560" w:type="dxa"/>
            <w:tcBorders/>
            <w:vAlign w:val="center"/>
          </w:tcPr>
          <w:p>
            <w:pPr>
              <w:pStyle w:val="TableContents"/>
              <w:bidi w:val="0"/>
              <w:spacing w:before="0" w:after="0"/>
              <w:ind w:left="0" w:right="0" w:hanging="0"/>
              <w:jc w:val="right"/>
              <w:rPr/>
            </w:pPr>
            <w:hyperlink w:anchor="otherinfo">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Item 6. Exhibits</w:t>
              </w:r>
            </w:hyperlink>
          </w:p>
        </w:tc>
        <w:tc>
          <w:tcPr>
            <w:tcW w:w="560"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62</w:t>
              </w:r>
            </w:hyperlink>
          </w:p>
        </w:tc>
      </w:tr>
      <w:tr>
        <w:trPr/>
        <w:tc>
          <w:tcPr>
            <w:tcW w:w="9645" w:type="dxa"/>
            <w:tcBorders/>
            <w:vAlign w:val="center"/>
          </w:tcPr>
          <w:p>
            <w:pPr>
              <w:pStyle w:val="TableContents"/>
              <w:bidi w:val="0"/>
              <w:spacing w:before="0" w:after="0"/>
              <w:ind w:left="0" w:right="0" w:hanging="0"/>
              <w:jc w:val="left"/>
              <w:rPr/>
            </w:pPr>
            <w:hyperlink w:anchor="signatures">
              <w:r>
                <w:rPr>
                  <w:rStyle w:val="InternetLink"/>
                  <w:rFonts w:ascii="Times New Roman" w:hAnsi="Times New Roman"/>
                  <w:caps w:val="false"/>
                  <w:smallCaps w:val="false"/>
                  <w:sz w:val="20"/>
                </w:rPr>
                <w:t>Signatures</w:t>
              </w:r>
            </w:hyperlink>
          </w:p>
        </w:tc>
        <w:tc>
          <w:tcPr>
            <w:tcW w:w="56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63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caps w:val="false"/>
          <w:smallCaps w:val="false"/>
        </w:rPr>
      </w:pPr>
      <w:r>
        <w:rPr>
          <w:caps w:val="false"/>
          <w:smallCaps w:val="false"/>
        </w:rPr>
        <w:t>“</w:t>
      </w:r>
      <w:r>
        <w:rPr>
          <w:rFonts w:ascii="Times New Roman" w:hAnsi="Times New Roman"/>
          <w:caps w:val="false"/>
          <w:smallCaps w:val="false"/>
          <w:sz w:val="20"/>
        </w:rPr>
        <w:t>Pulse Biosciences,” the Pulse logos and other trademarks or service marks that we use in connection with the operation of our business appearing in this quarterly report on Form 10-Q (this “Quarterly Report”), including CellFX, CellFX CloudConnect, CellFX Marketplace, Nano-pulse Stimulation, nsPFA, and NPS, are the property of Pulse Biosciences, Inc. Solely for your convenience, some of our trademarks and trade names referred to in this Quarterly Report are listed without the ® and TM symbols, but we will assert, to the fullest extent under applicable law, our rights to our trademarks and trade names. Also, this Quarterly Report may contain additional trade names, trademarks or service marks of others, which are the property of their respective owners. We do not intend our use or display of any other company’s trade names, trademarks or service marks to imply a relationship with, or endorsement or sponsorship of us by, any of these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Unless expressly indicated or the context requires otherwise, the terms “Pulse,” “Company,” “we,” “us,” and “our,” in this document refer to Pulse Biosciences, Inc., a Delaware corporation, and, where appropriate, its wholly owned subsidiaries.</w:t>
      </w:r>
    </w:p>
    <w:p>
      <w:pPr>
        <w:pStyle w:val="TextBody"/>
        <w:bidi w:val="0"/>
        <w:spacing w:before="0" w:after="283"/>
        <w:jc w:val="left"/>
        <w:rPr/>
      </w:pPr>
      <w:r>
        <w:rPr/>
        <w:t xml:space="preserv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3" w:name="Part1"/>
      <w:bookmarkEnd w:id="3"/>
      <w:r>
        <w:rPr>
          <w:rFonts w:ascii="Times New Roman" w:hAnsi="Times New Roman"/>
          <w:b/>
          <w:caps w:val="false"/>
          <w:smallCaps w:val="false"/>
          <w:sz w:val="20"/>
        </w:rPr>
        <w:t>PART I.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4" w:name="fs"/>
      <w:bookmarkEnd w:id="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5" w:name="bs"/>
      <w:bookmarkEnd w:id="5"/>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32"/>
        <w:gridCol w:w="60"/>
        <w:gridCol w:w="125"/>
        <w:gridCol w:w="755"/>
        <w:gridCol w:w="80"/>
        <w:gridCol w:w="60"/>
        <w:gridCol w:w="143"/>
        <w:gridCol w:w="869"/>
        <w:gridCol w:w="81"/>
      </w:tblGrid>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59,958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62,147</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1,961</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2,791</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8,062</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77,877</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1,573</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Lease liability,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Related party note payable,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917</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5,981</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liability, 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Related party note payable, less current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65,000</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80,125</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6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69"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$0.001 par value; authorized – 50,000 shares; no shares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$0.001 par value; authorized – 500,000 shares; issued and outstanding – 54,771 shares and 37,235 shares at June 30, 2023 and December 31, 2022,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6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292,420</w:t>
            </w:r>
          </w:p>
        </w:tc>
        <w:tc>
          <w:tcPr>
            <w:tcW w:w="81" w:type="dxa"/>
            <w:tcBorders/>
            <w:shd w:fill="CCEEFF" w:val="clear"/>
            <w:vAlign w:val="center"/>
          </w:tcPr>
          <w:p>
            <w:pPr>
              <w:pStyle w:val="TableContents"/>
              <w:bidi w:val="0"/>
              <w:spacing w:before="0" w:after="283"/>
              <w:jc w:val="left"/>
              <w:rPr/>
            </w:pPr>
            <w:r>
              <w:rPr/>
              <w:t> </w:t>
            </w:r>
          </w:p>
        </w:tc>
      </w:tr>
      <w:tr>
        <w:trPr/>
        <w:tc>
          <w:tcPr>
            <w:tcW w:w="803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 (loss)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69" w:type="dxa"/>
            <w:tcBorders/>
            <w:shd w:fill="FFFFFF" w:val="clear"/>
            <w:vAlign w:val="center"/>
          </w:tcPr>
          <w:p>
            <w:pPr>
              <w:pStyle w:val="TableContents"/>
              <w:bidi w:val="0"/>
              <w:spacing w:before="0" w:after="283"/>
              <w:ind w:left="0" w:right="0" w:hanging="0"/>
              <w:jc w:val="right"/>
              <w:rPr/>
            </w:pPr>
            <w:r>
              <w:rPr/>
              <w:t>—</w:t>
            </w:r>
          </w:p>
        </w:tc>
        <w:tc>
          <w:tcPr>
            <w:tcW w:w="81" w:type="dxa"/>
            <w:tcBorders/>
            <w:shd w:fill="FFFFFF" w:val="clear"/>
            <w:vAlign w:val="center"/>
          </w:tcPr>
          <w:p>
            <w:pPr>
              <w:pStyle w:val="TableContents"/>
              <w:bidi w:val="0"/>
              <w:spacing w:before="0" w:after="283"/>
              <w:jc w:val="left"/>
              <w:rPr/>
            </w:pPr>
            <w:r>
              <w:rPr/>
              <w:t> </w:t>
            </w:r>
          </w:p>
        </w:tc>
      </w:tr>
      <w:tr>
        <w:trPr/>
        <w:tc>
          <w:tcPr>
            <w:tcW w:w="803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(314,416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(294,705</w:t>
            </w:r>
          </w:p>
        </w:tc>
        <w:tc>
          <w:tcPr>
            <w:tcW w:w="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03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(2,248</w:t>
            </w:r>
          </w:p>
        </w:tc>
        <w:tc>
          <w:tcPr>
            <w:tcW w:w="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803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74,757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77,877</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6" w:name="income"/>
      <w:bookmarkEnd w:id="6"/>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 and Comprehensive Loss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 except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541"/>
        <w:gridCol w:w="60"/>
        <w:gridCol w:w="167"/>
        <w:gridCol w:w="871"/>
        <w:gridCol w:w="106"/>
        <w:gridCol w:w="80"/>
        <w:gridCol w:w="167"/>
        <w:gridCol w:w="871"/>
        <w:gridCol w:w="80"/>
        <w:gridCol w:w="60"/>
        <w:gridCol w:w="156"/>
        <w:gridCol w:w="814"/>
        <w:gridCol w:w="99"/>
        <w:gridCol w:w="74"/>
        <w:gridCol w:w="156"/>
        <w:gridCol w:w="814"/>
        <w:gridCol w:w="89"/>
      </w:tblGrid>
      <w:tr>
        <w:trPr/>
        <w:tc>
          <w:tcPr>
            <w:tcW w:w="5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6,697</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12,526</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12,227</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1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9,231</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3,530</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7,263</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8,285</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10,227</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19,789</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31,996</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(10,227</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(19,789</w:t>
            </w:r>
          </w:p>
        </w:tc>
        <w:tc>
          <w:tcPr>
            <w:tcW w:w="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(31,287</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4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10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1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gain (loss):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r>
      <w:tr>
        <w:trPr/>
        <w:tc>
          <w:tcPr>
            <w:tcW w:w="554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on available-for-sale securities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 per share: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r>
      <w:tr>
        <w:trPr/>
        <w:tc>
          <w:tcPr>
            <w:tcW w:w="554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and diluted 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(0.22</w:t>
            </w:r>
          </w:p>
        </w:tc>
        <w:tc>
          <w:tcPr>
            <w:tcW w:w="10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(0.48</w:t>
            </w:r>
          </w:p>
        </w:tc>
        <w:tc>
          <w:tcPr>
            <w:tcW w:w="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4" w:type="dxa"/>
            <w:tcBorders/>
            <w:shd w:fill="CCEEFF" w:val="clear"/>
            <w:vAlign w:val="center"/>
          </w:tcPr>
          <w:p>
            <w:pPr>
              <w:pStyle w:val="TableContents"/>
              <w:bidi w:val="0"/>
              <w:spacing w:before="0" w:after="283"/>
              <w:ind w:left="0" w:right="0" w:hanging="0"/>
              <w:jc w:val="left"/>
              <w:rPr/>
            </w:pPr>
            <w:r>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1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8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54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shares used to compute net loss per common share — basic and diluted</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44,512</w:t>
            </w:r>
          </w:p>
        </w:tc>
        <w:tc>
          <w:tcPr>
            <w:tcW w:w="10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40,970</w:t>
            </w:r>
          </w:p>
        </w:tc>
        <w:tc>
          <w:tcPr>
            <w:tcW w:w="99"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30,623</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72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cashflows"/>
      <w:bookmarkEnd w:id="7"/>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9597" w:type="dxa"/>
        <w:jc w:val="left"/>
        <w:tblInd w:w="0" w:type="dxa"/>
        <w:tblLayout w:type="fixed"/>
        <w:tblCellMar>
          <w:top w:w="0" w:type="dxa"/>
          <w:left w:w="0" w:type="dxa"/>
          <w:bottom w:w="0" w:type="dxa"/>
          <w:right w:w="0" w:type="dxa"/>
        </w:tblCellMar>
      </w:tblPr>
      <w:tblGrid>
        <w:gridCol w:w="7160"/>
        <w:gridCol w:w="60"/>
        <w:gridCol w:w="170"/>
        <w:gridCol w:w="884"/>
        <w:gridCol w:w="108"/>
        <w:gridCol w:w="81"/>
        <w:gridCol w:w="170"/>
        <w:gridCol w:w="884"/>
        <w:gridCol w:w="80"/>
      </w:tblGrid>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347</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Inventory</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1,112</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Other receivables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352</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(421</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CCEE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interest on related party note payable</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1,077</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360" w:right="0" w:firstLine="180"/>
              <w:jc w:val="left"/>
              <w:rPr>
                <w:rFonts w:ascii="Times New Roman" w:hAnsi="Times New Roman"/>
                <w:caps w:val="false"/>
                <w:smallCaps w:val="false"/>
                <w:sz w:val="20"/>
              </w:rPr>
            </w:pPr>
            <w:r>
              <w:rPr>
                <w:rFonts w:ascii="Times New Roman" w:hAnsi="Times New Roman"/>
                <w:caps w:val="false"/>
                <w:smallCaps w:val="false"/>
                <w:sz w:val="20"/>
              </w:rPr>
              <w:t>Accrued interest on note payable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54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(15,772</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FFFFFF" w:val="clear"/>
            <w:vAlign w:val="center"/>
          </w:tcPr>
          <w:p>
            <w:pPr>
              <w:pStyle w:val="TableContents"/>
              <w:bidi w:val="0"/>
              <w:spacing w:before="0" w:after="0"/>
              <w:ind w:left="540" w:right="0" w:firstLine="36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under employee stock purchase plan</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14,963</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Proceeds from exercises of warrants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14,835</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exercises of stock options</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Payments made on insurance loan agreement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Issuance cost in relation to related party note extinguishment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Payments made on related party note</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(1,745</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14,898</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(2,392</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61,139</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28,614</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58,747</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14,798</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of 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Principal and accrued interest of related party note settled via issuance of common stock</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65,248</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Equipment purchases included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10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7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Other receivable from issuance of common stock</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80" w:type="dxa"/>
            <w:tcBorders/>
            <w:shd w:fill="CCEEFF" w:val="clear"/>
            <w:vAlign w:val="center"/>
          </w:tcPr>
          <w:p>
            <w:pPr>
              <w:pStyle w:val="TableContents"/>
              <w:bidi w:val="0"/>
              <w:spacing w:before="0" w:after="283"/>
              <w:jc w:val="left"/>
              <w:rPr/>
            </w:pPr>
            <w:r>
              <w:rPr/>
              <w:t> </w:t>
            </w:r>
          </w:p>
        </w:tc>
      </w:tr>
      <w:tr>
        <w:trPr/>
        <w:tc>
          <w:tcPr>
            <w:tcW w:w="7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costs in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equity"/>
      <w:bookmarkEnd w:id="8"/>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(Deficit) 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83"/>
        <w:gridCol w:w="60"/>
        <w:gridCol w:w="62"/>
        <w:gridCol w:w="616"/>
        <w:gridCol w:w="62"/>
        <w:gridCol w:w="62"/>
        <w:gridCol w:w="225"/>
        <w:gridCol w:w="470"/>
        <w:gridCol w:w="60"/>
        <w:gridCol w:w="60"/>
        <w:gridCol w:w="140"/>
        <w:gridCol w:w="780"/>
        <w:gridCol w:w="60"/>
        <w:gridCol w:w="60"/>
        <w:gridCol w:w="540"/>
        <w:gridCol w:w="911"/>
        <w:gridCol w:w="60"/>
        <w:gridCol w:w="60"/>
        <w:gridCol w:w="160"/>
        <w:gridCol w:w="970"/>
        <w:gridCol w:w="80"/>
        <w:gridCol w:w="60"/>
        <w:gridCol w:w="189"/>
        <w:gridCol w:w="991"/>
        <w:gridCol w:w="84"/>
      </w:tblGrid>
      <w:tr>
        <w:trPr/>
        <w:tc>
          <w:tcPr>
            <w:tcW w:w="3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616"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 Other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84" w:type="dxa"/>
            <w:tcBorders/>
            <w:vAlign w:val="center"/>
          </w:tcPr>
          <w:p>
            <w:pPr>
              <w:pStyle w:val="TableContents"/>
              <w:bidi w:val="0"/>
              <w:spacing w:before="0" w:after="283"/>
              <w:jc w:val="left"/>
              <w:rPr/>
            </w:pPr>
            <w:r>
              <w:rPr/>
              <w:t> </w:t>
            </w:r>
          </w:p>
        </w:tc>
      </w:tr>
      <w:tr>
        <w:trPr/>
        <w:tc>
          <w:tcPr>
            <w:tcW w:w="3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1"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Comprehensive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Stockholders’</w:t>
            </w:r>
          </w:p>
        </w:tc>
        <w:tc>
          <w:tcPr>
            <w:tcW w:w="84" w:type="dxa"/>
            <w:tcBorders/>
            <w:vAlign w:val="center"/>
          </w:tcPr>
          <w:p>
            <w:pPr>
              <w:pStyle w:val="TableContents"/>
              <w:bidi w:val="0"/>
              <w:spacing w:before="0" w:after="283"/>
              <w:jc w:val="left"/>
              <w:rPr/>
            </w:pPr>
            <w:r>
              <w:rPr/>
              <w:t> </w:t>
            </w:r>
          </w:p>
        </w:tc>
      </w:tr>
      <w:tr>
        <w:trPr/>
        <w:tc>
          <w:tcPr>
            <w:tcW w:w="33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6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 Equity</w:t>
            </w:r>
          </w:p>
        </w:tc>
        <w:tc>
          <w:tcPr>
            <w:tcW w:w="84" w:type="dxa"/>
            <w:tcBorders/>
            <w:vAlign w:val="center"/>
          </w:tcPr>
          <w:p>
            <w:pPr>
              <w:pStyle w:val="TableContents"/>
              <w:bidi w:val="0"/>
              <w:spacing w:before="0" w:after="283"/>
              <w:jc w:val="left"/>
              <w:rPr/>
            </w:pPr>
            <w:r>
              <w:rPr/>
              <w:t> </w:t>
            </w:r>
          </w:p>
        </w:tc>
      </w:tr>
      <w:tr>
        <w:trPr/>
        <w:tc>
          <w:tcPr>
            <w:tcW w:w="33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2023</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37,593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293,801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(304,506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(10,667</w:t>
            </w:r>
          </w:p>
        </w:tc>
        <w:tc>
          <w:tcPr>
            <w:tcW w:w="8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r>
      <w:tr>
        <w:trPr/>
        <w:tc>
          <w:tcPr>
            <w:tcW w:w="3383"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common stock as part of debt extinguishment, net of issuance costs of $6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10,023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65,246</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383"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upon exercise of warrants, net of issuance costs of $10</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7,142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14,630</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3383"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ind w:left="0" w:right="0" w:hanging="0"/>
              <w:jc w:val="left"/>
              <w:rPr/>
            </w:pPr>
            <w:r>
              <w:rPr/>
              <w:t> </w:t>
            </w:r>
          </w:p>
        </w:tc>
        <w:tc>
          <w:tcPr>
            <w:tcW w:w="47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0"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9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w:t>
            </w:r>
          </w:p>
        </w:tc>
        <w:tc>
          <w:tcPr>
            <w:tcW w:w="84" w:type="dxa"/>
            <w:tcBorders/>
            <w:shd w:fill="FFFFFF" w:val="clear"/>
            <w:vAlign w:val="center"/>
          </w:tcPr>
          <w:p>
            <w:pPr>
              <w:pStyle w:val="TableContents"/>
              <w:bidi w:val="0"/>
              <w:spacing w:before="0" w:after="283"/>
              <w:ind w:left="0" w:right="0" w:hanging="0"/>
              <w:jc w:val="left"/>
              <w:rPr/>
            </w:pPr>
            <w:r>
              <w:rPr/>
              <w:t> </w:t>
            </w:r>
          </w:p>
        </w:tc>
      </w:tr>
      <w:tr>
        <w:trPr/>
        <w:tc>
          <w:tcPr>
            <w:tcW w:w="3383"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6"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ind w:left="0" w:right="0" w:hanging="0"/>
              <w:jc w:val="left"/>
              <w:rPr/>
            </w:pPr>
            <w:r>
              <w:rPr/>
              <w:t> </w:t>
            </w:r>
          </w:p>
        </w:tc>
        <w:tc>
          <w:tcPr>
            <w:tcW w:w="47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0"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9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w:t>
            </w:r>
          </w:p>
        </w:tc>
        <w:tc>
          <w:tcPr>
            <w:tcW w:w="84" w:type="dxa"/>
            <w:tcBorders/>
            <w:shd w:fill="CCEEFF" w:val="clear"/>
            <w:vAlign w:val="center"/>
          </w:tcPr>
          <w:p>
            <w:pPr>
              <w:pStyle w:val="TableContents"/>
              <w:bidi w:val="0"/>
              <w:spacing w:before="0" w:after="283"/>
              <w:ind w:left="0" w:right="0" w:hanging="0"/>
              <w:jc w:val="left"/>
              <w:rPr/>
            </w:pPr>
            <w:r>
              <w:rPr/>
              <w:t> </w:t>
            </w:r>
          </w:p>
        </w:tc>
      </w:tr>
      <w:tr>
        <w:trPr/>
        <w:tc>
          <w:tcPr>
            <w:tcW w:w="3383"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8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2023</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54,771</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(314,416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60,500</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71"/>
        <w:gridCol w:w="60"/>
        <w:gridCol w:w="62"/>
        <w:gridCol w:w="612"/>
        <w:gridCol w:w="62"/>
        <w:gridCol w:w="62"/>
        <w:gridCol w:w="220"/>
        <w:gridCol w:w="460"/>
        <w:gridCol w:w="60"/>
        <w:gridCol w:w="60"/>
        <w:gridCol w:w="140"/>
        <w:gridCol w:w="780"/>
        <w:gridCol w:w="60"/>
        <w:gridCol w:w="60"/>
        <w:gridCol w:w="527"/>
        <w:gridCol w:w="884"/>
        <w:gridCol w:w="60"/>
        <w:gridCol w:w="60"/>
        <w:gridCol w:w="158"/>
        <w:gridCol w:w="957"/>
        <w:gridCol w:w="80"/>
        <w:gridCol w:w="60"/>
        <w:gridCol w:w="187"/>
        <w:gridCol w:w="980"/>
        <w:gridCol w:w="83"/>
      </w:tblGrid>
      <w:tr>
        <w:trPr/>
        <w:tc>
          <w:tcPr>
            <w:tcW w:w="3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7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 Equity</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3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Balance, December 31, 2022</w:t>
            </w:r>
          </w:p>
        </w:tc>
        <w:tc>
          <w:tcPr>
            <w:tcW w:w="60" w:type="dxa"/>
            <w:tcBorders/>
            <w:shd w:fill="CCEEFF" w:val="clear"/>
            <w:vAlign w:val="center"/>
          </w:tcPr>
          <w:p>
            <w:pPr>
              <w:pStyle w:val="TableContents"/>
              <w:bidi w:val="0"/>
              <w:spacing w:before="0" w:after="0"/>
              <w:ind w:left="0" w:right="0" w:hanging="0"/>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37,235</w:t>
            </w:r>
          </w:p>
        </w:tc>
        <w:tc>
          <w:tcPr>
            <w:tcW w:w="62"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292,420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(294,705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(2,248</w:t>
            </w:r>
          </w:p>
        </w:tc>
        <w:tc>
          <w:tcPr>
            <w:tcW w:w="83"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471"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as part of debt extinguishment, net of issuance costs of $6</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10,023</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65,243</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upon exercise of warrants, net of issuance costs of $10</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7,238</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88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14,827</w:t>
            </w:r>
          </w:p>
        </w:tc>
        <w:tc>
          <w:tcPr>
            <w:tcW w:w="83" w:type="dxa"/>
            <w:tcBorders/>
            <w:shd w:fill="CCEE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under employee stock purchase plan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262</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292</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upon exercise of stock options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88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58</w:t>
            </w:r>
          </w:p>
        </w:tc>
        <w:tc>
          <w:tcPr>
            <w:tcW w:w="83" w:type="dxa"/>
            <w:tcBorders/>
            <w:shd w:fill="CCEEFF" w:val="clear"/>
            <w:vAlign w:val="center"/>
          </w:tcPr>
          <w:p>
            <w:pPr>
              <w:pStyle w:val="TableContents"/>
              <w:bidi w:val="0"/>
              <w:spacing w:before="0" w:after="283"/>
              <w:jc w:val="left"/>
              <w:rPr/>
            </w:pPr>
            <w:r>
              <w:rPr/>
              <w:t> </w:t>
            </w:r>
          </w:p>
        </w:tc>
      </w:tr>
      <w:tr>
        <w:trPr/>
        <w:tc>
          <w:tcPr>
            <w:tcW w:w="3471"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12"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w:t>
            </w:r>
          </w:p>
        </w:tc>
        <w:tc>
          <w:tcPr>
            <w:tcW w:w="83" w:type="dxa"/>
            <w:tcBorders/>
            <w:shd w:fill="FFFFFF" w:val="clear"/>
            <w:vAlign w:val="center"/>
          </w:tcPr>
          <w:p>
            <w:pPr>
              <w:pStyle w:val="TableContents"/>
              <w:bidi w:val="0"/>
              <w:spacing w:before="0" w:after="283"/>
              <w:jc w:val="left"/>
              <w:rPr/>
            </w:pPr>
            <w:r>
              <w:rPr/>
              <w:t> </w:t>
            </w:r>
          </w:p>
        </w:tc>
      </w:tr>
      <w:tr>
        <w:trPr/>
        <w:tc>
          <w:tcPr>
            <w:tcW w:w="347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83"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7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2023</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54,771</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374,861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(314,416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60,500</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0"/>
        <w:gridCol w:w="60"/>
        <w:gridCol w:w="62"/>
        <w:gridCol w:w="621"/>
        <w:gridCol w:w="62"/>
        <w:gridCol w:w="62"/>
        <w:gridCol w:w="220"/>
        <w:gridCol w:w="460"/>
        <w:gridCol w:w="60"/>
        <w:gridCol w:w="60"/>
        <w:gridCol w:w="140"/>
        <w:gridCol w:w="780"/>
        <w:gridCol w:w="60"/>
        <w:gridCol w:w="60"/>
        <w:gridCol w:w="527"/>
        <w:gridCol w:w="932"/>
        <w:gridCol w:w="60"/>
        <w:gridCol w:w="60"/>
        <w:gridCol w:w="158"/>
        <w:gridCol w:w="957"/>
        <w:gridCol w:w="80"/>
        <w:gridCol w:w="60"/>
        <w:gridCol w:w="181"/>
        <w:gridCol w:w="947"/>
        <w:gridCol w:w="86"/>
      </w:tblGrid>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March 31, 2022</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29,802</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(253,473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20,796</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shares in Rights Offering, net of issuance costs of $111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7317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14,889</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common stock pursuant to warrant exercise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2022</w:t>
            </w:r>
          </w:p>
        </w:tc>
        <w:tc>
          <w:tcPr>
            <w:tcW w:w="60" w:type="dxa"/>
            <w:tcBorders/>
            <w:shd w:fill="FFFFFF" w:val="clear"/>
            <w:vAlign w:val="center"/>
          </w:tcPr>
          <w:p>
            <w:pPr>
              <w:pStyle w:val="TableContents"/>
              <w:bidi w:val="0"/>
              <w:spacing w:before="0" w:after="283"/>
              <w:jc w:val="left"/>
              <w:rPr/>
            </w:pPr>
            <w:r>
              <w:rPr/>
              <w:t> </w:t>
            </w:r>
          </w:p>
        </w:tc>
        <w:tc>
          <w:tcPr>
            <w:tcW w:w="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37,126</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290,847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(267,469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23,415</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50"/>
        <w:gridCol w:w="60"/>
        <w:gridCol w:w="62"/>
        <w:gridCol w:w="621"/>
        <w:gridCol w:w="62"/>
        <w:gridCol w:w="62"/>
        <w:gridCol w:w="220"/>
        <w:gridCol w:w="460"/>
        <w:gridCol w:w="60"/>
        <w:gridCol w:w="60"/>
        <w:gridCol w:w="140"/>
        <w:gridCol w:w="780"/>
        <w:gridCol w:w="60"/>
        <w:gridCol w:w="60"/>
        <w:gridCol w:w="527"/>
        <w:gridCol w:w="932"/>
        <w:gridCol w:w="60"/>
        <w:gridCol w:w="60"/>
        <w:gridCol w:w="158"/>
        <w:gridCol w:w="957"/>
        <w:gridCol w:w="80"/>
        <w:gridCol w:w="60"/>
        <w:gridCol w:w="181"/>
        <w:gridCol w:w="947"/>
        <w:gridCol w:w="86"/>
      </w:tblGrid>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center"/>
              <w:rPr/>
            </w:pPr>
            <w:r>
              <w:rPr>
                <w:rStyle w:val="Emphasis"/>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Additional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Paid-in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Comprehensive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Stockholders’</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Shares</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Equity</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December 31, 2021</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29,716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271,861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(236,200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35,690</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Issuance of shares in Rights Offering, net of issuance costs of $111</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62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46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ind w:left="0" w:right="0" w:hanging="0"/>
              <w:jc w:val="left"/>
              <w:rPr/>
            </w:pPr>
            <w:r>
              <w:rPr/>
              <w:t> </w:t>
            </w:r>
          </w:p>
        </w:tc>
        <w:tc>
          <w:tcPr>
            <w:tcW w:w="7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957"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9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14,889</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under employee stock purchase plan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4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jc w:val="left"/>
              <w:rPr/>
            </w:pPr>
            <w:r>
              <w:rPr/>
              <w:t> </w:t>
            </w:r>
          </w:p>
        </w:tc>
        <w:tc>
          <w:tcPr>
            <w:tcW w:w="932"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94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372</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Issuance of common stock pursuant to warrant exercise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1"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7</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46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8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shd w:fill="FFFFFF" w:val="clear"/>
            <w:vAlign w:val="center"/>
          </w:tcPr>
          <w:p>
            <w:pPr>
              <w:pStyle w:val="TableContents"/>
              <w:bidi w:val="0"/>
              <w:spacing w:before="0" w:after="283"/>
              <w:jc w:val="left"/>
              <w:rPr/>
            </w:pPr>
            <w:r>
              <w:rPr/>
              <w:t> </w:t>
            </w:r>
          </w:p>
        </w:tc>
        <w:tc>
          <w:tcPr>
            <w:tcW w:w="932"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57"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94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13</w:t>
            </w:r>
          </w:p>
        </w:tc>
        <w:tc>
          <w:tcPr>
            <w:tcW w:w="86" w:type="dxa"/>
            <w:tcBorders/>
            <w:shd w:fill="FFFFFF" w:val="clear"/>
            <w:vAlign w:val="center"/>
          </w:tcPr>
          <w:p>
            <w:pPr>
              <w:pStyle w:val="TableContents"/>
              <w:bidi w:val="0"/>
              <w:spacing w:before="0" w:after="283"/>
              <w:jc w:val="left"/>
              <w:rPr/>
            </w:pPr>
            <w:r>
              <w:rPr/>
              <w:t> </w:t>
            </w:r>
          </w:p>
        </w:tc>
      </w:tr>
      <w:tr>
        <w:trPr/>
        <w:tc>
          <w:tcPr>
            <w:tcW w:w="3450"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621" w:type="dxa"/>
            <w:tcBorders/>
            <w:shd w:fill="CCEEFF" w:val="clear"/>
            <w:vAlign w:val="center"/>
          </w:tcPr>
          <w:p>
            <w:pPr>
              <w:pStyle w:val="TableContents"/>
              <w:bidi w:val="0"/>
              <w:spacing w:before="0" w:after="283"/>
              <w:ind w:left="0" w:right="0" w:hanging="0"/>
              <w:jc w:val="right"/>
              <w:rPr/>
            </w:pPr>
            <w:r>
              <w:rPr>
                <w:rStyle w:val="Emphasis"/>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46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ind w:left="0" w:right="0" w:hanging="0"/>
              <w:jc w:val="left"/>
              <w:rPr/>
            </w:pPr>
            <w:r>
              <w:rPr/>
              <w:t> </w:t>
            </w:r>
          </w:p>
        </w:tc>
        <w:tc>
          <w:tcPr>
            <w:tcW w:w="7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7"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95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9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w:t>
            </w:r>
          </w:p>
        </w:tc>
        <w:tc>
          <w:tcPr>
            <w:tcW w:w="86" w:type="dxa"/>
            <w:tcBorders/>
            <w:shd w:fill="CCEEFF" w:val="clear"/>
            <w:vAlign w:val="center"/>
          </w:tcPr>
          <w:p>
            <w:pPr>
              <w:pStyle w:val="TableContents"/>
              <w:bidi w:val="0"/>
              <w:spacing w:before="0" w:after="283"/>
              <w:jc w:val="left"/>
              <w:rPr/>
            </w:pPr>
            <w:r>
              <w:rPr/>
              <w:t> </w:t>
            </w:r>
          </w:p>
        </w:tc>
      </w:tr>
      <w:tr>
        <w:trPr/>
        <w:tc>
          <w:tcPr>
            <w:tcW w:w="3450"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80" w:type="dxa"/>
            <w:tcBorders>
              <w:bottom w:val="single" w:sz="2"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 June 30, 2022</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37,126</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(267,469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23,415</w:t>
            </w:r>
          </w:p>
        </w:tc>
        <w:tc>
          <w:tcPr>
            <w:tcW w:w="8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the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PULSE BIOSCIENCES,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Condensed Consolidated Financial Statements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w:t>
      </w:r>
      <w:r>
        <w:rPr>
          <w:rFonts w:ascii="Times New Roman" w:hAnsi="Times New Roman"/>
          <w:b/>
          <w:caps w:val="false"/>
          <w:smallCaps w:val="false"/>
          <w:sz w:val="20"/>
        </w:rPr>
        <w:t xml:space="preserve"> Description of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Pulse Biosciences, Inc. is a novel bioelectric medicine company committed to health innovation using its patented Nano-pulse Stimulation (“NPS”) technology, a revolutionary energy modality that delivers nanosecond-duration pulses of electrical energy, each less than a millionth of a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long, to non-thermally clear targeted cells while sparing adjacent noncellular tissue. NPS technology, also referred to as a Nanosecond Pulsed Field Ablation (“nsPFA”) technology when used to ablate cellular tissue, can be used to treat a variety of medical conditions for which an optimal solution remains unfulfilled. The Company developed its proprietary CellFX System, a novel nsPFA delivery platform, and commercialized the initial application of its nsPFA technology to treat benign lesions of the skin. In parallel, the Company has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the Company decided in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to focus its efforts on the use of nsPFA applicators and the CellFX platform in the treatment of atrial fibrillation (“AF”).</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was incorporated in Nevada on </w:t>
      </w:r>
      <w:r>
        <w:rPr>
          <w:rStyle w:val="Emphasis"/>
          <w:rFonts w:ascii="Times New Roman" w:hAnsi="Times New Roman"/>
          <w:caps w:val="false"/>
          <w:smallCaps w:val="false"/>
          <w:sz w:val="20"/>
        </w:rPr>
        <w:t xml:space="preserve">May 19, 2014. </w:t>
      </w: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June 18, 2018, </w:t>
      </w:r>
      <w:r>
        <w:rPr>
          <w:rFonts w:ascii="Times New Roman" w:hAnsi="Times New Roman"/>
          <w:caps w:val="false"/>
          <w:smallCaps w:val="false"/>
          <w:sz w:val="20"/>
        </w:rPr>
        <w:t>the Company reincorporated from the State of Nevada to the State of Delaware. The Company is located in Hayward, California. The Company maintains a website at www.pulsebiosciences.com where general information about the Company is available.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activities are subject to significant risks and uncertainties, including the need for additional capital.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currently have any material cash flows from operations. It has had minimal revenue and currently generates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revenue and will need to raise additional capital to finance its operations. However, there can be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assurances that the Company will be able to obtain additional financing on acceptable terms and in the amounts necessary to fully fund its operating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2.</w:t>
      </w:r>
      <w:r>
        <w:rPr>
          <w:rFonts w:ascii="Times New Roman" w:hAnsi="Times New Roman"/>
          <w:b/>
          <w:caps w:val="false"/>
          <w:smallCaps w:val="false"/>
          <w:sz w:val="20"/>
        </w:rPr>
        <w:t xml:space="preserve">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accompanying unaudited condensed consolidated financial statements have been prepared on a basis consistent with the Company’s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xml:space="preserve"> audited Consolidated Financial Statements and include all adjustments, consisting of only normal recurring adjustments, necessary to fairly state the information set forth herein. The condensed consolidated financial statements have been prepared in accordance with the applicable rules and regulations of the Securities and Exchange Commission (the “SEC”) and, as permitted by such rules and regulations, omit certain information and footnote disclosures necessary to present the financial statements in accordance with accounting principles generally accepted in the United States (“U.S. GAAP”). The condensed consolidated balance sheet as of </w:t>
      </w:r>
      <w:r>
        <w:rPr>
          <w:rStyle w:val="Emphasis"/>
          <w:rFonts w:ascii="Times New Roman" w:hAnsi="Times New Roman"/>
          <w:caps w:val="false"/>
          <w:smallCaps w:val="false"/>
          <w:sz w:val="20"/>
        </w:rPr>
        <w:t xml:space="preserve"> December 31, 2022</w:t>
      </w:r>
      <w:r>
        <w:rPr>
          <w:rFonts w:ascii="Times New Roman" w:hAnsi="Times New Roman"/>
          <w:caps w:val="false"/>
          <w:smallCaps w:val="false"/>
          <w:sz w:val="20"/>
        </w:rPr>
        <w:t xml:space="preserve"> was derived from the audited consolidated financial statements as of that date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all of the information and footnotes required by U.S. GAAP for complete financial statements. These condensed consolidated financial statements should be read in conjunction with the audited consolidated financial statements and notes thereto included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results of operations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to be expected for the entire year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accompanying condensed consolidated financial statements include the financial statements of Pulse Biosciences, Inc. and its wholly-owned subsidiaries. Intercompany balances and transactions, if any,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sz w:val="20"/>
        </w:rPr>
        <w:t>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preparation of financial statements in conformity with U.S. GAAP requires the Company to make estimates and assumptions that affect the amounts reported in the Financial Statements and accompanying notes to the condensed consolidated financial statements. Estimates include, but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limited to, the valuation of cash equivalents, the valuation and recognition of share-based compensation, income taxes, and the useful lives assigned to long-lived assets. The Company evaluates its estimates and assumptions based on historical experience and other factors and adjusts those estimates and assumptions when facts and circumstances dictate. Actual results could differ materially from these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Company’s significant accounting policies are described in the Company’s Annual Report on Form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-K for the year ended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xml:space="preserve">. The Company continually evaluates the accounting policies and estimates used in preparing the consolidated financial statements.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the Company issued stock options to certain employees which contain market conditions related to overall market cap. Additionally, the Company has issued stock options to certain employees which contain performance conditions related to certain financial measures and achievements of strategic/operational milestones.</w:t>
      </w:r>
    </w:p>
    <w:p>
      <w:pPr>
        <w:pStyle w:val="TextBody"/>
        <w:bidi w:val="0"/>
        <w:spacing w:before="0" w:after="0"/>
        <w:ind w:left="160" w:right="0" w:firstLine="54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Company's stock-based compensation programs include stock options and an employee stock purchase program. The Company accounts for stock-based compensation using the fair value method.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periodically issues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vesting period. The Company has granted stock options with both time-based as well as performance-based vesting conditions. For stock awards with performance-based vesting conditions,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recognize compensation expense until it is probable that the performance-based vesting condition will be achieved. The analysis to determine such probability involves estimates and judgements from management and the estimate of expense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revised periodically. </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also issued certain stock options with market-based vesting conditions. These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in the option-pricing model represent management’s best estimates. If factors change and different assumptions are used, the Company's stock-based compensation expense could be materially different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See Note </w:t>
      </w:r>
      <w:r>
        <w:rPr>
          <w:rStyle w:val="Emphasis"/>
          <w:rFonts w:ascii="Times New Roman" w:hAnsi="Times New Roman"/>
          <w:i/>
          <w:caps w:val="false"/>
          <w:smallCaps w:val="false"/>
          <w:sz w:val="20"/>
        </w:rPr>
        <w:t>6</w:t>
      </w:r>
      <w:r>
        <w:rPr>
          <w:rFonts w:ascii="Times New Roman" w:hAnsi="Times New Roman"/>
          <w:caps w:val="false"/>
          <w:smallCaps w:val="false"/>
          <w:sz w:val="20"/>
        </w:rPr>
        <w:t> for a detailed discussion of the Company’s stock plans and stock-based compensation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Valuation of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Inventory is stated at lower of cost or net realizable value. The Company establishes the inventory basis by determining the cost based on standard costs approximating the purchase costs on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-in, </w:t>
      </w:r>
      <w:r>
        <w:rPr>
          <w:rStyle w:val="Emphasis"/>
          <w:rFonts w:ascii="Times New Roman" w:hAnsi="Times New Roman"/>
          <w:caps w:val="false"/>
          <w:smallCaps w:val="false"/>
          <w:sz w:val="20"/>
        </w:rPr>
        <w:t>first</w:t>
      </w:r>
      <w:r>
        <w:rPr>
          <w:rFonts w:ascii="Times New Roman" w:hAnsi="Times New Roman"/>
          <w:caps w:val="false"/>
          <w:smallCaps w:val="false"/>
          <w:sz w:val="20"/>
        </w:rPr>
        <w:t>-out basis. Net realizable value is the estimated selling price in the ordinary course of the Company’s business, less reasonably predictable costs of completion, disposal, and transportation. The cost basis of the Company’s inventory will be reduced for any products that are considered excessive or obsolete based upon assumptions about future demand and market conditions. At </w:t>
      </w:r>
      <w:r>
        <w:rPr>
          <w:rStyle w:val="Emphasis"/>
          <w:rFonts w:ascii="Times New Roman" w:hAnsi="Times New Roman"/>
          <w:caps w:val="false"/>
          <w:smallCaps w:val="false"/>
          <w:sz w:val="20"/>
        </w:rPr>
        <w:t xml:space="preserve"> December 31, 2022, </w:t>
      </w:r>
      <w:r>
        <w:rPr>
          <w:rFonts w:ascii="Times New Roman" w:hAnsi="Times New Roman"/>
          <w:caps w:val="false"/>
          <w:smallCaps w:val="false"/>
          <w:sz w:val="20"/>
        </w:rPr>
        <w:t xml:space="preserve">the inventory balance was fully written off due to excessive and obsolete inventory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plan to capitalize further inventory in relation to the dermatology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Revenue from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have been collected from a customer. Sales contracts often involved the sale and delivery of multiple products, each of which typically represented a separate performance obligation in the contract. While the Company has sold these products on a stand-alone basis at their respective stand-alone selling prices (“SSP”), initial customer contracts primarily involved the bundling of products which were delivered concurrently to the customer. In such instances, the full consideration of the contract was recognized upon shipment of the products. The Company generally required receipt of full payment prior to shipment, however, from time to time, payment terms were extended to customers upon which the Company performed a necessary credit evaluation to ensure future collectability of the outstanding balance. The accounts receivable balance at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is </w:t>
      </w:r>
      <w:r>
        <w:rPr>
          <w:rStyle w:val="Emphasis"/>
          <w:rFonts w:ascii="Times New Roman" w:hAnsi="Times New Roman"/>
          <w:caps w:val="false"/>
          <w:smallCaps w:val="false"/>
          <w:sz w:val="20"/>
        </w:rPr>
        <w:t>zero</w:t>
      </w:r>
      <w:r>
        <w:rPr>
          <w:rFonts w:ascii="Times New Roman" w:hAnsi="Times New Roman"/>
          <w:caps w:val="false"/>
          <w:smallCaps w:val="false"/>
          <w:sz w:val="20"/>
        </w:rPr>
        <w:t xml:space="preserve"> and the Company has therefore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 allowance against the accounts receivable balance. Refer to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provides a standard warranty on eligible products which provides the customer assurances that the products comply with the agreed-upon specifications. The standard warranty does </w:t>
      </w:r>
      <w:r>
        <w:rPr>
          <w:rStyle w:val="Emphasis"/>
          <w:rFonts w:ascii="Times New Roman" w:hAnsi="Times New Roman"/>
          <w:caps w:val="false"/>
          <w:smallCaps w:val="false"/>
          <w:sz w:val="20"/>
        </w:rPr>
        <w:t>not</w:t>
      </w:r>
      <w:r>
        <w:rPr>
          <w:rFonts w:ascii="Times New Roman" w:hAnsi="Times New Roman"/>
          <w:caps w:val="false"/>
          <w:smallCaps w:val="false"/>
          <w:sz w:val="20"/>
        </w:rPr>
        <w:t> provide any services in addition to those assurances. The Company accrued a warranty reserve for products sold based upon the best estimate of the nature, frequency, and costs of future claims. These estimates are inherently uncertain given the short history of sales, and changes to the historical or projected warranty experience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 xml:space="preserve">cause material changes to the warranty reserve in the future.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the Company reduced the accrued warranty liability to zero. Based upon the Company's shift in focus, there are a limited number of consoles currently covered under the standard warranty. All inventory has been fully written off, therefore the only incremental costs to fulfill a warranty claim would be shipping costs, which will be immaterial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Warranty accrual activity consisted of the following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(in thousands):</w:t>
      </w:r>
    </w:p>
    <w:p>
      <w:pPr>
        <w:pStyle w:val="TextBody"/>
        <w:bidi w:val="0"/>
        <w:spacing w:before="0" w:after="0"/>
        <w:ind w:left="0" w:right="0" w:hanging="0"/>
        <w:jc w:val="left"/>
        <w:rPr>
          <w:caps w:val="false"/>
          <w:smallCaps w:val="false"/>
        </w:rPr>
      </w:pPr>
      <w:r>
        <w:rPr>
          <w:caps w:val="false"/>
          <w:smallCaps w:val="false"/>
        </w:rPr>
        <w:t> </w:t>
      </w:r>
    </w:p>
    <w:tbl>
      <w:tblPr>
        <w:tblW w:w="9371" w:type="dxa"/>
        <w:jc w:val="left"/>
        <w:tblInd w:w="0" w:type="dxa"/>
        <w:tblLayout w:type="fixed"/>
        <w:tblCellMar>
          <w:top w:w="0" w:type="dxa"/>
          <w:left w:w="0" w:type="dxa"/>
          <w:bottom w:w="0" w:type="dxa"/>
          <w:right w:w="0" w:type="dxa"/>
        </w:tblCellMar>
      </w:tblPr>
      <w:tblGrid>
        <w:gridCol w:w="4325"/>
        <w:gridCol w:w="60"/>
        <w:gridCol w:w="309"/>
        <w:gridCol w:w="717"/>
        <w:gridCol w:w="197"/>
        <w:gridCol w:w="148"/>
        <w:gridCol w:w="309"/>
        <w:gridCol w:w="828"/>
        <w:gridCol w:w="60"/>
        <w:gridCol w:w="60"/>
        <w:gridCol w:w="283"/>
        <w:gridCol w:w="657"/>
        <w:gridCol w:w="181"/>
        <w:gridCol w:w="135"/>
        <w:gridCol w:w="283"/>
        <w:gridCol w:w="759"/>
        <w:gridCol w:w="60"/>
      </w:tblGrid>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13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8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10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60"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97"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30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1"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28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w:t>
            </w:r>
          </w:p>
        </w:tc>
        <w:tc>
          <w:tcPr>
            <w:tcW w:w="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 Accruals for warranties issued during the period</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ind w:left="0" w:right="0" w:hanging="0"/>
              <w:jc w:val="left"/>
              <w:rPr/>
            </w:pPr>
            <w:r>
              <w:rPr/>
              <w:t> </w:t>
            </w:r>
          </w:p>
        </w:tc>
        <w:tc>
          <w:tcPr>
            <w:tcW w:w="82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657" w:type="dxa"/>
            <w:tcBorders/>
            <w:shd w:fill="FFFFFF" w:val="clear"/>
            <w:vAlign w:val="center"/>
          </w:tcPr>
          <w:p>
            <w:pPr>
              <w:pStyle w:val="TableContents"/>
              <w:bidi w:val="0"/>
              <w:spacing w:before="0" w:after="283"/>
              <w:ind w:left="0" w:right="0" w:hanging="0"/>
              <w:jc w:val="right"/>
              <w:rPr/>
            </w:pPr>
            <w:r>
              <w:rPr/>
              <w:t>—</w:t>
            </w:r>
          </w:p>
        </w:tc>
        <w:tc>
          <w:tcPr>
            <w:tcW w:w="18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w:t>
            </w:r>
          </w:p>
        </w:tc>
        <w:tc>
          <w:tcPr>
            <w:tcW w:w="60" w:type="dxa"/>
            <w:tcBorders/>
            <w:shd w:fill="FFFFFF" w:val="clear"/>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Adjustment for inventory at cost</w:t>
            </w:r>
          </w:p>
        </w:tc>
        <w:tc>
          <w:tcPr>
            <w:tcW w:w="60" w:type="dxa"/>
            <w:tcBorders/>
            <w:shd w:fill="CCEEFF" w:val="clear"/>
            <w:vAlign w:val="center"/>
          </w:tcPr>
          <w:p>
            <w:pPr>
              <w:pStyle w:val="TableContents"/>
              <w:bidi w:val="0"/>
              <w:spacing w:before="0" w:after="283"/>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9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48" w:type="dxa"/>
            <w:tcBorders/>
            <w:shd w:fill="CCEEFF" w:val="clear"/>
            <w:vAlign w:val="center"/>
          </w:tcPr>
          <w:p>
            <w:pPr>
              <w:pStyle w:val="TableContents"/>
              <w:bidi w:val="0"/>
              <w:spacing w:before="0" w:after="283"/>
              <w:jc w:val="left"/>
              <w:rPr/>
            </w:pPr>
            <w:r>
              <w:rPr/>
              <w:t> </w:t>
            </w:r>
          </w:p>
        </w:tc>
        <w:tc>
          <w:tcPr>
            <w:tcW w:w="30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181"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35" w:type="dxa"/>
            <w:tcBorders/>
            <w:shd w:fill="CCEEFF" w:val="clear"/>
            <w:vAlign w:val="center"/>
          </w:tcPr>
          <w:p>
            <w:pPr>
              <w:pStyle w:val="TableContents"/>
              <w:bidi w:val="0"/>
              <w:spacing w:before="0" w:after="283"/>
              <w:jc w:val="left"/>
              <w:rPr/>
            </w:pPr>
            <w:r>
              <w:rPr/>
              <w:t> </w:t>
            </w:r>
          </w:p>
        </w:tc>
        <w:tc>
          <w:tcPr>
            <w:tcW w:w="2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3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60" w:type="dxa"/>
            <w:tcBorders/>
            <w:shd w:fill="FFFF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97"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3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1"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calculates basic net loss per share by dividing net loss by the weighted-average number of shares of common stock outstanding during the period. Diluted net loss per share is computed by giving effect to all potential dilutive common stock equivalents outstanding during the period. For purposes of this calculation, options to purchase common stock and common stock warrants are considered common stock equivalents. Potential common shares that have an anti-dilutive effect (i.e., those that increase income per share or decrease loss per share) are excluded from the calculation of diluted net loss per share.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Basic and diluted net loss per common share is the same for all periods presented because all warrants, stock options and restricted stock units outstanding are anti-dilutive.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outstanding stock options, and warrants were excluded from the computation of diluted net loss per share for the periods presented because including them would have had an anti-dilutive effect:</w:t>
      </w:r>
    </w:p>
    <w:p>
      <w:pPr>
        <w:pStyle w:val="TextBody"/>
        <w:bidi w:val="0"/>
        <w:spacing w:before="0" w:after="0"/>
        <w:ind w:left="0" w:right="0" w:hanging="0"/>
        <w:jc w:val="left"/>
        <w:rPr>
          <w:caps w:val="false"/>
          <w:smallCaps w:val="false"/>
        </w:rPr>
      </w:pPr>
      <w:r>
        <w:rPr>
          <w:caps w:val="false"/>
          <w:smallCaps w:val="false"/>
        </w:rPr>
        <w:t> </w:t>
      </w:r>
    </w:p>
    <w:tbl>
      <w:tblPr>
        <w:tblW w:w="4386" w:type="dxa"/>
        <w:jc w:val="left"/>
        <w:tblInd w:w="0" w:type="dxa"/>
        <w:tblLayout w:type="fixed"/>
        <w:tblCellMar>
          <w:top w:w="0" w:type="dxa"/>
          <w:left w:w="0" w:type="dxa"/>
          <w:bottom w:w="0" w:type="dxa"/>
          <w:right w:w="0" w:type="dxa"/>
        </w:tblCellMar>
      </w:tblPr>
      <w:tblGrid>
        <w:gridCol w:w="1970"/>
        <w:gridCol w:w="60"/>
        <w:gridCol w:w="67"/>
        <w:gridCol w:w="955"/>
        <w:gridCol w:w="67"/>
        <w:gridCol w:w="67"/>
        <w:gridCol w:w="67"/>
        <w:gridCol w:w="1073"/>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1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warrants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955" w:type="dxa"/>
            <w:tcBorders/>
            <w:shd w:fill="CCEEFF" w:val="clear"/>
            <w:vAlign w:val="center"/>
          </w:tcPr>
          <w:p>
            <w:pPr>
              <w:pStyle w:val="TableContents"/>
              <w:bidi w:val="0"/>
              <w:spacing w:before="0" w:after="283"/>
              <w:ind w:left="0" w:right="0" w:hanging="0"/>
              <w:jc w:val="right"/>
              <w:rPr/>
            </w:pPr>
            <w:r>
              <w:rPr/>
              <w:t>—</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07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7,310,917</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stock options</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6,888,015</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5,608,140</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6,888,015</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12,919,057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recent accounting pronouncements that impact the Company’s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3.</w:t>
      </w:r>
      <w:r>
        <w:rPr>
          <w:rFonts w:ascii="Times New Roman" w:hAnsi="Times New Roman"/>
          <w:b/>
          <w:caps w:val="false"/>
          <w:smallCaps w:val="false"/>
          <w:sz w:val="20"/>
        </w:rPr>
        <w:t xml:space="preserve"> Fair Value of Financial Instruments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authoritative guidance with respect to fair value established a fair value hierarchy that prioritizes the inputs to valuation techniques used to measure fair value into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and requires that assets and liabilities carried at fair value be classified and disclosed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categories, as presented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 Observable inputs such as quoted prices in active markets for an identical asset or liability that the Company has the ability to access as of the measurement date. Financial assets and liabilities utilizing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inputs include money market funds.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 Inputs, other than quoted prices included within Level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which are directly observable for the asset or liability or indirectly observable through corroboration with observable market data. Financial assets and liabilities utilizing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inputs include commercial paper, corporate bonds, U.S. Treasury Securities, and asset-backed securities.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 Unobservable inputs for which there is little 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market data for the asset or liability which requires the reporting entity to develop its own assumptions.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classify any of its investments within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of the fair value hierarchy.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 xml:space="preserve">The following table sets forth the fair value of the Company’s financial assets measured on a recurring basis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 respectively (in thousands):</w:t>
      </w:r>
    </w:p>
    <w:p>
      <w:pPr>
        <w:pStyle w:val="TextBody"/>
        <w:bidi w:val="0"/>
        <w:spacing w:before="0" w:after="0"/>
        <w:ind w:left="0" w:right="0" w:hanging="0"/>
        <w:jc w:val="left"/>
        <w:rPr>
          <w:caps w:val="false"/>
          <w:smallCaps w:val="false"/>
        </w:rPr>
      </w:pPr>
      <w:r>
        <w:rPr>
          <w:caps w:val="false"/>
          <w:smallCaps w:val="false"/>
        </w:rPr>
        <w:t> </w:t>
      </w:r>
    </w:p>
    <w:tbl>
      <w:tblPr>
        <w:tblW w:w="7058" w:type="dxa"/>
        <w:jc w:val="left"/>
        <w:tblInd w:w="0" w:type="dxa"/>
        <w:tblLayout w:type="fixed"/>
        <w:tblCellMar>
          <w:top w:w="0" w:type="dxa"/>
          <w:left w:w="0" w:type="dxa"/>
          <w:bottom w:w="0" w:type="dxa"/>
          <w:right w:w="0" w:type="dxa"/>
        </w:tblCellMar>
      </w:tblPr>
      <w:tblGrid>
        <w:gridCol w:w="1700"/>
        <w:gridCol w:w="2210"/>
        <w:gridCol w:w="60"/>
        <w:gridCol w:w="125"/>
        <w:gridCol w:w="590"/>
        <w:gridCol w:w="60"/>
        <w:gridCol w:w="60"/>
        <w:gridCol w:w="200"/>
        <w:gridCol w:w="419"/>
        <w:gridCol w:w="60"/>
        <w:gridCol w:w="60"/>
        <w:gridCol w:w="200"/>
        <w:gridCol w:w="419"/>
        <w:gridCol w:w="60"/>
        <w:gridCol w:w="60"/>
        <w:gridCol w:w="125"/>
        <w:gridCol w:w="590"/>
        <w:gridCol w:w="60"/>
      </w:tblGrid>
      <w:tr>
        <w:trPr/>
        <w:tc>
          <w:tcPr>
            <w:tcW w:w="1700" w:type="dxa"/>
            <w:tcBorders/>
            <w:shd w:fill="FFFFFF" w:val="clear"/>
            <w:vAlign w:val="center"/>
          </w:tcPr>
          <w:p>
            <w:pPr>
              <w:pStyle w:val="TableContents"/>
              <w:bidi w:val="0"/>
              <w:spacing w:before="0" w:after="283"/>
              <w:jc w:val="left"/>
              <w:rPr/>
            </w:pPr>
            <w:r>
              <w:rPr/>
              <w:t> </w:t>
            </w:r>
          </w:p>
        </w:tc>
        <w:tc>
          <w:tcPr>
            <w:tcW w:w="2210"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 2023</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Classification</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Level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56,388</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56,388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7118" w:type="dxa"/>
        <w:jc w:val="left"/>
        <w:tblInd w:w="0" w:type="dxa"/>
        <w:tblLayout w:type="fixed"/>
        <w:tblCellMar>
          <w:top w:w="0" w:type="dxa"/>
          <w:left w:w="0" w:type="dxa"/>
          <w:bottom w:w="0" w:type="dxa"/>
          <w:right w:w="0" w:type="dxa"/>
        </w:tblCellMar>
      </w:tblPr>
      <w:tblGrid>
        <w:gridCol w:w="1700"/>
        <w:gridCol w:w="2210"/>
        <w:gridCol w:w="60"/>
        <w:gridCol w:w="125"/>
        <w:gridCol w:w="590"/>
        <w:gridCol w:w="60"/>
        <w:gridCol w:w="60"/>
        <w:gridCol w:w="210"/>
        <w:gridCol w:w="439"/>
        <w:gridCol w:w="60"/>
        <w:gridCol w:w="60"/>
        <w:gridCol w:w="210"/>
        <w:gridCol w:w="439"/>
        <w:gridCol w:w="60"/>
        <w:gridCol w:w="60"/>
        <w:gridCol w:w="125"/>
        <w:gridCol w:w="590"/>
        <w:gridCol w:w="60"/>
      </w:tblGrid>
      <w:tr>
        <w:trPr/>
        <w:tc>
          <w:tcPr>
            <w:tcW w:w="1700" w:type="dxa"/>
            <w:tcBorders/>
            <w:vAlign w:val="center"/>
          </w:tcPr>
          <w:p>
            <w:pPr>
              <w:pStyle w:val="TableContents"/>
              <w:bidi w:val="0"/>
              <w:spacing w:before="0" w:after="283"/>
              <w:jc w:val="left"/>
              <w:rPr/>
            </w:pPr>
            <w:r>
              <w:rPr/>
              <w:t> </w:t>
            </w:r>
          </w:p>
        </w:tc>
        <w:tc>
          <w:tcPr>
            <w:tcW w:w="2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088"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tc>
        <w:tc>
          <w:tcPr>
            <w:tcW w:w="60"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Classification</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w:t>
            </w:r>
          </w:p>
        </w:tc>
        <w:tc>
          <w:tcPr>
            <w:tcW w:w="60" w:type="dxa"/>
            <w:tcBorders/>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 funds</w:t>
            </w:r>
          </w:p>
        </w:tc>
        <w:tc>
          <w:tcPr>
            <w:tcW w:w="2210" w:type="dxa"/>
            <w:tcBorders/>
            <w:shd w:fill="CCEE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CCEEFF" w:val="clear"/>
            <w:vAlign w:val="center"/>
          </w:tcPr>
          <w:p>
            <w:pPr>
              <w:pStyle w:val="TableContents"/>
              <w:bidi w:val="0"/>
              <w:spacing w:before="0" w:after="283"/>
              <w:jc w:val="left"/>
              <w:rPr/>
            </w:pPr>
            <w:r>
              <w:rPr/>
              <w:t> </w:t>
            </w:r>
          </w:p>
        </w:tc>
      </w:tr>
      <w:tr>
        <w:trPr/>
        <w:tc>
          <w:tcPr>
            <w:tcW w:w="3910" w:type="dxa"/>
            <w:gridSpan w:val="2"/>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Total assets measured at fair value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57,973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did not have any financial liabilities measured on a recurring basis as of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December 31, 2022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4.</w:t>
      </w:r>
      <w:r>
        <w:rPr>
          <w:rFonts w:ascii="Times New Roman" w:hAnsi="Times New Roman"/>
          <w:b/>
          <w:caps w:val="false"/>
          <w:smallCaps w:val="false"/>
          <w:sz w:val="20"/>
        </w:rPr>
        <w:t xml:space="preserve"> Balance Sheet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Property and equipment,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4055"/>
        <w:gridCol w:w="60"/>
        <w:gridCol w:w="135"/>
        <w:gridCol w:w="589"/>
        <w:gridCol w:w="80"/>
        <w:gridCol w:w="60"/>
        <w:gridCol w:w="212"/>
        <w:gridCol w:w="932"/>
        <w:gridCol w:w="80"/>
      </w:tblGrid>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2,519</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1,118</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Furniture, fixtures and equipment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966</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Software</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5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289</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Construction in progress</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80" w:type="dxa"/>
            <w:tcBorders/>
            <w:shd w:fill="CCEEFF" w:val="clear"/>
            <w:vAlign w:val="center"/>
          </w:tcPr>
          <w:p>
            <w:pPr>
              <w:pStyle w:val="TableContents"/>
              <w:bidi w:val="0"/>
              <w:spacing w:before="0" w:after="283"/>
              <w:jc w:val="left"/>
              <w:rPr/>
            </w:pPr>
            <w:r>
              <w:rPr/>
              <w:t> </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4,914</w:t>
            </w:r>
          </w:p>
        </w:tc>
        <w:tc>
          <w:tcPr>
            <w:tcW w:w="80" w:type="dxa"/>
            <w:tcBorders/>
            <w:shd w:fill="FFFFFF" w:val="clear"/>
            <w:vAlign w:val="center"/>
          </w:tcPr>
          <w:p>
            <w:pPr>
              <w:pStyle w:val="TableContents"/>
              <w:bidi w:val="0"/>
              <w:spacing w:before="0" w:after="283"/>
              <w:jc w:val="left"/>
              <w:rPr/>
            </w:pPr>
            <w:r>
              <w:rPr/>
              <w:t> </w:t>
            </w:r>
          </w:p>
        </w:tc>
      </w:tr>
      <w:tr>
        <w:trPr/>
        <w:tc>
          <w:tcPr>
            <w:tcW w:w="40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40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1,961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Depreciation expense was $0.1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$0.3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Intangible Assets, Net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primarily consist of acquired licenses to utilize certain patents, know-how and technology relating to the Company’s NPS technology for biomedical applications acquired from Old Dominion University Research Foundation (“ODURF”), Eastern Virginia Medical School, and the University of Southern California. In addition, the Company entered into a Sponsored Research Agreement with Old Dominion University’s Frank Reidy Research Center for Bioelectrics, which includes certain intellectual property rights arising from the research. The Company is amortizing the intangible assets over an estimated useful life of 12 years.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Intangible assets, net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4793" w:type="dxa"/>
        <w:jc w:val="left"/>
        <w:tblInd w:w="0" w:type="dxa"/>
        <w:tblLayout w:type="fixed"/>
        <w:tblCellMar>
          <w:top w:w="0" w:type="dxa"/>
          <w:left w:w="0" w:type="dxa"/>
          <w:bottom w:w="0" w:type="dxa"/>
          <w:right w:w="0" w:type="dxa"/>
        </w:tblCellMar>
      </w:tblPr>
      <w:tblGrid>
        <w:gridCol w:w="2645"/>
        <w:gridCol w:w="60"/>
        <w:gridCol w:w="135"/>
        <w:gridCol w:w="589"/>
        <w:gridCol w:w="80"/>
        <w:gridCol w:w="60"/>
        <w:gridCol w:w="212"/>
        <w:gridCol w:w="932"/>
        <w:gridCol w:w="80"/>
      </w:tblGrid>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Acquired patents and licenses</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7,985</w:t>
            </w:r>
          </w:p>
        </w:tc>
        <w:tc>
          <w:tcPr>
            <w:tcW w:w="80"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Accumulated amortization</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(5,434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8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schedule of the amortization of intangible assets for the remainder of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the succeeding </w:t>
      </w:r>
      <w:r>
        <w:rPr>
          <w:rStyle w:val="Emphasis"/>
          <w:rFonts w:ascii="Times New Roman" w:hAnsi="Times New Roman"/>
          <w:caps w:val="false"/>
          <w:smallCaps w:val="false"/>
          <w:sz w:val="20"/>
        </w:rPr>
        <w:t>three</w:t>
      </w:r>
      <w:r>
        <w:rPr>
          <w:rFonts w:ascii="Times New Roman" w:hAnsi="Times New Roman"/>
          <w:caps w:val="false"/>
          <w:smallCaps w:val="false"/>
          <w:sz w:val="20"/>
        </w:rPr>
        <w:t> fiscal years is as follows (in thousands):</w:t>
      </w:r>
    </w:p>
    <w:p>
      <w:pPr>
        <w:pStyle w:val="TextBody"/>
        <w:bidi w:val="0"/>
        <w:spacing w:before="0" w:after="0"/>
        <w:ind w:left="0" w:right="0" w:hanging="0"/>
        <w:jc w:val="left"/>
        <w:rPr>
          <w:caps w:val="false"/>
          <w:smallCaps w:val="false"/>
        </w:rPr>
      </w:pPr>
      <w:r>
        <w:rPr>
          <w:caps w:val="false"/>
          <w:smallCaps w:val="false"/>
        </w:rPr>
        <w:t> </w:t>
      </w:r>
    </w:p>
    <w:tbl>
      <w:tblPr>
        <w:tblW w:w="2985" w:type="dxa"/>
        <w:jc w:val="left"/>
        <w:tblInd w:w="0" w:type="dxa"/>
        <w:tblLayout w:type="fixed"/>
        <w:tblCellMar>
          <w:top w:w="0" w:type="dxa"/>
          <w:left w:w="0" w:type="dxa"/>
          <w:bottom w:w="0" w:type="dxa"/>
          <w:right w:w="0" w:type="dxa"/>
        </w:tblCellMar>
      </w:tblPr>
      <w:tblGrid>
        <w:gridCol w:w="2255"/>
        <w:gridCol w:w="60"/>
        <w:gridCol w:w="125"/>
        <w:gridCol w:w="485"/>
        <w:gridCol w:w="60"/>
      </w:tblGrid>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Years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665</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555</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2,218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043" w:type="dxa"/>
        <w:jc w:val="left"/>
        <w:tblInd w:w="0" w:type="dxa"/>
        <w:tblLayout w:type="fixed"/>
        <w:tblCellMar>
          <w:top w:w="0" w:type="dxa"/>
          <w:left w:w="0" w:type="dxa"/>
          <w:bottom w:w="0" w:type="dxa"/>
          <w:right w:w="0" w:type="dxa"/>
        </w:tblCellMar>
      </w:tblPr>
      <w:tblGrid>
        <w:gridCol w:w="3935"/>
        <w:gridCol w:w="60"/>
        <w:gridCol w:w="148"/>
        <w:gridCol w:w="576"/>
        <w:gridCol w:w="60"/>
        <w:gridCol w:w="60"/>
        <w:gridCol w:w="234"/>
        <w:gridCol w:w="910"/>
        <w:gridCol w:w="60"/>
      </w:tblGrid>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1,377</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and officer liability insurance (Note 12)</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571</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Clinical trial fees and costs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57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Warranty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57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6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5.</w:t>
      </w:r>
      <w:r>
        <w:rPr>
          <w:rFonts w:ascii="Times New Roman" w:hAnsi="Times New Roman"/>
          <w:b/>
          <w:caps w:val="false"/>
          <w:smallCaps w:val="false"/>
          <w:sz w:val="20"/>
        </w:rPr>
        <w:t xml:space="preserve">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2014,</w:t>
      </w:r>
      <w:r>
        <w:rPr>
          <w:rFonts w:ascii="Times New Roman" w:hAnsi="Times New Roman"/>
          <w:caps w:val="false"/>
          <w:smallCaps w:val="false"/>
          <w:sz w:val="20"/>
        </w:rPr>
        <w:t xml:space="preserve"> the Company acquired three companies (the “Acquisitions”) for aggregate consideration of $5.5 million. In accordance with ASC Topic </w:t>
      </w:r>
      <w:r>
        <w:rPr>
          <w:rStyle w:val="Emphasis"/>
          <w:rFonts w:ascii="Times New Roman" w:hAnsi="Times New Roman"/>
          <w:caps w:val="false"/>
          <w:smallCaps w:val="false"/>
          <w:sz w:val="20"/>
        </w:rPr>
        <w:t>805,</w:t>
      </w:r>
      <w:r>
        <w:rPr>
          <w:rFonts w:ascii="Times New Roman" w:hAnsi="Times New Roman"/>
          <w:caps w:val="false"/>
          <w:smallCaps w:val="false"/>
          <w:sz w:val="20"/>
        </w:rPr>
        <w:t xml:space="preserve"> </w:t>
      </w:r>
      <w:r>
        <w:rPr>
          <w:rFonts w:ascii="Times New Roman" w:hAnsi="Times New Roman"/>
          <w:i/>
          <w:caps w:val="false"/>
          <w:smallCaps w:val="false"/>
          <w:sz w:val="20"/>
        </w:rPr>
        <w:t>Business Combinations</w:t>
      </w:r>
      <w:r>
        <w:rPr>
          <w:rFonts w:ascii="Times New Roman" w:hAnsi="Times New Roman"/>
          <w:caps w:val="false"/>
          <w:smallCaps w:val="false"/>
          <w:sz w:val="20"/>
        </w:rPr>
        <w:t>, the Company recorded goodwill of $2.8 million in connection with the Acquisitions as the consideration paid exceeded the fair value of the net tangible assets and the intangible assets acquired.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accordance with ASC Topic </w:t>
      </w:r>
      <w:r>
        <w:rPr>
          <w:rStyle w:val="Emphasis"/>
          <w:rFonts w:ascii="Times New Roman" w:hAnsi="Times New Roman"/>
          <w:caps w:val="false"/>
          <w:smallCaps w:val="false"/>
          <w:sz w:val="20"/>
        </w:rPr>
        <w:t>350,</w:t>
      </w:r>
      <w:r>
        <w:rPr>
          <w:rFonts w:ascii="Times New Roman" w:hAnsi="Times New Roman"/>
          <w:caps w:val="false"/>
          <w:smallCaps w:val="false"/>
          <w:sz w:val="20"/>
        </w:rPr>
        <w:t xml:space="preserve"> </w:t>
      </w:r>
      <w:r>
        <w:rPr>
          <w:rFonts w:ascii="Times New Roman" w:hAnsi="Times New Roman"/>
          <w:i/>
          <w:caps w:val="false"/>
          <w:smallCaps w:val="false"/>
          <w:sz w:val="20"/>
        </w:rPr>
        <w:t>Intangibles-Goodwill and Other</w:t>
      </w:r>
      <w:r>
        <w:rPr>
          <w:rFonts w:ascii="Times New Roman" w:hAnsi="Times New Roman"/>
          <w:caps w:val="false"/>
          <w:smallCaps w:val="false"/>
          <w:sz w:val="20"/>
        </w:rPr>
        <w:t xml:space="preserve"> (as amended by Accounting Standards Update </w:t>
      </w:r>
      <w:r>
        <w:rPr>
          <w:rStyle w:val="Emphasis"/>
          <w:rFonts w:ascii="Times New Roman" w:hAnsi="Times New Roman"/>
          <w:caps w:val="false"/>
          <w:smallCaps w:val="false"/>
          <w:sz w:val="20"/>
        </w:rPr>
        <w:t>2017</w:t>
      </w:r>
      <w:r>
        <w:rPr>
          <w:rFonts w:ascii="Times New Roman" w:hAnsi="Times New Roman"/>
          <w:caps w:val="false"/>
          <w:smallCaps w:val="false"/>
          <w:sz w:val="20"/>
        </w:rPr>
        <w:t>-</w:t>
      </w:r>
      <w:r>
        <w:rPr>
          <w:rStyle w:val="Emphasis"/>
          <w:rFonts w:ascii="Times New Roman" w:hAnsi="Times New Roman"/>
          <w:caps w:val="false"/>
          <w:smallCaps w:val="false"/>
          <w:sz w:val="20"/>
        </w:rPr>
        <w:t>04</w:t>
      </w:r>
      <w:r>
        <w:rPr>
          <w:rFonts w:ascii="Times New Roman" w:hAnsi="Times New Roman"/>
          <w:caps w:val="false"/>
          <w:smallCaps w:val="false"/>
          <w:sz w:val="20"/>
        </w:rPr>
        <w:t xml:space="preserve">), the Company reviews goodwill for impairment at least annually or whenever any events or circumstances indicate that it is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a reporting unit is less than its carrying amount. The Company performed an updated goodwill impairment analysis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and it was determined that no impairment of goodwill existed.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and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180"/>
        <w:jc w:val="left"/>
        <w:rPr>
          <w:rFonts w:ascii="Times New Roman" w:hAnsi="Times New Roman"/>
          <w:b/>
          <w:i/>
          <w:caps w:val="false"/>
          <w:smallCaps w:val="false"/>
          <w:sz w:val="20"/>
        </w:rPr>
      </w:pPr>
      <w:r>
        <w:rPr>
          <w:rFonts w:ascii="Times New Roman" w:hAnsi="Times New Roman"/>
          <w:b/>
          <w:i/>
          <w:caps w:val="false"/>
          <w:smallCaps w:val="false"/>
          <w:sz w:val="20"/>
        </w:rPr>
        <w:t>Private Placement Securities Purchase Agreement</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April 30, 2023, </w:t>
      </w:r>
      <w:r>
        <w:rPr>
          <w:rFonts w:ascii="Times New Roman" w:hAnsi="Times New Roman"/>
          <w:caps w:val="false"/>
          <w:smallCaps w:val="false"/>
          <w:sz w:val="20"/>
        </w:rPr>
        <w:t>the Company entered into a Securities Purchase Agreement with Robert W. Duggan, the Company’s majority stockholder and Executive Chairman, pursuant to which the Company agreed to issue and sell to Mr. Duggan 10,022,937 shares of the Company’s common stock, par value $0.001 per share, in a Private Placement, at a price per share of $6.51. The parties completed the Private Placement on </w:t>
      </w:r>
      <w:r>
        <w:rPr>
          <w:rStyle w:val="Emphasis"/>
          <w:rFonts w:ascii="Times New Roman" w:hAnsi="Times New Roman"/>
          <w:caps w:val="false"/>
          <w:smallCaps w:val="false"/>
          <w:sz w:val="20"/>
        </w:rPr>
        <w:t xml:space="preserve"> May 9, 2023, </w:t>
      </w:r>
      <w:r>
        <w:rPr>
          <w:rFonts w:ascii="Times New Roman" w:hAnsi="Times New Roman"/>
          <w:caps w:val="false"/>
          <w:smallCaps w:val="false"/>
          <w:sz w:val="20"/>
        </w:rPr>
        <w:t>after satisfying all pre-closing conditions, and the Company issued the full number of shares to Mr. Duggan. The shares were paid for through the cancellation of the principal sum of $65.0 million borrowed by the Company pursuant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(See Note </w:t>
      </w:r>
      <w:r>
        <w:rPr>
          <w:rStyle w:val="Emphasis"/>
          <w:rFonts w:ascii="Times New Roman" w:hAnsi="Times New Roman"/>
          <w:caps w:val="false"/>
          <w:smallCaps w:val="false"/>
          <w:sz w:val="20"/>
        </w:rPr>
        <w:t>8</w:t>
      </w:r>
      <w:r>
        <w:rPr>
          <w:rFonts w:ascii="Times New Roman" w:hAnsi="Times New Roman"/>
          <w:caps w:val="false"/>
          <w:smallCaps w:val="false"/>
          <w:sz w:val="20"/>
        </w:rPr>
        <w:t>), together with all accrued and unpaid interest outstanding owed at the time of closing.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June 9,</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completed a rights offering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resulting in the sale of 7,317,072 units (the “Units”), at a price of $2.05 per Unit, with each Unit consisting of one share of the Company’s common stock, par value $0.001 per share, and one warrant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one share of common stock at a price of $2.05 per share. The common stock and warrants comprising the Units separated upon the closing of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and were issued individually. 7,317,072 shares of common stock and warrants to acquire up to an additional 7,317,072 shares of common stock were issued in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received aggregate gross proceeds from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of $15 million. In </w:t>
      </w:r>
      <w:r>
        <w:rPr>
          <w:rStyle w:val="Emphasis"/>
          <w:rFonts w:ascii="Times New Roman" w:hAnsi="Times New Roman"/>
          <w:caps w:val="false"/>
          <w:smallCaps w:val="false"/>
          <w:sz w:val="20"/>
        </w:rPr>
        <w:t xml:space="preserve">May 2023, </w:t>
      </w:r>
      <w:r>
        <w:rPr>
          <w:rFonts w:ascii="Times New Roman" w:hAnsi="Times New Roman"/>
          <w:caps w:val="false"/>
          <w:smallCaps w:val="false"/>
          <w:sz w:val="20"/>
        </w:rPr>
        <w:t xml:space="preserve">the Company delivered an irrevocable notice of redemption to warrant holders and, on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 xml:space="preserve">it redeemed the last of the outstanding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at a price of $0.01 per warrant share. See the </w:t>
      </w:r>
      <w:r>
        <w:rPr>
          <w:rFonts w:ascii="Times New Roman" w:hAnsi="Times New Roman"/>
          <w:i/>
          <w:caps w:val="false"/>
          <w:smallCaps w:val="false"/>
          <w:sz w:val="20"/>
        </w:rPr>
        <w:t xml:space="preserve">Common Stock Warrants </w:t>
      </w:r>
      <w:r>
        <w:rPr>
          <w:rFonts w:ascii="Times New Roman" w:hAnsi="Times New Roman"/>
          <w:caps w:val="false"/>
          <w:smallCaps w:val="false"/>
          <w:sz w:val="20"/>
        </w:rPr>
        <w:t xml:space="preserve">section below for further details. Robert W. Duggan, the Company’s majority stockholder and Executive Chairman, purchased approximately 56% of the shares offered through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At-the-Market Equity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February 4,</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2021,</w:t>
      </w:r>
      <w:r>
        <w:rPr>
          <w:rFonts w:ascii="Times New Roman" w:hAnsi="Times New Roman"/>
          <w:caps w:val="false"/>
          <w:smallCaps w:val="false"/>
          <w:sz w:val="20"/>
        </w:rPr>
        <w:t xml:space="preserve"> the Company entered into a sales agreement (the “Sales Agreement”) with Stifel, Nicolaus &amp; Company, Inc. (“Stifel”) as sales agent, pursuant to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and sell, from time to time, through Stifel, up to $60.0 million in shares of common stock, by any method permitted by law deemed to be an “at-the-market”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promulgated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obligation to make any sales of its common stock pursuant to such Sales Agreement.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 or sell any shares of common stock under the Sales Agreement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Common Stock</w:t>
      </w:r>
      <w:r>
        <w:rPr>
          <w:rFonts w:ascii="Times New Roman" w:hAnsi="Times New Roman"/>
          <w:caps w:val="false"/>
          <w:smallCaps w:val="false"/>
          <w:sz w:val="20"/>
        </w:rPr>
        <w:t xml:space="preserve"> </w:t>
      </w:r>
      <w:r>
        <w:rPr>
          <w:rFonts w:ascii="Times New Roman" w:hAnsi="Times New Roman"/>
          <w:b/>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the Company issued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to purchase a total of 7,317,072 shares of its common stock at an exercise price of $2.05.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were subject to redemption by the Company for $0.01 per underlying share of common stock, on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less than 30 days written notice, if the volume weighted average price of the Company’s common stock equals or exceeds 200% of the exercise price for the warrants, subject to adjustment, per share, for 20 consecutive trading days, provided that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redeem the warrants prior to the date that is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after the issuance date. On </w:t>
      </w:r>
      <w:r>
        <w:rPr>
          <w:rStyle w:val="Emphasis"/>
          <w:rFonts w:ascii="Times New Roman" w:hAnsi="Times New Roman"/>
          <w:caps w:val="false"/>
          <w:smallCaps w:val="false"/>
          <w:sz w:val="20"/>
        </w:rPr>
        <w:t xml:space="preserve">May 10, 2023, </w:t>
      </w:r>
      <w:r>
        <w:rPr>
          <w:rFonts w:ascii="Times New Roman" w:hAnsi="Times New Roman"/>
          <w:caps w:val="false"/>
          <w:smallCaps w:val="false"/>
          <w:sz w:val="20"/>
        </w:rPr>
        <w:t xml:space="preserve">the Company issued a press release announcing that 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the terms for warrant redemption had been met. Pursuant to the redemption, the Company redeemed 66,175 warrants on the redemption date, </w:t>
      </w:r>
      <w:r>
        <w:rPr>
          <w:rStyle w:val="Emphasis"/>
          <w:rFonts w:ascii="Times New Roman" w:hAnsi="Times New Roman"/>
          <w:caps w:val="false"/>
          <w:smallCaps w:val="false"/>
          <w:sz w:val="20"/>
        </w:rPr>
        <w:t xml:space="preserve">June 16, 2023. </w:t>
      </w:r>
      <w:r>
        <w:rPr>
          <w:rFonts w:ascii="Times New Roman" w:hAnsi="Times New Roman"/>
          <w:caps w:val="false"/>
          <w:smallCaps w:val="false"/>
          <w:sz w:val="20"/>
        </w:rPr>
        <w:t>Prior to the redemption date, warrants to purchase 7,250,897 shares were exercised, generating approximately $14.9 million of total gross proceeds to the Company. As of </w:t>
      </w:r>
      <w:r>
        <w:rPr>
          <w:rStyle w:val="Emphasis"/>
          <w:rFonts w:ascii="Times New Roman" w:hAnsi="Times New Roman"/>
          <w:caps w:val="false"/>
          <w:smallCaps w:val="false"/>
          <w:sz w:val="20"/>
        </w:rPr>
        <w:t xml:space="preserve"> June 30, 2023, </w:t>
      </w:r>
      <w:r>
        <w:rPr>
          <w:rFonts w:ascii="Times New Roman" w:hAnsi="Times New Roman"/>
          <w:caps w:val="false"/>
          <w:smallCaps w:val="false"/>
          <w:sz w:val="20"/>
        </w:rPr>
        <w:t>there were no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Rights Offering Warrants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Equity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Equity Incentive Plan and </w:t>
      </w: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Inducement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of Directors of the Company (the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determine. Subject to an annual evergreen increase and adjustment in the case of certain capitalization events, the Company initially reserved 1,500,000 shares of the Company’s common stock for issuance pursuant to awards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 addition, shares remaining available under the Company’s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Equity Incentive Plan, as amended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and shares reserved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issued pursuant to outstanding equity awards that expire or terminate without being exercised or that are forfeited or repurchased by the Company will be added to the shares of common stock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is administered by the Board’s Compensation Committee. </w:t>
      </w:r>
      <w:r>
        <w:rPr>
          <w:rFonts w:cs="Times New Roman"/>
          <w:caps w:val="false"/>
          <w:smallCaps w:val="false"/>
          <w:szCs w:val="20"/>
        </w:rPr>
        <w:t>﻿</w:t>
      </w:r>
      <w:r>
        <w:rPr>
          <w:rFonts w:ascii="Times New Roman" w:hAnsi="Times New Roman"/>
          <w:caps w:val="false"/>
          <w:smallCaps w:val="false"/>
          <w:sz w:val="20"/>
        </w:rPr>
        <w:t xml:space="preserve">Effective </w:t>
      </w:r>
      <w:r>
        <w:rPr>
          <w:rStyle w:val="Emphasis"/>
          <w:rFonts w:ascii="Times New Roman" w:hAnsi="Times New Roman"/>
          <w:caps w:val="false"/>
          <w:smallCaps w:val="false"/>
          <w:sz w:val="20"/>
        </w:rPr>
        <w:t>January 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the number of shares of common stock available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increased automatically by 1,200,000 shares pursuant to the evergreen provision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which provides that the number of shares available to grant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will increase each year by the lesser of (i) 1,200,000 shares, (ii) 4% of the Company’s common stock outstanding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immediately preceding year, or (iii) such number of shares as determined by the Board.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1,740,008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2017, </w:t>
      </w:r>
      <w:r>
        <w:rPr>
          <w:rFonts w:ascii="Times New Roman" w:hAnsi="Times New Roman"/>
          <w:caps w:val="false"/>
          <w:smallCaps w:val="false"/>
          <w:sz w:val="20"/>
        </w:rPr>
        <w:t xml:space="preserve">the Board adopted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Inducement Equity Incentive Plan (the “Inducement Plan”) and reserved 1,000,000 shares of the Company’s common stock for issuance pursuant to equity awards granted under the Inducement Plan. The Inducement Plan was adopted without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Inducement Plan has a 10-year term and provides for the grant of equity-based awards, including nonstatutory stock options, restricted stock units, restricted stock, stock appreciation rights, performance shares and performance units, and its terms are substantially similar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including with respect to treatment of equity awards in the event of a “merger” or “change in control” as defined under the Inducement Plan. Options issued under the Inducement Plan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term up to ten years and have variable vesting provisions. New hire grants generally vest 25% per year starting upon the first anniversary of the grant. Equity-based awards issued under the Inducement Plan are only issuable to individuals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previously engaged as employees or as non-employee directors of the Company prior to the Inducement Plan’s adoption date.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Board approved an amendment to the Inducement Plan to reserve an additional 1,000,000 shares of the Company’s common stock for issuance pursuant to the Inducement Plan.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1,244,626 shares of common stock remained available for issuance under the Inducement Plan.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92"/>
        <w:gridCol w:w="1325"/>
        <w:gridCol w:w="80"/>
        <w:gridCol w:w="60"/>
        <w:gridCol w:w="525"/>
        <w:gridCol w:w="2037"/>
        <w:gridCol w:w="60"/>
        <w:gridCol w:w="60"/>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5,250,696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6.24</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2,242,386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(165,394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(426,773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2023</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6,888,015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7.40</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2023</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3,589,647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5.58</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Time-based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awards time-based options which vest and become exercisable, subject to the individual’s continued employment or service through the applicable vesting date. Time-based options can have various vesting schedules, most commonly new hire grants which generally vest 25% per year starting upon the first anniversary of the grant.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time-based stock option activity under the </w:t>
      </w:r>
      <w:r>
        <w:rPr>
          <w:rStyle w:val="Emphasis"/>
          <w:rFonts w:ascii="Times New Roman" w:hAnsi="Times New Roman"/>
          <w:caps w:val="false"/>
          <w:smallCaps w:val="false"/>
          <w:sz w:val="20"/>
        </w:rPr>
        <w:t>2015</w:t>
      </w:r>
      <w:r>
        <w:rPr>
          <w:rFonts w:ascii="Times New Roman" w:hAnsi="Times New Roman"/>
          <w:caps w:val="false"/>
          <w:smallCaps w:val="false"/>
          <w:sz w:val="20"/>
        </w:rPr>
        <w:t xml:space="preserve"> Plan,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92"/>
        <w:gridCol w:w="1325"/>
        <w:gridCol w:w="80"/>
        <w:gridCol w:w="60"/>
        <w:gridCol w:w="525"/>
        <w:gridCol w:w="2037"/>
        <w:gridCol w:w="60"/>
        <w:gridCol w:w="60"/>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4,730,394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6.16</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442,386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(12,900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(127,894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(348,601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2023</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4,683,385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6.48</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2023</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3,372,083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5.52</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time-based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was $2.0 million.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Performance-based Options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performance conditions related to certain financial measures and achievements of strategic/operational milestones. The options will vest and become exercisable once the specific performance condition is fulfilled.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 summary of the performance-based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is presented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60"/>
        <w:gridCol w:w="92"/>
        <w:gridCol w:w="1325"/>
        <w:gridCol w:w="80"/>
        <w:gridCol w:w="60"/>
        <w:gridCol w:w="525"/>
        <w:gridCol w:w="2037"/>
        <w:gridCol w:w="60"/>
        <w:gridCol w:w="60"/>
        <w:gridCol w:w="454"/>
        <w:gridCol w:w="2889"/>
        <w:gridCol w:w="64"/>
      </w:tblGrid>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Stock Options Outstanding</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1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Number of 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Weighted average remaining life (in years)</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lef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2"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(37,500</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ind w:left="0" w:right="0" w:hanging="0"/>
              <w:jc w:val="left"/>
              <w:rPr/>
            </w:pPr>
            <w:r>
              <w:rPr/>
              <w:t> </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jc w:val="left"/>
              <w:rPr/>
            </w:pPr>
            <w:r>
              <w:rPr/>
              <w:t> </w:t>
            </w:r>
          </w:p>
        </w:tc>
        <w:tc>
          <w:tcPr>
            <w:tcW w:w="2889" w:type="dxa"/>
            <w:tcBorders/>
            <w:shd w:fill="FFFFFF" w:val="clear"/>
            <w:vAlign w:val="center"/>
          </w:tcPr>
          <w:p>
            <w:pPr>
              <w:pStyle w:val="TableContents"/>
              <w:bidi w:val="0"/>
              <w:spacing w:before="0" w:after="283"/>
              <w:jc w:val="right"/>
              <w:rPr/>
            </w:pPr>
            <w:r>
              <w:rPr>
                <w:rStyle w:val="Emphasis"/>
              </w:rPr>
              <w:t> </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(78,172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283"/>
              <w:jc w:val="left"/>
              <w:rPr/>
            </w:pPr>
            <w:r>
              <w:rPr/>
              <w:t> </w:t>
            </w:r>
          </w:p>
        </w:tc>
        <w:tc>
          <w:tcPr>
            <w:tcW w:w="525" w:type="dxa"/>
            <w:tcBorders/>
            <w:shd w:fill="CCEEFF" w:val="clear"/>
            <w:vAlign w:val="center"/>
          </w:tcPr>
          <w:p>
            <w:pPr>
              <w:pStyle w:val="TableContents"/>
              <w:bidi w:val="0"/>
              <w:spacing w:before="0" w:after="283"/>
              <w:ind w:left="0" w:right="0" w:hanging="0"/>
              <w:jc w:val="left"/>
              <w:rPr/>
            </w:pPr>
            <w:r>
              <w:rPr/>
              <w:t> </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jc w:val="left"/>
              <w:rPr/>
            </w:pPr>
            <w:r>
              <w:rPr/>
              <w:t> </w:t>
            </w:r>
          </w:p>
        </w:tc>
        <w:tc>
          <w:tcPr>
            <w:tcW w:w="2889" w:type="dxa"/>
            <w:tcBorders/>
            <w:shd w:fill="CCEEFF" w:val="clear"/>
            <w:vAlign w:val="center"/>
          </w:tcPr>
          <w:p>
            <w:pPr>
              <w:pStyle w:val="TableContents"/>
              <w:bidi w:val="0"/>
              <w:spacing w:before="0" w:after="283"/>
              <w:jc w:val="right"/>
              <w:rPr/>
            </w:pPr>
            <w:r>
              <w:rPr>
                <w:rStyle w:val="Emphasis"/>
              </w:rPr>
              <w:t> </w:t>
            </w:r>
          </w:p>
        </w:tc>
        <w:tc>
          <w:tcPr>
            <w:tcW w:w="64" w:type="dxa"/>
            <w:tcBorders/>
            <w:shd w:fill="CCEEFF" w:val="clear"/>
            <w:vAlign w:val="center"/>
          </w:tcPr>
          <w:p>
            <w:pPr>
              <w:pStyle w:val="TableContents"/>
              <w:bidi w:val="0"/>
              <w:spacing w:before="0" w:after="283"/>
              <w:jc w:val="left"/>
              <w:rPr/>
            </w:pPr>
            <w:r>
              <w:rPr/>
              <w:t> </w:t>
            </w:r>
          </w:p>
        </w:tc>
      </w:tr>
      <w:tr>
        <w:trPr/>
        <w:tc>
          <w:tcPr>
            <w:tcW w:w="2499"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2023</w:t>
            </w:r>
          </w:p>
        </w:tc>
        <w:tc>
          <w:tcPr>
            <w:tcW w:w="60" w:type="dxa"/>
            <w:tcBorders/>
            <w:shd w:fill="FFFFFF" w:val="clear"/>
            <w:vAlign w:val="center"/>
          </w:tcPr>
          <w:p>
            <w:pPr>
              <w:pStyle w:val="TableContents"/>
              <w:bidi w:val="0"/>
              <w:spacing w:before="0" w:after="283"/>
              <w:jc w:val="left"/>
              <w:rPr/>
            </w:pPr>
            <w:r>
              <w:rPr/>
              <w:t> </w:t>
            </w:r>
          </w:p>
        </w:tc>
        <w:tc>
          <w:tcPr>
            <w:tcW w:w="9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1,204,630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4" w:type="dxa"/>
            <w:tcBorders/>
            <w:shd w:fill="FFFFFF" w:val="clear"/>
            <w:vAlign w:val="center"/>
          </w:tcPr>
          <w:p>
            <w:pPr>
              <w:pStyle w:val="TableContents"/>
              <w:bidi w:val="0"/>
              <w:spacing w:before="0" w:after="283"/>
              <w:ind w:left="0" w:right="0" w:hanging="0"/>
              <w:jc w:val="left"/>
              <w:rPr/>
            </w:pPr>
            <w:r>
              <w:rPr/>
              <w:t> </w:t>
            </w:r>
          </w:p>
        </w:tc>
        <w:tc>
          <w:tcPr>
            <w:tcW w:w="288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8.93</w:t>
            </w:r>
          </w:p>
        </w:tc>
        <w:tc>
          <w:tcPr>
            <w:tcW w:w="64" w:type="dxa"/>
            <w:tcBorders/>
            <w:shd w:fill="FFFFFF" w:val="clear"/>
            <w:vAlign w:val="center"/>
          </w:tcPr>
          <w:p>
            <w:pPr>
              <w:pStyle w:val="TableContents"/>
              <w:bidi w:val="0"/>
              <w:spacing w:before="0" w:after="283"/>
              <w:jc w:val="left"/>
              <w:rPr/>
            </w:pPr>
            <w:r>
              <w:rPr/>
              <w:t> </w:t>
            </w:r>
          </w:p>
        </w:tc>
      </w:tr>
      <w:tr>
        <w:trPr/>
        <w:tc>
          <w:tcPr>
            <w:tcW w:w="2499"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2023</w:t>
            </w:r>
          </w:p>
        </w:tc>
        <w:tc>
          <w:tcPr>
            <w:tcW w:w="60" w:type="dxa"/>
            <w:tcBorders/>
            <w:shd w:fill="CCEEFF" w:val="clear"/>
            <w:vAlign w:val="center"/>
          </w:tcPr>
          <w:p>
            <w:pPr>
              <w:pStyle w:val="TableContents"/>
              <w:bidi w:val="0"/>
              <w:spacing w:before="0" w:after="283"/>
              <w:jc w:val="left"/>
              <w:rPr/>
            </w:pPr>
            <w:r>
              <w:rPr/>
              <w:t> </w:t>
            </w:r>
          </w:p>
        </w:tc>
        <w:tc>
          <w:tcPr>
            <w:tcW w:w="9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217,564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20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4" w:type="dxa"/>
            <w:tcBorders/>
            <w:shd w:fill="CCEEFF" w:val="clear"/>
            <w:vAlign w:val="center"/>
          </w:tcPr>
          <w:p>
            <w:pPr>
              <w:pStyle w:val="TableContents"/>
              <w:bidi w:val="0"/>
              <w:spacing w:before="0" w:after="283"/>
              <w:ind w:left="0" w:right="0" w:hanging="0"/>
              <w:jc w:val="left"/>
              <w:rPr/>
            </w:pPr>
            <w:r>
              <w:rPr/>
              <w:t> </w:t>
            </w:r>
          </w:p>
        </w:tc>
        <w:tc>
          <w:tcPr>
            <w:tcW w:w="288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6.47</w:t>
            </w:r>
          </w:p>
        </w:tc>
        <w:tc>
          <w:tcPr>
            <w:tcW w:w="6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performance-based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was $1.9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Market-based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Certain stock options awarded by the Company contain market conditions related to achievement of certain market capitalization targets. The options will vest and become exercisable once the specific market capitalization targets are fulfilled.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A summary of the market-based option activity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Plan and Inducement Plan for the </w:t>
      </w:r>
      <w:r>
        <w:rPr>
          <w:rStyle w:val="Emphasis"/>
          <w:rFonts w:ascii="Times New Roman" w:hAnsi="Times New Roman"/>
          <w:caps w:val="false"/>
          <w:smallCaps w:val="false"/>
          <w:sz w:val="20"/>
        </w:rPr>
        <w:t>six</w:t>
      </w:r>
      <w:r>
        <w:rPr>
          <w:rFonts w:ascii="Times New Roman" w:hAnsi="Times New Roman"/>
          <w:caps w:val="false"/>
          <w:smallCaps w:val="false"/>
          <w:sz w:val="20"/>
        </w:rPr>
        <w:t>-months ended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is presented below:</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2"/>
        <w:gridCol w:w="60"/>
        <w:gridCol w:w="94"/>
        <w:gridCol w:w="1346"/>
        <w:gridCol w:w="64"/>
        <w:gridCol w:w="64"/>
        <w:gridCol w:w="635"/>
        <w:gridCol w:w="1938"/>
        <w:gridCol w:w="64"/>
        <w:gridCol w:w="64"/>
        <w:gridCol w:w="456"/>
        <w:gridCol w:w="2903"/>
        <w:gridCol w:w="65"/>
      </w:tblGrid>
      <w:tr>
        <w:trPr/>
        <w:tc>
          <w:tcPr>
            <w:tcW w:w="24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62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Stock Options Outstanding</w:t>
            </w:r>
          </w:p>
        </w:tc>
        <w:tc>
          <w:tcPr>
            <w:tcW w:w="65" w:type="dxa"/>
            <w:tcBorders/>
            <w:vAlign w:val="center"/>
          </w:tcPr>
          <w:p>
            <w:pPr>
              <w:pStyle w:val="TableContents"/>
              <w:bidi w:val="0"/>
              <w:spacing w:before="0" w:after="283"/>
              <w:jc w:val="left"/>
              <w:rPr/>
            </w:pPr>
            <w:r>
              <w:rPr/>
              <w:t> </w:t>
            </w:r>
          </w:p>
        </w:tc>
      </w:tr>
      <w:tr>
        <w:trPr/>
        <w:tc>
          <w:tcPr>
            <w:tcW w:w="245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shares</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25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exercise price</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33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remaining life (in years)</w:t>
            </w:r>
          </w:p>
        </w:tc>
        <w:tc>
          <w:tcPr>
            <w:tcW w:w="65" w:type="dxa"/>
            <w:tcBorders/>
            <w:vAlign w:val="center"/>
          </w:tcPr>
          <w:p>
            <w:pPr>
              <w:pStyle w:val="TableContents"/>
              <w:bidi w:val="0"/>
              <w:spacing w:before="0" w:after="283"/>
              <w:jc w:val="left"/>
              <w:rPr/>
            </w:pPr>
            <w:r>
              <w:rPr/>
              <w:t> </w:t>
            </w:r>
          </w:p>
        </w:tc>
      </w:tr>
      <w:tr>
        <w:trPr/>
        <w:tc>
          <w:tcPr>
            <w:tcW w:w="24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December 31, 2022</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0"/>
              <w:jc w:val="left"/>
              <w:rPr/>
            </w:pPr>
            <w:r>
              <w:rPr/>
              <w:t> </w:t>
            </w:r>
          </w:p>
        </w:tc>
        <w:tc>
          <w:tcPr>
            <w:tcW w:w="2903"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r>
        <w:trPr/>
        <w:tc>
          <w:tcPr>
            <w:tcW w:w="245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granted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ind w:left="0" w:right="0" w:hanging="0"/>
              <w:jc w:val="left"/>
              <w:rPr/>
            </w:pPr>
            <w:r>
              <w:rPr/>
              <w:t> </w:t>
            </w:r>
          </w:p>
        </w:tc>
        <w:tc>
          <w:tcPr>
            <w:tcW w:w="193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2903" w:type="dxa"/>
            <w:tcBorders/>
            <w:shd w:fill="FFFFFF" w:val="clear"/>
            <w:vAlign w:val="center"/>
          </w:tcPr>
          <w:p>
            <w:pPr>
              <w:pStyle w:val="TableContents"/>
              <w:bidi w:val="0"/>
              <w:spacing w:before="0" w:after="283"/>
              <w:jc w:val="righ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24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exercised</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46"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ind w:left="0" w:right="0" w:hanging="0"/>
              <w:jc w:val="left"/>
              <w:rPr/>
            </w:pPr>
            <w:r>
              <w:rPr/>
              <w:t> </w:t>
            </w:r>
          </w:p>
        </w:tc>
        <w:tc>
          <w:tcPr>
            <w:tcW w:w="193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2903" w:type="dxa"/>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245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canceled</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46"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ind w:left="0" w:right="0" w:hanging="0"/>
              <w:jc w:val="left"/>
              <w:rPr/>
            </w:pPr>
            <w:r>
              <w:rPr/>
              <w:t> </w:t>
            </w:r>
          </w:p>
        </w:tc>
        <w:tc>
          <w:tcPr>
            <w:tcW w:w="1938"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left"/>
              <w:rPr/>
            </w:pPr>
            <w:r>
              <w:rPr/>
              <w:t> </w:t>
            </w:r>
          </w:p>
        </w:tc>
        <w:tc>
          <w:tcPr>
            <w:tcW w:w="2903" w:type="dxa"/>
            <w:tcBorders/>
            <w:shd w:fill="FFFFFF" w:val="clear"/>
            <w:vAlign w:val="center"/>
          </w:tcPr>
          <w:p>
            <w:pPr>
              <w:pStyle w:val="TableContents"/>
              <w:bidi w:val="0"/>
              <w:spacing w:before="0" w:after="283"/>
              <w:jc w:val="left"/>
              <w:rPr/>
            </w:pPr>
            <w:r>
              <w:rPr>
                <w:rStyle w:val="Emphasis"/>
              </w:rPr>
              <w:t> </w:t>
            </w:r>
          </w:p>
        </w:tc>
        <w:tc>
          <w:tcPr>
            <w:tcW w:w="65" w:type="dxa"/>
            <w:tcBorders/>
            <w:shd w:fill="FFFFFF" w:val="clear"/>
            <w:vAlign w:val="center"/>
          </w:tcPr>
          <w:p>
            <w:pPr>
              <w:pStyle w:val="TableContents"/>
              <w:bidi w:val="0"/>
              <w:spacing w:before="0" w:after="283"/>
              <w:jc w:val="left"/>
              <w:rPr/>
            </w:pPr>
            <w:r>
              <w:rPr/>
              <w:t> </w:t>
            </w:r>
          </w:p>
        </w:tc>
      </w:tr>
      <w:tr>
        <w:trPr/>
        <w:tc>
          <w:tcPr>
            <w:tcW w:w="24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expired</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ind w:left="0" w:right="0" w:hanging="0"/>
              <w:jc w:val="left"/>
              <w:rPr/>
            </w:pPr>
            <w:r>
              <w:rPr/>
              <w:t> </w:t>
            </w:r>
          </w:p>
        </w:tc>
        <w:tc>
          <w:tcPr>
            <w:tcW w:w="193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left"/>
              <w:rPr/>
            </w:pPr>
            <w:r>
              <w:rPr/>
              <w:t> </w:t>
            </w:r>
          </w:p>
        </w:tc>
        <w:tc>
          <w:tcPr>
            <w:tcW w:w="2903" w:type="dxa"/>
            <w:tcBorders/>
            <w:shd w:fill="CCEEFF" w:val="clear"/>
            <w:vAlign w:val="center"/>
          </w:tcPr>
          <w:p>
            <w:pPr>
              <w:pStyle w:val="TableContents"/>
              <w:bidi w:val="0"/>
              <w:spacing w:before="0" w:after="283"/>
              <w:jc w:val="left"/>
              <w:rPr/>
            </w:pPr>
            <w:r>
              <w:rPr>
                <w:rStyle w:val="Emphasis"/>
              </w:rPr>
              <w:t> </w:t>
            </w:r>
          </w:p>
        </w:tc>
        <w:tc>
          <w:tcPr>
            <w:tcW w:w="65" w:type="dxa"/>
            <w:tcBorders/>
            <w:shd w:fill="CCEEFF" w:val="clear"/>
            <w:vAlign w:val="center"/>
          </w:tcPr>
          <w:p>
            <w:pPr>
              <w:pStyle w:val="TableContents"/>
              <w:bidi w:val="0"/>
              <w:spacing w:before="0" w:after="283"/>
              <w:jc w:val="left"/>
              <w:rPr/>
            </w:pPr>
            <w:r>
              <w:rPr/>
              <w:t> </w:t>
            </w:r>
          </w:p>
        </w:tc>
      </w:tr>
      <w:tr>
        <w:trPr/>
        <w:tc>
          <w:tcPr>
            <w:tcW w:w="245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Balances — June 30, 2023</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1,000,000</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93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4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9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9.83</w:t>
            </w:r>
          </w:p>
        </w:tc>
        <w:tc>
          <w:tcPr>
            <w:tcW w:w="65" w:type="dxa"/>
            <w:tcBorders/>
            <w:shd w:fill="FFFFFF" w:val="clear"/>
            <w:vAlign w:val="center"/>
          </w:tcPr>
          <w:p>
            <w:pPr>
              <w:pStyle w:val="TableContents"/>
              <w:bidi w:val="0"/>
              <w:spacing w:before="0" w:after="283"/>
              <w:jc w:val="left"/>
              <w:rPr/>
            </w:pPr>
            <w:r>
              <w:rPr/>
              <w:t> </w:t>
            </w:r>
          </w:p>
        </w:tc>
      </w:tr>
      <w:tr>
        <w:trPr/>
        <w:tc>
          <w:tcPr>
            <w:tcW w:w="24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Exercisable — June 30, 2023</w:t>
            </w:r>
          </w:p>
        </w:tc>
        <w:tc>
          <w:tcPr>
            <w:tcW w:w="60" w:type="dxa"/>
            <w:tcBorders/>
            <w:shd w:fill="CCEEFF" w:val="clear"/>
            <w:vAlign w:val="center"/>
          </w:tcPr>
          <w:p>
            <w:pPr>
              <w:pStyle w:val="TableContents"/>
              <w:bidi w:val="0"/>
              <w:spacing w:before="0" w:after="283"/>
              <w:jc w:val="left"/>
              <w:rPr/>
            </w:pPr>
            <w:r>
              <w:rPr/>
              <w:t> </w:t>
            </w:r>
          </w:p>
        </w:tc>
        <w:tc>
          <w:tcPr>
            <w:tcW w:w="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ind w:left="0" w:right="0" w:hanging="0"/>
              <w:jc w:val="left"/>
              <w:rPr/>
            </w:pPr>
            <w:r>
              <w:rPr/>
              <w:t> </w:t>
            </w:r>
          </w:p>
        </w:tc>
        <w:tc>
          <w:tcPr>
            <w:tcW w:w="1938"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ind w:left="0" w:right="0" w:hanging="0"/>
              <w:jc w:val="left"/>
              <w:rPr/>
            </w:pPr>
            <w:r>
              <w:rPr/>
              <w:t> </w:t>
            </w:r>
          </w:p>
        </w:tc>
        <w:tc>
          <w:tcPr>
            <w:tcW w:w="2903"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 xml:space="preserve">The fair value of the market-based options granted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was $4.8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time-based and performance-based stock options on the grant date using the Black-Scholes option pricing model. The estimated fair value of these employee stock options is amortized on a straight-line basis over the requisite service period of the awards. The Company reviews, and when deemed appropriate, updates the assumptions used on a periodic basis. The fair value of time-based and performance-based stock options was estimated using the following weighted-average assumptions:</w:t>
      </w:r>
    </w:p>
    <w:p>
      <w:pPr>
        <w:pStyle w:val="TextBody"/>
        <w:bidi w:val="0"/>
        <w:spacing w:before="0" w:after="0"/>
        <w:ind w:left="0" w:right="0" w:hanging="0"/>
        <w:jc w:val="left"/>
        <w:rPr>
          <w:caps w:val="false"/>
          <w:smallCaps w:val="false"/>
        </w:rPr>
      </w:pPr>
      <w:r>
        <w:rPr>
          <w:caps w:val="false"/>
          <w:smallCaps w:val="false"/>
        </w:rPr>
        <w:t> </w:t>
      </w:r>
    </w:p>
    <w:tbl>
      <w:tblPr>
        <w:tblW w:w="6908" w:type="dxa"/>
        <w:jc w:val="left"/>
        <w:tblInd w:w="0" w:type="dxa"/>
        <w:tblLayout w:type="fixed"/>
        <w:tblCellMar>
          <w:top w:w="0" w:type="dxa"/>
          <w:left w:w="0" w:type="dxa"/>
          <w:bottom w:w="0" w:type="dxa"/>
          <w:right w:w="0" w:type="dxa"/>
        </w:tblCellMar>
      </w:tblPr>
      <w:tblGrid>
        <w:gridCol w:w="1865"/>
        <w:gridCol w:w="60"/>
        <w:gridCol w:w="81"/>
        <w:gridCol w:w="1255"/>
        <w:gridCol w:w="81"/>
        <w:gridCol w:w="81"/>
        <w:gridCol w:w="81"/>
        <w:gridCol w:w="927"/>
        <w:gridCol w:w="60"/>
        <w:gridCol w:w="60"/>
        <w:gridCol w:w="63"/>
        <w:gridCol w:w="975"/>
        <w:gridCol w:w="63"/>
        <w:gridCol w:w="63"/>
        <w:gridCol w:w="63"/>
        <w:gridCol w:w="1070"/>
        <w:gridCol w:w="60"/>
      </w:tblGrid>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81"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0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25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5.0 - 6.3</w:t>
            </w:r>
          </w:p>
        </w:tc>
        <w:tc>
          <w:tcPr>
            <w:tcW w:w="8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ind w:left="0" w:right="0" w:hanging="0"/>
              <w:jc w:val="center"/>
              <w:rPr/>
            </w:pPr>
            <w:r>
              <w:rPr/>
              <w:t> </w:t>
            </w:r>
          </w:p>
        </w:tc>
        <w:tc>
          <w:tcPr>
            <w:tcW w:w="927"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5.3 - 6.3</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ind w:left="0" w:right="0" w:hanging="0"/>
              <w:jc w:val="center"/>
              <w:rPr/>
            </w:pPr>
            <w:r>
              <w:rPr/>
              <w:t> </w:t>
            </w:r>
          </w:p>
        </w:tc>
        <w:tc>
          <w:tcPr>
            <w:tcW w:w="97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5.0 - 6.3</w:t>
            </w:r>
          </w:p>
        </w:tc>
        <w:tc>
          <w:tcPr>
            <w:tcW w:w="63"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ind w:left="0" w:right="0" w:hanging="0"/>
              <w:jc w:val="center"/>
              <w:rPr/>
            </w:pPr>
            <w:r>
              <w:rPr/>
              <w:t> </w:t>
            </w:r>
          </w:p>
        </w:tc>
        <w:tc>
          <w:tcPr>
            <w:tcW w:w="1070"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5.3 - 6.8</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25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 - 94%</w:t>
            </w:r>
          </w:p>
        </w:tc>
        <w:tc>
          <w:tcPr>
            <w:tcW w:w="81"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ind w:left="0" w:right="0" w:hanging="0"/>
              <w:jc w:val="center"/>
              <w:rPr/>
            </w:pPr>
            <w:r>
              <w:rPr/>
              <w:t> </w:t>
            </w:r>
          </w:p>
        </w:tc>
        <w:tc>
          <w:tcPr>
            <w:tcW w:w="927"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88%</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ind w:left="0" w:right="0" w:hanging="0"/>
              <w:jc w:val="center"/>
              <w:rPr/>
            </w:pPr>
            <w:r>
              <w:rPr/>
              <w:t> </w:t>
            </w:r>
          </w:p>
        </w:tc>
        <w:tc>
          <w:tcPr>
            <w:tcW w:w="975"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89% - 94%</w:t>
            </w:r>
          </w:p>
        </w:tc>
        <w:tc>
          <w:tcPr>
            <w:tcW w:w="63"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ind w:left="0" w:right="0" w:hanging="0"/>
              <w:jc w:val="center"/>
              <w:rPr/>
            </w:pPr>
            <w:r>
              <w:rPr/>
              <w:t> </w:t>
            </w:r>
          </w:p>
        </w:tc>
        <w:tc>
          <w:tcPr>
            <w:tcW w:w="107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83% - 88%</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125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3.8%</w:t>
            </w:r>
          </w:p>
        </w:tc>
        <w:tc>
          <w:tcPr>
            <w:tcW w:w="8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jc w:val="center"/>
              <w:rPr/>
            </w:pPr>
            <w:r>
              <w:rPr/>
              <w:t> </w:t>
            </w:r>
          </w:p>
        </w:tc>
        <w:tc>
          <w:tcPr>
            <w:tcW w:w="81" w:type="dxa"/>
            <w:tcBorders/>
            <w:shd w:fill="CCEEFF" w:val="clear"/>
            <w:vAlign w:val="center"/>
          </w:tcPr>
          <w:p>
            <w:pPr>
              <w:pStyle w:val="TableContents"/>
              <w:bidi w:val="0"/>
              <w:spacing w:before="0" w:after="283"/>
              <w:ind w:left="0" w:right="0" w:hanging="0"/>
              <w:jc w:val="center"/>
              <w:rPr/>
            </w:pPr>
            <w:r>
              <w:rPr/>
              <w:t> </w:t>
            </w:r>
          </w:p>
        </w:tc>
        <w:tc>
          <w:tcPr>
            <w:tcW w:w="927"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3.0%</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ind w:left="0" w:right="0" w:hanging="0"/>
              <w:jc w:val="center"/>
              <w:rPr/>
            </w:pPr>
            <w:r>
              <w:rPr/>
              <w:t> </w:t>
            </w:r>
          </w:p>
        </w:tc>
        <w:tc>
          <w:tcPr>
            <w:tcW w:w="975"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3.8%</w:t>
            </w:r>
          </w:p>
        </w:tc>
        <w:tc>
          <w:tcPr>
            <w:tcW w:w="63"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jc w:val="center"/>
              <w:rPr/>
            </w:pPr>
            <w:r>
              <w:rPr/>
              <w:t> </w:t>
            </w:r>
          </w:p>
        </w:tc>
        <w:tc>
          <w:tcPr>
            <w:tcW w:w="63" w:type="dxa"/>
            <w:tcBorders/>
            <w:shd w:fill="CCEEFF" w:val="clear"/>
            <w:vAlign w:val="center"/>
          </w:tcPr>
          <w:p>
            <w:pPr>
              <w:pStyle w:val="TableContents"/>
              <w:bidi w:val="0"/>
              <w:spacing w:before="0" w:after="283"/>
              <w:ind w:left="0" w:right="0" w:hanging="0"/>
              <w:jc w:val="center"/>
              <w:rPr/>
            </w:pPr>
            <w:r>
              <w:rPr/>
              <w:t> </w:t>
            </w:r>
          </w:p>
        </w:tc>
        <w:tc>
          <w:tcPr>
            <w:tcW w:w="107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1.9% - 3.0%</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1255" w:type="dxa"/>
            <w:tcBorders/>
            <w:shd w:fill="FFFFFF" w:val="clear"/>
            <w:vAlign w:val="center"/>
          </w:tcPr>
          <w:p>
            <w:pPr>
              <w:pStyle w:val="TableContents"/>
              <w:bidi w:val="0"/>
              <w:spacing w:before="0" w:after="283"/>
              <w:ind w:left="0" w:right="0" w:hanging="0"/>
              <w:jc w:val="center"/>
              <w:rPr/>
            </w:pPr>
            <w:r>
              <w:rPr/>
              <w:t>—</w:t>
            </w:r>
          </w:p>
        </w:tc>
        <w:tc>
          <w:tcPr>
            <w:tcW w:w="81"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jc w:val="center"/>
              <w:rPr/>
            </w:pPr>
            <w:r>
              <w:rPr/>
              <w:t> </w:t>
            </w:r>
          </w:p>
        </w:tc>
        <w:tc>
          <w:tcPr>
            <w:tcW w:w="81" w:type="dxa"/>
            <w:tcBorders/>
            <w:shd w:fill="FFFFFF" w:val="clear"/>
            <w:vAlign w:val="center"/>
          </w:tcPr>
          <w:p>
            <w:pPr>
              <w:pStyle w:val="TableContents"/>
              <w:bidi w:val="0"/>
              <w:spacing w:before="0" w:after="283"/>
              <w:ind w:left="0" w:right="0" w:hanging="0"/>
              <w:jc w:val="center"/>
              <w:rPr/>
            </w:pPr>
            <w:r>
              <w:rPr/>
              <w:t> </w:t>
            </w:r>
          </w:p>
        </w:tc>
        <w:tc>
          <w:tcPr>
            <w:tcW w:w="927"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ind w:left="0" w:right="0" w:hanging="0"/>
              <w:jc w:val="center"/>
              <w:rPr/>
            </w:pPr>
            <w:r>
              <w:rPr/>
              <w:t> </w:t>
            </w:r>
          </w:p>
        </w:tc>
        <w:tc>
          <w:tcPr>
            <w:tcW w:w="975" w:type="dxa"/>
            <w:tcBorders/>
            <w:shd w:fill="FFFFFF" w:val="clear"/>
            <w:vAlign w:val="center"/>
          </w:tcPr>
          <w:p>
            <w:pPr>
              <w:pStyle w:val="TableContents"/>
              <w:bidi w:val="0"/>
              <w:spacing w:before="0" w:after="283"/>
              <w:ind w:left="0" w:right="0" w:hanging="0"/>
              <w:jc w:val="center"/>
              <w:rPr/>
            </w:pPr>
            <w:r>
              <w:rPr/>
              <w:t>—</w:t>
            </w:r>
          </w:p>
        </w:tc>
        <w:tc>
          <w:tcPr>
            <w:tcW w:w="63"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jc w:val="center"/>
              <w:rPr/>
            </w:pPr>
            <w:r>
              <w:rPr/>
              <w:t> </w:t>
            </w:r>
          </w:p>
        </w:tc>
        <w:tc>
          <w:tcPr>
            <w:tcW w:w="63" w:type="dxa"/>
            <w:tcBorders/>
            <w:shd w:fill="FFFFFF" w:val="clear"/>
            <w:vAlign w:val="center"/>
          </w:tcPr>
          <w:p>
            <w:pPr>
              <w:pStyle w:val="TableContents"/>
              <w:bidi w:val="0"/>
              <w:spacing w:before="0" w:after="283"/>
              <w:ind w:left="0" w:right="0" w:hanging="0"/>
              <w:jc w:val="center"/>
              <w:rPr/>
            </w:pPr>
            <w:r>
              <w:rPr/>
              <w:t> </w:t>
            </w:r>
          </w:p>
        </w:tc>
        <w:tc>
          <w:tcPr>
            <w:tcW w:w="1070"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market-based stock options on the grant date using a Monte Carlo simulation model. The estimated fair value of these employee stock options is amortized over the requisite service period for each tranche of the awards. The requisite service period is the service period derived from the Monte Carlo simulation model. If the market capitalization targets are met sooner than the derived service period, the Company will accelerate the recognition of stock-based compensation expense to reflect the cumulative expense associated with the vested shares. The fair value of market-based stock options was estimated using the following weighted-average assumptions:</w:t>
      </w:r>
    </w:p>
    <w:p>
      <w:pPr>
        <w:pStyle w:val="TextBody"/>
        <w:bidi w:val="0"/>
        <w:spacing w:before="0" w:after="0"/>
        <w:ind w:left="0" w:right="0" w:hanging="0"/>
        <w:jc w:val="both"/>
        <w:rPr>
          <w:caps w:val="false"/>
          <w:smallCaps w:val="false"/>
        </w:rPr>
      </w:pPr>
      <w:r>
        <w:rPr>
          <w:caps w:val="false"/>
          <w:smallCaps w:val="false"/>
        </w:rPr>
        <w:t> </w:t>
      </w:r>
    </w:p>
    <w:tbl>
      <w:tblPr>
        <w:tblW w:w="6938" w:type="dxa"/>
        <w:jc w:val="left"/>
        <w:tblInd w:w="0" w:type="dxa"/>
        <w:tblLayout w:type="fixed"/>
        <w:tblCellMar>
          <w:top w:w="0" w:type="dxa"/>
          <w:left w:w="0" w:type="dxa"/>
          <w:bottom w:w="0" w:type="dxa"/>
          <w:right w:w="0" w:type="dxa"/>
        </w:tblCellMar>
      </w:tblPr>
      <w:tblGrid>
        <w:gridCol w:w="1865"/>
        <w:gridCol w:w="60"/>
        <w:gridCol w:w="129"/>
        <w:gridCol w:w="1463"/>
        <w:gridCol w:w="129"/>
        <w:gridCol w:w="129"/>
        <w:gridCol w:w="129"/>
        <w:gridCol w:w="559"/>
        <w:gridCol w:w="60"/>
        <w:gridCol w:w="60"/>
        <w:gridCol w:w="116"/>
        <w:gridCol w:w="1325"/>
        <w:gridCol w:w="116"/>
        <w:gridCol w:w="116"/>
        <w:gridCol w:w="116"/>
        <w:gridCol w:w="506"/>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ind w:left="0" w:right="0" w:hanging="0"/>
              <w:jc w:val="left"/>
              <w:rPr/>
            </w:pPr>
            <w:r>
              <w:rPr/>
              <w:t> </w:t>
            </w:r>
          </w:p>
        </w:tc>
        <w:tc>
          <w:tcPr>
            <w:tcW w:w="6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ind w:left="0" w:right="0" w:hanging="0"/>
              <w:jc w:val="left"/>
              <w:rPr/>
            </w:pPr>
            <w:r>
              <w:rPr/>
              <w:t> </w:t>
            </w:r>
          </w:p>
        </w:tc>
        <w:tc>
          <w:tcPr>
            <w:tcW w:w="6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46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4.4 - 5.9</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4.4 - 5.9</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463"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90%</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90%</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1463"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3.4%</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ind w:left="0" w:right="0" w:hanging="0"/>
              <w:jc w:val="left"/>
              <w:rPr/>
            </w:pPr>
            <w:r>
              <w:rPr/>
              <w:t> </w:t>
            </w:r>
          </w:p>
        </w:tc>
        <w:tc>
          <w:tcPr>
            <w:tcW w:w="559"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132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3.4%</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center"/>
              <w:rPr/>
            </w:pPr>
            <w:r>
              <w:rPr/>
              <w:t>—</w:t>
            </w:r>
          </w:p>
        </w:tc>
        <w:tc>
          <w:tcPr>
            <w:tcW w:w="60" w:type="dxa"/>
            <w:tcBorders/>
            <w:shd w:fill="CCEEFF" w:val="clear"/>
            <w:vAlign w:val="center"/>
          </w:tcPr>
          <w:p>
            <w:pPr>
              <w:pStyle w:val="TableContents"/>
              <w:bidi w:val="0"/>
              <w:spacing w:before="0" w:after="283"/>
              <w:jc w:val="left"/>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1463" w:type="dxa"/>
            <w:tcBorders/>
            <w:shd w:fill="FFFFFF" w:val="clear"/>
            <w:vAlign w:val="center"/>
          </w:tcPr>
          <w:p>
            <w:pPr>
              <w:pStyle w:val="TableContents"/>
              <w:bidi w:val="0"/>
              <w:spacing w:before="0" w:after="283"/>
              <w:ind w:left="0" w:right="0" w:hanging="0"/>
              <w:jc w:val="center"/>
              <w:rPr/>
            </w:pPr>
            <w:r>
              <w:rPr/>
              <w:t>—</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59"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1325" w:type="dxa"/>
            <w:tcBorders/>
            <w:shd w:fill="FFFFFF" w:val="clear"/>
            <w:vAlign w:val="center"/>
          </w:tcPr>
          <w:p>
            <w:pPr>
              <w:pStyle w:val="TableContents"/>
              <w:bidi w:val="0"/>
              <w:spacing w:before="0" w:after="283"/>
              <w:ind w:left="0" w:right="0" w:hanging="0"/>
              <w:jc w:val="center"/>
              <w:rPr/>
            </w:pPr>
            <w:r>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506"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2017</w:t>
      </w:r>
      <w:r>
        <w:rPr>
          <w:rFonts w:ascii="Times New Roman" w:hAnsi="Times New Roman"/>
          <w:b/>
          <w:i/>
          <w:caps w:val="false"/>
          <w:smallCaps w:val="false"/>
          <w:sz w:val="20"/>
        </w:rPr>
        <w:t xml:space="preserve"> Employee Stock Purchase Plan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Board previously adopted, and the Company's stockholders approved, the Company’s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Employee Stock Purchase Plan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were available for purchase at adoption of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Pursuant to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the annual share increase pursuant to the evergreen provision is determined based on the least of (i) 450,000 shares, (ii) 1.5% of the Company’s common stock outstanding at </w:t>
      </w:r>
      <w:r>
        <w:rPr>
          <w:rStyle w:val="Emphasis"/>
          <w:rFonts w:ascii="Times New Roman" w:hAnsi="Times New Roman"/>
          <w:caps w:val="false"/>
          <w:smallCaps w:val="false"/>
          <w:sz w:val="20"/>
        </w:rPr>
        <w:t>December 31</w:t>
      </w:r>
      <w:r>
        <w:rPr>
          <w:rFonts w:ascii="Times New Roman" w:hAnsi="Times New Roman"/>
          <w:caps w:val="false"/>
          <w:smallCaps w:val="false"/>
          <w:sz w:val="20"/>
        </w:rPr>
        <w:t xml:space="preserve"> of the immediately preceding year, or (iii) such number of shares as determined by the Board. The Board waived the evergreen provision for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shares were reserved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did not issue any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and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the Company issued 262,470 shares of common stock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198,529 shares of common stock remained available for issuance under the </w:t>
      </w:r>
      <w:r>
        <w:rPr>
          <w:rStyle w:val="Emphasis"/>
          <w:rFonts w:ascii="Times New Roman" w:hAnsi="Times New Roman"/>
          <w:caps w:val="false"/>
          <w:smallCaps w:val="false"/>
          <w:sz w:val="20"/>
        </w:rPr>
        <w:t>2017</w:t>
      </w:r>
      <w:r>
        <w:rPr>
          <w:rFonts w:ascii="Times New Roman" w:hAnsi="Times New Roman"/>
          <w:caps w:val="false"/>
          <w:smallCaps w:val="false"/>
          <w:sz w:val="20"/>
        </w:rPr>
        <w:t xml:space="preserve"> ESPP.</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estimates the fair value of ESPP grants on their grant date using the Black-Scholes option pricing model. The estimated fair value of ESPP grants is amortized on a straight-line basis over the requisite service period of the grants. The Company reviews, and when deemed appropriate, updates the assumptions used on a periodic basis. The Company utilizes its estimated volatility in the Black-Scholes option pricing model to determine the fair value of ESPP grants. The fair value of ESPP grants was estimated using the following weighted-average assumptions:</w:t>
      </w:r>
    </w:p>
    <w:p>
      <w:pPr>
        <w:pStyle w:val="TextBody"/>
        <w:bidi w:val="0"/>
        <w:spacing w:before="0" w:after="0"/>
        <w:ind w:left="0" w:right="0" w:hanging="0"/>
        <w:jc w:val="left"/>
        <w:rPr>
          <w:caps w:val="false"/>
          <w:smallCaps w:val="false"/>
        </w:rPr>
      </w:pPr>
      <w:r>
        <w:rPr>
          <w:caps w:val="false"/>
          <w:smallCaps w:val="false"/>
        </w:rPr>
        <w:t> </w:t>
      </w:r>
    </w:p>
    <w:tbl>
      <w:tblPr>
        <w:tblW w:w="6941" w:type="dxa"/>
        <w:jc w:val="left"/>
        <w:tblInd w:w="0" w:type="dxa"/>
        <w:tblLayout w:type="fixed"/>
        <w:tblCellMar>
          <w:top w:w="0" w:type="dxa"/>
          <w:left w:w="0" w:type="dxa"/>
          <w:bottom w:w="0" w:type="dxa"/>
          <w:right w:w="0" w:type="dxa"/>
        </w:tblCellMar>
      </w:tblPr>
      <w:tblGrid>
        <w:gridCol w:w="1865"/>
        <w:gridCol w:w="60"/>
        <w:gridCol w:w="67"/>
        <w:gridCol w:w="1135"/>
        <w:gridCol w:w="67"/>
        <w:gridCol w:w="67"/>
        <w:gridCol w:w="67"/>
        <w:gridCol w:w="1135"/>
        <w:gridCol w:w="60"/>
        <w:gridCol w:w="60"/>
        <w:gridCol w:w="61"/>
        <w:gridCol w:w="1027"/>
        <w:gridCol w:w="61"/>
        <w:gridCol w:w="61"/>
        <w:gridCol w:w="61"/>
        <w:gridCol w:w="1027"/>
        <w:gridCol w:w="60"/>
      </w:tblGrid>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60"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60" w:type="dxa"/>
            <w:tcBorders/>
            <w:vAlign w:val="center"/>
          </w:tcPr>
          <w:p>
            <w:pPr>
              <w:pStyle w:val="TableContents"/>
              <w:bidi w:val="0"/>
              <w:spacing w:before="0" w:after="283"/>
              <w:jc w:val="left"/>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67" w:type="dxa"/>
            <w:tcBorders/>
            <w:shd w:fill="CCEEFF" w:val="clear"/>
            <w:vAlign w:val="center"/>
          </w:tcPr>
          <w:p>
            <w:pPr>
              <w:pStyle w:val="TableContents"/>
              <w:bidi w:val="0"/>
              <w:spacing w:before="0" w:after="283"/>
              <w:jc w:val="center"/>
              <w:rPr/>
            </w:pPr>
            <w:r>
              <w:rPr/>
              <w:t> </w:t>
            </w:r>
          </w:p>
        </w:tc>
        <w:tc>
          <w:tcPr>
            <w:tcW w:w="67" w:type="dxa"/>
            <w:tcBorders/>
            <w:shd w:fill="CCEEFF" w:val="clear"/>
            <w:vAlign w:val="center"/>
          </w:tcPr>
          <w:p>
            <w:pPr>
              <w:pStyle w:val="TableContents"/>
              <w:bidi w:val="0"/>
              <w:spacing w:before="0" w:after="283"/>
              <w:jc w:val="center"/>
              <w:rPr/>
            </w:pPr>
            <w:r>
              <w:rPr/>
              <w:t> </w:t>
            </w:r>
          </w:p>
        </w:tc>
        <w:tc>
          <w:tcPr>
            <w:tcW w:w="67" w:type="dxa"/>
            <w:tcBorders/>
            <w:shd w:fill="CCEEFF" w:val="clear"/>
            <w:vAlign w:val="center"/>
          </w:tcPr>
          <w:p>
            <w:pPr>
              <w:pStyle w:val="TableContents"/>
              <w:bidi w:val="0"/>
              <w:spacing w:before="0" w:after="283"/>
              <w:ind w:left="0" w:right="0" w:hanging="0"/>
              <w:jc w:val="center"/>
              <w:rPr/>
            </w:pPr>
            <w:r>
              <w:rPr/>
              <w:t> </w:t>
            </w:r>
          </w:p>
        </w:tc>
        <w:tc>
          <w:tcPr>
            <w:tcW w:w="113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ind w:left="0" w:right="0" w:hanging="0"/>
              <w:jc w:val="center"/>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ind w:left="0" w:right="0" w:hanging="0"/>
              <w:jc w:val="center"/>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0.5 - 1.0</w:t>
            </w:r>
          </w:p>
        </w:tc>
        <w:tc>
          <w:tcPr>
            <w:tcW w:w="60" w:type="dxa"/>
            <w:tcBorders/>
            <w:shd w:fill="CCEEFF" w:val="clear"/>
            <w:vAlign w:val="center"/>
          </w:tcPr>
          <w:p>
            <w:pPr>
              <w:pStyle w:val="TableContents"/>
              <w:bidi w:val="0"/>
              <w:spacing w:before="0" w:after="283"/>
              <w:jc w:val="center"/>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60"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ind w:left="0" w:right="0" w:hanging="0"/>
              <w:jc w:val="center"/>
              <w:rPr/>
            </w:pPr>
            <w:r>
              <w:rPr/>
              <w:t> </w:t>
            </w:r>
          </w:p>
        </w:tc>
        <w:tc>
          <w:tcPr>
            <w:tcW w:w="113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67"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ind w:left="0" w:right="0" w:hanging="0"/>
              <w:jc w:val="center"/>
              <w:rPr/>
            </w:pPr>
            <w:r>
              <w:rPr/>
              <w:t> </w:t>
            </w:r>
          </w:p>
        </w:tc>
        <w:tc>
          <w:tcPr>
            <w:tcW w:w="1135"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ind w:left="0" w:right="0" w:hanging="0"/>
              <w:jc w:val="center"/>
              <w:rPr/>
            </w:pPr>
            <w:r>
              <w:rPr/>
              <w:t> </w:t>
            </w:r>
          </w:p>
        </w:tc>
        <w:tc>
          <w:tcPr>
            <w:tcW w:w="1027"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61"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ind w:left="0" w:right="0" w:hanging="0"/>
              <w:jc w:val="center"/>
              <w:rPr/>
            </w:pPr>
            <w:r>
              <w:rPr/>
              <w:t> </w:t>
            </w:r>
          </w:p>
        </w:tc>
        <w:tc>
          <w:tcPr>
            <w:tcW w:w="1027" w:type="dxa"/>
            <w:tcBorders/>
            <w:shd w:fill="FFFF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83%</w:t>
            </w:r>
          </w:p>
        </w:tc>
        <w:tc>
          <w:tcPr>
            <w:tcW w:w="60" w:type="dxa"/>
            <w:tcBorders/>
            <w:shd w:fill="FFFFFF" w:val="clear"/>
            <w:vAlign w:val="center"/>
          </w:tcPr>
          <w:p>
            <w:pPr>
              <w:pStyle w:val="TableContents"/>
              <w:bidi w:val="0"/>
              <w:spacing w:before="0" w:after="283"/>
              <w:jc w:val="center"/>
              <w:rPr/>
            </w:pPr>
            <w:r>
              <w:rPr/>
              <w:t> </w:t>
            </w:r>
          </w:p>
        </w:tc>
      </w:tr>
      <w:tr>
        <w:trPr/>
        <w:tc>
          <w:tcPr>
            <w:tcW w:w="18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interest rate</w:t>
            </w:r>
          </w:p>
        </w:tc>
        <w:tc>
          <w:tcPr>
            <w:tcW w:w="60" w:type="dxa"/>
            <w:tcBorders/>
            <w:shd w:fill="CCEEFF" w:val="clear"/>
            <w:vAlign w:val="center"/>
          </w:tcPr>
          <w:p>
            <w:pPr>
              <w:pStyle w:val="TableContents"/>
              <w:bidi w:val="0"/>
              <w:spacing w:before="0" w:after="283"/>
              <w:jc w:val="center"/>
              <w:rPr/>
            </w:pPr>
            <w:r>
              <w:rPr/>
              <w:t> </w:t>
            </w:r>
          </w:p>
        </w:tc>
        <w:tc>
          <w:tcPr>
            <w:tcW w:w="67" w:type="dxa"/>
            <w:tcBorders/>
            <w:shd w:fill="CCEEFF" w:val="clear"/>
            <w:vAlign w:val="center"/>
          </w:tcPr>
          <w:p>
            <w:pPr>
              <w:pStyle w:val="TableContents"/>
              <w:bidi w:val="0"/>
              <w:spacing w:before="0" w:after="283"/>
              <w:ind w:left="0" w:right="0" w:hanging="0"/>
              <w:jc w:val="center"/>
              <w:rPr/>
            </w:pPr>
            <w:r>
              <w:rPr/>
              <w:t> </w:t>
            </w:r>
          </w:p>
        </w:tc>
        <w:tc>
          <w:tcPr>
            <w:tcW w:w="113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 - 5.2%</w:t>
            </w:r>
          </w:p>
        </w:tc>
        <w:tc>
          <w:tcPr>
            <w:tcW w:w="67" w:type="dxa"/>
            <w:tcBorders/>
            <w:shd w:fill="CCEEFF" w:val="clear"/>
            <w:vAlign w:val="center"/>
          </w:tcPr>
          <w:p>
            <w:pPr>
              <w:pStyle w:val="TableContents"/>
              <w:bidi w:val="0"/>
              <w:spacing w:before="0" w:after="283"/>
              <w:jc w:val="center"/>
              <w:rPr/>
            </w:pPr>
            <w:r>
              <w:rPr/>
              <w:t> </w:t>
            </w:r>
          </w:p>
        </w:tc>
        <w:tc>
          <w:tcPr>
            <w:tcW w:w="67" w:type="dxa"/>
            <w:tcBorders/>
            <w:shd w:fill="CCEEFF" w:val="clear"/>
            <w:vAlign w:val="center"/>
          </w:tcPr>
          <w:p>
            <w:pPr>
              <w:pStyle w:val="TableContents"/>
              <w:bidi w:val="0"/>
              <w:spacing w:before="0" w:after="283"/>
              <w:jc w:val="center"/>
              <w:rPr/>
            </w:pPr>
            <w:r>
              <w:rPr/>
              <w:t> </w:t>
            </w:r>
          </w:p>
        </w:tc>
        <w:tc>
          <w:tcPr>
            <w:tcW w:w="67" w:type="dxa"/>
            <w:tcBorders/>
            <w:shd w:fill="CCEEFF" w:val="clear"/>
            <w:vAlign w:val="center"/>
          </w:tcPr>
          <w:p>
            <w:pPr>
              <w:pStyle w:val="TableContents"/>
              <w:bidi w:val="0"/>
              <w:spacing w:before="0" w:after="283"/>
              <w:ind w:left="0" w:right="0" w:hanging="0"/>
              <w:jc w:val="center"/>
              <w:rPr/>
            </w:pPr>
            <w:r>
              <w:rPr/>
              <w:t> </w:t>
            </w:r>
          </w:p>
        </w:tc>
        <w:tc>
          <w:tcPr>
            <w:tcW w:w="1135"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0.6% - 0.9%</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ind w:left="0" w:right="0" w:hanging="0"/>
              <w:jc w:val="center"/>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5.1% - 5.2%</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jc w:val="center"/>
              <w:rPr/>
            </w:pPr>
            <w:r>
              <w:rPr/>
              <w:t> </w:t>
            </w:r>
          </w:p>
        </w:tc>
        <w:tc>
          <w:tcPr>
            <w:tcW w:w="61" w:type="dxa"/>
            <w:tcBorders/>
            <w:shd w:fill="CCEEFF" w:val="clear"/>
            <w:vAlign w:val="center"/>
          </w:tcPr>
          <w:p>
            <w:pPr>
              <w:pStyle w:val="TableContents"/>
              <w:bidi w:val="0"/>
              <w:spacing w:before="0" w:after="283"/>
              <w:ind w:left="0" w:right="0" w:hanging="0"/>
              <w:jc w:val="center"/>
              <w:rPr/>
            </w:pPr>
            <w:r>
              <w:rPr/>
              <w:t> </w:t>
            </w:r>
          </w:p>
        </w:tc>
        <w:tc>
          <w:tcPr>
            <w:tcW w:w="1027" w:type="dxa"/>
            <w:tcBorders/>
            <w:shd w:fill="CCEEFF" w:val="clear"/>
            <w:vAlign w:val="center"/>
          </w:tcPr>
          <w:p>
            <w:pPr>
              <w:pStyle w:val="TableContents"/>
              <w:bidi w:val="0"/>
              <w:spacing w:before="0" w:after="283"/>
              <w:ind w:left="0" w:right="0" w:hanging="0"/>
              <w:jc w:val="center"/>
              <w:rPr>
                <w:rFonts w:ascii="Times New Roman" w:hAnsi="Times New Roman"/>
                <w:sz w:val="20"/>
              </w:rPr>
            </w:pPr>
            <w:r>
              <w:rPr>
                <w:rFonts w:ascii="Times New Roman" w:hAnsi="Times New Roman"/>
                <w:sz w:val="20"/>
              </w:rPr>
              <w:t>0.6% - 0.9%</w:t>
            </w:r>
          </w:p>
        </w:tc>
        <w:tc>
          <w:tcPr>
            <w:tcW w:w="60" w:type="dxa"/>
            <w:tcBorders/>
            <w:shd w:fill="CCEEFF" w:val="clear"/>
            <w:vAlign w:val="center"/>
          </w:tcPr>
          <w:p>
            <w:pPr>
              <w:pStyle w:val="TableContents"/>
              <w:bidi w:val="0"/>
              <w:spacing w:before="0" w:after="283"/>
              <w:jc w:val="center"/>
              <w:rPr/>
            </w:pPr>
            <w:r>
              <w:rPr/>
              <w:t> </w:t>
            </w:r>
          </w:p>
        </w:tc>
      </w:tr>
      <w:tr>
        <w:trPr/>
        <w:tc>
          <w:tcPr>
            <w:tcW w:w="18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60"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ind w:left="0" w:right="0" w:hanging="0"/>
              <w:jc w:val="center"/>
              <w:rPr/>
            </w:pPr>
            <w:r>
              <w:rPr/>
              <w:t> </w:t>
            </w:r>
          </w:p>
        </w:tc>
        <w:tc>
          <w:tcPr>
            <w:tcW w:w="1135" w:type="dxa"/>
            <w:tcBorders/>
            <w:shd w:fill="FFFFFF" w:val="clear"/>
            <w:vAlign w:val="center"/>
          </w:tcPr>
          <w:p>
            <w:pPr>
              <w:pStyle w:val="TableContents"/>
              <w:bidi w:val="0"/>
              <w:spacing w:before="0" w:after="283"/>
              <w:ind w:left="0" w:right="0" w:hanging="0"/>
              <w:jc w:val="center"/>
              <w:rPr/>
            </w:pPr>
            <w:r>
              <w:rPr/>
              <w:t>—</w:t>
            </w:r>
          </w:p>
        </w:tc>
        <w:tc>
          <w:tcPr>
            <w:tcW w:w="67"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jc w:val="center"/>
              <w:rPr/>
            </w:pPr>
            <w:r>
              <w:rPr/>
              <w:t> </w:t>
            </w:r>
          </w:p>
        </w:tc>
        <w:tc>
          <w:tcPr>
            <w:tcW w:w="67" w:type="dxa"/>
            <w:tcBorders/>
            <w:shd w:fill="FFFFFF" w:val="clear"/>
            <w:vAlign w:val="center"/>
          </w:tcPr>
          <w:p>
            <w:pPr>
              <w:pStyle w:val="TableContents"/>
              <w:bidi w:val="0"/>
              <w:spacing w:before="0" w:after="283"/>
              <w:ind w:left="0" w:right="0" w:hanging="0"/>
              <w:jc w:val="center"/>
              <w:rPr/>
            </w:pPr>
            <w:r>
              <w:rPr/>
              <w:t> </w:t>
            </w:r>
          </w:p>
        </w:tc>
        <w:tc>
          <w:tcPr>
            <w:tcW w:w="1135"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ind w:left="0" w:right="0" w:hanging="0"/>
              <w:jc w:val="center"/>
              <w:rPr/>
            </w:pPr>
            <w:r>
              <w:rPr/>
              <w:t> </w:t>
            </w:r>
          </w:p>
        </w:tc>
        <w:tc>
          <w:tcPr>
            <w:tcW w:w="1027" w:type="dxa"/>
            <w:tcBorders/>
            <w:shd w:fill="FFFFFF" w:val="clear"/>
            <w:vAlign w:val="center"/>
          </w:tcPr>
          <w:p>
            <w:pPr>
              <w:pStyle w:val="TableContents"/>
              <w:bidi w:val="0"/>
              <w:spacing w:before="0" w:after="283"/>
              <w:ind w:left="0" w:right="0" w:hanging="0"/>
              <w:jc w:val="center"/>
              <w:rPr/>
            </w:pPr>
            <w:r>
              <w:rPr/>
              <w:t>—</w:t>
            </w:r>
          </w:p>
        </w:tc>
        <w:tc>
          <w:tcPr>
            <w:tcW w:w="61"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jc w:val="center"/>
              <w:rPr/>
            </w:pPr>
            <w:r>
              <w:rPr/>
              <w:t> </w:t>
            </w:r>
          </w:p>
        </w:tc>
        <w:tc>
          <w:tcPr>
            <w:tcW w:w="61" w:type="dxa"/>
            <w:tcBorders/>
            <w:shd w:fill="FFFFFF" w:val="clear"/>
            <w:vAlign w:val="center"/>
          </w:tcPr>
          <w:p>
            <w:pPr>
              <w:pStyle w:val="TableContents"/>
              <w:bidi w:val="0"/>
              <w:spacing w:before="0" w:after="283"/>
              <w:ind w:left="0" w:right="0" w:hanging="0"/>
              <w:jc w:val="center"/>
              <w:rPr/>
            </w:pPr>
            <w:r>
              <w:rPr/>
              <w:t> </w:t>
            </w:r>
          </w:p>
        </w:tc>
        <w:tc>
          <w:tcPr>
            <w:tcW w:w="1027" w:type="dxa"/>
            <w:tcBorders/>
            <w:shd w:fill="FFFFFF" w:val="clear"/>
            <w:vAlign w:val="center"/>
          </w:tcPr>
          <w:p>
            <w:pPr>
              <w:pStyle w:val="TableContents"/>
              <w:bidi w:val="0"/>
              <w:spacing w:before="0" w:after="283"/>
              <w:ind w:left="0" w:right="0" w:hanging="0"/>
              <w:jc w:val="center"/>
              <w:rPr/>
            </w:pPr>
            <w:r>
              <w:rPr/>
              <w:t>—</w:t>
            </w:r>
          </w:p>
        </w:tc>
        <w:tc>
          <w:tcPr>
            <w:tcW w:w="6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8394" w:type="dxa"/>
        <w:jc w:val="left"/>
        <w:tblInd w:w="0" w:type="dxa"/>
        <w:tblLayout w:type="fixed"/>
        <w:tblCellMar>
          <w:top w:w="0" w:type="dxa"/>
          <w:left w:w="0" w:type="dxa"/>
          <w:bottom w:w="0" w:type="dxa"/>
          <w:right w:w="0" w:type="dxa"/>
        </w:tblCellMar>
      </w:tblPr>
      <w:tblGrid>
        <w:gridCol w:w="3350"/>
        <w:gridCol w:w="60"/>
        <w:gridCol w:w="234"/>
        <w:gridCol w:w="908"/>
        <w:gridCol w:w="112"/>
        <w:gridCol w:w="112"/>
        <w:gridCol w:w="234"/>
        <w:gridCol w:w="908"/>
        <w:gridCol w:w="60"/>
        <w:gridCol w:w="60"/>
        <w:gridCol w:w="214"/>
        <w:gridCol w:w="832"/>
        <w:gridCol w:w="102"/>
        <w:gridCol w:w="102"/>
        <w:gridCol w:w="214"/>
        <w:gridCol w:w="832"/>
        <w:gridCol w:w="60"/>
      </w:tblGrid>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518</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776</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953</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pPr>
            <w:r>
              <w:rPr/>
              <w:t>—</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pPr>
            <w:r>
              <w:rPr/>
              <w:t>—</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ind w:left="0" w:right="0" w:hanging="0"/>
              <w:jc w:val="left"/>
              <w:rPr/>
            </w:pPr>
            <w:r>
              <w:rPr/>
              <w:t> </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816</w:t>
            </w:r>
          </w:p>
        </w:tc>
        <w:tc>
          <w:tcPr>
            <w:tcW w:w="60" w:type="dxa"/>
            <w:tcBorders/>
            <w:shd w:fill="CCEEFF" w:val="clear"/>
            <w:vAlign w:val="center"/>
          </w:tcPr>
          <w:p>
            <w:pPr>
              <w:pStyle w:val="TableContents"/>
              <w:bidi w:val="0"/>
              <w:spacing w:before="0" w:after="283"/>
              <w:jc w:val="left"/>
              <w:rPr/>
            </w:pPr>
            <w:r>
              <w:rPr/>
              <w:t> </w:t>
            </w:r>
          </w:p>
        </w:tc>
      </w:tr>
      <w:tr>
        <w:trPr/>
        <w:tc>
          <w:tcPr>
            <w:tcW w:w="33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1,771</w:t>
            </w:r>
          </w:p>
        </w:tc>
        <w:tc>
          <w:tcPr>
            <w:tcW w:w="60" w:type="dxa"/>
            <w:tcBorders/>
            <w:shd w:fill="FFFFFF" w:val="clear"/>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 of the performance conditions of the performance options are probable to be achieved. Compensation expense has only been recognized for those conditions that are assumed to be probable.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Total stock-based compensation expense by type was as follows (in thousands):</w:t>
      </w:r>
    </w:p>
    <w:p>
      <w:pPr>
        <w:pStyle w:val="TextBody"/>
        <w:bidi w:val="0"/>
        <w:spacing w:before="0" w:after="0"/>
        <w:ind w:left="0" w:right="0" w:hanging="0"/>
        <w:jc w:val="left"/>
        <w:rPr>
          <w:caps w:val="false"/>
          <w:smallCaps w:val="false"/>
        </w:rPr>
      </w:pPr>
      <w:r>
        <w:rPr>
          <w:caps w:val="false"/>
          <w:smallCaps w:val="false"/>
        </w:rPr>
        <w:t> </w:t>
      </w:r>
    </w:p>
    <w:tbl>
      <w:tblPr>
        <w:tblW w:w="8724" w:type="dxa"/>
        <w:jc w:val="left"/>
        <w:tblInd w:w="0" w:type="dxa"/>
        <w:tblLayout w:type="fixed"/>
        <w:tblCellMar>
          <w:top w:w="0" w:type="dxa"/>
          <w:left w:w="0" w:type="dxa"/>
          <w:bottom w:w="0" w:type="dxa"/>
          <w:right w:w="0" w:type="dxa"/>
        </w:tblCellMar>
      </w:tblPr>
      <w:tblGrid>
        <w:gridCol w:w="3680"/>
        <w:gridCol w:w="60"/>
        <w:gridCol w:w="234"/>
        <w:gridCol w:w="908"/>
        <w:gridCol w:w="112"/>
        <w:gridCol w:w="112"/>
        <w:gridCol w:w="234"/>
        <w:gridCol w:w="908"/>
        <w:gridCol w:w="60"/>
        <w:gridCol w:w="60"/>
        <w:gridCol w:w="214"/>
        <w:gridCol w:w="832"/>
        <w:gridCol w:w="102"/>
        <w:gridCol w:w="102"/>
        <w:gridCol w:w="214"/>
        <w:gridCol w:w="832"/>
        <w:gridCol w:w="60"/>
      </w:tblGrid>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0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Time-based options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876</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21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3,252</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Performance-based and market-based options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245</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90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362</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ind w:left="0" w:right="0" w:hanging="0"/>
              <w:jc w:val="left"/>
              <w:rPr/>
            </w:pPr>
            <w:r>
              <w:rPr/>
              <w:t> </w:t>
            </w:r>
          </w:p>
        </w:tc>
        <w:tc>
          <w:tcPr>
            <w:tcW w:w="83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215</w:t>
            </w:r>
          </w:p>
        </w:tc>
        <w:tc>
          <w:tcPr>
            <w:tcW w:w="60" w:type="dxa"/>
            <w:tcBorders/>
            <w:shd w:fill="FFFFFF" w:val="clear"/>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ESPP</w:t>
            </w:r>
          </w:p>
        </w:tc>
        <w:tc>
          <w:tcPr>
            <w:tcW w:w="60"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12"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23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253</w:t>
            </w:r>
          </w:p>
        </w:tc>
        <w:tc>
          <w:tcPr>
            <w:tcW w:w="60" w:type="dxa"/>
            <w:tcBorders/>
            <w:shd w:fill="CCEEFF"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stock-based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1,143</w:t>
            </w:r>
          </w:p>
        </w:tc>
        <w:tc>
          <w:tcPr>
            <w:tcW w:w="112"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0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2,039</w:t>
            </w:r>
          </w:p>
        </w:tc>
        <w:tc>
          <w:tcPr>
            <w:tcW w:w="102"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3,720</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7.</w:t>
      </w:r>
      <w:r>
        <w:rPr>
          <w:rFonts w:ascii="Times New Roman" w:hAnsi="Times New Roman"/>
          <w:b/>
          <w:caps w:val="false"/>
          <w:smallCaps w:val="false"/>
          <w:sz w:val="20"/>
        </w:rPr>
        <w:t xml:space="preserve"> Research Grants and Agreements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Sponsored Research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sponsor research activities (“SRAs”) performed by ODURF. ODURF is compensated by the Company for its conduct of each study in accordance with the budget and payment terms set forth in the applicable task order. In </w:t>
      </w:r>
      <w:r>
        <w:rPr>
          <w:rStyle w:val="Emphasis"/>
          <w:rFonts w:ascii="Times New Roman" w:hAnsi="Times New Roman"/>
          <w:caps w:val="false"/>
          <w:smallCaps w:val="false"/>
          <w:sz w:val="20"/>
        </w:rPr>
        <w:t xml:space="preserve">March 2021, </w:t>
      </w:r>
      <w:r>
        <w:rPr>
          <w:rFonts w:ascii="Times New Roman" w:hAnsi="Times New Roman"/>
          <w:caps w:val="false"/>
          <w:smallCaps w:val="false"/>
          <w:sz w:val="20"/>
        </w:rPr>
        <w:t xml:space="preserve">the Company agreed to sponsor a task order in the amount of $0.3 million for research performed during the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 to be funded through monthly payments to ODURF.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the Company agreed to sponsor an additional task order in the amount of $0.3 million for research performed during the subsequent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 These SRAs are funded through monthly payments to ODURF. Payments will be made upon ODURF certifying, to the Company’s reasonable satisfaction, that ODURF has met its obligations pursuant to the specified task order and statement of work. The principal investigator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transfer funds with the budget as needed without the Company’s approval so long as the obligations of ODURF under the task order and statement of work remain unchanged and unimpaired.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did not incur any costs relating to the SRAs.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June 30, 2022</w:t>
      </w:r>
      <w:r>
        <w:rPr>
          <w:rFonts w:ascii="Times New Roman" w:hAnsi="Times New Roman"/>
          <w:caps w:val="false"/>
          <w:smallCaps w:val="false"/>
          <w:sz w:val="20"/>
        </w:rPr>
        <w:t>, the Company recorded costs relating to the SRAs equal to $0.1 million and $0.2 million, respectively. As of </w:t>
      </w:r>
      <w:r>
        <w:rPr>
          <w:rStyle w:val="Emphasis"/>
          <w:rFonts w:ascii="Times New Roman" w:hAnsi="Times New Roman"/>
          <w:caps w:val="false"/>
          <w:smallCaps w:val="false"/>
          <w:sz w:val="20"/>
        </w:rPr>
        <w:t xml:space="preserve"> June 30, 2023</w:t>
      </w:r>
      <w:r>
        <w:rPr>
          <w:rFonts w:ascii="Times New Roman" w:hAnsi="Times New Roman"/>
          <w:caps w:val="false"/>
          <w:smallCaps w:val="false"/>
          <w:sz w:val="20"/>
        </w:rPr>
        <w:t xml:space="preserv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active SRAs with ODURF.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8.</w:t>
      </w:r>
      <w:r>
        <w:rPr>
          <w:rFonts w:ascii="Times New Roman" w:hAnsi="Times New Roman"/>
          <w:b/>
          <w:caps w:val="false"/>
          <w:smallCaps w:val="false"/>
          <w:sz w:val="20"/>
        </w:rPr>
        <w:t xml:space="preserve"> Commitments and Contingencies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Style w:val="Emphasis"/>
          <w:rFonts w:ascii="Times New Roman" w:hAnsi="Times New Roman"/>
          <w:b/>
          <w:i/>
          <w:caps w:val="false"/>
          <w:smallCaps w:val="false"/>
          <w:sz w:val="20"/>
        </w:rPr>
        <w:t>2022</w:t>
      </w:r>
      <w:r>
        <w:rPr>
          <w:rFonts w:ascii="Times New Roman" w:hAnsi="Times New Roman"/>
          <w:b/>
          <w:i/>
          <w:caps w:val="false"/>
          <w:smallCaps w:val="false"/>
          <w:sz w:val="20"/>
        </w:rPr>
        <w:t xml:space="preserve"> Loan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the Executive Chairman, entered into a Loan Agreement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The Loan Agreement bore interest at a rate per annum equal to 5.0%, payable quarterly commencing on </w:t>
      </w:r>
      <w:r>
        <w:rPr>
          <w:rStyle w:val="Emphasis"/>
          <w:rFonts w:ascii="Times New Roman" w:hAnsi="Times New Roman"/>
          <w:caps w:val="false"/>
          <w:smallCaps w:val="false"/>
          <w:sz w:val="20"/>
        </w:rPr>
        <w:t xml:space="preserve"> January 1,</w:t>
      </w:r>
      <w:r>
        <w:rPr>
          <w:rFonts w:ascii="Times New Roman" w:hAnsi="Times New Roman"/>
          <w:caps w:val="false"/>
          <w:smallCaps w:val="false"/>
          <w:sz w:val="20"/>
        </w:rPr>
        <w:t> </w:t>
      </w:r>
      <w:r>
        <w:rPr>
          <w:rStyle w:val="Emphasis"/>
          <w:rFonts w:ascii="Times New Roman" w:hAnsi="Times New Roman"/>
          <w:caps w:val="false"/>
          <w:smallCaps w:val="false"/>
          <w:sz w:val="20"/>
        </w:rPr>
        <w:t>2023,</w:t>
      </w:r>
      <w:r>
        <w:rPr>
          <w:rFonts w:ascii="Times New Roman" w:hAnsi="Times New Roman"/>
          <w:caps w:val="false"/>
          <w:smallCaps w:val="false"/>
          <w:sz w:val="20"/>
        </w:rPr>
        <w:t> with the principal sum payable on </w:t>
      </w:r>
      <w:r>
        <w:rPr>
          <w:rStyle w:val="Emphasis"/>
          <w:rFonts w:ascii="Times New Roman" w:hAnsi="Times New Roman"/>
          <w:caps w:val="false"/>
          <w:smallCaps w:val="false"/>
          <w:sz w:val="20"/>
        </w:rPr>
        <w:t xml:space="preserve"> March 20, 2024. </w:t>
      </w: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17, 2023, </w:t>
      </w:r>
      <w:r>
        <w:rPr>
          <w:rFonts w:ascii="Times New Roman" w:hAnsi="Times New Roman"/>
          <w:caps w:val="false"/>
          <w:smallCaps w:val="false"/>
          <w:sz w:val="20"/>
        </w:rPr>
        <w:t>the Company and Mr. Duggan amended certain terms of the Loan Agreement.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interest rate, but the principal sum repayment date was changed to </w:t>
      </w:r>
      <w:r>
        <w:rPr>
          <w:rStyle w:val="Emphasis"/>
          <w:rFonts w:ascii="Times New Roman" w:hAnsi="Times New Roman"/>
          <w:caps w:val="false"/>
          <w:smallCaps w:val="false"/>
          <w:sz w:val="20"/>
        </w:rPr>
        <w:t>September 30, 2024. </w:t>
      </w: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made cash payments of $1.7 million for accrued interest on the loan, and recorded an additional $1.1 million of interest expense in relation 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On </w:t>
      </w:r>
      <w:r>
        <w:rPr>
          <w:rStyle w:val="Emphasis"/>
          <w:rFonts w:ascii="Times New Roman" w:hAnsi="Times New Roman"/>
          <w:caps w:val="false"/>
          <w:smallCaps w:val="false"/>
          <w:sz w:val="20"/>
        </w:rPr>
        <w:t xml:space="preserve">April 30, 2023, </w:t>
      </w:r>
      <w:r>
        <w:rPr>
          <w:rFonts w:ascii="Times New Roman" w:hAnsi="Times New Roman"/>
          <w:caps w:val="false"/>
          <w:smallCaps w:val="false"/>
          <w:sz w:val="20"/>
        </w:rPr>
        <w:t xml:space="preserve">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 principal sum of $65.0 million and all accrued and unpaid interest outstanding, which totaled approximately $0.2 million as of </w:t>
      </w:r>
      <w:r>
        <w:rPr>
          <w:rStyle w:val="Emphasis"/>
          <w:rFonts w:ascii="Times New Roman" w:hAnsi="Times New Roman"/>
          <w:caps w:val="false"/>
          <w:smallCaps w:val="false"/>
          <w:sz w:val="20"/>
        </w:rPr>
        <w:t>April 30, 2023. </w:t>
      </w:r>
      <w:r>
        <w:rPr>
          <w:rFonts w:ascii="Times New Roman" w:hAnsi="Times New Roman"/>
          <w:caps w:val="false"/>
          <w:smallCaps w:val="false"/>
          <w:sz w:val="20"/>
        </w:rPr>
        <w:t xml:space="preserve">The parties completed the Private Placement on </w:t>
      </w:r>
      <w:r>
        <w:rPr>
          <w:rStyle w:val="Emphasis"/>
          <w:rFonts w:ascii="Times New Roman" w:hAnsi="Times New Roman"/>
          <w:caps w:val="false"/>
          <w:smallCaps w:val="false"/>
          <w:sz w:val="20"/>
        </w:rPr>
        <w:t xml:space="preserve">May 9, 2023 </w:t>
      </w:r>
      <w:r>
        <w:rPr>
          <w:rFonts w:ascii="Times New Roman" w:hAnsi="Times New Roman"/>
          <w:caps w:val="false"/>
          <w:smallCaps w:val="false"/>
          <w:sz w:val="20"/>
        </w:rPr>
        <w:t xml:space="preserve">and, upon closing and satisfaction of the outstanding debt,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terminated, without early termination fees or penalties being owed by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are owed to Mr. Duggan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Operating Leases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2017, </w:t>
      </w:r>
      <w:r>
        <w:rPr>
          <w:rFonts w:ascii="Times New Roman" w:hAnsi="Times New Roman"/>
          <w:caps w:val="false"/>
          <w:smallCaps w:val="false"/>
          <w:sz w:val="20"/>
        </w:rPr>
        <w:t xml:space="preserve">the Company entered into a five-year lease (the “Existing Lease”) for approximately 15,700 square feet for its corporate headquarters located in Hayward, California. The lease commenced in </w:t>
      </w:r>
      <w:r>
        <w:rPr>
          <w:rStyle w:val="Emphasis"/>
          <w:rFonts w:ascii="Times New Roman" w:hAnsi="Times New Roman"/>
          <w:caps w:val="false"/>
          <w:smallCaps w:val="false"/>
          <w:sz w:val="20"/>
        </w:rPr>
        <w:t>July 2017.</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2019, </w:t>
      </w:r>
      <w:r>
        <w:rPr>
          <w:rFonts w:ascii="Times New Roman" w:hAnsi="Times New Roman"/>
          <w:caps w:val="false"/>
          <w:smallCaps w:val="false"/>
          <w:sz w:val="20"/>
        </w:rPr>
        <w:t xml:space="preserve">the Company entered into Lease Amendment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(the “Lease Amendment”) in relation to the Existing Lease and added the lease of new premises of approximately 13,300 square feet and 21,300 square feet,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respectively). Additionally, the term of the Existing Lease was extended to </w:t>
      </w:r>
      <w:r>
        <w:rPr>
          <w:rStyle w:val="Emphasis"/>
          <w:rFonts w:ascii="Times New Roman" w:hAnsi="Times New Roman"/>
          <w:caps w:val="false"/>
          <w:smallCaps w:val="false"/>
          <w:sz w:val="20"/>
        </w:rPr>
        <w:t xml:space="preserve">October 2029 </w:t>
      </w:r>
      <w:r>
        <w:rPr>
          <w:rFonts w:ascii="Times New Roman" w:hAnsi="Times New Roman"/>
          <w:caps w:val="false"/>
          <w:smallCaps w:val="false"/>
          <w:sz w:val="20"/>
        </w:rPr>
        <w:t xml:space="preserve">to be coterminous with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and Expansion Premises </w:t>
      </w:r>
      <w:r>
        <w:rPr>
          <w:rStyle w:val="Emphasis"/>
          <w:rFonts w:ascii="Times New Roman" w:hAnsi="Times New Roman"/>
          <w:caps w:val="false"/>
          <w:smallCaps w:val="false"/>
          <w:sz w:val="20"/>
        </w:rPr>
        <w:t>2.</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The Company evaluated the lease amendment under the provisions of ASC </w:t>
      </w:r>
      <w:r>
        <w:rPr>
          <w:rStyle w:val="Emphasis"/>
          <w:rFonts w:ascii="Times New Roman" w:hAnsi="Times New Roman"/>
          <w:caps w:val="false"/>
          <w:smallCaps w:val="false"/>
          <w:sz w:val="20"/>
        </w:rPr>
        <w:t>842.</w:t>
      </w:r>
      <w:r>
        <w:rPr>
          <w:rFonts w:ascii="Times New Roman" w:hAnsi="Times New Roman"/>
          <w:caps w:val="false"/>
          <w:smallCaps w:val="false"/>
          <w:sz w:val="20"/>
        </w:rPr>
        <w:t xml:space="preserve"> It concluded that the Lease Amendment would be accounted for as a single contract with the Existing Lease because the additional lease payments due to the Lease Amendment was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commensurate with the right-of-use asset granted to the Company. Though the Lease Amendment was accounted for as a single contract, the Existing Premises, Expansion Premises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November 2019) </w:t>
      </w:r>
      <w:r>
        <w:rPr>
          <w:rFonts w:ascii="Times New Roman" w:hAnsi="Times New Roman"/>
          <w:caps w:val="false"/>
          <w:smallCaps w:val="false"/>
          <w:sz w:val="20"/>
        </w:rPr>
        <w:t xml:space="preserve">and Expansion Premises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(occupied in </w:t>
      </w:r>
      <w:r>
        <w:rPr>
          <w:rStyle w:val="Emphasis"/>
          <w:rFonts w:ascii="Times New Roman" w:hAnsi="Times New Roman"/>
          <w:caps w:val="false"/>
          <w:smallCaps w:val="false"/>
          <w:sz w:val="20"/>
        </w:rPr>
        <w:t xml:space="preserve">May 2020) </w:t>
      </w:r>
      <w:r>
        <w:rPr>
          <w:rFonts w:ascii="Times New Roman" w:hAnsi="Times New Roman"/>
          <w:caps w:val="false"/>
          <w:smallCaps w:val="false"/>
          <w:sz w:val="20"/>
        </w:rPr>
        <w:t>are accounted for as separate lease components. Accordingly, the Company measured and allocated consideration to each lease component as of the modification date.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(in thousands):</w:t>
      </w:r>
    </w:p>
    <w:p>
      <w:pPr>
        <w:pStyle w:val="TextBody"/>
        <w:bidi w:val="0"/>
        <w:spacing w:before="0" w:after="0"/>
        <w:ind w:left="0" w:right="0" w:hanging="0"/>
        <w:jc w:val="left"/>
        <w:rPr>
          <w:caps w:val="false"/>
          <w:smallCaps w:val="false"/>
        </w:rPr>
      </w:pPr>
      <w:r>
        <w:rPr>
          <w:caps w:val="false"/>
          <w:smallCaps w:val="false"/>
        </w:rPr>
        <w:t> </w:t>
      </w:r>
    </w:p>
    <w:tbl>
      <w:tblPr>
        <w:tblW w:w="3658" w:type="dxa"/>
        <w:jc w:val="left"/>
        <w:tblInd w:w="0" w:type="dxa"/>
        <w:tblLayout w:type="fixed"/>
        <w:tblCellMar>
          <w:top w:w="0" w:type="dxa"/>
          <w:left w:w="0" w:type="dxa"/>
          <w:bottom w:w="0" w:type="dxa"/>
          <w:right w:w="0" w:type="dxa"/>
        </w:tblCellMar>
      </w:tblPr>
      <w:tblGrid>
        <w:gridCol w:w="1550"/>
        <w:gridCol w:w="60"/>
        <w:gridCol w:w="148"/>
        <w:gridCol w:w="576"/>
        <w:gridCol w:w="60"/>
        <w:gridCol w:w="60"/>
        <w:gridCol w:w="234"/>
        <w:gridCol w:w="910"/>
        <w:gridCol w:w="60"/>
      </w:tblGrid>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15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1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8,062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203" w:type="dxa"/>
        <w:jc w:val="left"/>
        <w:tblInd w:w="0" w:type="dxa"/>
        <w:tblLayout w:type="fixed"/>
        <w:tblCellMar>
          <w:top w:w="0" w:type="dxa"/>
          <w:left w:w="0" w:type="dxa"/>
          <w:bottom w:w="0" w:type="dxa"/>
          <w:right w:w="0" w:type="dxa"/>
        </w:tblCellMar>
      </w:tblPr>
      <w:tblGrid>
        <w:gridCol w:w="3095"/>
        <w:gridCol w:w="60"/>
        <w:gridCol w:w="148"/>
        <w:gridCol w:w="576"/>
        <w:gridCol w:w="60"/>
        <w:gridCol w:w="60"/>
        <w:gridCol w:w="199"/>
        <w:gridCol w:w="945"/>
        <w:gridCol w:w="60"/>
      </w:tblGrid>
      <w:tr>
        <w:trPr/>
        <w:tc>
          <w:tcPr>
            <w:tcW w:w="30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Current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896</w:t>
            </w:r>
          </w:p>
        </w:tc>
        <w:tc>
          <w:tcPr>
            <w:tcW w:w="60" w:type="dxa"/>
            <w:tcBorders/>
            <w:shd w:fill="CCEEFF" w:val="clear"/>
            <w:vAlign w:val="center"/>
          </w:tcPr>
          <w:p>
            <w:pPr>
              <w:pStyle w:val="TableContents"/>
              <w:bidi w:val="0"/>
              <w:spacing w:before="0" w:after="283"/>
              <w:jc w:val="left"/>
              <w:rPr/>
            </w:pPr>
            <w:r>
              <w:rPr/>
              <w:t> </w:t>
            </w:r>
          </w:p>
        </w:tc>
      </w:tr>
      <w:tr>
        <w:trPr/>
        <w:tc>
          <w:tcPr>
            <w:tcW w:w="3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9,144</w:t>
            </w:r>
          </w:p>
        </w:tc>
        <w:tc>
          <w:tcPr>
            <w:tcW w:w="60" w:type="dxa"/>
            <w:tcBorders/>
            <w:shd w:fill="FFFFFF" w:val="clear"/>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10,040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Total cash paid for operating lease liabilities (in thousands):</w:t>
      </w:r>
    </w:p>
    <w:p>
      <w:pPr>
        <w:pStyle w:val="TextBody"/>
        <w:bidi w:val="0"/>
        <w:spacing w:before="0" w:after="0"/>
        <w:ind w:left="520" w:right="0" w:hanging="0"/>
        <w:jc w:val="left"/>
        <w:rPr>
          <w:caps w:val="false"/>
          <w:smallCaps w:val="false"/>
        </w:rPr>
      </w:pPr>
      <w:r>
        <w:rPr>
          <w:caps w:val="false"/>
          <w:smallCaps w:val="false"/>
        </w:rPr>
        <w:t> </w:t>
      </w:r>
    </w:p>
    <w:tbl>
      <w:tblPr>
        <w:tblW w:w="5616" w:type="dxa"/>
        <w:jc w:val="left"/>
        <w:tblInd w:w="0" w:type="dxa"/>
        <w:tblLayout w:type="fixed"/>
        <w:tblCellMar>
          <w:top w:w="0" w:type="dxa"/>
          <w:left w:w="0" w:type="dxa"/>
          <w:bottom w:w="0" w:type="dxa"/>
          <w:right w:w="0" w:type="dxa"/>
        </w:tblCellMar>
      </w:tblPr>
      <w:tblGrid>
        <w:gridCol w:w="3200"/>
        <w:gridCol w:w="60"/>
        <w:gridCol w:w="276"/>
        <w:gridCol w:w="740"/>
        <w:gridCol w:w="132"/>
        <w:gridCol w:w="132"/>
        <w:gridCol w:w="276"/>
        <w:gridCol w:w="740"/>
        <w:gridCol w:w="6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32"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10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907</w:t>
            </w:r>
          </w:p>
        </w:tc>
        <w:tc>
          <w:tcPr>
            <w:tcW w:w="132"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276"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4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894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Maturities of operating lease liabilities were as follows (in thousands):</w:t>
      </w:r>
    </w:p>
    <w:p>
      <w:pPr>
        <w:pStyle w:val="TextBody"/>
        <w:bidi w:val="0"/>
        <w:spacing w:before="0" w:after="0"/>
        <w:ind w:left="160" w:right="0" w:hanging="0"/>
        <w:jc w:val="left"/>
        <w:rPr>
          <w:caps w:val="false"/>
          <w:smallCaps w:val="false"/>
        </w:rPr>
      </w:pPr>
      <w:r>
        <w:rPr>
          <w:caps w:val="false"/>
          <w:smallCaps w:val="false"/>
        </w:rPr>
        <w:t> </w:t>
      </w:r>
    </w:p>
    <w:tbl>
      <w:tblPr>
        <w:tblW w:w="3080" w:type="dxa"/>
        <w:jc w:val="left"/>
        <w:tblInd w:w="0" w:type="dxa"/>
        <w:tblLayout w:type="fixed"/>
        <w:tblCellMar>
          <w:top w:w="0" w:type="dxa"/>
          <w:left w:w="0" w:type="dxa"/>
          <w:bottom w:w="0" w:type="dxa"/>
          <w:right w:w="0" w:type="dxa"/>
        </w:tblCellMar>
      </w:tblPr>
      <w:tblGrid>
        <w:gridCol w:w="2225"/>
        <w:gridCol w:w="60"/>
        <w:gridCol w:w="125"/>
        <w:gridCol w:w="590"/>
        <w:gridCol w:w="80"/>
      </w:tblGrid>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Year ending December 31:</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2023 (remaining 6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1,910</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2025</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2,046</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2,117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4,075</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13,062</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9,619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20" w:right="0" w:hanging="0"/>
        <w:jc w:val="left"/>
        <w:rPr/>
      </w:pPr>
      <w:r>
        <w:rPr>
          <w:rFonts w:ascii="Times New Roman" w:hAnsi="Times New Roman"/>
          <w:caps w:val="false"/>
          <w:smallCaps w:val="false"/>
          <w:sz w:val="20"/>
        </w:rPr>
        <w:t xml:space="preserve">Weighted-average remaining lease term and discount rate,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were as follows:</w:t>
      </w:r>
    </w:p>
    <w:p>
      <w:pPr>
        <w:pStyle w:val="TextBody"/>
        <w:bidi w:val="0"/>
        <w:spacing w:before="0" w:after="0"/>
        <w:ind w:left="52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3230"/>
        <w:gridCol w:w="60"/>
        <w:gridCol w:w="60"/>
        <w:gridCol w:w="380"/>
        <w:gridCol w:w="185"/>
      </w:tblGrid>
      <w:tr>
        <w:trPr/>
        <w:tc>
          <w:tcPr>
            <w:tcW w:w="3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remaining lease term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6.34</w:t>
            </w:r>
          </w:p>
        </w:tc>
        <w:tc>
          <w:tcPr>
            <w:tcW w:w="185" w:type="dxa"/>
            <w:tcBorders/>
            <w:shd w:fill="CCEEFF" w:val="clear"/>
            <w:vAlign w:val="center"/>
          </w:tcPr>
          <w:p>
            <w:pPr>
              <w:pStyle w:val="TableContents"/>
              <w:bidi w:val="0"/>
              <w:spacing w:before="0" w:after="283"/>
              <w:jc w:val="left"/>
              <w:rPr/>
            </w:pPr>
            <w:r>
              <w:rPr/>
              <w:t> </w:t>
            </w:r>
          </w:p>
        </w:tc>
      </w:tr>
      <w:tr>
        <w:trPr/>
        <w:tc>
          <w:tcPr>
            <w:tcW w:w="323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Weighted-average discount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Rent expense, including common area maintenance charges, was approximately $0.5 million for each of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and was approximately $1.0 million for each of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 xml:space="preserve">June 30, 2023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2022</w:t>
      </w:r>
      <w:r>
        <w:rPr>
          <w:rFonts w:ascii="Times New Roman" w:hAnsi="Times New Roman"/>
          <w:caps w:val="false"/>
          <w:smallCaps w:val="false"/>
          <w:sz w:val="20"/>
        </w:rPr>
        <w:t>,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Legal Proceedings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From time to time, we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provide coverage for such matters, including customary employment practices liability insurance.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2022, </w:t>
      </w:r>
      <w:r>
        <w:rPr>
          <w:rFonts w:ascii="Times New Roman" w:hAnsi="Times New Roman"/>
          <w:caps w:val="false"/>
          <w:smallCaps w:val="false"/>
          <w:sz w:val="20"/>
        </w:rPr>
        <w:t>the employment of our former Chief Financial Officer, Sandra Gardiner, terminated. Ms. Gardiner’s departure was </w:t>
      </w:r>
      <w:r>
        <w:rPr>
          <w:rStyle w:val="Emphasis"/>
          <w:rFonts w:ascii="Times New Roman" w:hAnsi="Times New Roman"/>
          <w:caps w:val="false"/>
          <w:smallCaps w:val="false"/>
          <w:sz w:val="20"/>
        </w:rPr>
        <w:t>not</w:t>
      </w:r>
      <w:r>
        <w:rPr>
          <w:rFonts w:ascii="Times New Roman" w:hAnsi="Times New Roman"/>
          <w:caps w:val="false"/>
          <w:smallCaps w:val="false"/>
          <w:sz w:val="20"/>
        </w:rPr>
        <w:t> the result of any disagreement with the Company on any matter relating to its operations, accounting policies or practices, although the Company determined that she was </w:t>
      </w:r>
      <w:r>
        <w:rPr>
          <w:rStyle w:val="Emphasis"/>
          <w:rFonts w:ascii="Times New Roman" w:hAnsi="Times New Roman"/>
          <w:caps w:val="false"/>
          <w:smallCaps w:val="false"/>
          <w:sz w:val="20"/>
        </w:rPr>
        <w:t>not</w:t>
      </w:r>
      <w:r>
        <w:rPr>
          <w:rFonts w:ascii="Times New Roman" w:hAnsi="Times New Roman"/>
          <w:caps w:val="false"/>
          <w:smallCaps w:val="false"/>
          <w:sz w:val="20"/>
        </w:rPr>
        <w:t> eligible to receive any severance benefits under the terms and conditions of her then existing employment agreement. In </w:t>
      </w:r>
      <w:r>
        <w:rPr>
          <w:rStyle w:val="Emphasis"/>
          <w:rFonts w:ascii="Times New Roman" w:hAnsi="Times New Roman"/>
          <w:caps w:val="false"/>
          <w:smallCaps w:val="false"/>
          <w:sz w:val="20"/>
        </w:rPr>
        <w:t xml:space="preserve"> March 2023, </w:t>
      </w:r>
      <w:r>
        <w:rPr>
          <w:rFonts w:ascii="Times New Roman" w:hAnsi="Times New Roman"/>
          <w:caps w:val="false"/>
          <w:smallCaps w:val="false"/>
          <w:sz w:val="20"/>
        </w:rPr>
        <w:t>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that is in its early stages,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adversely affect our consolidated position, results of operations, or cash flows and that a liability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9.</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Controlled Launch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the Company received </w:t>
      </w:r>
      <w:r>
        <w:rPr>
          <w:rStyle w:val="Emphasis"/>
          <w:rFonts w:ascii="Times New Roman" w:hAnsi="Times New Roman"/>
          <w:caps w:val="false"/>
          <w:smallCaps w:val="false"/>
          <w:sz w:val="20"/>
        </w:rPr>
        <w:t>510</w:t>
      </w:r>
      <w:r>
        <w:rPr>
          <w:rFonts w:ascii="Times New Roman" w:hAnsi="Times New Roman"/>
          <w:caps w:val="false"/>
          <w:smallCaps w:val="false"/>
          <w:sz w:val="20"/>
        </w:rPr>
        <w:t>(k) clearance from the FDA for its proprietary CellFX System for dermatologic procedures requiring ablation and resurfacing of the skin. In </w:t>
      </w:r>
      <w:r>
        <w:rPr>
          <w:rStyle w:val="Emphasis"/>
          <w:rFonts w:ascii="Times New Roman" w:hAnsi="Times New Roman"/>
          <w:caps w:val="false"/>
          <w:smallCaps w:val="false"/>
          <w:sz w:val="20"/>
        </w:rPr>
        <w:t xml:space="preserve"> January 2021, </w:t>
      </w:r>
      <w:r>
        <w:rPr>
          <w:rFonts w:ascii="Times New Roman" w:hAnsi="Times New Roman"/>
          <w:caps w:val="false"/>
          <w:smallCaps w:val="false"/>
          <w:sz w:val="20"/>
        </w:rPr>
        <w:t>the Company received CE marking approval for the CellFX System, which allows for marketing of the system in the EU for treatment of general dermatologic conditions, including SH, SK, and cutaneous non-genital warts. Additionally,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 received Health Canada approval for the CellFX System, which allows for marketing of the system in Canada for use in dermatological procedures requiring ablation and resurfacing of the skin for the reduction, removal, and/or clearance of cellular-based benign lesions. In </w:t>
      </w:r>
      <w:r>
        <w:rPr>
          <w:rStyle w:val="Emphasis"/>
          <w:rFonts w:ascii="Times New Roman" w:hAnsi="Times New Roman"/>
          <w:caps w:val="false"/>
          <w:smallCaps w:val="false"/>
          <w:sz w:val="20"/>
        </w:rPr>
        <w:t xml:space="preserve"> February 2021, </w:t>
      </w:r>
      <w:r>
        <w:rPr>
          <w:rFonts w:ascii="Times New Roman" w:hAnsi="Times New Roman"/>
          <w:caps w:val="false"/>
          <w:smallCaps w:val="false"/>
          <w:sz w:val="20"/>
        </w:rPr>
        <w:t>the Company commenced a controlled launch of the CellFX System in the United States and European Union via its CellFX Expectations Excelled Program (the “Controlled Launch”). Subsequent to receiving Health Canada approval in </w:t>
      </w:r>
      <w:r>
        <w:rPr>
          <w:rStyle w:val="Emphasis"/>
          <w:rFonts w:ascii="Times New Roman" w:hAnsi="Times New Roman"/>
          <w:caps w:val="false"/>
          <w:smallCaps w:val="false"/>
          <w:sz w:val="20"/>
        </w:rPr>
        <w:t xml:space="preserve"> June 2021, </w:t>
      </w:r>
      <w:r>
        <w:rPr>
          <w:rFonts w:ascii="Times New Roman" w:hAnsi="Times New Roman"/>
          <w:caps w:val="false"/>
          <w:smallCaps w:val="false"/>
          <w:sz w:val="20"/>
        </w:rPr>
        <w:t>the Company also commenced its Controlled Launch in Canada.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As part of the Controlled Launch, the Company selected 70 physicians and their practices to be the </w:t>
      </w:r>
      <w:r>
        <w:rPr>
          <w:rStyle w:val="Emphasis"/>
          <w:rFonts w:ascii="Times New Roman" w:hAnsi="Times New Roman"/>
          <w:caps w:val="false"/>
          <w:smallCaps w:val="false"/>
          <w:sz w:val="20"/>
        </w:rPr>
        <w:t>first</w:t>
      </w:r>
      <w:r>
        <w:rPr>
          <w:rFonts w:ascii="Times New Roman" w:hAnsi="Times New Roman"/>
          <w:caps w:val="false"/>
          <w:smallCaps w:val="false"/>
          <w:sz w:val="20"/>
        </w:rPr>
        <w:t> physician consultants to launch the CellFX System and the associated CellFX commercial procedures into their respective markets and geographies. In the Controlled Launch program, the Company provided and set up a CellFX System at each physician site and provided the physician with the necessary related products and components, free of charge, to complete the requirements of the Controlled Launch program. Each CellFX System and any unused component products remained the property of the Company throughout the Controlled Launch program. Under the Controlled Launch program, each physician was to identify and recruit up to 40 or 50 patients, depending on the contract, for participation in the Controlled Launch, performing a CellFX procedure on each of the appropriately selected patients. The physician and their patients completed evaluation surveys about their experiences with the CellFX System and provided other information helpful to the Company. Upon completion of the procedures and the survey feedback, the physician earned credits to be used towards the future purchase of the CellFX System or, in some jurisdictions, fair payment for their time and effort completing the paperwork required under the Controlled Launch program. Credits earned and, if applicable, any other payments earned were limited to a maximum amount dependent on the number of surveys received by the Company. Upon completion of the Controlled Launch program requirements, each physician could choose to enter into a purchase agreement with the Company, under which the physician could use the credits earned (or other payments earned, as applicable) towards the purchase of the already-delivered CellFX System, or the physician could return the CellFX System to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As patient procedures and surveys were completed under the Controlled Launch program, the Company accrued the value of the credits earned, which were recorded in accrued expenses, with a corresponding charge to sales and marketing expense. The Company did not record any sales and marketing expense in relation to the Controlled Launch program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or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and it recorded an expense of $0.1 million and $0.6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2022</w:t>
      </w:r>
      <w:r>
        <w:rPr>
          <w:rFonts w:ascii="Times New Roman" w:hAnsi="Times New Roman"/>
          <w:caps w:val="false"/>
          <w:smallCaps w:val="false"/>
          <w:sz w:val="20"/>
        </w:rPr>
        <w:t>, respectively.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September 2022, </w:t>
      </w:r>
      <w:r>
        <w:rPr>
          <w:rFonts w:ascii="Times New Roman" w:hAnsi="Times New Roman"/>
          <w:caps w:val="false"/>
          <w:smallCaps w:val="false"/>
          <w:sz w:val="20"/>
        </w:rPr>
        <w:t>the Company concluded the Controlled Launch program and notified all remaining program participants. In accordance with the Controlled Launch program, physicians having completed the program requirements could elect to purchase their already delivered CellFX System, applying credits earned, or return the CellFX System to the Company. The Company concluded these efforts in the </w:t>
      </w:r>
      <w:r>
        <w:rPr>
          <w:rStyle w:val="Emphasis"/>
          <w:rFonts w:ascii="Times New Roman" w:hAnsi="Times New Roman"/>
          <w:caps w:val="false"/>
          <w:smallCaps w:val="false"/>
          <w:sz w:val="20"/>
        </w:rPr>
        <w:t>fourth</w:t>
      </w:r>
      <w:r>
        <w:rPr>
          <w:rFonts w:ascii="Times New Roman" w:hAnsi="Times New Roman"/>
          <w:caps w:val="false"/>
          <w:smallCaps w:val="false"/>
          <w:sz w:val="20"/>
        </w:rPr>
        <w:t> quarter of </w:t>
      </w:r>
      <w:r>
        <w:rPr>
          <w:rStyle w:val="Emphasis"/>
          <w:rFonts w:ascii="Times New Roman" w:hAnsi="Times New Roman"/>
          <w:caps w:val="false"/>
          <w:smallCaps w:val="false"/>
          <w:sz w:val="20"/>
        </w:rPr>
        <w:t>2022</w:t>
      </w:r>
      <w:r>
        <w:rPr>
          <w:rFonts w:ascii="Times New Roman" w:hAnsi="Times New Roman"/>
          <w:caps w:val="false"/>
          <w:smallCaps w:val="false"/>
          <w:sz w:val="20"/>
        </w:rPr>
        <w:t> and has discontinued sales of the CellFX System, although the Company continues to offer its disposable treatment tips to dermatologists who have chosen to retain their existing CellFX consoles.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the Company did not recognize any revenue in relation to the Controlled Launch program.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2022</w:t>
      </w:r>
      <w:r>
        <w:rPr>
          <w:rFonts w:ascii="Times New Roman" w:hAnsi="Times New Roman"/>
          <w:caps w:val="false"/>
          <w:smallCaps w:val="false"/>
          <w:sz w:val="20"/>
        </w:rPr>
        <w:t xml:space="preserve">, certain consultants completed the Controlled Launch program and entered into purchase agreements with the Company, whereby they used their credits or other earned payments towards the purchase of a CellFX System. Accordingly, approximately $0.1 million and $0.4 million of the accrued liability related to the Controlled Launch program was relieved and recognized as revenue on a non-cash basis as a result of these purchases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2022</w:t>
      </w:r>
      <w:r>
        <w:rPr>
          <w:rFonts w:ascii="Times New Roman" w:hAnsi="Times New Roman"/>
          <w:caps w:val="false"/>
          <w:smallCaps w:val="false"/>
          <w:sz w:val="20"/>
        </w:rPr>
        <w:t xml:space="preserve">, respectively. See Note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for additional detail of revenue transactions.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10.</w:t>
      </w:r>
      <w:r>
        <w:rPr>
          <w:rFonts w:ascii="Times New Roman" w:hAnsi="Times New Roman"/>
          <w:b/>
          <w:caps w:val="false"/>
          <w:smallCaps w:val="false"/>
          <w:sz w:val="20"/>
        </w:rPr>
        <w:t xml:space="preserve">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recognized revenue at a point in time when it satisfied performance obligations by transferring control of promised goods to its customers. The amount of revenue recognized was equal to the consideration which the Company was entitled to in exchange for the promised goods, excluding any amounts assessed by government authorities for taxes which might be collected from a customer. This consideration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include non-cash services performed, as was the case with revenue recognized in connection with the Controlled Launch program. On </w:t>
      </w:r>
      <w:r>
        <w:rPr>
          <w:rStyle w:val="Emphasis"/>
          <w:rFonts w:ascii="Times New Roman" w:hAnsi="Times New Roman"/>
          <w:caps w:val="false"/>
          <w:smallCaps w:val="false"/>
          <w:sz w:val="20"/>
        </w:rPr>
        <w:t xml:space="preserve"> September 20, 2022, </w:t>
      </w:r>
      <w:r>
        <w:rPr>
          <w:rFonts w:ascii="Times New Roman" w:hAnsi="Times New Roman"/>
          <w:caps w:val="false"/>
          <w:smallCaps w:val="false"/>
          <w:sz w:val="20"/>
        </w:rPr>
        <w:t xml:space="preserve">the Company announced its shift in focus to advance its core NPS technology outside of dermatology and concluded its Controlled Launch program. The Company has not recognized any revenue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-month periods ended </w:t>
      </w:r>
      <w:r>
        <w:rPr>
          <w:rStyle w:val="Emphasis"/>
          <w:rFonts w:ascii="Times New Roman" w:hAnsi="Times New Roman"/>
          <w:caps w:val="false"/>
          <w:smallCaps w:val="false"/>
          <w:sz w:val="20"/>
        </w:rPr>
        <w:t>June 30, 2023</w:t>
      </w:r>
      <w:r>
        <w:rPr>
          <w:rFonts w:ascii="Times New Roman" w:hAnsi="Times New Roman"/>
          <w:caps w:val="false"/>
          <w:smallCaps w:val="false"/>
          <w:sz w:val="20"/>
        </w:rPr>
        <w:t xml:space="preserve">. Total revenue recognized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-month and </w:t>
      </w:r>
      <w:r>
        <w:rPr>
          <w:rStyle w:val="Emphasis"/>
          <w:rFonts w:ascii="Times New Roman" w:hAnsi="Times New Roman"/>
          <w:caps w:val="false"/>
          <w:smallCaps w:val="false"/>
          <w:sz w:val="20"/>
        </w:rPr>
        <w:t>six</w:t>
      </w:r>
      <w:r>
        <w:rPr>
          <w:rFonts w:ascii="Times New Roman" w:hAnsi="Times New Roman"/>
          <w:caps w:val="false"/>
          <w:smallCaps w:val="false"/>
          <w:sz w:val="20"/>
        </w:rPr>
        <w:t>-month periods ended </w:t>
      </w:r>
      <w:r>
        <w:rPr>
          <w:rStyle w:val="Emphasis"/>
          <w:rFonts w:ascii="Times New Roman" w:hAnsi="Times New Roman"/>
          <w:caps w:val="false"/>
          <w:smallCaps w:val="false"/>
          <w:sz w:val="20"/>
        </w:rPr>
        <w:t xml:space="preserve"> June 30, 2022</w:t>
      </w:r>
      <w:r>
        <w:rPr>
          <w:rFonts w:ascii="Times New Roman" w:hAnsi="Times New Roman"/>
          <w:caps w:val="false"/>
          <w:smallCaps w:val="false"/>
          <w:sz w:val="20"/>
        </w:rPr>
        <w:t>, was $0.3 million and $0.7 million, respectively, of which approximately $0.1 million and $0.4 million, respectively, was driven by the redemption of non-cash credits earned as part of the Controlled Launch, with the balances driven by cash purchases of cycle units (“CUs”) and CellFX commercial consoles sold.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Sales contracts often involve the sale and delivery of multiple performance obligations in the contract.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Performance Obligations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Systems consist of the CellFX console and its embedded software, handpieces, and disposable tips. The console is a physical piece of hardware used by the customer to perform patient procedures. Individually the console and software are </w:t>
      </w:r>
      <w:r>
        <w:rPr>
          <w:rStyle w:val="Emphasis"/>
          <w:rFonts w:ascii="Times New Roman" w:hAnsi="Times New Roman"/>
          <w:caps w:val="false"/>
          <w:smallCaps w:val="false"/>
          <w:sz w:val="20"/>
        </w:rPr>
        <w:t>not</w:t>
      </w:r>
      <w:r>
        <w:rPr>
          <w:rFonts w:ascii="Times New Roman" w:hAnsi="Times New Roman"/>
          <w:caps w:val="false"/>
          <w:smallCaps w:val="false"/>
          <w:sz w:val="20"/>
        </w:rPr>
        <w:t> distinct, therefore the Company combines the console and embedded software to form </w:t>
      </w:r>
      <w:r>
        <w:rPr>
          <w:rStyle w:val="Emphasis"/>
          <w:rFonts w:ascii="Times New Roman" w:hAnsi="Times New Roman"/>
          <w:caps w:val="false"/>
          <w:smallCaps w:val="false"/>
          <w:sz w:val="20"/>
        </w:rPr>
        <w:t>one</w:t>
      </w:r>
      <w:r>
        <w:rPr>
          <w:rFonts w:ascii="Times New Roman" w:hAnsi="Times New Roman"/>
          <w:caps w:val="false"/>
          <w:smallCaps w:val="false"/>
          <w:sz w:val="20"/>
        </w:rPr>
        <w:t> distinct system performance obligation. Payment for systems is generally due prior to shipment, and the system performance obligation is satisfied upon shipment of the system to the customer.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Handpieces are attached to the console and used in conjunction with tips to perform patient procedures. Generally, upon initial sale of a system to a customer, the Company will include </w:t>
      </w:r>
      <w:r>
        <w:rPr>
          <w:rStyle w:val="Emphasis"/>
          <w:rFonts w:ascii="Times New Roman" w:hAnsi="Times New Roman"/>
          <w:caps w:val="false"/>
          <w:smallCaps w:val="false"/>
          <w:sz w:val="20"/>
        </w:rPr>
        <w:t>two</w:t>
      </w:r>
      <w:r>
        <w:rPr>
          <w:rFonts w:ascii="Times New Roman" w:hAnsi="Times New Roman"/>
          <w:caps w:val="false"/>
          <w:smallCaps w:val="false"/>
          <w:sz w:val="20"/>
        </w:rPr>
        <w:t> handpieces. The handpiece has a shorter expected useful life than the console, and a customer can purchase additional handpieces when needed, as they are available for sale on a stand-alone basis. Payment for handpieces is generally due prior to shipment, and handpieces represent a distinct performance obligation which is satisfied either upon shipment, or upon delivery of the handpiece to the customer, depending on the specific contract.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Disposable treatment tips are single-patient multiple-use products that come in different sizes, each of which are to be used for specific procedures. Tips are attached to the handpiece for use in patient procedures and, upon detachment from the handpiece, a tip cannot be reused, and it must be disposed of. Tips represent a distinct performance obligation which is satisfied either upon shipment, or upon delivery of the tips to the customer, depending on the specific contract.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CUs are credits that authorize the customer to perform a procedure, or cycle. Each procedure requires a specific number of CUs, dependent upon type of tip used and procedure level selected. As the procedure is performed, the applicable number of CUs are decremented. When the customer’s balance of CUs on a specific system is depleted, the system will </w:t>
      </w:r>
      <w:r>
        <w:rPr>
          <w:rStyle w:val="Emphasis"/>
          <w:rFonts w:ascii="Times New Roman" w:hAnsi="Times New Roman"/>
          <w:caps w:val="false"/>
          <w:smallCaps w:val="false"/>
          <w:sz w:val="20"/>
        </w:rPr>
        <w:t>no</w:t>
      </w:r>
      <w:r>
        <w:rPr>
          <w:rFonts w:ascii="Times New Roman" w:hAnsi="Times New Roman"/>
          <w:caps w:val="false"/>
          <w:smallCaps w:val="false"/>
          <w:sz w:val="20"/>
        </w:rPr>
        <w:t> longer function until the customer purchases additional CUs. Customers can purchase additional CUs via the Company’s CellFX Marketplace which is an online marketplace accessible directly from the CellFX System. Payment for CUs is due upon order placement and the CUs are immediately available for download to the console via CellFX CloudConnect. CUs represent a distinct performance obligation which is satisfied when CUs are made available for customers to download from the Company’s CellFX CloudConnect, as customers can use purchased CUs at any time at their discretion,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provide any ongoing service or other forms of involvement after the sale occurs.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Shipping and handling activities are </w:t>
      </w:r>
      <w:r>
        <w:rPr>
          <w:rStyle w:val="Emphasis"/>
          <w:rFonts w:ascii="Times New Roman" w:hAnsi="Times New Roman"/>
          <w:caps w:val="false"/>
          <w:smallCaps w:val="false"/>
          <w:sz w:val="20"/>
        </w:rPr>
        <w:t>not</w:t>
      </w:r>
      <w:r>
        <w:rPr>
          <w:rFonts w:ascii="Times New Roman" w:hAnsi="Times New Roman"/>
          <w:caps w:val="false"/>
          <w:smallCaps w:val="false"/>
          <w:sz w:val="20"/>
        </w:rPr>
        <w:t> considered to be a separate performance obligation. The Company’s standard commercial agreements generally include FOB shipping point terms. The Company has made an accounting policy election to account for shipping and handling costs as fulfillment costs because the shipping and handling activities occur after the customer obtains control of the product.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19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Transaction Price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transaction price is the consideration to which the Company expects to be entitled to in exchange for providing the promised goods to customers. Customer orders placed for cash contemplate a fixed amount of consideration. Customer orders placed by physicians participating in the Controlled Launch when they elected to purchase the CellFX System were paid for via conversion of accumulated earned credits for prior services provided by the physicians under the terms of their participation in the Controlled Launch. For these transactions, the transaction price included noncash consideration. The services rendered by the physicians in the Controlled Launch were accounted for separately from the subsequent sales of the CellFX Systems because they were distinct from the system sales. They were distinct because they provided the Company with treatment data that could also be procured, and historically had been procured by the Company, without the corresponding system sales. This data was used by the Company to enhance marketing and promotion of its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The Company evaluates the possible impact of variable consideration in determining the transaction price, in particular the possibility of future returns or credits. Sales agreements allow for a right of return only if the product does </w:t>
      </w:r>
      <w:r>
        <w:rPr>
          <w:rStyle w:val="Emphasis"/>
          <w:rFonts w:ascii="Times New Roman" w:hAnsi="Times New Roman"/>
          <w:caps w:val="false"/>
          <w:smallCaps w:val="false"/>
          <w:sz w:val="20"/>
        </w:rPr>
        <w:t>not</w:t>
      </w:r>
      <w:r>
        <w:rPr>
          <w:rFonts w:ascii="Times New Roman" w:hAnsi="Times New Roman"/>
          <w:caps w:val="false"/>
          <w:smallCaps w:val="false"/>
          <w:sz w:val="20"/>
        </w:rPr>
        <w:t> conform to the agreed upon quality standards or if the product was shipped due to Company error. The Company anticipates such returns will be minimal and has made </w:t>
      </w:r>
      <w:r>
        <w:rPr>
          <w:rStyle w:val="Emphasis"/>
          <w:rFonts w:ascii="Times New Roman" w:hAnsi="Times New Roman"/>
          <w:caps w:val="false"/>
          <w:smallCaps w:val="false"/>
          <w:sz w:val="20"/>
        </w:rPr>
        <w:t>no</w:t>
      </w:r>
      <w:r>
        <w:rPr>
          <w:rFonts w:ascii="Times New Roman" w:hAnsi="Times New Roman"/>
          <w:caps w:val="false"/>
          <w:smallCaps w:val="false"/>
          <w:sz w:val="20"/>
        </w:rPr>
        <w:t> adjustments to the transaction price for any estimated returns. The transaction price is determined at the time of the initial revenue recognition and updated each quarter for any changes in circumstances (e.g., changes in estimated return or credit rates).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has made an accounting policy election to exclude from the measurement of the transaction price all taxes which are imposed on and concurrent with a specific revenue-producing transaction and collected by the entity from a customer.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When there are multiple performance obligations present, the total transaction price shall be allocated to each of the performance obligations based upon the relative SSPs of those performance obligations. The Company establishes SSPs based on multiple factors including, prices charged by the Company for similar offerings, product-specific business objectives, and the estimated cost to provide the performance obligation. However, upon the sale of a new CellFX System, all performance obligations are delivered concurrently and therefore there is </w:t>
      </w:r>
      <w:r>
        <w:rPr>
          <w:rStyle w:val="Emphasis"/>
          <w:rFonts w:ascii="Times New Roman" w:hAnsi="Times New Roman"/>
          <w:caps w:val="false"/>
          <w:smallCaps w:val="false"/>
          <w:sz w:val="20"/>
        </w:rPr>
        <w:t>no</w:t>
      </w:r>
      <w:r>
        <w:rPr>
          <w:rFonts w:ascii="Times New Roman" w:hAnsi="Times New Roman"/>
          <w:caps w:val="false"/>
          <w:smallCaps w:val="false"/>
          <w:sz w:val="20"/>
        </w:rPr>
        <w:t> impact to revenue recognition timing, and the Company has determined allocations are </w:t>
      </w:r>
      <w:r>
        <w:rPr>
          <w:rStyle w:val="Emphasis"/>
          <w:rFonts w:ascii="Times New Roman" w:hAnsi="Times New Roman"/>
          <w:caps w:val="false"/>
          <w:smallCaps w:val="false"/>
          <w:sz w:val="20"/>
        </w:rPr>
        <w:t>not</w:t>
      </w:r>
      <w:r>
        <w:rPr>
          <w:rFonts w:ascii="Times New Roman" w:hAnsi="Times New Roman"/>
          <w:caps w:val="false"/>
          <w:smallCaps w:val="false"/>
          <w:sz w:val="20"/>
        </w:rPr>
        <w:t> necessary. Should the customer purchase additional CUs, handpieces, or tips at a later time, those purchases will be made under separate purchase agreements, with all promised goods generally transferred at the same time, therefore </w:t>
      </w:r>
      <w:r>
        <w:rPr>
          <w:rStyle w:val="Emphasis"/>
          <w:rFonts w:ascii="Times New Roman" w:hAnsi="Times New Roman"/>
          <w:caps w:val="false"/>
          <w:smallCaps w:val="false"/>
          <w:sz w:val="20"/>
        </w:rPr>
        <w:t>no</w:t>
      </w:r>
      <w:r>
        <w:rPr>
          <w:rFonts w:ascii="Times New Roman" w:hAnsi="Times New Roman"/>
          <w:caps w:val="false"/>
          <w:smallCaps w:val="false"/>
          <w:sz w:val="20"/>
        </w:rPr>
        <w:t> price allocation is necessary in that scenario either.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Controlled Launch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2021, </w:t>
      </w:r>
      <w:r>
        <w:rPr>
          <w:rFonts w:ascii="Times New Roman" w:hAnsi="Times New Roman"/>
          <w:caps w:val="false"/>
          <w:smallCaps w:val="false"/>
          <w:sz w:val="20"/>
        </w:rPr>
        <w:t xml:space="preserve">the Company began to recognize revenue in relation to the conversion of Controlled Launch Program participants into sales agreements (Note </w:t>
      </w:r>
      <w:r>
        <w:rPr>
          <w:rStyle w:val="Emphasis"/>
          <w:rFonts w:ascii="Times New Roman" w:hAnsi="Times New Roman"/>
          <w:caps w:val="false"/>
          <w:smallCaps w:val="false"/>
          <w:sz w:val="20"/>
        </w:rPr>
        <w:t>9</w:t>
      </w:r>
      <w:r>
        <w:rPr>
          <w:rFonts w:ascii="Times New Roman" w:hAnsi="Times New Roman"/>
          <w:caps w:val="false"/>
          <w:smallCaps w:val="false"/>
          <w:sz w:val="20"/>
        </w:rPr>
        <w:t>). These customers were already in possession of the system, handpiece, and tips. As such, upon execution of these purchase agreements, the Company recognized revenue on the agreements because control of all performance obligations were transferred at that time. These customers separately purchased CUs in order to operate the CellFX System and the revenue for these CUs was recognized upon delivery of the CUs to CellFX CloudConnect.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11.</w:t>
      </w:r>
      <w:r>
        <w:rPr>
          <w:rFonts w:ascii="Times New Roman" w:hAnsi="Times New Roman"/>
          <w:b/>
          <w:caps w:val="false"/>
          <w:smallCaps w:val="false"/>
          <w:sz w:val="20"/>
        </w:rPr>
        <w:t xml:space="preserve"> Segment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 operates and manages the business as one reportable and operating segment. The Company’s Chief Executive Officer acts as the chief operating decision maker (“CODM”) of the Company. The CODM reviews the results of the Company on a consolidated basis, however in making certain operating decisions and assessing performance, the CODM will additionally review the disaggregated revenue results by product and geography. All of the Company’s long-lived assets are based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 by product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86" w:type="dxa"/>
        <w:jc w:val="left"/>
        <w:tblInd w:w="0" w:type="dxa"/>
        <w:tblLayout w:type="fixed"/>
        <w:tblCellMar>
          <w:top w:w="0" w:type="dxa"/>
          <w:left w:w="0" w:type="dxa"/>
          <w:bottom w:w="0" w:type="dxa"/>
          <w:right w:w="0" w:type="dxa"/>
        </w:tblCellMar>
      </w:tblPr>
      <w:tblGrid>
        <w:gridCol w:w="2240"/>
        <w:gridCol w:w="60"/>
        <w:gridCol w:w="325"/>
        <w:gridCol w:w="676"/>
        <w:gridCol w:w="156"/>
        <w:gridCol w:w="156"/>
        <w:gridCol w:w="325"/>
        <w:gridCol w:w="871"/>
        <w:gridCol w:w="60"/>
        <w:gridCol w:w="60"/>
        <w:gridCol w:w="297"/>
        <w:gridCol w:w="619"/>
        <w:gridCol w:w="143"/>
        <w:gridCol w:w="143"/>
        <w:gridCol w:w="297"/>
        <w:gridCol w:w="798"/>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shd w:fill="CCEEFF" w:val="cle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9" w:type="dxa"/>
            <w:tcBorders/>
            <w:shd w:fill="CCEEFF" w:val="clear"/>
            <w:vAlign w:val="center"/>
          </w:tcPr>
          <w:p>
            <w:pPr>
              <w:pStyle w:val="TableContents"/>
              <w:bidi w:val="0"/>
              <w:spacing w:before="0" w:after="283"/>
              <w:ind w:left="0" w:right="0" w:hanging="0"/>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576</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Cycle units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133</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20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 by geography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286" w:type="dxa"/>
        <w:jc w:val="left"/>
        <w:tblInd w:w="0" w:type="dxa"/>
        <w:tblLayout w:type="fixed"/>
        <w:tblCellMar>
          <w:top w:w="0" w:type="dxa"/>
          <w:left w:w="0" w:type="dxa"/>
          <w:bottom w:w="0" w:type="dxa"/>
          <w:right w:w="0" w:type="dxa"/>
        </w:tblCellMar>
      </w:tblPr>
      <w:tblGrid>
        <w:gridCol w:w="2240"/>
        <w:gridCol w:w="60"/>
        <w:gridCol w:w="325"/>
        <w:gridCol w:w="676"/>
        <w:gridCol w:w="156"/>
        <w:gridCol w:w="156"/>
        <w:gridCol w:w="325"/>
        <w:gridCol w:w="871"/>
        <w:gridCol w:w="60"/>
        <w:gridCol w:w="60"/>
        <w:gridCol w:w="297"/>
        <w:gridCol w:w="619"/>
        <w:gridCol w:w="143"/>
        <w:gridCol w:w="143"/>
        <w:gridCol w:w="297"/>
        <w:gridCol w:w="798"/>
        <w:gridCol w:w="60"/>
      </w:tblGrid>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0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10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2022</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North America</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shd w:fill="CCEEFF" w:val="cle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9" w:type="dxa"/>
            <w:tcBorders/>
            <w:shd w:fill="CCEEFF" w:val="clear"/>
            <w:vAlign w:val="center"/>
          </w:tcPr>
          <w:p>
            <w:pPr>
              <w:pStyle w:val="TableContents"/>
              <w:bidi w:val="0"/>
              <w:spacing w:before="0" w:after="283"/>
              <w:ind w:left="0" w:right="0" w:hanging="0"/>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29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526</w:t>
            </w:r>
          </w:p>
        </w:tc>
        <w:tc>
          <w:tcPr>
            <w:tcW w:w="60" w:type="dxa"/>
            <w:tcBorders/>
            <w:shd w:fill="CCEEFF" w:val="clear"/>
            <w:vAlign w:val="center"/>
          </w:tcPr>
          <w:p>
            <w:pPr>
              <w:pStyle w:val="TableContents"/>
              <w:bidi w:val="0"/>
              <w:spacing w:before="0" w:after="283"/>
              <w:jc w:val="left"/>
              <w:rPr/>
            </w:pPr>
            <w:r>
              <w:rPr/>
              <w:t> </w:t>
            </w:r>
          </w:p>
        </w:tc>
      </w:tr>
      <w:tr>
        <w:trPr/>
        <w:tc>
          <w:tcPr>
            <w:tcW w:w="224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 of World</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43"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2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w:t>
            </w:r>
          </w:p>
        </w:tc>
        <w:tc>
          <w:tcPr>
            <w:tcW w:w="60" w:type="dxa"/>
            <w:tcBorders/>
            <w:shd w:fill="FFFFFF" w:val="clear"/>
            <w:vAlign w:val="center"/>
          </w:tcPr>
          <w:p>
            <w:pPr>
              <w:pStyle w:val="TableContents"/>
              <w:bidi w:val="0"/>
              <w:spacing w:before="0" w:after="283"/>
              <w:jc w:val="left"/>
              <w:rPr/>
            </w:pPr>
            <w:r>
              <w:rPr/>
              <w:t> </w:t>
            </w:r>
          </w:p>
        </w:tc>
      </w:tr>
      <w:tr>
        <w:trPr/>
        <w:tc>
          <w:tcPr>
            <w:tcW w:w="224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consolidated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43"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29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 xml:space="preserve">Related Party Transactions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May 2022, </w:t>
      </w:r>
      <w:r>
        <w:rPr>
          <w:rFonts w:ascii="Times New Roman" w:hAnsi="Times New Roman"/>
          <w:caps w:val="false"/>
          <w:smallCaps w:val="false"/>
          <w:sz w:val="20"/>
        </w:rPr>
        <w:t xml:space="preserve">the Company determined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to renew its annual director and officer liability insurance policy due to disproportionately high premiums quoted by insurance companies. Instead, on </w:t>
      </w:r>
      <w:r>
        <w:rPr>
          <w:rStyle w:val="Emphasis"/>
          <w:rFonts w:ascii="Times New Roman" w:hAnsi="Times New Roman"/>
          <w:caps w:val="false"/>
          <w:smallCaps w:val="false"/>
          <w:sz w:val="20"/>
        </w:rPr>
        <w:t xml:space="preserve">May 31, 2022, </w:t>
      </w:r>
      <w:r>
        <w:rPr>
          <w:rFonts w:ascii="Times New Roman" w:hAnsi="Times New Roman"/>
          <w:caps w:val="false"/>
          <w:smallCaps w:val="false"/>
          <w:sz w:val="20"/>
        </w:rPr>
        <w:t xml:space="preserve">the Company and Robert W. Duggan, majority stockholder and Executive Chairman, entered into a letter agreement (the “Letter Agreement”) pursuant to which Mr. Duggan agreed with the Company to personally provide indemnity coverage for a one-year period, and he agreed to deposit cash and/or marketable securities into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escrow, as security for these obligations, if requested by the Company. On </w:t>
      </w:r>
      <w:r>
        <w:rPr>
          <w:rStyle w:val="Emphasis"/>
          <w:rFonts w:ascii="Times New Roman" w:hAnsi="Times New Roman"/>
          <w:caps w:val="false"/>
          <w:smallCaps w:val="false"/>
          <w:sz w:val="20"/>
        </w:rPr>
        <w:t xml:space="preserve">May 31, 2023, </w:t>
      </w:r>
      <w:r>
        <w:rPr>
          <w:rFonts w:ascii="Times New Roman" w:hAnsi="Times New Roman"/>
          <w:caps w:val="false"/>
          <w:smallCaps w:val="false"/>
          <w:sz w:val="20"/>
        </w:rPr>
        <w:t xml:space="preserve">the last day of the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period, the Company paid Mr. Duggan a fee of $1.0 million in consideration of the obligations set forth in the Letter Agreement. As of </w:t>
      </w:r>
      <w:r>
        <w:rPr>
          <w:rStyle w:val="Emphasis"/>
          <w:rFonts w:ascii="Times New Roman" w:hAnsi="Times New Roman"/>
          <w:caps w:val="false"/>
          <w:smallCaps w:val="false"/>
          <w:sz w:val="20"/>
        </w:rPr>
        <w:t>June 30, 2023</w:t>
      </w:r>
      <w:r>
        <w:rPr>
          <w:rFonts w:ascii="Times New Roman" w:hAnsi="Times New Roman"/>
          <w:caps w:val="false"/>
          <w:smallCaps w:val="false"/>
          <w:sz w:val="20"/>
        </w:rPr>
        <w:t>, there were no additional amounts owed to Mr. Duggan under the Letter Agreement.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September 20,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the Company and Robert W. Duggan, majority stockholder and Executive Chairman, entered into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in connection with Mr. Duggan lending the principal sum of $65.0 million to the Company. On </w:t>
      </w:r>
      <w:r>
        <w:rPr>
          <w:rStyle w:val="Emphasis"/>
          <w:rFonts w:ascii="Times New Roman" w:hAnsi="Times New Roman"/>
          <w:caps w:val="false"/>
          <w:smallCaps w:val="false"/>
          <w:sz w:val="20"/>
        </w:rPr>
        <w:t xml:space="preserve">April 30, 2023, </w:t>
      </w:r>
      <w:r>
        <w:rPr>
          <w:rFonts w:ascii="Times New Roman" w:hAnsi="Times New Roman"/>
          <w:caps w:val="false"/>
          <w:smallCaps w:val="false"/>
          <w:sz w:val="20"/>
        </w:rPr>
        <w:t xml:space="preserve">the Company entered into a Securities Purchase Agreement with Mr. Duggan, pursuant to which the Company agreed to issue and sell to Mr. Duggan 10,022,937 shares of the Company’s common stock, par value $0.001 per share, in a Private Placement, at a price per share of $6.51. These shares were paid for through the cancellation of the amounts then owed by the Company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the principal sum of $65.0 million and all accrued and unpaid interest outstanding, which totaled approximately $0.2 million as of </w:t>
      </w:r>
      <w:r>
        <w:rPr>
          <w:rStyle w:val="Emphasis"/>
          <w:rFonts w:ascii="Times New Roman" w:hAnsi="Times New Roman"/>
          <w:caps w:val="false"/>
          <w:smallCaps w:val="false"/>
          <w:sz w:val="20"/>
        </w:rPr>
        <w:t>April 30, 2023. </w:t>
      </w:r>
      <w:r>
        <w:rPr>
          <w:rFonts w:ascii="Times New Roman" w:hAnsi="Times New Roman"/>
          <w:caps w:val="false"/>
          <w:smallCaps w:val="false"/>
          <w:sz w:val="20"/>
        </w:rPr>
        <w:t xml:space="preserve">Upon closing of the Private Placement and satisfaction of the outstanding debt,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terminated, without early termination fees or penalties being owed by the Company.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additional amounts are owed to Mr. Duggan under the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Loan Agreement. See Note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for further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both"/>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w:t>
      </w:r>
      <w:r>
        <w:rPr>
          <w:rFonts w:ascii="Times New Roman" w:hAnsi="Times New Roman"/>
          <w:caps w:val="false"/>
          <w:smallCaps w:val="false"/>
          <w:sz w:val="20"/>
        </w:rPr>
        <w:t>  </w:t>
      </w:r>
      <w:r>
        <w:rPr>
          <w:rFonts w:ascii="Times New Roman" w:hAnsi="Times New Roman"/>
          <w:b/>
          <w:caps w:val="false"/>
          <w:smallCaps w:val="false"/>
          <w:sz w:val="20"/>
        </w:rPr>
        <w:t xml:space="preserve">Restructuring Charges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Company initiated a plan to reduce its operating expenses, preserve financial resources, and focus its sales and marketing efforts on increasing utilization of CellFX Systems. The Company’s Board of Directors approved changes to the Company’s commercial leadership, restructuring of its commercial field organization and reductions in other personnel and expenses across the Company. The Company announced a reduction in force effective as of </w:t>
      </w:r>
      <w:r>
        <w:rPr>
          <w:rStyle w:val="Emphasis"/>
          <w:rFonts w:ascii="Times New Roman" w:hAnsi="Times New Roman"/>
          <w:caps w:val="false"/>
          <w:smallCaps w:val="false"/>
          <w:sz w:val="20"/>
        </w:rPr>
        <w:t xml:space="preserve">March 31, 2022. </w:t>
      </w:r>
      <w:r>
        <w:rPr>
          <w:rFonts w:ascii="Times New Roman" w:hAnsi="Times New Roman"/>
          <w:caps w:val="false"/>
          <w:smallCaps w:val="false"/>
          <w:sz w:val="20"/>
        </w:rPr>
        <w:t xml:space="preserve">The affected employees were offered separation benefits, including severance payments along with temporary healthcare coverage assistance. The Company incurred a discrete restructuring related charge of $0.7 million which was fully recorded in </w:t>
      </w:r>
      <w:r>
        <w:rPr>
          <w:rStyle w:val="Emphasis"/>
          <w:rFonts w:ascii="Times New Roman" w:hAnsi="Times New Roman"/>
          <w:caps w:val="false"/>
          <w:smallCaps w:val="false"/>
          <w:sz w:val="20"/>
        </w:rPr>
        <w:t xml:space="preserve">March 2022 </w:t>
      </w:r>
      <w:r>
        <w:rPr>
          <w:rFonts w:ascii="Times New Roman" w:hAnsi="Times New Roman"/>
          <w:caps w:val="false"/>
          <w:smallCaps w:val="false"/>
          <w:sz w:val="20"/>
        </w:rPr>
        <w:t xml:space="preserve">and the related expenses are included within total cost and expenses on the condensed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2022.</w:t>
      </w:r>
      <w:r>
        <w:rPr>
          <w:rFonts w:ascii="Times New Roman" w:hAnsi="Times New Roman"/>
          <w:caps w:val="false"/>
          <w:smallCaps w:val="false"/>
          <w:sz w:val="20"/>
        </w:rPr>
        <w:t xml:space="preserve"> This charge represents the total amount incurred in connection with the activity.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the Company eliminated an additional seven positions and incurred a discrete restructuring related charge of $0.1 million which was fully recorded in </w:t>
      </w:r>
      <w:r>
        <w:rPr>
          <w:rStyle w:val="Emphasis"/>
          <w:rFonts w:ascii="Times New Roman" w:hAnsi="Times New Roman"/>
          <w:caps w:val="false"/>
          <w:smallCaps w:val="false"/>
          <w:sz w:val="20"/>
        </w:rPr>
        <w:t xml:space="preserve">February 2023 </w:t>
      </w:r>
      <w:r>
        <w:rPr>
          <w:rFonts w:ascii="Times New Roman" w:hAnsi="Times New Roman"/>
          <w:caps w:val="false"/>
          <w:smallCaps w:val="false"/>
          <w:sz w:val="20"/>
        </w:rPr>
        <w:t xml:space="preserve">and the related expenses are included within total cost and expenses on the condensed consolidated statement of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This charge represents the total amount incurred in connection with the activity.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bookmarkStart w:id="10" w:name="mda"/>
      <w:bookmarkEnd w:id="1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You should read the following discussion and analysis of our financial condition and results of operations together with our condensed consolidated financial statements and the related notes included in this Quarterly Report and those in our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This report contains “forward-looking statements” within the meaning of Section 27A of the Securities Act of 1933, as amended, and Section 21E of the Securities Exchange Act of 1934, as amended (the “Exchange Act”). Forward-looking statements relate to expectations concerning matters that are not historical facts. Words such as “anticipates,” “believes,” “could,” “estimates,” “expects,” “intends,” “may,” “might,” “plans,” “projects,” “will,” “would,” and similar expressions are intended to identify forward-looking statements, although not all forward-looking statements contain these identifying words. These forward-looking statements include, but are not limited to, statements related to our expected business, new product introductions, results of clinical studies, expectations regarding regulatory clearance and the timing of FDA or non-US filings or approvals including meetings with FDA or non-US regulatory bodies, procedures and procedure adoption, future results of operations, future financial position, our ability to generate revenues, our financing plans and future capital requirements, anticipated costs of revenue, anticipated expenses, the effect of recent accounting pronouncements, our anticipated cash flows, our ability to finance operations from cash flows or otherwise, and statements based on current expectations, estimates, forecasts, and projections about the economies and markets in which we operate and intend to operate and our beliefs and assumptions regarding these economies and markets.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Quarterly Report for a discussion of important factors that could cause actual results to differ materially from the results described in or implied by the forward-looking statements contained herein. We do not assume any obligation to update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 addition, statements that “we believe” and similar statements reflect our beliefs and opinions on the relevant subject. These statements are based upon information available to us as of the date of this Quarterly Report,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This Quarterly Report and any documents incorporated by reference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other projections. While we believe these assumptions and projections are reasonable and sound, as of the date of this Quarterly Report, actual results may differ from the projections.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Pulse Biosciences, Inc. is a novel bioelectric medicine company committed to health innovation using its patented Nano-pulse Stimulation™ technology, a revolutionary energy modality that delivers nanosecond-duration pulses of electrical energy, each less than a millionth of a second long, to non-thermally clear targeted cells while sparing adjacent noncellular tissue. NPS technology, also referred to as a Nanosecond Pulsed Field Ablation™ or nsPFA™ technology when used to ablate cellular tissue, can be used to treat a variety of medical conditions for which an optimal solution remains unfulfilled. We developed our proprietary CellFX System®, a novel nsPFA delivery platform, and commercialized the initial application of our nsPFA technology to treat benign lesions of the skin. In parallel, we designed a variety of applicators to explore the potential use of the CellFX platform to treat disorders in other medical specialties, such as cardiology, gastroenterology, gynecology, and ear, nose and throat. These applicators include devices for open surgical procedures, endoscopic or minimally invasive procedures, and endoluminal catheters, and each has been used in preclinical studies. Based on our preclinical experience and the potential to significantly improve outcomes for patients in a large and growing market, we decided in 2022 to focus our efforts on the use of nsPFA applicators and the CellFX platform in the treatment of atrial fibrillation ("AF").</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AF is a type of heart arrythmia, or irregular heartbeat, caused by faulty electrical signals in the heart. AF is a highly prevalent condition and is growing significantly with an aging population. It is estimated that 43 million people worldwide are affected by AF. Treatment requires the precise and safe ablation of heart tissue to block or otherwise prevent these faulty electrical signals from causing the irregular heartbeat, and we believe nsPFA technology is uniquely suited to perform an integral role for this application and that it will prove to be highly differentiated from standard thermal energy modalities in use today. We have developed a cardiac ablation clamp for use in cardiac surgery and a cardiac ablation catheter for use in electrophysiology and we are currently testing both in preclinical models. While these devices serve different physicians, the application of the energy to safely and effectively ablate cardiac tissue and the treatment of AF are the same, and we believe there will be important synergies realized through their contemporaneous development. Our cardiac ablation clamp and cardiac ablation catheter both use the CellFX System to generate our proprietary pulses of electrical energy.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surgical cardiac ablation clamp is designed for use by cardiac surgeons during the surgical treatment of AF. The standard of care surgical procedure for the treatment of AF is performed by cardiac surgeons and called the Cox-Maze procedure. The Cox-Maze procedure typically uses thermal ablation technologies, such as heat with radiofrequency ablation or cold with cryoablation, to create specific ablation lines in the heart muscle. The ablation lines block the conduction of electrical impulses and can cure the patient of their atrial fibrillation.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nsPFA technology can provide important advantages over today’s thermal modalities in creating these ablation lines. For example, surgeons using the CellFX System should be able to deliver faster ablations through thicker tissue than thermal modalities because of the nonthermal mechanism of action that nsPFA employs, which is not affected by heatsinks such as the blood in the heart. Thermal modalities are also known to have problems with char formation on electrode surfaces which can cause gaps in the ablation lines leading to treatment failure and require the char to be scraped off by the surgeon during the procedure. Again, this should not be an issue with nsPFA ablation given its nonthermal nature. Because nsPFA ablation does not impact acellular tissue, such as collagen or cartilage, our technology has the potential to offer significant safety advantages over thermal modalities by allowing surgeons to ablate near and into vessels and valves without concern of permanent damage. And finally, nsPFA ablation has been shown to spare nerves of any permanent damage even when treated directly, which is another concern for thermal modalities. We believe these advantages will be important to cardiac surgeons, so we are working with leaders in the field to develop this technology quickly. In May 2023, we appointed Dr. Gan Dunnington as our Chief Medical Officer, Cardiac Surgery. Dr. Dunnington is a cardiothoracic surgeon and the Director of Cardiothoracic Surgery at St. Helena Hospital (Napa Valley). He specializes in minimally invasive complex cardiothoracic procedures for the treatment of AF.</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last several years, we have been developing the cardiac ablation clamp from proof-of-concept to prototype, and we now have what we believe is our initial commercial design. The device was designed with the input of key physicians in cardiac surgery, and we believe it will offer a highly differentiated option relative to the standard of care thermal modalities. We plan to continue to perform the necessary device testing during 2023 and potentially into 2024 to prepare for regulatory filings, including continued preclinical testing. In parallel with the continued testing of the device, we have been meeting with the U.S. Food and Drug Administration (the "FDA") to discuss the regulatory requirements for a potential 510(k) clearance or other approval to market our cardiac clamp in the United States. These meetings were done as part of the FDA’s standard Q-submission (or pre-submission) process. With guidance from the FDA, we have been finalizing the protocol for a preclinical study, known as a Good Laboratory Practices or “GLP” study, which would serve as the foundational support for a regulatory clearance. While the GLP study is unlikely to be the only testing needed for regulatory approval, we believe we are on track to file a 510(k) submission with the FDA for our cardiac clamp in the first half of 2024.</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our cardiac catheter ablation device will have many of the same advantages that the cardiac ablation clamp has relative to both performance and safety compared to standard thermal modalities. Our catheter is uniquely designed to provide a circumferential, or circular, ablation in a single treatment cycle. We believe this will enable faster treatment times compared to what is currently performed with thermal modalities, especially when ablating around the pulmonary veins, a common treatment approach for AF.</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recent years, Pulsed Field Ablation ("PFA") has gained attention in electrophysiology for the treatment of AF as a result of its safety profile and potential to improve efficacy. PFA differs from nsPFA technology in that the pulse widths are longer, typically in the 10’s to 100’s of microseconds. We believe nsPFA can offer similar safety advantages as PFA and may provide improved efficacy advantages based on the circumferential design of our catheter and the potential that nsPFA can create deeper ablations. Another potential advantage of nsPFA ablation is a much shorter pulse duration which appears to stimulate less muscle contraction than does millisecond or microsecond PFA.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Similar to the cardiac ablation clamp, our proprietary catheter has been in development for several years and we have been working with leaders in the electrophysiology field to test the catheter in preclinical studies. We believe the design we have now will be suitable to pursue a first-in-human clinical safety study. We are in the testing phase of the development process and expect to complete additional safety and performance preclinical studies throughout 2023. Once completed, we believe we will be in a position to begin a first-in-human feasibility study. In the United States, we believe the catheter will need to go through the FDA’s Pre-Market Approval ("PMA") process for FDA approval to market and sell our cardiac catheter in the United States.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supplemental point of validation of the Company’s engineering capabilities, and to demonstrate our technology’s unique mechanism of action on internal organs, in 2023 we continued feasibility work in the treatment of benign thyroid nodules and initiated a first-in-human study using a novel and proprietary nsPFA-enabled surgical end-effector. This study was conducted by Professor Stefano Spiezia at the Ospedale del Mare in Naples, Italy, to help us better understand and confirm the mechanism of action and tissue response of nsPFA energy in internal organs as we advance into human cardiac tissue. Ten subjects were treated and evaluated in the study. All patients tolerated the procedure well with no reported pain or serious side effects. Ultrasound imaging 30 days post procedure showed that the treated portions of the nodules had been either mostly or completely resorbed with no sign of scarring or fibrosis, which can be a side effect of other ablation modalities. Based on these positive initial results, we are preparing an amendment to the thyroid study protocol to expand enrollment with the next phase focused on optimizing treatment parameters.</w:t>
      </w:r>
    </w:p>
    <w:p>
      <w:pPr>
        <w:pStyle w:val="TextBody"/>
        <w:bidi w:val="0"/>
        <w:spacing w:before="0" w:after="0"/>
        <w:ind w:left="14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substantial operating losses and have used cash in our operating activities since inception. Based on our current operating plan, we believe we have sufficient cash and cash equivalents on hand to support current operations for the twelve months following the filing of this Quarterly Report. We plan to seek to raise capital from time to time, to fund our future operations through public or private equity offerings, debt financings, our at-the-market equity offering program, or by entering into collaborations with third parties, to fund our future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Over the past few years, Robert Duggan, our majority stockholder and Executive Director, has made significant investments in our Company to fund its operations. In June 2022, we completed a common stock rights offering to our existing stockholders of record, which raised $15 million in aggregate. Mr. Duggan purchased approximately 56% of the shares offered through this offering. Then, in September 2022, we entered into the 2022 Loan Agreement with Mr. Duggan pursuant to which he lent the Company $65 million to fund its product development operations. In April 2023, the 2022 Loan Agreement was terminated upon Mr. Duggan and the Company entering into a Securities Purchase Agreement whereby the shares were paid for through the cancellation of both the principal sum of $65.0 million and all accrued and unpaid interest owed at the time under the 2022 Loan Agreement, which totaled approximately $0.2 million. Mr. Duggan may or may not elect to participate in any number of our future fundraisings, as described above, and he may choose to invest more than his current pro rata share in any of these fundraisings, or alternatively he may offer to provide additional debt financing as may be needed in order to maintain the Company as a going concern.</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source, timing and availability of any future financing will depend largely upon market conditions and perceived progress in the Company’s on-going product development initiatives, as well as future clinical and regulatory developments concerning the CellFX System and our other NPS-based technologies. Funding may not be available when needed, at all or on terms acceptable to us. Lack of necessary funds may require us to, among other things, delay, scale back or eliminate some or all of our commercial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the current banking environment, and by the COVID health risks, together with the deterioration of the credit, banking and capital markets, could have an adverse impact on potential sources of future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are based upon our unaudited condensed consolidated financial statements, which have been prepared in accordance with the rules and regulations of the U.S Securities and Exchange Commission. The preparation of these condensed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critical accounting policies and estimates are described in our Annual Report on Form 10-K for the year ended December 31, 2022. We continually evaluate the accounting policies and estimates used in preparing our consolidated financial statements. During the three-month period ended June 30, 2023, the Company issued stock options to certain employees which contain market conditions related to overall market capitalization. Additionally, the Company has issued stock options to certain employees which contain performance conditions related to certain financial measures and achievements of strategic/operational milestones. Due to the complex nature and use of estimates in the calculation to determine the fair value of market-based awards and estimates involved in the recognition of compensation expense for performance-based awards, the Company has concluded that stock-based compensation should be included in our critical accounting policies and estimates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stock-based compensation programs include stock options and an employee stock purchase program. We periodically issue stock options to officers, directors, employees and consultants for their services to the Company. Such issuances vest and expire according to terms established at the issuance date. Stock-based payments to officers, directors and employees, including grants of employee stock options, are recognized in the financial statements based on their grant date fair values, which are estimated using the Black-Scholes option-pricing model. Stock-based compensation expense is charged to operations on a straight-line basis over the requisite service period. We have granted stock options with time-based, performance-based, and market-based vesting conditions.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stock options with performance-based vesting conditions, we do not recognize compensation expense until it is probable that the performance-based vesting condition will be achieved. The analysis to determine such probability involves estimates and judgements from management. The estimate of expense may be revised periodically based on the probability of achieving the required performance targets.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vesting conditions for stock options with market-based vesting conditions relate to the achievement of certain market capitalization targets of the Company. The grant date fair value for these stock options was determined using a Monte Carlo simulation. The expense is recognized over the requisite service period for each tranche of the awards. The requisite service period is the service period derived from the Monte Carlo simulation model. If the market capitalization targets are met sooner than the derived service period, we will accelerate the recognition of stock-based compensation expense to reflect the cumulative expense associated with the vested shares. The Monte Carlo simulation requires the Company to make assumptions and judgements about the variables used in the calculation including the expected term, volatility of the Company's common stock, an assumed risk-free interest rate, and cost of equity. The assumptions used represent management’s best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Refer to “Recent Accounting Pronouncements” in Note 2 of Notes to Condensed Consolidated Financial Statements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and Geographical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operate and manage our business as one reportable and operating segment. Our CODM reviews financial information on an aggregate basis for purposes of allocating resources and evaluating financial performance. All of our long-lived assets are based in the United States. Refer to Note 11 of Notes to Condensed Consolidated Financial Statements of this Quarterly Report for disaggregated revenue results.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Comparison of the</w:t>
      </w:r>
      <w:r>
        <w:rPr>
          <w:rFonts w:ascii="Times New Roman" w:hAnsi="Times New Roman"/>
          <w:caps w:val="false"/>
          <w:smallCaps w:val="false"/>
          <w:sz w:val="20"/>
        </w:rPr>
        <w:t xml:space="preserve"> </w:t>
      </w:r>
      <w:r>
        <w:rPr>
          <w:rFonts w:ascii="Times New Roman" w:hAnsi="Times New Roman"/>
          <w:b/>
          <w:i/>
          <w:caps w:val="false"/>
          <w:smallCaps w:val="false"/>
          <w:sz w:val="20"/>
        </w:rPr>
        <w:t>three-month</w:t>
      </w:r>
      <w:r>
        <w:rPr>
          <w:rFonts w:ascii="Times New Roman" w:hAnsi="Times New Roman"/>
          <w:caps w:val="false"/>
          <w:smallCaps w:val="false"/>
          <w:sz w:val="20"/>
        </w:rPr>
        <w:t xml:space="preserve"> </w:t>
      </w:r>
      <w:r>
        <w:rPr>
          <w:rFonts w:ascii="Times New Roman" w:hAnsi="Times New Roman"/>
          <w:b/>
          <w:i/>
          <w:caps w:val="false"/>
          <w:smallCaps w:val="false"/>
          <w:sz w:val="20"/>
        </w:rPr>
        <w:t>periods</w:t>
      </w:r>
      <w:r>
        <w:rPr>
          <w:rFonts w:ascii="Times New Roman" w:hAnsi="Times New Roman"/>
          <w:caps w:val="false"/>
          <w:smallCaps w:val="false"/>
          <w:sz w:val="20"/>
        </w:rPr>
        <w:t xml:space="preserve"> </w:t>
      </w:r>
      <w:r>
        <w:rPr>
          <w:rFonts w:ascii="Times New Roman" w:hAnsi="Times New Roman"/>
          <w:b/>
          <w:i/>
          <w:caps w:val="false"/>
          <w:smallCaps w:val="false"/>
          <w:sz w:val="20"/>
        </w:rPr>
        <w:t>ended</w:t>
      </w:r>
      <w:r>
        <w:rPr>
          <w:rFonts w:ascii="Times New Roman" w:hAnsi="Times New Roman"/>
          <w:caps w:val="false"/>
          <w:smallCaps w:val="false"/>
          <w:sz w:val="20"/>
        </w:rPr>
        <w:t xml:space="preserve"> </w:t>
      </w:r>
      <w:r>
        <w:rPr>
          <w:rFonts w:ascii="Times New Roman" w:hAnsi="Times New Roman"/>
          <w:b/>
          <w:i/>
          <w:caps w:val="false"/>
          <w:smallCaps w:val="false"/>
          <w:sz w:val="20"/>
        </w:rPr>
        <w:t>June 30,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307" w:type="dxa"/>
        <w:jc w:val="left"/>
        <w:tblInd w:w="0" w:type="dxa"/>
        <w:tblLayout w:type="fixed"/>
        <w:tblCellMar>
          <w:top w:w="0" w:type="dxa"/>
          <w:left w:w="0" w:type="dxa"/>
          <w:bottom w:w="0" w:type="dxa"/>
          <w:right w:w="0" w:type="dxa"/>
        </w:tblCellMar>
      </w:tblPr>
      <w:tblGrid>
        <w:gridCol w:w="3425"/>
        <w:gridCol w:w="60"/>
        <w:gridCol w:w="132"/>
        <w:gridCol w:w="688"/>
        <w:gridCol w:w="84"/>
        <w:gridCol w:w="63"/>
        <w:gridCol w:w="132"/>
        <w:gridCol w:w="688"/>
        <w:gridCol w:w="80"/>
        <w:gridCol w:w="60"/>
        <w:gridCol w:w="152"/>
        <w:gridCol w:w="663"/>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8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(265</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68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1,239</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68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66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(3,690</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3,530</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(4,052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(10,227</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(14,014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3,787</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jc w:val="left"/>
              <w:rPr/>
            </w:pPr>
            <w:r>
              <w:rPr/>
              <w:t> </w:t>
            </w:r>
          </w:p>
        </w:tc>
        <w:tc>
          <w:tcPr>
            <w:tcW w:w="66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4"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317</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68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4"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(9,910</w:t>
            </w:r>
          </w:p>
        </w:tc>
        <w:tc>
          <w:tcPr>
            <w:tcW w:w="8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3" w:type="dxa"/>
            <w:tcBorders/>
            <w:shd w:fill="FFFFFF" w:val="clear"/>
            <w:vAlign w:val="center"/>
          </w:tcPr>
          <w:p>
            <w:pPr>
              <w:pStyle w:val="TableContents"/>
              <w:bidi w:val="0"/>
              <w:spacing w:before="0" w:after="283"/>
              <w:ind w:left="0" w:right="0" w:hanging="0"/>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(13,996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4,086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Revenues decreased by $0.3 million to zero for the three-month period ended June 30, 2023, compared to the same period in 2022. The decrease in revenues was driven by the September 2022 announcement to shift our strategic direction and advance our core NPS technology outside of dermatology, discontinuing further sales in the dermatology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Cost of revenues decreased by $1.3 million to zero for the three-month period ended June 30, 2023, compared to the same period in 2022, driven by the September 2022 announcement to shift our strategic direction and advance our core NPS technology outside of dermatology. The Company has discontinued further sales in the dermatology market, which is currently the only market that the Company has regulatory clearance to market and sell into. As we are no longer selling the CellFX system, we are no longer incurring costs of revenues. Going forward, we will evaluate the classification of expenses as research and development or general and administrative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$1.2 million to $6.7 million for the three-month period ended June 30, 2023, compared to $5.5 million during the same period in 2022 primarily due to increases of $1.2 million in paid services and $0.3 million in supplies. These were partially offset by a decrease of $0.2 million in compensation and other employee-related expenses. As noted under the Cost of Revenues section, going forward we will evaluate the classification of expenses as research and development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consisted of compensation and other employee related expenses for sales and marketing personnel, expenses associated with advertising and training, and marketing studies including our Controlled Launch program. The Company has discontinued further sales in the dermatology market and is performing research and development activities to advance its core NPS technology outside of dermatology. Because we will have no sales activities and we cannot market any products outside of dermatology, we will therefore classify costs previously booked as sales and marketing within general and administrative expenses. Sales and marketing expenses decreased by $3.7 million to zero for the three-month period ended June 30, 2023, compared to $3.7 million during the same period in 2022 primarily due to decreases of $2.3 million in compensation and other employee related expenses, $0.7 million in paid services and promotional activities, and $0.4 million in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$0.3 million to $3.5 million for the three-month period ended June 30, 2023, compared to $3.8 million during the same period in 2022 primarily due to a decrease of $0.4 million in paid services and administrative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Income,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increased by $0.6 million for the three-month period ended June 30, 2023, compared to zero during the same period in 2022 driven by increased returns on higher cash balances. This is partially offset by an increase of $0.3 million in interest expense for the three-month period ended June 30, 2023, compared to zero during the same period in 2022 driven by interest on the 2022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Comparison of the six-month periods ended June 30,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operations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6210" w:type="dxa"/>
        <w:jc w:val="left"/>
        <w:tblInd w:w="0" w:type="dxa"/>
        <w:tblLayout w:type="fixed"/>
        <w:tblCellMar>
          <w:top w:w="0" w:type="dxa"/>
          <w:left w:w="0" w:type="dxa"/>
          <w:bottom w:w="0" w:type="dxa"/>
          <w:right w:w="0" w:type="dxa"/>
        </w:tblCellMar>
      </w:tblPr>
      <w:tblGrid>
        <w:gridCol w:w="3425"/>
        <w:gridCol w:w="60"/>
        <w:gridCol w:w="125"/>
        <w:gridCol w:w="650"/>
        <w:gridCol w:w="80"/>
        <w:gridCol w:w="60"/>
        <w:gridCol w:w="125"/>
        <w:gridCol w:w="650"/>
        <w:gridCol w:w="80"/>
        <w:gridCol w:w="60"/>
        <w:gridCol w:w="131"/>
        <w:gridCol w:w="684"/>
        <w:gridCol w:w="80"/>
      </w:tblGrid>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shd w:fill="FFFF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Change</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Product revenues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(709</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8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Cost of 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(2,253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299</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cost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(12,207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(19,789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(31,287</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11,498</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Interest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60</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from operations,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11,558</w:t>
            </w:r>
          </w:p>
        </w:tc>
        <w:tc>
          <w:tcPr>
            <w:tcW w:w="80" w:type="dxa"/>
            <w:tcBorders/>
            <w:shd w:fill="FFFFFF" w:val="clear"/>
            <w:vAlign w:val="center"/>
          </w:tcPr>
          <w:p>
            <w:pPr>
              <w:pStyle w:val="TableContents"/>
              <w:bidi w:val="0"/>
              <w:spacing w:before="0" w:after="283"/>
              <w:jc w:val="left"/>
              <w:rPr/>
            </w:pPr>
            <w:r>
              <w:rPr/>
              <w:t> </w:t>
            </w:r>
          </w:p>
        </w:tc>
      </w:tr>
      <w:tr>
        <w:trPr/>
        <w:tc>
          <w:tcPr>
            <w:tcW w:w="342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Income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34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(19,711</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(31,269</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11,558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Revenues decreased by $0.7 million to zero for the six-month period ended June 30, 2023, compared to the same period in 2022. The decrease in revenues was driven by the September 2022 announcement to shift our strategic direction and advance our core NPS technology outside of dermatology, discontinuing further sales in the dermatology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of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Cost of revenues decreased by $2.3 million to zero for the six-month period ended June 30, 2023, compared to the same period in 2022, driven by the September 2022 announcement to shift our strategic direction and advance our core NPS technology outside of dermatology. The Company has discontinued further sales in the dermatology market, which is currently the only market that the Company has regulatory clearance to market and sell into. As we are no longer selling the CellFX system, we are no longer incurring costs of revenues. Going forward, we will evaluate the classification of expenses as research and development or general and administrative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consist of compensation and other employee related expenses for research and development personnel, clinical trials and consulting costs related to the design, development and enhancement of our potential future products, prototype material and devices. Research and development expenses increased by $0.3 million to $12.5 million for the six-month period ended June 30, 2023, compared to $12.2 million during the same period in 2022 primarily due to increases of $1.3 million in paid services and $0.5 million in supplies, partially offset by decreases of $1.0 million in compensation and other employee related expenses, $0.3 million in facilities and IT cost allocation driven by our shift in focus, and $0.2 million in stock-based compensation. As noted under the Cost of Revenues section, going forward, we will evaluate the classification of expenses as research and development in accordance with ASC Topic 730</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Research and Development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Sales and marketing expenses consisted of compensation and other employee related expenses for sales and marketing personnel, expenses associated with advertising and training, and marketing studies including our Controlled Launch program. The Company has discontinued further sales in the dermatology market and is performing research and development activities to advance its core NPS technology outside of dermatology. Because we will have no sales activities and we cannot market any products outside of dermatology, we will therefore classify costs previously booked as sales and marketing within general and administrative expenses. Sales and marketing expenses decreased by $9.2 million to zero for the six-month period ended June 30, 2023, compared to $9.2 million during the same period in 2022 primarily due to decreases of $6.0 million in compensation and other employee related expenses, $1.7 million in paid services and promotional activities, $0.8 million in stock-based compensation, $0.6 million in facilities and IT cost allocation driven by our shift in focus, and $0.1 million in supplies.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General and Administrative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consist of compensation and other related employee expenses for executives, finance, legal, human resources, information technology, and administrative personnel, professional fees, patent fees and costs, insurance costs and other general corporate expenses. General and administrative expenses decreased by $1.0 million to $7.3 million for the six-month period ended June 30, 2023, compared to $8.3 million during the same period in 2022 primarily due to decreases of $1.1 million in paid services and administrative costs, $0.5 million in stock-based compensation, and $0.3 million in compensation and other employee related expenses. These were partially offset by an increase of $1.0 million due to facilities and IT cost allocation driven by our shift in focus.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Interest income increased by $1.2 million for the six-month period ended June 30, 2023, compared to zero during the same period in 2022 driven by driven by increased returns on higher cash balances. This is partially offset by an increase of $1.1 million in interest expense for the six-month period ended June 30, 2023, compared to zero during the same period in 2022 driven by interest on the 2022 Loan Agreement.</w:t>
      </w:r>
    </w:p>
    <w:p>
      <w:pPr>
        <w:pStyle w:val="TextBody"/>
        <w:bidi w:val="0"/>
        <w:spacing w:before="0" w:after="283"/>
        <w:jc w:val="left"/>
        <w:rPr/>
      </w:pPr>
      <w:r>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Liquidity and Capital Resources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revenues from product sales. Since inception, we have funded our business primarily through the issuance of equity securities and debt. Over the next few years, we intend to invest in research and development to develop additional commercially viable products and to assess the feasibility of potential future products.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both"/>
        <w:rPr>
          <w:sz w:val="20"/>
        </w:rPr>
      </w:pPr>
      <w:r>
        <w:rPr>
          <w:sz w:val="20"/>
        </w:rPr>
        <w:t xml:space="preserve">On February 4, 2021, we entered into a Sales Agreement with Stifel as sales agent, pursuant to which we may offer and sell, from time to time, through Stifel, up to $60.0 million in shares of our common stock, by any method permitted by law deemed to be an “at-the-market” offering as defined in Rule 415 promulgated under the Securities Act of 1933, as amended. We have no obligation to make any sales of our common stock pursuant to such Sales Agreement. During the  six months ended June 30, 2023 and 2022, we did not issue or sell any shares of common stock under the Sales Agreement.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June 9, 2022, we completed the 2022 Rights Offering resulting in the sale of 7,317,072 Units, at a price of $2.05 per Unit, with each Unit consisting of one share of the Company’s common stock, par value $0.001 per share, and one warrant to purchase one share of common stock at $2.05 per share. 7,317,072 shares of common stock and warrants to acquire up to an additional 7,317,072 shares of common stock were issued in the 2022 Rights Offering. The Company received aggregate gross proceeds from the 2022 Rights Offering of $15 million. In May 2023, the Company delivered an irrevocable notice of redemption to warrant holders and, on June 16, 2023, it redeemed the last of the outstanding 2022 Rights Offering Warrants at a price of $0.01 per warrant share.  Prior to the redemption date, warrants to purchase 7,250,897 shares were exercised, generating approximately $14.9 million of total gross proceeds to the Company. As of June 30, 2023, there were no 2022 Rights Offering Warrants outstanding. Robert W. Duggan, the Company’s majority stockholder and Executive Chairman, purchased approximately 56% of the shares offered through the 2022 Rights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September 2022, we entered into the 2022 Loan Agreement with Robert W. Duggan, our majority stockholder and Executive Chairman, in connection with Mr. Duggan lending the principal sum of $65.0 million to the Company. The 2022 Loan Agreement had a maturity date of March 20, 2024. Under the 2022 Loan Agreement, Mr. Duggan provided us, subject to certain conditions, an unsecured term loan facility in an original aggregate principal amount of $65.0 million. The 2022 Loan Agreement bore interest at a rate per annum equal to 5.0%, payable quarterly, commencing on January 1, 2023. On March 17, 2023, the Company and Mr. Duggan amended certain terms of the Loan Agreement. There were no changes to the interest rate, the principal sum repayment date was changed to September 30, 2024. However, on April 30, 2023, we entered into a Securities Purchase Agreement with Mr. Duggan, pursuant to which we agreed to issue and sell to Mr. Duggan 10,022,937 shares of our common stock, par value $0.001 per share, in a Private Placement, at a price per share of $6.51. These shares were paid for through the cancellation of the amounts then owed by the Company under the 2022 Loan Agreement, the principal sum of $65.0 million and all accrued and unpaid interest outstanding, which totaled approximately $0.2 million as of April 30, 2023. The parties completed the Private Placement on May 9, 2023 and, upon closing and satisfaction of the outstanding debt, the 2022 Loan Agreement terminated, without early termination fees or penalties being owed by the Company. No additional amounts are owed to Mr. Duggan under the 2022 Loan Agreement</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condensed consolidated statements of cash flows as discussed herein are presented below:</w:t>
      </w:r>
    </w:p>
    <w:p>
      <w:pPr>
        <w:pStyle w:val="TextBody"/>
        <w:bidi w:val="0"/>
        <w:spacing w:before="0" w:after="0"/>
        <w:ind w:left="0" w:right="0" w:hanging="0"/>
        <w:jc w:val="left"/>
        <w:rPr>
          <w:caps w:val="false"/>
          <w:smallCaps w:val="false"/>
        </w:rPr>
      </w:pPr>
      <w:r>
        <w:rPr>
          <w:caps w:val="false"/>
          <w:smallCaps w:val="false"/>
        </w:rPr>
        <w:t> </w:t>
      </w:r>
    </w:p>
    <w:tbl>
      <w:tblPr>
        <w:tblW w:w="5832" w:type="dxa"/>
        <w:jc w:val="left"/>
        <w:tblInd w:w="0" w:type="dxa"/>
        <w:tblLayout w:type="fixed"/>
        <w:tblCellMar>
          <w:top w:w="0" w:type="dxa"/>
          <w:left w:w="0" w:type="dxa"/>
          <w:bottom w:w="0" w:type="dxa"/>
          <w:right w:w="0" w:type="dxa"/>
        </w:tblCellMar>
      </w:tblPr>
      <w:tblGrid>
        <w:gridCol w:w="3395"/>
        <w:gridCol w:w="60"/>
        <w:gridCol w:w="170"/>
        <w:gridCol w:w="884"/>
        <w:gridCol w:w="108"/>
        <w:gridCol w:w="81"/>
        <w:gridCol w:w="170"/>
        <w:gridCol w:w="884"/>
        <w:gridCol w:w="80"/>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(in thousands)</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2023</w:t>
            </w:r>
          </w:p>
        </w:tc>
        <w:tc>
          <w:tcPr>
            <w:tcW w:w="10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(15,772</w:t>
            </w:r>
          </w:p>
        </w:tc>
        <w:tc>
          <w:tcPr>
            <w:tcW w:w="10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(28,416</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8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33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13,435</w:t>
            </w:r>
          </w:p>
        </w:tc>
        <w:tc>
          <w:tcPr>
            <w:tcW w:w="108"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14,898</w:t>
            </w:r>
          </w:p>
        </w:tc>
        <w:tc>
          <w:tcPr>
            <w:tcW w:w="80"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decrease in cash and cash equivalents</w:t>
            </w:r>
          </w:p>
        </w:tc>
        <w:tc>
          <w:tcPr>
            <w:tcW w:w="60"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(2,392</w:t>
            </w:r>
          </w:p>
        </w:tc>
        <w:tc>
          <w:tcPr>
            <w:tcW w:w="10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283"/>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(13,816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generated limited revenue and used cash in our operating activities. As a result, we have incurred significant operating losses in each year since our inception and we may continue to incur additional losses for the next several years. As of  June 30, 2023, we had cash and cash equivalents of $58.7 million. We believe that our existing cash and cash equivalents will be sufficient to fund our projected operating requirements for at least the next twelve months from the filing date of this Quarterly Report on Form 10-Q. However, we plan to raise additional capital in the future. We can give no assurance, at this time, that additional financing or a collaboration will be available when needed on terms acceptable to us, however.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our at-the-market equity offering program, and/or potential new collaborations. Such additional funds may not be available on terms acceptable to us or at all. If we raise funds by issuing equity or equity-linked securities, the ownership of some or all of our stockholders may be diluted, and the holders of new equity securities may have priority rights over our existing stockholders. If adequate funds are not available, we may be required to curtail operations significantly or obtain funds by entering into agreements on unattractive terms. Our inability to raise capital could have a material adverse effect on our business, financial condition, results of operations and cash flows. For example, lack of necessary funds may require us to, among other things, reduce headcount, trim research and product development programs, discontinue clinical trials, defer capital expenditures, deregister from being a publicly traded company and delist from Nasdaq, or license our potential products or technologies to third parties, possibly on terms that cannot sustain our current business. In addition, the recent decline in economic activity caused by the armed conflict between Russia and Ukraine and by the COVID health risks, together with the deterioration of the credit, banking and capital markets, could have an adverse impact on potential sources of future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Operating Activities </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2023, we used cash in the amount of $15.8 million in operating activities. The difference between cash used in operating activities and net loss consisted primarily of stock-based compensation, depreciation and amortization, as well as increases in accounts payable, accrued expenses, and accrued interest on related party note payable.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2022, we used cash in the amount of $28.4 million in operating activities. The difference between cash used in operating activities and net loss consisted primarily of stock-based compensation, depreciation and amortization, as well as increases in inventory and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rFonts w:cs="Times New Roman"/>
          <w:bCs/>
          <w:iCs/>
          <w:caps w:val="false"/>
          <w:smallCaps w:val="false"/>
          <w:szCs w:val="20"/>
        </w:rPr>
        <w:t>﻿</w:t>
      </w:r>
      <w:r>
        <w:rPr>
          <w:rFonts w:ascii="Times New Roman" w:hAnsi="Times New Roman"/>
          <w:b/>
          <w:i/>
          <w:caps w:val="false"/>
          <w:smallCaps w:val="false"/>
          <w:sz w:val="20"/>
        </w:rPr>
        <w:t xml:space="preserve">Investing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investing activities consist primarily of investment purchases, sales and maturities and capital expenditures.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2023, $0.1 million of cash used in investing activities was driven by the purchase of property and equipment.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2022, $0.3 million of cash used in investing activities was driven by the purchase of property and equipment.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Financing Activities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2023, cash provided by financing activities was $13.4 million, primarily due to $14.8 million of proceeds from the exercise of warrants, $0.3 million of proceeds from issuance of common stock under employee stock purchase plan and $0.1 million of proceeds from the exercise of stock options. These were partially offset by $1.7 million of payments made in relation to the 2022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2022, cash provided by financing activities was $14.9 million, primarily due to $15.0 million of proceeds from the sale of common stock in our rights offering and $0.4 million from the sale of stock under our employee stock purchase plan, partially offset by payments made on a Insurance Loan Agreement.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 xml:space="preserve">Contractual Obligations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outside the ordinary course of our business to the contractual obligations disclosed in our Annual Report on Form 10-K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Off-Balance Sheet Arrangements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At June 30, 2023, we did not have any transactions, obligations or relationships that constitute off-balance sheet arrangements.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June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Trends, Events and Uncertainties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the research and development of our technology, including, but not limited to, additional financing through follow-on stock offerings, debt financings, or co-development agreements and /or other alternatives.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 financing in the future on acceptable terms or at all. If our technology cannot be used to successfully treat AF or if our cash resources are insufficient to satisfy our ongoing cash needs, we would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license our potential products or technologies to third parties, possibly on terms that cannot sustain our current business, or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Other than as discussed above and elsewhere in this Quarterly Report,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1" w:name="item3"/>
      <w:bookmarkEnd w:id="1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market risk from the information provided in our Annual Report on Form 10-K for the year ended December 31, 2022. 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We do not hold financial instruments for trading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2" w:name="item4"/>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Evaluation of Disclosure Controls and Procedures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under the supervision and with the participation of our Chief Executive Officer, who is our principal executive and principal financial officer, conducted an evaluation of the effectiveness of the design and operation of our disclosure controls and procedures, as defined in Rules 13a-15(e) and 15d-15(e) under the Exchange Act of 1934, as amended, as of the end of the period covered by this Quarterly Report. Based on this evaluation, our Chief Executive Officer has concluded that, as of June 30, 2023, our disclosure controls and procedures were effective (a) 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There have been no changes in our internal control over financial reporting identified in connection with the evaluation required by Rule 13a-15(d) and 15d-15(d) of the Exchange Act, as amended, that occurred during the quarter ended June 30, 2023 that have materially affected, or are reasonably likely to materially affect, our internal control over financial reporting. Internal control over financial reporting means a process designed to provide reasonable assurance regarding the reliability of financial reporting and the preparation of financial statements for external purposes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Inherent Limitations on Effectiveness of Controls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part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legal"/>
      <w:bookmarkEnd w:id="14"/>
      <w:r>
        <w:rPr>
          <w:rFonts w:ascii="Times New Roman" w:hAnsi="Times New Roman"/>
          <w:b/>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including the matter described below. The outcome of any legal proceedings is unpredictable but, regardless of outcome, they can have an adverse impact on us because of defense and settlement costs, diversion of management resources, negative publicity, reputational harm, and other factors. We maintain insurance that may provide coverage for such matters, including customary employment practices liability insurance.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November 2022, the employment of our former Chief Financial Officer, Sandra Gardiner, terminated. Ms. Gardiner’s departure was not the result of any disagreement with the Company on any matter relating to its operations, accounting policies or practices, although the Company determined that she was not eligible to receive any severance benefits under the terms and conditions of her then existing employment agreement. In March 2023, Ms. Gardiner filed an arbitration demand with JAMS seeking severance benefits and other remedies, alleging breach of contract and unlawful termination in violation of public policy, among other things. We believe that Ms. Gardiner’s claims are without merit and we intend to vigorously defend ourselves against them. Because of the difficulty in predicting the outcome of any legal proceeding, particularly one that is in its early stages, the Company is not able to conclude that a liability is probable and cannot predict what the final outcome of Ms. Gardiner’s arbitration proceeding will likely be or provide a reasonable estimate for the range of ultimate possible loss, if any. However, at this time, we believe that the final resolution of this matter will not adversely affect our consolidated position, results of operation, or cash flows and that a liability is not probable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5" w:name="risk"/>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i/>
          <w:caps w:val="false"/>
          <w:smallCaps w:val="false"/>
          <w:sz w:val="20"/>
        </w:rPr>
      </w:pPr>
      <w:r>
        <w:rPr>
          <w:rFonts w:ascii="Times New Roman" w:hAnsi="Times New Roman"/>
          <w:i/>
          <w:caps w:val="false"/>
          <w:smallCaps w:val="false"/>
          <w:sz w:val="20"/>
        </w:rPr>
        <w:t>Investing in our common stock involves a high degree of risk. You should carefully consider the risks and uncertainties described below, together with all of the other information in this Quarterly Report,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 In addition, any worsening of the economic environment may exacerbate the risks described below, any of which could have a material impact on us.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Summary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business is subject to numerous risks and uncertainties that you should consider before investing in our common stock. These risks are described more fully below and include, but are not limited to, risks relating to the following:</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limited operating history and our limited revenue producing operations;</w:t>
            </w:r>
          </w:p>
        </w:tc>
      </w:tr>
    </w:tbl>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inability to operate without additional fundraising;</w:t>
            </w:r>
          </w:p>
        </w:tc>
      </w:tr>
    </w:tbl>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lack of experience developing and manufacturing medical products for cardiologists;</w:t>
            </w:r>
          </w:p>
        </w:tc>
      </w:tr>
    </w:tbl>
    <w:p>
      <w:pPr>
        <w:pStyle w:val="TextBody"/>
        <w:bidi w:val="0"/>
        <w:spacing w:before="0" w:after="0"/>
        <w:ind w:left="0" w:right="0" w:hanging="0"/>
        <w:jc w:val="left"/>
        <w:rPr/>
      </w:pPr>
      <w:r>
        <w:rPr/>
        <w:t> </w:t>
      </w:r>
    </w:p>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within our industry and in the markets and market segments with choose to pursue, including cardiology;</w:t>
            </w:r>
          </w:p>
        </w:tc>
      </w:tr>
    </w:tbl>
    <w:p>
      <w:pPr>
        <w:pStyle w:val="TextBody"/>
        <w:bidi w:val="0"/>
        <w:spacing w:before="0" w:after="0"/>
        <w:ind w:left="0" w:right="0" w:hanging="0"/>
        <w:jc w:val="left"/>
        <w:rPr/>
      </w:pPr>
      <w:r>
        <w:rPr/>
        <w:t> </w:t>
      </w:r>
    </w:p>
    <w:tbl>
      <w:tblPr>
        <w:tblW w:w="3520" w:type="dxa"/>
        <w:jc w:val="left"/>
        <w:tblInd w:w="0" w:type="dxa"/>
        <w:tblLayout w:type="fixed"/>
        <w:tblCellMar>
          <w:top w:w="0" w:type="dxa"/>
          <w:left w:w="0" w:type="dxa"/>
          <w:bottom w:w="0" w:type="dxa"/>
          <w:right w:w="0" w:type="dxa"/>
        </w:tblCellMar>
      </w:tblPr>
      <w:tblGrid>
        <w:gridCol w:w="60"/>
        <w:gridCol w:w="170"/>
        <w:gridCol w:w="32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Health epidemics, including COVID-19;</w:t>
            </w:r>
          </w:p>
        </w:tc>
      </w:tr>
    </w:tbl>
    <w:p>
      <w:pPr>
        <w:pStyle w:val="TextBody"/>
        <w:bidi w:val="0"/>
        <w:spacing w:before="0" w:after="0"/>
        <w:ind w:left="0" w:right="0" w:hanging="0"/>
        <w:jc w:val="left"/>
        <w:rPr/>
      </w:pPr>
      <w:r>
        <w:rPr/>
        <w:t> </w:t>
      </w:r>
    </w:p>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reliance on certain third parties such as key suppliers;</w:t>
            </w:r>
          </w:p>
        </w:tc>
      </w:tr>
    </w:tbl>
    <w:p>
      <w:pPr>
        <w:pStyle w:val="TextBody"/>
        <w:bidi w:val="0"/>
        <w:spacing w:before="0" w:after="0"/>
        <w:ind w:left="0" w:right="0" w:hanging="0"/>
        <w:jc w:val="left"/>
        <w:rPr/>
      </w:pPr>
      <w:r>
        <w:rPr/>
        <w:t> </w:t>
      </w:r>
    </w:p>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loss of key management personnel and high employee attrition;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security breaches, loss of data, and other disruptions to us or to our third-party service providers that could compromise sensitive information;</w:t>
            </w:r>
          </w:p>
        </w:tc>
      </w:tr>
    </w:tbl>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0" w:type="dxa"/>
          <w:right w:w="0" w:type="dxa"/>
        </w:tblCellMar>
      </w:tblPr>
      <w:tblGrid>
        <w:gridCol w:w="60"/>
        <w:gridCol w:w="170"/>
        <w:gridCol w:w="45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product liability lawsuits and other litigation;</w:t>
            </w:r>
          </w:p>
        </w:tc>
      </w:tr>
    </w:tbl>
    <w:p>
      <w:pPr>
        <w:pStyle w:val="TextBody"/>
        <w:bidi w:val="0"/>
        <w:spacing w:before="0" w:after="0"/>
        <w:ind w:left="0" w:right="0" w:hanging="0"/>
        <w:jc w:val="left"/>
        <w:rPr/>
      </w:pPr>
      <w:r>
        <w:rPr/>
        <w:t> </w:t>
      </w:r>
    </w:p>
    <w:tbl>
      <w:tblPr>
        <w:tblW w:w="7825" w:type="dxa"/>
        <w:jc w:val="left"/>
        <w:tblInd w:w="0" w:type="dxa"/>
        <w:tblLayout w:type="fixed"/>
        <w:tblCellMar>
          <w:top w:w="0" w:type="dxa"/>
          <w:left w:w="0" w:type="dxa"/>
          <w:bottom w:w="0" w:type="dxa"/>
          <w:right w:w="0" w:type="dxa"/>
        </w:tblCellMar>
      </w:tblPr>
      <w:tblGrid>
        <w:gridCol w:w="60"/>
        <w:gridCol w:w="170"/>
        <w:gridCol w:w="7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timing, unpredictability, and expense of our clinical and product development activities;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possibility of adverse trial results and unfavorable long-term trial data, especially given our limited preclinical experience using NPS technology in animal models of cardiac disease;</w:t>
            </w:r>
          </w:p>
        </w:tc>
      </w:tr>
    </w:tbl>
    <w:p>
      <w:pPr>
        <w:pStyle w:val="TextBody"/>
        <w:bidi w:val="0"/>
        <w:spacing w:before="0" w:after="0"/>
        <w:ind w:left="0" w:right="0" w:hanging="0"/>
        <w:jc w:val="left"/>
        <w:rPr/>
      </w:pPr>
      <w:r>
        <w:rPr/>
        <w:t> </w:t>
      </w:r>
    </w:p>
    <w:tbl>
      <w:tblPr>
        <w:tblW w:w="7150" w:type="dxa"/>
        <w:jc w:val="left"/>
        <w:tblInd w:w="0" w:type="dxa"/>
        <w:tblLayout w:type="fixed"/>
        <w:tblCellMar>
          <w:top w:w="0" w:type="dxa"/>
          <w:left w:w="0" w:type="dxa"/>
          <w:bottom w:w="0" w:type="dxa"/>
          <w:right w:w="0" w:type="dxa"/>
        </w:tblCellMar>
      </w:tblPr>
      <w:tblGrid>
        <w:gridCol w:w="60"/>
        <w:gridCol w:w="170"/>
        <w:gridCol w:w="6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failure to obtain and maintain necessary regulatory clearances or approvals;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concerning the long-term safety and effectiveness of our CellFX System and product candidates, and the potential for adverse side effects;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commercial uncertainties concerning whether there will be broad adoption of our CellFX System and NPS technology, especially in the cardiology market given our announced focus on cardiac care, and uncertainties about whether we will be able to secure a partner to promote further sales of the CellFX System in dermatology profitably;</w:t>
            </w:r>
          </w:p>
        </w:tc>
      </w:tr>
    </w:tbl>
    <w:p>
      <w:pPr>
        <w:pStyle w:val="TextBody"/>
        <w:bidi w:val="0"/>
        <w:spacing w:before="0" w:after="0"/>
        <w:ind w:left="0" w:right="0" w:hanging="0"/>
        <w:jc w:val="left"/>
        <w:rPr/>
      </w:pPr>
      <w:r>
        <w:rPr/>
        <w:t> </w:t>
      </w:r>
    </w:p>
    <w:tbl>
      <w:tblPr>
        <w:tblW w:w="5020" w:type="dxa"/>
        <w:jc w:val="left"/>
        <w:tblInd w:w="0" w:type="dxa"/>
        <w:tblLayout w:type="fixed"/>
        <w:tblCellMar>
          <w:top w:w="0" w:type="dxa"/>
          <w:left w:w="0" w:type="dxa"/>
          <w:bottom w:w="0" w:type="dxa"/>
          <w:right w:w="0" w:type="dxa"/>
        </w:tblCellMar>
      </w:tblPr>
      <w:tblGrid>
        <w:gridCol w:w="60"/>
        <w:gridCol w:w="170"/>
        <w:gridCol w:w="47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Possible challenges enrolling patients in our clinical trials;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Uncertainties concerning our ability to obtain an adequate level of reimbursement by Medicare and other third-party payers;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Protection of intellectual property, potential litigation related to intellectual property, and obligations under intellectual property agreements;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Stringent domestic and foreign regulation in respect of any potential devices and products, including healthcare laws and regulations;</w:t>
            </w:r>
          </w:p>
        </w:tc>
      </w:tr>
    </w:tbl>
    <w:p>
      <w:pPr>
        <w:pStyle w:val="TextBody"/>
        <w:bidi w:val="0"/>
        <w:spacing w:before="0" w:after="0"/>
        <w:ind w:left="0" w:right="0" w:hanging="0"/>
        <w:jc w:val="left"/>
        <w:rPr/>
      </w:pPr>
      <w:r>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Healthcare policy changes;</w:t>
            </w:r>
          </w:p>
        </w:tc>
      </w:tr>
    </w:tbl>
    <w:p>
      <w:pPr>
        <w:pStyle w:val="TextBody"/>
        <w:bidi w:val="0"/>
        <w:spacing w:before="0" w:after="0"/>
        <w:ind w:left="0" w:right="0" w:hanging="0"/>
        <w:jc w:val="left"/>
        <w:rPr/>
      </w:pPr>
      <w:r>
        <w:rPr/>
        <w:t> </w:t>
      </w:r>
    </w:p>
    <w:tbl>
      <w:tblPr>
        <w:tblW w:w="3820" w:type="dxa"/>
        <w:jc w:val="left"/>
        <w:tblInd w:w="0" w:type="dxa"/>
        <w:tblLayout w:type="fixed"/>
        <w:tblCellMar>
          <w:top w:w="0" w:type="dxa"/>
          <w:left w:w="0" w:type="dxa"/>
          <w:bottom w:w="0" w:type="dxa"/>
          <w:right w:w="0" w:type="dxa"/>
        </w:tblCellMar>
      </w:tblPr>
      <w:tblGrid>
        <w:gridCol w:w="60"/>
        <w:gridCol w:w="170"/>
        <w:gridCol w:w="3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Volatility of the price of our common stock;</w:t>
            </w:r>
          </w:p>
        </w:tc>
      </w:tr>
    </w:tbl>
    <w:p>
      <w:pPr>
        <w:pStyle w:val="TextBody"/>
        <w:bidi w:val="0"/>
        <w:spacing w:before="0" w:after="0"/>
        <w:ind w:left="0" w:right="0" w:hanging="0"/>
        <w:jc w:val="left"/>
        <w:rPr/>
      </w:pPr>
      <w:r>
        <w:rPr/>
        <w:t> </w:t>
      </w:r>
    </w:p>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Concentration of ownership by our majority stockholder and Executive Chairman, Robert W. Duggan;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Potential material weaknesses and uncertainties concerning our ability to maintain an effective system of internal control over financial reporting; and</w:t>
            </w:r>
          </w:p>
        </w:tc>
      </w:tr>
    </w:tbl>
    <w:p>
      <w:pPr>
        <w:pStyle w:val="TextBody"/>
        <w:bidi w:val="0"/>
        <w:spacing w:before="0" w:after="0"/>
        <w:ind w:left="0" w:right="0" w:hanging="0"/>
        <w:jc w:val="left"/>
        <w:rPr/>
      </w:pPr>
      <w:r>
        <w:rPr/>
        <w:t> </w:t>
      </w:r>
    </w:p>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Unfavorable global economic or political conditions.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Relating to Our Business, Industry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Because we have a limited operating history and no significant revenue stream, it is difficult to evaluate the future of our business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a bioelectric medicine technology company with no significant revenue producing operations. To date, our operations on a consolidated basis have consisted almost entirely of the continued development and clinical studies of our technologies and implementation of the early parts of our business plan. We have incurred significant operating losses in each year since our inception and we may continue to incur additional losses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operations, and business prospects.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generated significant</w:t>
      </w:r>
      <w:r>
        <w:rPr>
          <w:rFonts w:ascii="Times New Roman" w:hAnsi="Times New Roman"/>
          <w:caps w:val="false"/>
          <w:smallCaps w:val="false"/>
          <w:sz w:val="20"/>
        </w:rPr>
        <w:t> </w:t>
      </w:r>
      <w:r>
        <w:rPr>
          <w:rFonts w:ascii="Times New Roman" w:hAnsi="Times New Roman"/>
          <w:b/>
          <w:i/>
          <w:caps w:val="false"/>
          <w:smallCaps w:val="false"/>
          <w:sz w:val="20"/>
        </w:rPr>
        <w:t>revenue and we may never become profitable.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To date, we have not generated significant revenue and we have historically relied on financing from the sale of equity securities and loans to fund our operations. We expect that our future financial results will depend primarily on our success in launching, selling, and supporting our therapies and procedures using our NPS technology. We expect to expend significant resources on hiring of personnel, continued scientific and product research and development, potential product testing and preclinical and clinical investigation, intellectual property development and prosecution, capital expenditures, working capital, general and administrative expenses, and fees and expenses associated with our capital raising efforts. We expect to incur costs and expenses related to consulting costs, laboratory development costs, hiring of scientists, engineers, sales representatives, and other operational personnel, and the continued development of relationships with potential partners. We are incurring significant operating losses, we expect to continue to incur additional losses for at least the next several years, and we cannot assure you that we will generate substantial revenue or be profitable in the future. There are no assurances that our future products will be cleared or approved or become commercially viable or accepted for use. Even with commercially viable applications of our technology, which may include licensing, we may never recover our research and development expenses.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Investment in medical technology is highly speculative because it entails substantial upfront capital expenditures and significant risk that any potential product will fail to demonstrate adequate efficacy or clinical utility. Our past successes in dermatology may not translate into similar results in cardiology. Investors should evaluate an investment in us in light of the uncertainties typically encountered by developing medical technology companies in a competitive environment, especially given our limited preclinical experience using our NPS technology in animal models of cardiac disease. There can be no assurance that our efforts will be successful, either in cardiology or otherwise,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can give no assurance that our internal and external sources of liquidity will be sufficient for our cash requirements.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must have sufficient sources of liquidity to fund our working capital requirements and execute on our strategic initiatives. Future new product launches or investments in other growth initiatives may demand increased working capital before any long-term return is realized from increased revenue. Our ability to achieve our business and cash flow plans is based on a number of assumptions which involve significant judgments and estimates of future performance, borrowing capacity and credit availability, and financing opportunities which cannot at all times be assured. There is no assurance that cash flows from operations and other internal and external sources of liquidity will at all times be sufficient for our cash requirements. If necessary, we may need to consider actions and steps to improve our cash position and mitigate any potential liquidity shortfall, such as modifying our business plans, pursuing additional financing to the extent available, reducing capital expenditures, suspending certain activities or programs, pursuing and evaluating other alternatives and opportunities to obtain additional sources of liquidity, and other potential actions to reduce costs. There can be no assurance that any of these actions would be successful, sufficient or available on favorable terms. Any inability to generate or obtain sufficient levels of liquidity to meet our cash requirements at the level and times needed could have a material adverse impact on our business and financial position.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obtain sufficient funding, we may be unable to execute our business plan and fund operations. We may not be able to obtain additional financing on commercially reasonable terms, or at all.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experienced operating losses and we may continue to incur operating losses for the next several years as we implement our business plan. Currently, we have no significant revenue from operations and, although we have implemented an at-the-market equity offering program, we do not have arrangements in place for all the anticipated financing that would be required to fully implement our business plan. Our prior losses, combined with expected future losses, have had, and will continue to have, for the foreseeable future, an adverse effect on our stockholders’ equity and working capital.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will need to raise additional capital in order to continue to execute our business plan. If we are unable to raise sufficient additional funds, we may need to scale back our future operations. Also, the ongoing hostilities between Russia and Ukraine and the ongoing COVID-19 health risks and resulting negative impact on the global macroeconomic environment and capital markets may make it more difficult for us to raise additional funds.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cannot give any assurance that we will be able to obtain all the necessary funding that we may need. In addition, we believe that we will require additional capital in the future to fully develop and bring to market our technologies and planned products. We have pursued and may pursue additional funding through various financing sources, including the private sale of our equity securities, debt financings, our at-the-market equity offering program, licensing fees for our technology, joint ventures with capital partners, and project type financing. If we raise funds by issuing equity or equity-linked securities, dilution to some or all our stockholders would result. Any equity securities issued may also provide for rights, preferences or privileges senior to those of holders of our common stock. The terms of debt securities issued or borrowings could impose significant restrictions on our operations. We also may seek government-based financing, such as development and research grants. There can be no assurance that funds will be available on commercially reasonable terms, if at all.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future indebtedness could impose on us restrictive covenants, including, further limitations on our ability to incur additional debt, limitations on our ability to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Also,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unable to obtain adequate financing or financing on terms satisfactory to us when we require it, we may be  required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 If any of these things were to occur, our ability to grow and support our business and to respond to market challenges could be significantly limited or we may be unable to continue operations, in which case you could lose your entire investment.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corporate restructuring and the associated headcount reduction announced in March and September 2022 and February 2023 may not result in anticipated savings, could result in total costs and expenses and attrition that are greater than expected and could disrupt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On March 31, 2022, we announced an approximate 20% reduction in headcount as part of a corporate restructuring plan. On September 30, 2022, we announced an approximate 40% reduction in headcount as part of our decision to focus our activities on product development outside of dermatology. As a consequence of our announced corporate realignment, we have experienced employee turnover in 2022 higher than industry norms, and in February 2023 we continued to reduce headcount by eliminating another seven positions at the Company. We may not realize, in full or in part, the anticipated benefits, savings and improvements in our cost structure from our restructuring efforts due to unforeseen difficulties, delays or unexpected costs. If we are unable to realize the expected operational efficiencies and cost savings from the restructuring plan, our operating results and financial condition would be adversely affected. We may have to undertake additional headcount reductions or restructuring activities in the future. Furthermore, our restructuring activities may be disruptive to our operations and could result in material delays in our new product development programs. For example, our headcount reductions could yield unanticipated consequences, such as attrition beyond planned staff reductions, or increase difficulties in our day-to-day operations, servicing of commercial accounts, and product development activities. Our headcount reductions could also harm our ability to attract and retain qualified management, scientific, clinical, regulatory, manufacturing, engineering, and other personnel critical to our business. Any failure to attract or retain qualified personnel could prevent us from successfully developing and commercializing our new product candidates in the future and could also harm our existing and planned activities in cardiology.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our business is not profitable, from time to time we may undergo a reduction in force to reduce our operating expenses. However, any corporate restructuring or headcount reduction may not result in anticipated savings, could result in total costs and expenses and attrition that are greater than expected and could disrupt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decide to further reduce headcount to lower our operating expenses, we may not realize, in full or in part, the anticipated benefits, savings and improvements in our cost structure from such a restructuring because of unforeseen difficulties, delays or unexpected costs. If we are unable to realize the expected operational efficiencies and cost savings from such a restructuring, our operating results and financial condition would be adversely affected. Any restructuring activities would be disruptive to our operations and could result in material delays in our new product development programs. Headcount reductions could yield unanticipated consequences, such as attrition beyond planned staff reductions, or increase difficulties in our day-to-day operations. Headcount reductions could also harm our ability to attract and retain qualified management, scientific, clinical, regulatory, manufacturing, engineering, and other personnel who are critical to our business. Any failure to attract or retain qualified personnel could prevent us from successfully developing and commercializing our new product candidates in the future.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revenues and future profitability are entirely dependent upon one family of products, the CellFX System, and one platform technology, Nano-pulse Stimulation.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revenue to date has been generated entirely from the CellFX System, which consists of a console, handpieces and tips, and both these products and all our potential products under development are based upon the same patented platform technology, Nano-pulse Stimulation (“NPS”). Our future revenue is therefore dependent on the success of these products under development and platform technology. Reliance on a single family of products and single platform technology could negatively affect our results of operations and financial condition. Our ability to become profitable will depend upon the commercial success of these future products and platform technology.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Aesthetic and medical dermatologists have been slow to adopt our products and they have used our products in only a small percentage of their eligible patients for a variety of reasons.  Even if we are able to develop a safe and effective treatment for atrial fibrillation using our proprietary NPS technology, we can give no assurance that cardiologists would adopt NPS technology into their medical practices faster than dermatologists have.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Because we operate in highly competitive markets, we can expect to face competition from large, well-established manufacturers of medical technologies, devices and similar products; we may not be able to compete effectively against companies with significantly more resources.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technology, medical device, biotechnology, and pharmaceutical industries are characterized by intense and dynamic competition to develop new technologies and proprietary therapies. We face competition from a number of sources, such as pharmaceutical companies, medical device companies, generic drug companies, biotechnology companies, and academic and research institutions. For example, Abbott Laboratories, AtriCure, Inc., Boston Scientific Corporation, Johnson &amp; Johnson (Biosense Webster), Medtronic plc, and several other companies all sell ablation-based surgical and catheter-based medical devices for the treatment of heart arrhythmias, including AF, and additionally, many of these companies are also actively developing PFA products for the treatment of AF. We will find ourselves in competition with one or more of these companies, all of which may have competitive advantages over us, such as:</w:t>
      </w:r>
    </w:p>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significantly greater name recognition;</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relationships with healthcare professionals, customers, and third-party payers;</w:t>
            </w:r>
          </w:p>
        </w:tc>
      </w:tr>
    </w:tbl>
    <w:p>
      <w:pPr>
        <w:pStyle w:val="TextBody"/>
        <w:bidi w:val="0"/>
        <w:spacing w:before="0" w:after="0"/>
        <w:ind w:left="0" w:right="0" w:hanging="0"/>
        <w:jc w:val="left"/>
        <w:rPr/>
      </w:pPr>
      <w:r>
        <w:rPr/>
        <w:t> </w:t>
      </w:r>
    </w:p>
    <w:tbl>
      <w:tblPr>
        <w:tblW w:w="5635" w:type="dxa"/>
        <w:jc w:val="left"/>
        <w:tblInd w:w="0" w:type="dxa"/>
        <w:tblLayout w:type="fixed"/>
        <w:tblCellMar>
          <w:top w:w="0" w:type="dxa"/>
          <w:left w:w="0" w:type="dxa"/>
          <w:bottom w:w="0" w:type="dxa"/>
          <w:right w:w="0" w:type="dxa"/>
        </w:tblCellMar>
      </w:tblPr>
      <w:tblGrid>
        <w:gridCol w:w="60"/>
        <w:gridCol w:w="170"/>
        <w:gridCol w:w="54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competitive products with greater efficacy or better safety profiles;</w:t>
            </w:r>
          </w:p>
        </w:tc>
      </w:tr>
    </w:tbl>
    <w:p>
      <w:pPr>
        <w:pStyle w:val="TextBody"/>
        <w:bidi w:val="0"/>
        <w:spacing w:before="0" w:after="0"/>
        <w:ind w:left="0" w:right="0" w:hanging="0"/>
        <w:jc w:val="left"/>
        <w:rPr/>
      </w:pPr>
      <w:r>
        <w:rPr/>
        <w:t> </w:t>
      </w:r>
    </w:p>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established distribution networks;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lines of products and the ability to offer rebates, higher discounts, or incentives to gain a competitive advantage;</w:t>
            </w:r>
          </w:p>
        </w:tc>
      </w:tr>
    </w:tbl>
    <w:p>
      <w:pPr>
        <w:pStyle w:val="TextBody"/>
        <w:bidi w:val="0"/>
        <w:spacing w:before="0" w:after="0"/>
        <w:ind w:left="0" w:right="0" w:hanging="0"/>
        <w:jc w:val="left"/>
        <w:rPr/>
      </w:pPr>
      <w:r>
        <w:rPr/>
        <w:t> </w:t>
      </w:r>
    </w:p>
    <w:tbl>
      <w:tblPr>
        <w:tblW w:w="7405" w:type="dxa"/>
        <w:jc w:val="left"/>
        <w:tblInd w:w="0" w:type="dxa"/>
        <w:tblLayout w:type="fixed"/>
        <w:tblCellMar>
          <w:top w:w="0" w:type="dxa"/>
          <w:left w:w="0" w:type="dxa"/>
          <w:bottom w:w="0" w:type="dxa"/>
          <w:right w:w="0" w:type="dxa"/>
        </w:tblCellMar>
      </w:tblPr>
      <w:tblGrid>
        <w:gridCol w:w="60"/>
        <w:gridCol w:w="170"/>
        <w:gridCol w:w="71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greater experience in obtaining patents and regulatory approvals for product candidates;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greater experience conducting new product research and development, manufacturing therapies, conducting clinical trials, obtaining regulatory approval for products, and marketing approved products; and</w:t>
            </w:r>
          </w:p>
        </w:tc>
      </w:tr>
    </w:tbl>
    <w:p>
      <w:pPr>
        <w:pStyle w:val="TextBody"/>
        <w:bidi w:val="0"/>
        <w:spacing w:before="0" w:after="0"/>
        <w:ind w:left="0" w:right="0" w:hanging="0"/>
        <w:jc w:val="left"/>
        <w:rPr/>
      </w:pPr>
      <w:r>
        <w:rPr/>
        <w:t> </w:t>
      </w:r>
    </w:p>
    <w:tbl>
      <w:tblPr>
        <w:tblW w:w="7105" w:type="dxa"/>
        <w:jc w:val="left"/>
        <w:tblInd w:w="0" w:type="dxa"/>
        <w:tblLayout w:type="fixed"/>
        <w:tblCellMar>
          <w:top w:w="0" w:type="dxa"/>
          <w:left w:w="0" w:type="dxa"/>
          <w:bottom w:w="0" w:type="dxa"/>
          <w:right w:w="0" w:type="dxa"/>
        </w:tblCellMar>
      </w:tblPr>
      <w:tblGrid>
        <w:gridCol w:w="60"/>
        <w:gridCol w:w="170"/>
        <w:gridCol w:w="68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greater financial and human resources for product development, sales and marketing.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may also face increased competition in the future as new companies enter our markets and as scientific developments surrounding electro-signaling therapeutics continue to accelerate. For example, the current standard of care in cardiac tissue ablation for the treatment of atrial fibrillation is the use of thermal ablation modalities, primarily the use of radiofrequency ablation. While we will seek to expand our technological capabilities to remain competitive, research and development by others may render our technology or product candidates obsolete or noncompetitive or result in treatments or cures superior to any therapy developed by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dermatology, we commenced revenue-producing operations in 2021; however, we were unsuccessful in earning significant revenues in the dermatology market and, on September 20, 2022, the Company announced it was discontinuing further sales in the dermatology market and it would instead seek development and marketing partners and license NPS technology to others in order to avoid having to provide marketing, manufacturing, and distribution capabilities within our organization. However, there can be no assurance that we will find any development and marketing partners or companies that are interested in licensing our technology for dermatologic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lose key management personnel, our ability to identify, develop and commercialize new or next generation product candidates will be impaired, could result in loss of markets or market share and could make us less competitive.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highly dependent upon the principal members of our management team, including our Chief Executive Officer, Kevin Danahy, and our Chief Technology Officer, Darrin Uecker, and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They are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There is a limited talent pool of experienced professionals in our industry. If we are not able to retain and recruit personnel with the requisite technical skills, we may be unable to successfully execute our business strategy.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we require and the intense competition that exists for qualified personnel among life science businesses, we may not succeed in attracting or retaining the personnel we require to continue and grow our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very limited experience selling the CellFX System.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Successfully commercializing medical devices such as ours is a complex and uncertain process. We began marketing and selling the CellFX System in the United States, Canada, and certain limited European markets in late 2021 to dermatologists through a limited direct sales force. However, we have had limited experience marketing and selling the CellFX System in dermatology, no sales experience in cardiology, and our revenues and cash flows have been volatile and difficult to predict. As of March 1, 2023, following two reductions in force in 2022 and a third elimination of positions in February 2023, we no longer had any employees engaged in sales and marketing activities on a full-time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Rapidly changing technology in life sciences could make the products we are developing obsolete.</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Also, we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laws and regulations relating to personally identifiable health information, and other sensitive information. 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the ordinary course of our business, both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using a combination of on-site and vendor-owned systems. We face a number of risks related to our protection of, and our service providers’ protection of, this critical information, including loss of access to data, data corruption, unauthorized disclosure of data, and unauthorized access of data, as well as risks associated with our ability to identify and audit such events.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environmental regulations and any failure to comply with applicable laws could subject us to significant liabilities and harm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 variety of local, state, federal, and foreign government regulations relating to the storage, discharge, handling, emission, generation, manufacture, and disposal of toxic or other hazardous substances used in the manufacture of our products. The failure to comply with past, present or future laws could result in the imposition of fines, third-party property damage and personal injury claims, investigation and remediation costs, the suspension of production, or a cessation of operations. We also expect that our operations will be affected by other new environmental and health and safety laws on an ongoing basis. Although we cannot predict the ultimate impact of any such new laws, they will likely result in additional costs, and may require us to change how we manufacture our products, which could have a material adverse effect on our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Product liability lawsuits against us could cause us to incur substantial liabilities and limit commercialization of our product or any future products that we may develop.</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face an inherent risk of product liability exposure related to the sale of our product and the future sale of planned products and the use of these in human clinical studies. For example, we may be sued if our product or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or a breach of warranties. We may also be subject to liability for a misunderstanding of, or inappropriate reliance upon, the information we provide. If we cannot successfully defend ourselves against claims that our product or planned products caused injuries, we may incur substantial liabilities. Regardless of merit or eventual outcome, liability claims may result in, among other things:</w:t>
      </w:r>
    </w:p>
    <w:p>
      <w:pPr>
        <w:pStyle w:val="TextBody"/>
        <w:bidi w:val="0"/>
        <w:spacing w:before="0" w:after="0"/>
        <w:ind w:left="0" w:right="0" w:hanging="0"/>
        <w:jc w:val="left"/>
        <w:rPr>
          <w:caps w:val="false"/>
          <w:smallCaps w:val="false"/>
        </w:rPr>
      </w:pPr>
      <w:r>
        <w:rPr>
          <w:caps w:val="false"/>
          <w:smallCaps w:val="false"/>
        </w:rPr>
        <w:t> </w:t>
      </w:r>
    </w:p>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decreased demand for our product or any planned products that we may develop;</w:t>
            </w:r>
          </w:p>
        </w:tc>
      </w:tr>
    </w:tbl>
    <w:p>
      <w:pPr>
        <w:pStyle w:val="TextBody"/>
        <w:bidi w:val="0"/>
        <w:spacing w:before="0" w:after="0"/>
        <w:ind w:left="0" w:right="0" w:hanging="0"/>
        <w:jc w:val="left"/>
        <w:rPr/>
      </w:pPr>
      <w:r>
        <w:rPr/>
        <w:t> </w:t>
      </w:r>
    </w:p>
    <w:tbl>
      <w:tblPr>
        <w:tblW w:w="5545" w:type="dxa"/>
        <w:jc w:val="left"/>
        <w:tblInd w:w="0" w:type="dxa"/>
        <w:tblLayout w:type="fixed"/>
        <w:tblCellMar>
          <w:top w:w="0" w:type="dxa"/>
          <w:left w:w="0" w:type="dxa"/>
          <w:bottom w:w="0" w:type="dxa"/>
          <w:right w:w="0" w:type="dxa"/>
        </w:tblCellMar>
      </w:tblPr>
      <w:tblGrid>
        <w:gridCol w:w="60"/>
        <w:gridCol w:w="170"/>
        <w:gridCol w:w="5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injury to our reputation and significant negative media attention;</w:t>
            </w:r>
          </w:p>
        </w:tc>
      </w:tr>
    </w:tbl>
    <w:p>
      <w:pPr>
        <w:pStyle w:val="TextBody"/>
        <w:bidi w:val="0"/>
        <w:spacing w:before="0" w:after="0"/>
        <w:ind w:left="0" w:right="0" w:hanging="0"/>
        <w:jc w:val="left"/>
        <w:rPr/>
      </w:pPr>
      <w:r>
        <w:rPr/>
        <w:t> </w:t>
      </w:r>
    </w:p>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withdrawal of patients from our clinical studies or cancellation of studies;</w:t>
            </w:r>
          </w:p>
        </w:tc>
      </w:tr>
    </w:tbl>
    <w:p>
      <w:pPr>
        <w:pStyle w:val="TextBody"/>
        <w:bidi w:val="0"/>
        <w:spacing w:before="0" w:after="0"/>
        <w:ind w:left="0" w:right="0" w:hanging="0"/>
        <w:jc w:val="left"/>
        <w:rPr/>
      </w:pPr>
      <w:r>
        <w:rPr/>
        <w:t> </w:t>
      </w:r>
    </w:p>
    <w:tbl>
      <w:tblPr>
        <w:tblW w:w="7450" w:type="dxa"/>
        <w:jc w:val="left"/>
        <w:tblInd w:w="0" w:type="dxa"/>
        <w:tblLayout w:type="fixed"/>
        <w:tblCellMar>
          <w:top w:w="0" w:type="dxa"/>
          <w:left w:w="0" w:type="dxa"/>
          <w:bottom w:w="0" w:type="dxa"/>
          <w:right w:w="0" w:type="dxa"/>
        </w:tblCellMar>
      </w:tblPr>
      <w:tblGrid>
        <w:gridCol w:w="60"/>
        <w:gridCol w:w="170"/>
        <w:gridCol w:w="72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significant costs to defend the related litigation and distraction to our management team;</w:t>
            </w:r>
          </w:p>
        </w:tc>
      </w:tr>
    </w:tbl>
    <w:p>
      <w:pPr>
        <w:pStyle w:val="TextBody"/>
        <w:bidi w:val="0"/>
        <w:spacing w:before="0" w:after="0"/>
        <w:ind w:left="0" w:right="0" w:hanging="0"/>
        <w:jc w:val="left"/>
        <w:rPr/>
      </w:pPr>
      <w:r>
        <w:rPr/>
        <w:t> </w:t>
      </w:r>
    </w:p>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substantial monetary awards to patients;</w:t>
            </w:r>
          </w:p>
        </w:tc>
      </w:tr>
    </w:tbl>
    <w:p>
      <w:pPr>
        <w:pStyle w:val="TextBody"/>
        <w:bidi w:val="0"/>
        <w:spacing w:before="0" w:after="0"/>
        <w:ind w:left="0" w:right="0" w:hanging="0"/>
        <w:jc w:val="left"/>
        <w:rPr/>
      </w:pPr>
      <w:r>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revenue;</w:t>
            </w:r>
          </w:p>
        </w:tc>
      </w:tr>
    </w:tbl>
    <w:p>
      <w:pPr>
        <w:pStyle w:val="TextBody"/>
        <w:bidi w:val="0"/>
        <w:spacing w:before="0" w:after="0"/>
        <w:ind w:left="0" w:right="0" w:hanging="0"/>
        <w:jc w:val="left"/>
        <w:rPr/>
      </w:pPr>
      <w:r>
        <w:rPr/>
        <w:t> </w:t>
      </w:r>
    </w:p>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283"/>
              <w:jc w:val="left"/>
              <w:rPr>
                <w:sz w:val="20"/>
              </w:rPr>
            </w:pPr>
            <w:r>
              <w:rPr>
                <w:sz w:val="20"/>
              </w:rPr>
              <w:t>government investigations or enforcement actions; and</w:t>
            </w:r>
          </w:p>
        </w:tc>
      </w:tr>
    </w:tbl>
    <w:p>
      <w:pPr>
        <w:pStyle w:val="TextBody"/>
        <w:bidi w:val="0"/>
        <w:spacing w:before="0" w:after="0"/>
        <w:ind w:left="0" w:right="0" w:hanging="0"/>
        <w:jc w:val="left"/>
        <w:rPr/>
      </w:pPr>
      <w:r>
        <w:rPr/>
        <w:t> </w:t>
      </w:r>
    </w:p>
    <w:tbl>
      <w:tblPr>
        <w:tblW w:w="6085" w:type="dxa"/>
        <w:jc w:val="left"/>
        <w:tblInd w:w="0" w:type="dxa"/>
        <w:tblLayout w:type="fixed"/>
        <w:tblCellMar>
          <w:top w:w="0" w:type="dxa"/>
          <w:left w:w="0" w:type="dxa"/>
          <w:bottom w:w="0" w:type="dxa"/>
          <w:right w:w="0" w:type="dxa"/>
        </w:tblCellMar>
      </w:tblPr>
      <w:tblGrid>
        <w:gridCol w:w="60"/>
        <w:gridCol w:w="170"/>
        <w:gridCol w:w="58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inability to commercialize any future products that we may develop.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example, during the course of treatment, patients may suffer adverse events for reasons that may or may not be related to the CellFX System or our NPS technology.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 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ability to utilize our net operating loss carryforwards and certain other tax attributes may be limited.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incurred net losses since our inception and anticipate that we may continue to incur significant losses for the foreseeable future. If not utilized, some of our federal and state net operating losses (“NOLs”) carryforwards will begin to expire in various years beginning after 2034. Under the Internal Revenue Code of 1986, as amended, or the Code, and certain similar state tax provisions, we are generally allowed to carry forward our NOLs from a prior taxable year to offset our future taxable income, if any, until such NOLs are used or expire, subject to certain limitations. The same is true of other unused tax attributes, such as tax credits.</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under Section 382 of the Code, a corporation that undergoes an “ownership change” is subject to limitations on its ability to utilize its pre-change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a substantial amount of goodwill and intangible assets which over time may have to be written down as we make the required periodic assessments as to their value as reflected in our financial statements.</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Product Development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Clinical development involves a lengthy and expensive process with an uncertain outcome, and results of earlier studies and trials may not be predictive of future trial results.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Clinical testing is expensive and can take many years to complete, and its outcome is inherently uncertain. Failure or delay can occur at any time during the clinical trial process. For example, success in nonclinical studies and early feasibility clinical studies does not ensure that the expanded clinical trials needed to support regulatory submissions will be successful. Setbacks can be caused by, among other things, nonclinical findings made while clinical trials are underway, safety or efficacy observations made in clinical trials, including previously unreported adverse events, or post-approval observations. Even if our clinical trials are completed, the results may not be sufficient to obtain regulatory approval or clearance for our product candidates or to expand the existing approvals or clearances for our existing products. To date, we have had only preclinical experience using NPS technology in animal models of cardiac disease; our past successes in dermatology may not translate into similar results in cardiology. In particular, the safety and efficacy data we have generated using NPS technology and the CellFX System to treat benign lesions in the skin and the preliminary feasibility results we have seen in benign thyroid nodules might not be replicated in other areas of medicine, including the use of nsPFA technology and the CellFX System to treat atrial fibrillation or other cardiac disease.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long-term growth depends on our ability to develop marketable products to treat AF through our research and development efforts, and if we fail to do so we may be unable to compete effectively or we may decide to scale back or eliminate some or all of our activities or otherwise curtail, suspend or discontinue our operations entirely.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medical device industry is characterized by intense competition, rapid technological changes, new product introductions and enhancements, and evolving industry standards. Our business prospects depend in part on our ability to develop new products and applications for our NPS technology, including in new markets that develop as a result of technological and scientific advances. New technologies, techniques or products could emerge that might offer better combinations of price and performance than our products. It is important that we anticipate changes in technology and market demand, as well as physician, hospital, and healthcare provider practices to successfully develop, obtain clearance or approval, if required, and successfully introduce new, enhanced and competitive technologies to meet our prospective customers’ needs on a timely and cost-effective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might be unable to successfully commercialize our current products with domestic or international regulatory clearances or approvals or develop or obtain regulatory clearances or approvals to market new products, either with or without a corporate partner in cardiology, for example. Additionally, despite our best efforts and the best efforts of any corporate partners we may secure, these products and any future products might not be accepted by dermatologists, cardiologists, or other health care workers or the third-party payors who reimburse for the procedures performed with our products or may not be successfully commercialized due to other factors. The success of any new product offering or enhancement to an existing product will depend on numerous factors, including our ability to:</w:t>
      </w:r>
    </w:p>
    <w:p>
      <w:pPr>
        <w:pStyle w:val="TextBody"/>
        <w:bidi w:val="0"/>
        <w:spacing w:before="0" w:after="0"/>
        <w:ind w:left="16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properly identify and anticipate clinician and patient needs;</w:t>
            </w:r>
          </w:p>
        </w:tc>
      </w:tr>
    </w:tbl>
    <w:p>
      <w:pPr>
        <w:pStyle w:val="TextBody"/>
        <w:bidi w:val="0"/>
        <w:spacing w:before="0" w:after="0"/>
        <w:ind w:left="0" w:right="0" w:hanging="0"/>
        <w:jc w:val="left"/>
        <w:rPr/>
      </w:pPr>
      <w:r>
        <w:rPr/>
        <w:t> </w:t>
      </w:r>
    </w:p>
    <w:tbl>
      <w:tblPr>
        <w:tblW w:w="6910" w:type="dxa"/>
        <w:jc w:val="left"/>
        <w:tblInd w:w="0" w:type="dxa"/>
        <w:tblLayout w:type="fixed"/>
        <w:tblCellMar>
          <w:top w:w="0" w:type="dxa"/>
          <w:left w:w="0" w:type="dxa"/>
          <w:bottom w:w="0" w:type="dxa"/>
          <w:right w:w="0" w:type="dxa"/>
        </w:tblCellMar>
      </w:tblPr>
      <w:tblGrid>
        <w:gridCol w:w="60"/>
        <w:gridCol w:w="170"/>
        <w:gridCol w:w="6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develop and introduce new products or product enhancements in a timely manner;</w:t>
            </w:r>
          </w:p>
        </w:tc>
      </w:tr>
    </w:tbl>
    <w:p>
      <w:pPr>
        <w:pStyle w:val="TextBody"/>
        <w:bidi w:val="0"/>
        <w:spacing w:before="0" w:after="0"/>
        <w:ind w:left="0" w:right="0" w:hanging="0"/>
        <w:jc w:val="left"/>
        <w:rPr/>
      </w:pPr>
      <w:r>
        <w:rPr/>
        <w:t> </w:t>
      </w:r>
    </w:p>
    <w:tbl>
      <w:tblPr>
        <w:tblW w:w="9790" w:type="dxa"/>
        <w:jc w:val="left"/>
        <w:tblInd w:w="0" w:type="dxa"/>
        <w:tblLayout w:type="fixed"/>
        <w:tblCellMar>
          <w:top w:w="0" w:type="dxa"/>
          <w:left w:w="0" w:type="dxa"/>
          <w:bottom w:w="0" w:type="dxa"/>
          <w:right w:w="0" w:type="dxa"/>
        </w:tblCellMar>
      </w:tblPr>
      <w:tblGrid>
        <w:gridCol w:w="60"/>
        <w:gridCol w:w="170"/>
        <w:gridCol w:w="9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adequately protect our intellectual property and avoid infringing upon the intellectual property rights of third parties;</w:t>
            </w:r>
          </w:p>
        </w:tc>
      </w:tr>
    </w:tbl>
    <w:p>
      <w:pPr>
        <w:pStyle w:val="TextBody"/>
        <w:bidi w:val="0"/>
        <w:spacing w:before="0" w:after="0"/>
        <w:ind w:left="0" w:right="0" w:hanging="0"/>
        <w:jc w:val="left"/>
        <w:rPr/>
      </w:pPr>
      <w:r>
        <w:rPr/>
        <w:t> </w:t>
      </w:r>
    </w:p>
    <w:tbl>
      <w:tblPr>
        <w:tblW w:w="4840" w:type="dxa"/>
        <w:jc w:val="left"/>
        <w:tblInd w:w="0" w:type="dxa"/>
        <w:tblLayout w:type="fixed"/>
        <w:tblCellMar>
          <w:top w:w="0" w:type="dxa"/>
          <w:left w:w="0" w:type="dxa"/>
          <w:bottom w:w="0" w:type="dxa"/>
          <w:right w:w="0" w:type="dxa"/>
        </w:tblCellMar>
      </w:tblPr>
      <w:tblGrid>
        <w:gridCol w:w="60"/>
        <w:gridCol w:w="170"/>
        <w:gridCol w:w="46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demonstrate the safety and efficacy of new products; and</w:t>
            </w:r>
          </w:p>
        </w:tc>
      </w:tr>
    </w:tbl>
    <w:p>
      <w:pPr>
        <w:pStyle w:val="TextBody"/>
        <w:bidi w:val="0"/>
        <w:spacing w:before="0" w:after="0"/>
        <w:ind w:left="0" w:right="0" w:hanging="0"/>
        <w:jc w:val="left"/>
        <w:rPr/>
      </w:pPr>
      <w:r>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obtain the necessary regulatory clearances or approvals for new products or product enhancements.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do not develop and obtain regulatory clearances or approvals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develop enhancements or new generations of our products successfully,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Moreover, if our technology cannot be used to successfully treat AF, we may decide to, among other things, delay, scale back or eliminate some or all of our activities, reduce headcount, trim research and product development programs, discontinue clinical trials, stop all or some of our manufacturing operations, defer capital expenditures, deregister from being a publicly traded company and delist from Nasdaq, or license our potential products or technologies to third parties, possibly on terms that cannot sustain our current business, or curtail, suspend or discontinue our operations entirely.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Interim</w:t>
      </w:r>
      <w:r>
        <w:rPr>
          <w:rFonts w:ascii="Times New Roman" w:hAnsi="Times New Roman"/>
          <w:caps w:val="false"/>
          <w:smallCaps w:val="false"/>
          <w:sz w:val="20"/>
        </w:rPr>
        <w:t> “</w:t>
      </w:r>
      <w:r>
        <w:rPr>
          <w:rFonts w:ascii="Times New Roman" w:hAnsi="Times New Roman"/>
          <w:b/>
          <w:i/>
          <w:caps w:val="false"/>
          <w:smallCaps w:val="false"/>
          <w:sz w:val="20"/>
        </w:rPr>
        <w:t>top-line</w:t>
      </w:r>
      <w:r>
        <w:rPr>
          <w:rFonts w:ascii="Times New Roman" w:hAnsi="Times New Roman"/>
          <w:caps w:val="false"/>
          <w:smallCaps w:val="false"/>
          <w:sz w:val="20"/>
        </w:rPr>
        <w:t>” </w:t>
      </w:r>
      <w:r>
        <w:rPr>
          <w:rFonts w:ascii="Times New Roman" w:hAnsi="Times New Roman"/>
          <w:b/>
          <w:i/>
          <w:caps w:val="false"/>
          <w:smallCaps w:val="false"/>
          <w:sz w:val="20"/>
        </w:rPr>
        <w:t>and preliminary results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publish interim top-line or preliminary results from our clinical trials. Interim results from clinical trials that we may announce are subject to the risk that one or more of the clinical outcomes may materially change as more follow-up data are gathered, patient enrollment continues and more patient data become available. Preliminary or top-line results, including our preliminary data from our feasibility thyroid nodule study, also remain subject to audit and verification procedures that may result in the final data being materially different from the preliminary data we previously published or announced.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fail to maintain necessary regulatory clearance for our product, or if clearances or approvals for future devices and indications are delayed or not issued, the commercial prospects for our CellFX System and other NPS technologies would be harmed.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product candidates under development are medical devices that are subject to extensive regulation by the FDA in the United States and by regulatory agencies in other countries where we do business. Government regulations specific to medical devices are wide-ranging and govern, among other things:</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device design, development and manufacture;</w:t>
            </w:r>
          </w:p>
        </w:tc>
      </w:tr>
    </w:tbl>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preclinical and clinical testing, labeling, packaging, and storage;</w:t>
            </w:r>
          </w:p>
        </w:tc>
      </w:tr>
    </w:tbl>
    <w:p>
      <w:pPr>
        <w:pStyle w:val="TextBody"/>
        <w:bidi w:val="0"/>
        <w:spacing w:before="0" w:after="0"/>
        <w:ind w:left="0" w:right="0" w:hanging="0"/>
        <w:jc w:val="left"/>
        <w:rPr/>
      </w:pPr>
      <w:r>
        <w:rPr/>
        <w:t> </w:t>
      </w:r>
    </w:p>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premarketing clearance or approval;</w:t>
            </w:r>
          </w:p>
        </w:tc>
      </w:tr>
    </w:tbl>
    <w:p>
      <w:pPr>
        <w:pStyle w:val="TextBody"/>
        <w:bidi w:val="0"/>
        <w:spacing w:before="0" w:after="0"/>
        <w:ind w:left="0" w:right="0" w:hanging="0"/>
        <w:jc w:val="left"/>
        <w:rPr/>
      </w:pPr>
      <w:r>
        <w:rPr/>
        <w:t> </w:t>
      </w:r>
    </w:p>
    <w:tbl>
      <w:tblPr>
        <w:tblW w:w="1525" w:type="dxa"/>
        <w:jc w:val="left"/>
        <w:tblInd w:w="0" w:type="dxa"/>
        <w:tblLayout w:type="fixed"/>
        <w:tblCellMar>
          <w:top w:w="0" w:type="dxa"/>
          <w:left w:w="0" w:type="dxa"/>
          <w:bottom w:w="0" w:type="dxa"/>
          <w:right w:w="0" w:type="dxa"/>
        </w:tblCellMar>
      </w:tblPr>
      <w:tblGrid>
        <w:gridCol w:w="60"/>
        <w:gridCol w:w="170"/>
        <w:gridCol w:w="1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record keeping;</w:t>
            </w:r>
          </w:p>
        </w:tc>
      </w:tr>
    </w:tbl>
    <w:p>
      <w:pPr>
        <w:pStyle w:val="TextBody"/>
        <w:bidi w:val="0"/>
        <w:spacing w:before="0" w:after="0"/>
        <w:ind w:left="0" w:right="0" w:hanging="0"/>
        <w:jc w:val="left"/>
        <w:rPr/>
      </w:pPr>
      <w:r>
        <w:rPr/>
        <w:t> </w:t>
      </w:r>
    </w:p>
    <w:tbl>
      <w:tblPr>
        <w:tblW w:w="6145" w:type="dxa"/>
        <w:jc w:val="left"/>
        <w:tblInd w:w="0" w:type="dxa"/>
        <w:tblLayout w:type="fixed"/>
        <w:tblCellMar>
          <w:top w:w="0" w:type="dxa"/>
          <w:left w:w="0" w:type="dxa"/>
          <w:bottom w:w="0" w:type="dxa"/>
          <w:right w:w="0" w:type="dxa"/>
        </w:tblCellMar>
      </w:tblPr>
      <w:tblGrid>
        <w:gridCol w:w="60"/>
        <w:gridCol w:w="170"/>
        <w:gridCol w:w="5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device marketing, promotion and advertising, sales and distribution; and</w:t>
            </w:r>
          </w:p>
        </w:tc>
      </w:tr>
    </w:tbl>
    <w:p>
      <w:pPr>
        <w:pStyle w:val="TextBody"/>
        <w:bidi w:val="0"/>
        <w:spacing w:before="0" w:after="0"/>
        <w:ind w:left="0" w:right="0" w:hanging="0"/>
        <w:jc w:val="left"/>
        <w:rPr/>
      </w:pPr>
      <w:r>
        <w:rPr/>
        <w:t> </w:t>
      </w:r>
    </w:p>
    <w:tbl>
      <w:tblPr>
        <w:tblW w:w="9295" w:type="dxa"/>
        <w:jc w:val="left"/>
        <w:tblInd w:w="0" w:type="dxa"/>
        <w:tblLayout w:type="fixed"/>
        <w:tblCellMar>
          <w:top w:w="0" w:type="dxa"/>
          <w:left w:w="0" w:type="dxa"/>
          <w:bottom w:w="0" w:type="dxa"/>
          <w:right w:w="0" w:type="dxa"/>
        </w:tblCellMar>
      </w:tblPr>
      <w:tblGrid>
        <w:gridCol w:w="60"/>
        <w:gridCol w:w="170"/>
        <w:gridCol w:w="9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post-marketing surveillance, including reporting of deaths and serious injuries, recalls, correction and removals.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Before a new medical device, or a new intended use for an existing device, can be marketed in the United States, the device’s manufacturer must first submit and receive either 510(k) clearance or Premarket Approval (“PMA”) from the FDA, unless an exemption applies. In the 510(k)-clearance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reasonable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may not approve or clear our 510(k), de novo, or PMA applications on a timely basis or at all. Such delays or refusals could have a material adverse effect on our business operations and financial condition. The FDA may also change its clearance and approval policies, adopt additional regulations or revise existing regulations, or take other action which may prevent or delay approval or clearance of our products under development. Any of these actions could have a material adverse effect on our business operations and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FDA and the U.S. Federal Trade Commission (“FTC”) also regulate the advertising and promotion of our devices to ensure that the claims we make are consistent with our regulatory clearances or approvals, that there are adequate and reasonable data to substantiate the claims and that our promotional labeling and advertising is neither false nor misleading in any respect. If the FDA or the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FDA and state authorities have broad enforcement powers. Our failure to comply with applicable regulatory requirements could result in enforcement action by the FDA or state agencies, which may include any of the following sanctions, among others:</w:t>
      </w:r>
    </w:p>
    <w:p>
      <w:pPr>
        <w:pStyle w:val="TextBody"/>
        <w:bidi w:val="0"/>
        <w:spacing w:before="0" w:after="0"/>
        <w:ind w:left="0" w:right="0" w:hanging="0"/>
        <w:jc w:val="left"/>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60"/>
        <w:gridCol w:w="170"/>
        <w:gridCol w:w="72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adverse publicity, warning letters, fines, injunctions, consent decrees, and civil penalties;</w:t>
            </w:r>
          </w:p>
        </w:tc>
      </w:tr>
    </w:tbl>
    <w:p>
      <w:pPr>
        <w:pStyle w:val="TextBody"/>
        <w:bidi w:val="0"/>
        <w:spacing w:before="0" w:after="0"/>
        <w:ind w:left="0" w:right="0" w:hanging="0"/>
        <w:jc w:val="left"/>
        <w:rPr/>
      </w:pPr>
      <w:r>
        <w:rPr/>
        <w:t> </w:t>
      </w:r>
    </w:p>
    <w:tbl>
      <w:tblPr>
        <w:tblW w:w="8320" w:type="dxa"/>
        <w:jc w:val="left"/>
        <w:tblInd w:w="0" w:type="dxa"/>
        <w:tblLayout w:type="fixed"/>
        <w:tblCellMar>
          <w:top w:w="0" w:type="dxa"/>
          <w:left w:w="0" w:type="dxa"/>
          <w:bottom w:w="0" w:type="dxa"/>
          <w:right w:w="0" w:type="dxa"/>
        </w:tblCellMar>
      </w:tblPr>
      <w:tblGrid>
        <w:gridCol w:w="60"/>
        <w:gridCol w:w="170"/>
        <w:gridCol w:w="8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obligations to repair, replace, refund, or recall our marketed devices, or government seizure of them;</w:t>
            </w:r>
          </w:p>
        </w:tc>
      </w:tr>
    </w:tbl>
    <w:p>
      <w:pPr>
        <w:pStyle w:val="TextBody"/>
        <w:bidi w:val="0"/>
        <w:spacing w:before="0" w:after="0"/>
        <w:ind w:left="0" w:right="0" w:hanging="0"/>
        <w:jc w:val="left"/>
        <w:rPr/>
      </w:pPr>
      <w:r>
        <w:rPr/>
        <w:t> </w:t>
      </w:r>
    </w:p>
    <w:tbl>
      <w:tblPr>
        <w:tblW w:w="6265" w:type="dxa"/>
        <w:jc w:val="left"/>
        <w:tblInd w:w="0" w:type="dxa"/>
        <w:tblLayout w:type="fixed"/>
        <w:tblCellMar>
          <w:top w:w="0" w:type="dxa"/>
          <w:left w:w="0" w:type="dxa"/>
          <w:bottom w:w="0" w:type="dxa"/>
          <w:right w:w="0" w:type="dxa"/>
        </w:tblCellMar>
      </w:tblPr>
      <w:tblGrid>
        <w:gridCol w:w="60"/>
        <w:gridCol w:w="170"/>
        <w:gridCol w:w="6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restrictions, partial suspension, or total shutdown of production;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refusing our requests for 510(k) clearance or premarket approval of new devices, new intended uses or modifications to existing devices;</w:t>
            </w:r>
          </w:p>
        </w:tc>
      </w:tr>
    </w:tbl>
    <w:p>
      <w:pPr>
        <w:pStyle w:val="TextBody"/>
        <w:bidi w:val="0"/>
        <w:spacing w:before="0" w:after="0"/>
        <w:ind w:left="0" w:right="0" w:hanging="0"/>
        <w:jc w:val="left"/>
        <w:rPr/>
      </w:pPr>
      <w:r>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withdrawing 510(k) clearance or premarket approvals that have already been granted; and</w:t>
            </w:r>
          </w:p>
        </w:tc>
      </w:tr>
    </w:tbl>
    <w:p>
      <w:pPr>
        <w:pStyle w:val="TextBody"/>
        <w:bidi w:val="0"/>
        <w:spacing w:before="0" w:after="0"/>
        <w:ind w:left="0" w:right="0" w:hanging="0"/>
        <w:jc w:val="left"/>
        <w:rPr/>
      </w:pPr>
      <w:r>
        <w:rPr/>
        <w:t> </w:t>
      </w:r>
    </w:p>
    <w:tbl>
      <w:tblPr>
        <w:tblW w:w="1975" w:type="dxa"/>
        <w:jc w:val="left"/>
        <w:tblInd w:w="0" w:type="dxa"/>
        <w:tblLayout w:type="fixed"/>
        <w:tblCellMar>
          <w:top w:w="0" w:type="dxa"/>
          <w:left w:w="0" w:type="dxa"/>
          <w:bottom w:w="0" w:type="dxa"/>
          <w:right w:w="0" w:type="dxa"/>
        </w:tblCellMar>
      </w:tblPr>
      <w:tblGrid>
        <w:gridCol w:w="60"/>
        <w:gridCol w:w="170"/>
        <w:gridCol w:w="17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criminal prosecution.</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these events were to occur, our business and financial condition would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mechanism of action of NPS technology platform has not been fully determined or validated.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exact mechanism(s) of action(s) of our NPS technology platform is not fully understood, and data are still being gathered regarding its use. Furthermore, there are only a relatively small number of scientists and researchers who can be considered experts in the use of this emerging technology. Insofar as potential regulators, partners or investors value a clear understanding of a technology’s mechanism of action, this limitation could make it more challenging for us to obtain requisite regulatory approvals, investments or a partnership on favorable terms as a result.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CellFX System and any future product candidates may cause serious adverse side effects or have other properties that could delay or prevent their regulatory approval, limit their commercial desirability or result in significant negative consequences.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risk of failure of clinical development is high. For example, the vast majority of our in vivo data has been a result of animal testing outside of cardiac animal models, and we have only completed a limited number of feasibility studies in humans, all of which have examined the use of our CellFX System in dermatologic conditions. Undesirable side effects caused by the CellFX System, NPS pulses, or any of our planned future products could cause us, any partners, or regulatory authorities to interrupt, delay or halt clinical trials or to revoke previously granted regulatory approvals. Undesirable side effects could also result in more restrictive labeling requirements or the delay or denial of regulatory approval of planned future products by the FDA or other comparable foreign regulatory authority.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if we or others identify undesirable side effects caused by the CellFX System, a number of potentially significant negative consequences could result, including:</w:t>
      </w:r>
    </w:p>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60"/>
        <w:gridCol w:w="170"/>
        <w:gridCol w:w="68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forced to recall such product and suspend the marketing of such product;</w:t>
            </w:r>
          </w:p>
        </w:tc>
      </w:tr>
    </w:tbl>
    <w:p>
      <w:pPr>
        <w:pStyle w:val="TextBody"/>
        <w:bidi w:val="0"/>
        <w:spacing w:before="0" w:after="0"/>
        <w:ind w:left="0" w:right="0" w:hanging="0"/>
        <w:jc w:val="left"/>
        <w:rPr/>
      </w:pPr>
      <w:r>
        <w:rPr/>
        <w:t> </w:t>
      </w:r>
    </w:p>
    <w:tbl>
      <w:tblPr>
        <w:tblW w:w="5815" w:type="dxa"/>
        <w:jc w:val="left"/>
        <w:tblInd w:w="0" w:type="dxa"/>
        <w:tblLayout w:type="fixed"/>
        <w:tblCellMar>
          <w:top w:w="0" w:type="dxa"/>
          <w:left w:w="0" w:type="dxa"/>
          <w:bottom w:w="0" w:type="dxa"/>
          <w:right w:w="0" w:type="dxa"/>
        </w:tblCellMar>
      </w:tblPr>
      <w:tblGrid>
        <w:gridCol w:w="60"/>
        <w:gridCol w:w="170"/>
        <w:gridCol w:w="5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5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withdraw their approvals of such product;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regulatory authorities may require additional warnings on the label and/or narrow the indication of use for the product which could diminish the usage or otherwise limit the commercial success of such product;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or other regulatory authorities may issue safety alerts, “Dear Healthcare Provider” letters, press releases, or other communications containing warnings about such product;</w:t>
            </w:r>
          </w:p>
        </w:tc>
      </w:tr>
    </w:tbl>
    <w:p>
      <w:pPr>
        <w:pStyle w:val="TextBody"/>
        <w:bidi w:val="0"/>
        <w:spacing w:before="0" w:after="0"/>
        <w:ind w:left="0" w:right="0" w:hanging="0"/>
        <w:jc w:val="left"/>
        <w:rPr/>
      </w:pPr>
      <w:r>
        <w:rPr/>
        <w:t> </w:t>
      </w:r>
    </w:p>
    <w:tbl>
      <w:tblPr>
        <w:tblW w:w="9100" w:type="dxa"/>
        <w:jc w:val="left"/>
        <w:tblInd w:w="0" w:type="dxa"/>
        <w:tblLayout w:type="fixed"/>
        <w:tblCellMar>
          <w:top w:w="0" w:type="dxa"/>
          <w:left w:w="0" w:type="dxa"/>
          <w:bottom w:w="0" w:type="dxa"/>
          <w:right w:w="0" w:type="dxa"/>
        </w:tblCellMar>
      </w:tblPr>
      <w:tblGrid>
        <w:gridCol w:w="60"/>
        <w:gridCol w:w="170"/>
        <w:gridCol w:w="8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FDA may restrict distribution of our product and impose burdensome implementation requirements on us;</w:t>
            </w:r>
          </w:p>
        </w:tc>
      </w:tr>
    </w:tbl>
    <w:p>
      <w:pPr>
        <w:pStyle w:val="TextBody"/>
        <w:bidi w:val="0"/>
        <w:spacing w:before="0" w:after="0"/>
        <w:ind w:left="0" w:right="0" w:hanging="0"/>
        <w:jc w:val="left"/>
        <w:rPr/>
      </w:pPr>
      <w:r>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be required to change the way the product is administered or conduct additional clinical trials;</w:t>
            </w:r>
          </w:p>
        </w:tc>
      </w:tr>
    </w:tbl>
    <w:p>
      <w:pPr>
        <w:pStyle w:val="TextBody"/>
        <w:bidi w:val="0"/>
        <w:spacing w:before="0" w:after="0"/>
        <w:ind w:left="0" w:right="0" w:hanging="0"/>
        <w:jc w:val="left"/>
        <w:rPr/>
      </w:pPr>
      <w:r>
        <w:rPr/>
        <w:t> </w:t>
      </w:r>
    </w:p>
    <w:tbl>
      <w:tblPr>
        <w:tblW w:w="6445" w:type="dxa"/>
        <w:jc w:val="left"/>
        <w:tblInd w:w="0" w:type="dxa"/>
        <w:tblLayout w:type="fixed"/>
        <w:tblCellMar>
          <w:top w:w="0" w:type="dxa"/>
          <w:left w:w="0" w:type="dxa"/>
          <w:bottom w:w="0" w:type="dxa"/>
          <w:right w:w="0" w:type="dxa"/>
        </w:tblCellMar>
      </w:tblPr>
      <w:tblGrid>
        <w:gridCol w:w="60"/>
        <w:gridCol w:w="170"/>
        <w:gridCol w:w="6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could be sued and held liable for harm caused to subjects or patients; and</w:t>
            </w:r>
          </w:p>
        </w:tc>
      </w:tr>
    </w:tbl>
    <w:p>
      <w:pPr>
        <w:pStyle w:val="TextBody"/>
        <w:bidi w:val="0"/>
        <w:spacing w:before="0" w:after="0"/>
        <w:ind w:left="0" w:right="0" w:hanging="0"/>
        <w:jc w:val="left"/>
        <w:rPr/>
      </w:pPr>
      <w:r>
        <w:rPr/>
        <w:t> </w:t>
      </w:r>
    </w:p>
    <w:tbl>
      <w:tblPr>
        <w:tblW w:w="2455" w:type="dxa"/>
        <w:jc w:val="left"/>
        <w:tblInd w:w="0" w:type="dxa"/>
        <w:tblLayout w:type="fixed"/>
        <w:tblCellMar>
          <w:top w:w="0" w:type="dxa"/>
          <w:left w:w="0" w:type="dxa"/>
          <w:bottom w:w="0" w:type="dxa"/>
          <w:right w:w="0" w:type="dxa"/>
        </w:tblCellMar>
      </w:tblPr>
      <w:tblGrid>
        <w:gridCol w:w="60"/>
        <w:gridCol w:w="170"/>
        <w:gridCol w:w="2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reputation could suffer.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these events could prevent us from achieving or maintaining market acceptance of the CellFX System or of any future particular planned product, if approved.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We may find it difficult to enroll patients in our clinical trials. If we cannot enroll a sufficient number of eligible patients to participate in our clinical trials, we may not be able to initiate or continue them, which could delay or prevent development of our product candidates.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health care industry or for other reasons, including competitive clinical trials for similar patient populations, the timeline for recruiting patients, conducting trials and obtaining regulatory approval or clearance of planned products may be delayed. If there are delays in accumulating the required patients and patient data, there may be delays in completing the trial. Further, if any of our clinical trial sites fail to comply with required good clinical practices, we may be unable to use the data gathered at those sites. Also,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suspended, or terminated. These delays could result in increased costs, delays in advancing our product development, delays in testing the effectiveness of our technology or termination of the clinical trials altogether, and delays in obtaining regulatory authorization for our products.</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Laboratory conditions differ from commercial conditions and field conditions, and the safety and effectiveness of our product candidates may depend on the technique of the user.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Observations and developments that may be achievable under laboratory circumstances may not be able to be replicated in broader research and development phases, in commercial settings, or in the use of any of any product or product candidates in the field. Furthermore, our NPS technologies will be administered by healthcare professionals and will require a degree of training and practice to administer correctly. Treatment results achieved in the laboratory or in clinical trials conducted by us or by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and the reputation of the Company or its products. In addition, there may be a selection bias in the patients and/or sites of administration chosen for any clinical trials that would positively affect treatment results that may not be representative or predictive of real-world experience with our products, including the CellFX System.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Issues with our firmware and software may negatively affect the function of our devices.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safety and effectiveness of CellFX procedures and therapies may depend, in part, on the function of firmware run by the microprocessors embedded in the device and associated software. This firmware and software is proprietary to us. While we have made efforts to test the firmware and software extensively, both are potentially subject to malfunction which in turn may harm patients. Further, our proprietary firmware and software may be vulnerable to physical break-ins, hackers, improper employee or contractor access, computer viruses, programming errors, data breaches, or similar problems. Any of these might result in harm to patients or the unauthorized release of confidential medical, business or other information belonging to us or to other persons.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encounter manufacturing problems or delays that could result in lost revenue or slower than anticipated product development. Additionally, we currently rely on third-party suppliers for critical materials needed to manufacture the CellFX System and related applicators. Any problems experienced by these suppliers could result in a delay or interruption of their supply to us and, as a result, we may face delays in the development and commercialization of products.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rely upon third-party suppliers to manufacture and supply components for the CellFX System and for our products under development. We perform final assembly of our CellFX devices at our facility in California. The manufacture of the CellFX components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applicable regulations, both foreign and domestic.</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do not control the manufacturing process of, and are completely dependent on, our contract manufacturing partners for compliance with applicable regulatory requirements, and if our contract manufacturers cannot successfully manufacture the components needed for our products and products under development in a manner that conforms to our specifications and these strict regulatory requirements, we may not be able to rely on their manufacturing facilities in the future. In addition, we have limited control over the ability of our contract manufacturers to maintain adequate quality control, quality assurance and qualified personnel. If the FDA or a comparable foreign regulatory authority finds these facilities inadequate for the manufacture of our components or if such facilities are subject to enforcement action in the future or are otherwise inadequate with respect to complying with applicable regulatory requirements, we may need to find alternative manufacturing facilities, which would significantly impact our ability to develop and market our product or to obtain regulatory approval or clearance for our product candidates.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currently purchase components for our products under development under purchase orders and do not have long-term contracts with most of the suppliers of these materials. If suppliers were to delay or stop producing our components, or if the prices they charge us were to increase significantly, or if they elected not to sell to us, we would need to identify other suppliers and we may not be able to secure alternative suppliers on favorable terms, or at all. Also, any number of our suppliers may be adversely impacted by COVID-19 which could affect their ability to perform satisfactorily. Any failure of these suppliers to perform satisfactorily could adversely impact our business and results of operations and we may experience delays in manufacturing of our devices while finding another acceptable supplier.</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become commercially viable if our ultimate commercialized products or related treatments fail to obtain an adequate level of reimbursement by Medicare and other third-party payers.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believe that the commercial viability of the CellFX System and any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are not assured. It typically takes a period of use in the marketplace before coverage and reimbursement are granted, if it is granted at all. In the United States and in many other jurisdictions,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Medicaid, health maintenance organizations, and other third-party payers are increasingly attempting to contain healthcare costs by limiting both the scope of coverage and the level of reimbursement of new medical technologies and products. As a result, they may not cover or provide adequate payment for the use of the CellFX System or planned products in development. In order to obtain satisfactory reimbursement arrangements, we may have to agree to reduce our fee or sales price below what we currently expect to charge customers, which could adversely affect our profit margins. Moreover, each plan may separately require us to provide scientific and clinical support for the use of our products and, as a result, the coverage determination process is often a time-consuming and costly process with no assurance that coverage and adequate reimbursement will be applied consistently or obtained at all. Even if Medicare and other third-party payers decide to cover procedures involving the CellFX System and our proposed devices and products, we cannot be certain that the reimbursement levels will be adequate. Accordingly, even if these products are approved for commercial sale, unless government and other third-party payers provide adequate coverage and reimbursement for our devices and products, some physicians may be discouraged from using them, and our sales would suffer.</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the CellFX System or to any of our proposed devices and products, as they are still in the development stages. Coverage presupposes that the technology, device, or product has been cleared or approved by the FDA and further, that the coverage will be consistent with the approved intended uses of the device or product as approved or cleared by the FDA, but coverage can be narrower. A coverage determination may be so limited that relatively few patients will qualify for a covered use of a device or product.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or clearance. The Medicare statutory framework is also subject to administrative rulings, interpretations and discretion that affect the amount and timing of reimbursement made under Medicare. Medicaid coverage determinations and reimbursement levels are determined on a state-by-state basis, because Medicaid, unlike Medicare, is administered by the states under a state plan filed with the Secretary of the U.S. Department of Health and Human Services (“HHS”). Medicaid generally reimburses at lower levels than Medicare. Moreover, Medicaid programs and private insurers are frequently influenced by Medicare coverage determinations.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caps w:val="false"/>
          <w:smallCaps w:val="false"/>
          <w:sz w:val="20"/>
        </w:rPr>
      </w:pPr>
      <w:r>
        <w:rPr>
          <w:rFonts w:ascii="Times New Roman" w:hAnsi="Times New Roman"/>
          <w:b/>
          <w:caps w:val="false"/>
          <w:smallCaps w:val="false"/>
          <w:sz w:val="20"/>
        </w:rPr>
        <w:t xml:space="preserve">Risks Related to Intellectual Property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our intellectual property, then our financial condition, results of operations and the value of our technology and products could be adversely affected.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Patents and other proprietary rights are essential to our business and our ability to compete effectively with other companies is dependent upon the proprietary nature of our technologies. Similarly, our future success partnering our NPS technologies, including our CellFX System, will depend greatly on the perceived strength and reach of the patents protecting those technologies against unlicensed competitors.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may not successfully prosecute or continue to prosecute the patent applications which we have licensed. Even if patents are issued in respect of these patent applications, we may fail to maintain these patents or may determine not to pursue litigation against entities that are infringing upon these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are the target of claims by any third party asserting that our products or intellectual property infringe upon the rights of others, we may be forced to incur substantial expenses or divert substantial employee resources from our business. If successful, such claims could result in our having to pay substantial damages or could prevent us from developing one or more products or product candidates. Further, if a patent infringement suit were brought against us or our collaborators, we or they could be forced to stop or delay research, development, manufacturing, or sales of the product or product candidate that is the subject of the suit.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collaborators, experience patent infringement claims, or if we elect to avoid potential claims others may be able to assert, we or our collaborators may choose to seek, or be required to seek, a license from the third 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intellectual property rights will not necessarily provide us with competitive advantages.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degree of future protection afforded by our intellectual property rights is uncertain because intellectual property rights have limitations, and may not adequately protect our business, or permit us or our future commercial partners to maintain a competitive advantage. The following examples are illustrative: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be able to make products that are similar to our product candidates but that are not covered by the claims of the patents that we own or have exclusively licensed;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others may independently develop similar or alternative technologies without infringing on our intellectual property rights;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issued patents that we own or have exclusively licensed may not provide us with any competitive advantages, or may be held invalid or unenforceable, as a result of legal challenges by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p>
      <w:pPr>
        <w:pStyle w:val="TextBody"/>
        <w:bidi w:val="0"/>
        <w:spacing w:before="0" w:after="0"/>
        <w:ind w:left="0" w:right="0" w:hanging="0"/>
        <w:jc w:val="left"/>
        <w:rPr/>
      </w:pPr>
      <w:r>
        <w:rPr/>
        <w:t> </w:t>
      </w:r>
    </w:p>
    <w:tbl>
      <w:tblPr>
        <w:tblW w:w="6625" w:type="dxa"/>
        <w:jc w:val="left"/>
        <w:tblInd w:w="0" w:type="dxa"/>
        <w:tblLayout w:type="fixed"/>
        <w:tblCellMar>
          <w:top w:w="0" w:type="dxa"/>
          <w:left w:w="0" w:type="dxa"/>
          <w:bottom w:w="0" w:type="dxa"/>
          <w:right w:w="0" w:type="dxa"/>
        </w:tblCellMar>
      </w:tblPr>
      <w:tblGrid>
        <w:gridCol w:w="60"/>
        <w:gridCol w:w="170"/>
        <w:gridCol w:w="6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we may fail to develop additional proprietary technologies that are patentable;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patents of others may have an adverse effect on our business, for example by preventing us from marketing one or more of our product candidates for one or more indications.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of the aforementioned threats to our competitive advantage could harm our business.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If we are unable to protect the confidentiality of our proprietary information and know-how, the value of our technology and products could be adversely affected.</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In addition to patented technology, we rely upon, among other things, unpatented proprietary technology, processes, trade secrets, and know-how. Any involuntary disclosure to, or misappropriation by, third parties of our confidential or proprietary information could enable competitors to duplicate or surpass our technological achievements, potentially eroding our competitive position in our market. We seek to protect confidential and proprietary information in part by confidentiality agreements with our employees, consultants and third parties. While we require, as a matter of company policy, that all of our employees, consultants, advisors, and any third parties who have access to our proprietary know-how, information or technology to enter into confidentiality agreements, we cannot be certain that this know-how, information and technology will not be improperly disclosed or that competitors will not otherwise gain access to our trade secrets or independently develop substantially equivalent information and techniques. These confidentiality agreements may be terminated or breached, and we may not have adequate remedies for any such termination or breach. Furthermore, these agreements may not provide meaningful protection for our trade secrets and know-how in the event of unauthorized use or disclosure.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are unable to protect the intellectual property used in our products, others may be able to copy our innovations which may impair our ability to compete effectively in our markets.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Evaluating the strength and enforceability of our patents involves complex legal and scientific questions and can be uncertain. Both our patents and patent applications can be challenged by third parties and our patent applications may fail to result in issued patents. Moreover, both our existing and future patents may be too narrow to prevent third parties from developing or designing around our intellectual property and, in that event, we may lose competitive advantage and our business may suffer.</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not be able to protect our intellectual property rights throughout the world.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are subject to stringent domestic and foreign regulation. Any unfavorable regulatory action or adverse change in law may materially and adversely affect our future financial condition and business operations and prospects.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CellFX System and any other potential devices and products we develop are, and will continue to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devices and products, or for enhancements, expansion of the indications or modifications to existing products, could:</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take a significant indeterminate amount of time;</w:t>
            </w:r>
          </w:p>
        </w:tc>
      </w:tr>
    </w:tbl>
    <w:p>
      <w:pPr>
        <w:pStyle w:val="TextBody"/>
        <w:bidi w:val="0"/>
        <w:spacing w:before="0" w:after="0"/>
        <w:ind w:left="0" w:right="0" w:hanging="0"/>
        <w:jc w:val="left"/>
        <w:rPr/>
      </w:pPr>
      <w:r>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the expenditure of substantial resources;</w:t>
            </w:r>
          </w:p>
        </w:tc>
      </w:tr>
    </w:tbl>
    <w:p>
      <w:pPr>
        <w:pStyle w:val="TextBody"/>
        <w:bidi w:val="0"/>
        <w:spacing w:before="0" w:after="0"/>
        <w:ind w:left="0" w:right="0" w:hanging="0"/>
        <w:jc w:val="left"/>
        <w:rPr/>
      </w:pPr>
      <w:r>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involve rigorous preclinical and clinical testing, and possibly post-market surveillance;</w:t>
            </w:r>
          </w:p>
        </w:tc>
      </w:tr>
    </w:tbl>
    <w:p>
      <w:pPr>
        <w:pStyle w:val="TextBody"/>
        <w:bidi w:val="0"/>
        <w:spacing w:before="0" w:after="0"/>
        <w:ind w:left="0" w:right="0" w:hanging="0"/>
        <w:jc w:val="left"/>
        <w:rPr/>
      </w:pPr>
      <w:r>
        <w:rPr/>
        <w:t> </w:t>
      </w:r>
    </w:p>
    <w:tbl>
      <w:tblPr>
        <w:tblW w:w="5335" w:type="dxa"/>
        <w:jc w:val="left"/>
        <w:tblInd w:w="0" w:type="dxa"/>
        <w:tblLayout w:type="fixed"/>
        <w:tblCellMar>
          <w:top w:w="0" w:type="dxa"/>
          <w:left w:w="0" w:type="dxa"/>
          <w:bottom w:w="0" w:type="dxa"/>
          <w:right w:w="0" w:type="dxa"/>
        </w:tblCellMar>
      </w:tblPr>
      <w:tblGrid>
        <w:gridCol w:w="60"/>
        <w:gridCol w:w="170"/>
        <w:gridCol w:w="5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involve modifications, repairs or replacements of our products;</w:t>
            </w:r>
          </w:p>
        </w:tc>
      </w:tr>
    </w:tbl>
    <w:p>
      <w:pPr>
        <w:pStyle w:val="TextBody"/>
        <w:bidi w:val="0"/>
        <w:spacing w:before="0" w:after="0"/>
        <w:ind w:left="0" w:right="0" w:hanging="0"/>
        <w:jc w:val="left"/>
        <w:rPr/>
      </w:pPr>
      <w:r>
        <w:rPr/>
        <w:t> </w:t>
      </w:r>
    </w:p>
    <w:tbl>
      <w:tblPr>
        <w:tblW w:w="3445" w:type="dxa"/>
        <w:jc w:val="left"/>
        <w:tblInd w:w="0" w:type="dxa"/>
        <w:tblLayout w:type="fixed"/>
        <w:tblCellMar>
          <w:top w:w="0" w:type="dxa"/>
          <w:left w:w="0" w:type="dxa"/>
          <w:bottom w:w="0" w:type="dxa"/>
          <w:right w:w="0" w:type="dxa"/>
        </w:tblCellMar>
      </w:tblPr>
      <w:tblGrid>
        <w:gridCol w:w="60"/>
        <w:gridCol w:w="170"/>
        <w:gridCol w:w="3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design changes of our products;</w:t>
            </w:r>
          </w:p>
        </w:tc>
      </w:tr>
    </w:tbl>
    <w:p>
      <w:pPr>
        <w:pStyle w:val="TextBody"/>
        <w:bidi w:val="0"/>
        <w:spacing w:before="0" w:after="0"/>
        <w:ind w:left="0" w:right="0" w:hanging="0"/>
        <w:jc w:val="left"/>
        <w:rPr/>
      </w:pPr>
      <w:r>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result in limitations on the indicated uses of our products; and</w:t>
            </w:r>
          </w:p>
        </w:tc>
      </w:tr>
    </w:tbl>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result in our never being granted the regulatory approval or clearance we seek.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experience any of these occurrences, our operations may suffer and we might experience harm to our competitive standing, which could adversely affect our financial condition.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subject to, and will have ongoing responsibilities under, FDA and international regulations, both before and after a product is approved or cleared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devices are ineffective or pose an unreasonable health risk, the FDA or similar foreign regulatory authorities could ban such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our devices and products or assess civil or criminal penalties against our officers, employees, or us. The FDA and similar foreign regulatory authorities have been increasing their scrutiny of the industry and governments are expected to continue to scrutinize the industry closely with inspections and possibly enforcement actions. Any adverse regulatory action, depending on its magnitude, may restrict us from effectively manufacturing, marketing and selling our devices and products, including the CellFX System. In addition, negative publicity and product liability claims resulting from any adverse regulatory action could have a material adverse effect on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All our product development depends upon maintaining strong working relationships with physicians.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development, marketing, and sale of any future products in development, depends upon our ability to maintain strong working relationships with physicians. We rely on these professionals to provide us with considerable knowledge and experience regarding the development, marketing, and sale of our products. Physicians assist us in clinical trials and as researchers, marketing and product consultants and public speakers. If we cannot maintain our strong working relationships with these professionals and continue to receive their advice and input, the development and marketing of our products could suffer, which could harm our business, financial condition and results of operations. The medical device industry’s relationship with physicians is under increasing scrutiny by the Office of Inspector General (“OIG”), the Department of Justice (“DOJ”), state attorneys general, and other foreign and domestic government agencies. Our failure to comply with laws, rules and regulations governing our relationships with physicians, or an investigation into our compliance by the OIG, DOJ, state attorneys general, and other government agencies, could significantly harm our business, including compromising the use or integrity of our clinical data in regulatory submissions to the FDA or similar regulatory authorities.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b/>
          <w:i/>
          <w:caps w:val="false"/>
          <w:smallCaps w:val="false"/>
          <w:sz w:val="20"/>
        </w:rPr>
      </w:pPr>
      <w:r>
        <w:rPr>
          <w:rFonts w:ascii="Times New Roman" w:hAnsi="Times New Roman"/>
          <w:b/>
          <w:i/>
          <w:caps w:val="false"/>
          <w:smallCaps w:val="false"/>
          <w:sz w:val="20"/>
        </w:rPr>
        <w:t>We are subject to healthcare and other laws and regulations relating to our business and could face substantial penalties if we are determined not to have fully complied with such laws, which could have an adverse impact on our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that our employees and independent contractors, including principal investigators, consultants, any commercial collaborators, service providers and other vendors may engage in misconduct or other illegal activity. Misconduct by these parties could include intentional, reckless and/or negligent conduct or other unauthorized activities that violate applicable laws or regulations. There are many federal and state laws and regulations prohibiting fraud and abuse in the healthcare industry that can result in significant criminal and civil penalties. These laws may constrain the business or financial arrangements and relationships through which we conduct our operations, including how we research, market, sell, and distribute our products for which we obtain marketing approval or clearance.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have implemented compliance related programs and procedures consistent with our stage of development to help identify and deter healthcare and other violations by employees and other third parties that perform services for us. Notwithstanding our efforts, however, it is possible that governmental authorities may conclude that our business practices do not comply with current or future statutes, regulations, agency guidance, or case law involving applicable healthcare or other applicable laws.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Also, any material change to any of the laws or regulations applicable to our business could harm our business, financial condition and results of operations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b/>
          <w:i/>
          <w:caps w:val="false"/>
          <w:smallCaps w:val="false"/>
          <w:sz w:val="20"/>
        </w:rPr>
        <w:t>To obtain the necessary device approvals or clearances from regulatory authorities for our future product candidates, we will have to conduct various preclinical and clinical tests, which may be costly and time consuming, and may</w:t>
      </w:r>
      <w:r>
        <w:rPr>
          <w:rFonts w:ascii="Times New Roman" w:hAnsi="Times New Roman"/>
          <w:caps w:val="false"/>
          <w:smallCaps w:val="false"/>
          <w:sz w:val="20"/>
        </w:rPr>
        <w:t> </w:t>
      </w:r>
      <w:r>
        <w:rPr>
          <w:rFonts w:ascii="Times New Roman" w:hAnsi="Times New Roman"/>
          <w:b/>
          <w:i/>
          <w:caps w:val="false"/>
          <w:smallCaps w:val="false"/>
          <w:sz w:val="20"/>
        </w:rPr>
        <w:t>not provide results that will allow us to seek regulatory approval or clearance.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number of preclinical and clinical tests that will be required for regulatory clearance or approval varies depending on the disease or condition to be treated, the method of treatment, the nature of the device, the jurisdiction in which we are seeking approval or clearance and the applicable regulations. Regulatory agencies, including those in the United States, Canada, Europe, and other jurisdictions where medical devices and products are regulated can delay, limit or deny approval of a product for many reasons. For example, regulatory agencies:</w:t>
      </w:r>
    </w:p>
    <w:p>
      <w:pPr>
        <w:pStyle w:val="TextBody"/>
        <w:bidi w:val="0"/>
        <w:spacing w:before="0" w:after="0"/>
        <w:ind w:left="0" w:right="0" w:hanging="0"/>
        <w:jc w:val="left"/>
        <w:rPr>
          <w:caps w:val="false"/>
          <w:smallCaps w:val="false"/>
        </w:rPr>
      </w:pPr>
      <w:r>
        <w:rPr>
          <w:caps w:val="false"/>
          <w:smallCaps w:val="false"/>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not deem a technology or device to be reasonably safe or effective for any intended use or indication;</w:t>
            </w:r>
          </w:p>
        </w:tc>
      </w:tr>
    </w:tbl>
    <w:p>
      <w:pPr>
        <w:pStyle w:val="TextBody"/>
        <w:bidi w:val="0"/>
        <w:spacing w:before="0" w:after="0"/>
        <w:ind w:left="0" w:right="0" w:hanging="0"/>
        <w:jc w:val="left"/>
        <w:rPr/>
      </w:pPr>
      <w:r>
        <w:rPr/>
        <w:t> </w:t>
      </w:r>
    </w:p>
    <w:tbl>
      <w:tblPr>
        <w:tblW w:w="6550" w:type="dxa"/>
        <w:jc w:val="left"/>
        <w:tblInd w:w="0" w:type="dxa"/>
        <w:tblLayout w:type="fixed"/>
        <w:tblCellMar>
          <w:top w:w="0" w:type="dxa"/>
          <w:left w:w="0" w:type="dxa"/>
          <w:bottom w:w="0" w:type="dxa"/>
          <w:right w:w="0" w:type="dxa"/>
        </w:tblCellMar>
      </w:tblPr>
      <w:tblGrid>
        <w:gridCol w:w="60"/>
        <w:gridCol w:w="170"/>
        <w:gridCol w:w="6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interpret data from preclinical and clinical testing differently than we do;</w:t>
            </w:r>
          </w:p>
        </w:tc>
      </w:tr>
    </w:tbl>
    <w:p>
      <w:pPr>
        <w:pStyle w:val="TextBody"/>
        <w:bidi w:val="0"/>
        <w:spacing w:before="0" w:after="0"/>
        <w:ind w:left="0" w:right="0" w:hanging="0"/>
        <w:jc w:val="left"/>
        <w:rPr/>
      </w:pPr>
      <w:r>
        <w:rPr/>
        <w:t> </w:t>
      </w:r>
    </w:p>
    <w:tbl>
      <w:tblPr>
        <w:tblW w:w="8530" w:type="dxa"/>
        <w:jc w:val="left"/>
        <w:tblInd w:w="0" w:type="dxa"/>
        <w:tblLayout w:type="fixed"/>
        <w:tblCellMar>
          <w:top w:w="0" w:type="dxa"/>
          <w:left w:w="0" w:type="dxa"/>
          <w:bottom w:w="0" w:type="dxa"/>
          <w:right w:w="0" w:type="dxa"/>
        </w:tblCellMar>
      </w:tblPr>
      <w:tblGrid>
        <w:gridCol w:w="60"/>
        <w:gridCol w:w="170"/>
        <w:gridCol w:w="8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determine our manufacturing facility or processes do not comply with quality system regulations;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conclude that our products do not meet quality standards for durability, long-term reliability, biocompatibility, electromagnetic compatibility, or electrical safety; or</w:t>
            </w:r>
          </w:p>
        </w:tc>
      </w:tr>
    </w:tbl>
    <w:p>
      <w:pPr>
        <w:pStyle w:val="TextBody"/>
        <w:bidi w:val="0"/>
        <w:spacing w:before="0" w:after="0"/>
        <w:ind w:left="0" w:right="0" w:hanging="0"/>
        <w:jc w:val="left"/>
        <w:rPr/>
      </w:pPr>
      <w:r>
        <w:rPr/>
        <w:t> </w:t>
      </w:r>
    </w:p>
    <w:tbl>
      <w:tblPr>
        <w:tblW w:w="8845" w:type="dxa"/>
        <w:jc w:val="left"/>
        <w:tblInd w:w="0" w:type="dxa"/>
        <w:tblLayout w:type="fixed"/>
        <w:tblCellMar>
          <w:top w:w="0" w:type="dxa"/>
          <w:left w:w="0" w:type="dxa"/>
          <w:bottom w:w="0" w:type="dxa"/>
          <w:right w:w="0" w:type="dxa"/>
        </w:tblCellMar>
      </w:tblPr>
      <w:tblGrid>
        <w:gridCol w:w="60"/>
        <w:gridCol w:w="170"/>
        <w:gridCol w:w="8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6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may change their approval or clearance policies or adopt new regulations in a manner that is adverse to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regulators may make requests or disagree with us regarding the design or conduct of our clinical trials, resulting in an increased risk of difficulties or delays in obtaining regulatory approval or clearance on future product candidates, or expanded indications of use for our existing products, and increased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Even if a potential device or product ultimately is cleared or approved by regulatory authorities, it may be cleared or approved only for narrow indications which may render it commercially less viable.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if we complete clinical testing and a potential device or product of ours is cleared or approved, it may not be cleared or approved for the indications that are necessary or desirable for a successful commercialization. Regulators may grant marketing authorization contingent on the performance of costly additional clinical trials which may be required after approval or clearance. Regulators also may approve or clear our lead product candidates, including the CellFX System, for a more limited indication or a narrower patient population than we originally requested. Our preference will be to obtain as broad an indication as possible for use in connection with the particular disease or treatment for which it is designed. However, the final indication or labeling may be more limited than we originally seek. Any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will be subject to ongoing requirements and inspections that could lead to the restriction, suspension or revocation of our clearance.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as well as any potential third-party manufacturer, will be required to adhere to FDA quality systems requirements, which include testing, control, and documentation requirements. We will be subject to similar regulations in foreign countries. Even when regulatory approval or clearance of a product is granted, the approval or clearance may be subject to limitations on the indicated uses for which the product may be marketed or to the conditions of approval or clearance, or contain requirements for costly post-marketing testing and surveillance to monitor the safety or efficacy of the product. Ongoing compliance with quality system regulations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or clearances previously obtained, and criminal prosecution. The restriction, suspension or revocation of regulatory approvals or clearances, or any other failure to comply with regulatory requirements would limit our ability to operate and could materially increase our costs.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employees, collaborators and other personnel may engage in misconduct or other improper activities, including noncompliance with regulatory standards and requirements and insider trading.</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exposed to the risk of fraud or other misconduct by our employees, collaborators and other personnel, which could include intentional, reckless and/or negligent conduct or disclosure that violates: (i) the laws of the FDA and other similar foreign regulatory bodies, including those laws requiring the reporting of true, complete and accurate information to such regulators; (ii) manufacturing standards; or (iii) healthcare fraud and abuse laws in the United States and similar foreign fraudulent misconduct laws. These laws may impact, among other things, future sales, marketing and education programs. The promotion, sales and marketing of healthcare items and services, as well as certain business arrangements in the healthcare industry, are subject to extensive laws designed to prevent fraud and abuse,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use of information obtained in the course of patient recruitment for clinical trials.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adopted a code of conduct applicable to all of our employees, but it is not always possible to identify and deter employee misconduct, and the precautions we take to detect and prevent unlawful activities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Whether or not we are successful in defending against any such actions or investigations, we could incur substantial costs, including legal fees, and divert the attention of management in defending ourselves against any of these claims or investigations, which could have a material adverse effect on our business and financial condition.</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Healthcare policy changes, including recent federal legislation to reform the U.S. healthcare system, may have a material adverse effect on us.</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Proposals by the federal government, state governments, regulators, and third-party payors to control or manage the increased costs of healthcare and to reform the U.S. healthcare system may impact our business significantly. Certain proposals could limit the prices we are able to charge for our products or the coverage and reimbursement available for our products and could limit the acceptance and availability of our products. The adoption of proposals to control costs could have a material adverse effect on our business and financial condition. We cannot predict the initiatives that may be adopted in the future or their full impact on our business. The continuing efforts of governments, insurance companies, managed care organizations, and other payors of healthcare services to contain or reduce costs of healthcare may negatively impact our ability to set a price that we believe is fair for our products, our ability to generate revenue and achieve profitability, and the availability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Owning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The price of our common stock has been, and we expect it to continue to be, highly volatile, and you may be unable to sell your shares at or above the price you paid to acquire them.</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market price of our common stock has been highly volatile, and we expect it to continue to be highly volatile for the foreseeable future in response to many risk factors listed in this section, and others beyond our control, including:</w:t>
      </w:r>
    </w:p>
    <w:p>
      <w:pPr>
        <w:pStyle w:val="TextBody"/>
        <w:bidi w:val="0"/>
        <w:spacing w:before="0" w:after="0"/>
        <w:ind w:left="0" w:right="0" w:hanging="0"/>
        <w:jc w:val="both"/>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60"/>
        <w:gridCol w:w="170"/>
        <w:gridCol w:w="6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results of clinical trials of our planned products or those of our competitors;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actions by regulatory bodies, such as the FDA, that affect our business or have the effect of delaying or rejecting approval or clearance of our planned products;</w:t>
            </w:r>
          </w:p>
        </w:tc>
      </w:tr>
    </w:tbl>
    <w:p>
      <w:pPr>
        <w:pStyle w:val="TextBody"/>
        <w:bidi w:val="0"/>
        <w:spacing w:before="0" w:after="0"/>
        <w:ind w:left="0" w:right="0" w:hanging="0"/>
        <w:jc w:val="left"/>
        <w:rPr/>
      </w:pPr>
      <w:r>
        <w:rPr/>
        <w:t> </w:t>
      </w:r>
    </w:p>
    <w:tbl>
      <w:tblPr>
        <w:tblW w:w="6865" w:type="dxa"/>
        <w:jc w:val="left"/>
        <w:tblInd w:w="0" w:type="dxa"/>
        <w:tblLayout w:type="fixed"/>
        <w:tblCellMar>
          <w:top w:w="0" w:type="dxa"/>
          <w:left w:w="0" w:type="dxa"/>
          <w:bottom w:w="0" w:type="dxa"/>
          <w:right w:w="0" w:type="dxa"/>
        </w:tblCellMar>
      </w:tblPr>
      <w:tblGrid>
        <w:gridCol w:w="60"/>
        <w:gridCol w:w="170"/>
        <w:gridCol w:w="66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6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anticipated fluctuations in our financial condition and operating results;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our customers, partners or suppliers relating directly or indirectly to our products, services or technologies;</w:t>
            </w:r>
          </w:p>
        </w:tc>
      </w:tr>
    </w:tbl>
    <w:p>
      <w:pPr>
        <w:pStyle w:val="TextBody"/>
        <w:bidi w:val="0"/>
        <w:spacing w:before="0" w:after="0"/>
        <w:ind w:left="0" w:right="0" w:hanging="0"/>
        <w:jc w:val="left"/>
        <w:rPr/>
      </w:pPr>
      <w:r>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of technological innovations by us or our competitors;</w:t>
            </w:r>
          </w:p>
        </w:tc>
      </w:tr>
    </w:tbl>
    <w:p>
      <w:pPr>
        <w:pStyle w:val="TextBody"/>
        <w:bidi w:val="0"/>
        <w:spacing w:before="0" w:after="0"/>
        <w:ind w:left="0" w:right="0" w:hanging="0"/>
        <w:jc w:val="left"/>
        <w:rPr/>
      </w:pPr>
      <w:r>
        <w:rPr/>
        <w:t> </w:t>
      </w:r>
    </w:p>
    <w:tbl>
      <w:tblPr>
        <w:tblW w:w="7615" w:type="dxa"/>
        <w:jc w:val="left"/>
        <w:tblInd w:w="0" w:type="dxa"/>
        <w:tblLayout w:type="fixed"/>
        <w:tblCellMar>
          <w:top w:w="0" w:type="dxa"/>
          <w:left w:w="0" w:type="dxa"/>
          <w:bottom w:w="0" w:type="dxa"/>
          <w:right w:w="0" w:type="dxa"/>
        </w:tblCellMar>
      </w:tblPr>
      <w:tblGrid>
        <w:gridCol w:w="60"/>
        <w:gridCol w:w="170"/>
        <w:gridCol w:w="7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laws or regulations applicable to the CellFX System or to our planned products;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by us or our competitors of significant acquisitions, strategic partnerships, joint ventures, capital commitments, or achievement of significant milestones;</w:t>
            </w:r>
          </w:p>
        </w:tc>
      </w:tr>
    </w:tbl>
    <w:p>
      <w:pPr>
        <w:pStyle w:val="TextBody"/>
        <w:bidi w:val="0"/>
        <w:spacing w:before="0" w:after="0"/>
        <w:ind w:left="0" w:right="0" w:hanging="0"/>
        <w:jc w:val="left"/>
        <w:rPr/>
      </w:pPr>
      <w:r>
        <w:rPr/>
        <w:t> </w:t>
      </w:r>
    </w:p>
    <w:tbl>
      <w:tblPr>
        <w:tblW w:w="3565" w:type="dxa"/>
        <w:jc w:val="left"/>
        <w:tblInd w:w="0" w:type="dxa"/>
        <w:tblLayout w:type="fixed"/>
        <w:tblCellMar>
          <w:top w:w="0" w:type="dxa"/>
          <w:left w:w="0" w:type="dxa"/>
          <w:bottom w:w="0" w:type="dxa"/>
          <w:right w:w="0" w:type="dxa"/>
        </w:tblCellMar>
      </w:tblPr>
      <w:tblGrid>
        <w:gridCol w:w="60"/>
        <w:gridCol w:w="170"/>
        <w:gridCol w:w="33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or departures of key personnel;</w:t>
            </w:r>
          </w:p>
        </w:tc>
      </w:tr>
    </w:tbl>
    <w:p>
      <w:pPr>
        <w:pStyle w:val="TextBody"/>
        <w:bidi w:val="0"/>
        <w:spacing w:before="0" w:after="0"/>
        <w:ind w:left="0" w:right="0" w:hanging="0"/>
        <w:jc w:val="left"/>
        <w:rPr/>
      </w:pPr>
      <w:r>
        <w:rPr/>
        <w:t> </w:t>
      </w:r>
    </w:p>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competition from existing products or new products that may emerge;</w:t>
            </w:r>
          </w:p>
        </w:tc>
      </w:tr>
    </w:tbl>
    <w:p>
      <w:pPr>
        <w:pStyle w:val="TextBody"/>
        <w:bidi w:val="0"/>
        <w:spacing w:before="0" w:after="0"/>
        <w:ind w:left="0" w:right="0" w:hanging="0"/>
        <w:jc w:val="left"/>
        <w:rPr/>
      </w:pPr>
      <w:r>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the valuation of companies perceived by investors to be comparable to us;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disputes or other developments related to proprietary rights, including patents, litigation matters or our ability to obtain intellectual property protection for our technologies;</w:t>
            </w:r>
          </w:p>
        </w:tc>
      </w:tr>
    </w:tbl>
    <w:p>
      <w:pPr>
        <w:pStyle w:val="TextBody"/>
        <w:bidi w:val="0"/>
        <w:spacing w:before="0" w:after="0"/>
        <w:ind w:left="0" w:right="0" w:hanging="0"/>
        <w:jc w:val="left"/>
        <w:rPr/>
      </w:pPr>
      <w:r>
        <w:rPr/>
        <w:t> </w:t>
      </w:r>
    </w:p>
    <w:tbl>
      <w:tblPr>
        <w:tblW w:w="3100" w:type="dxa"/>
        <w:jc w:val="left"/>
        <w:tblInd w:w="0" w:type="dxa"/>
        <w:tblLayout w:type="fixed"/>
        <w:tblCellMar>
          <w:top w:w="0" w:type="dxa"/>
          <w:left w:w="0" w:type="dxa"/>
          <w:bottom w:w="0" w:type="dxa"/>
          <w:right w:w="0" w:type="dxa"/>
        </w:tblCellMar>
      </w:tblPr>
      <w:tblGrid>
        <w:gridCol w:w="60"/>
        <w:gridCol w:w="170"/>
        <w:gridCol w:w="28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actual or alleged security breaches;</w:t>
            </w:r>
          </w:p>
        </w:tc>
      </w:tr>
    </w:tbl>
    <w:p>
      <w:pPr>
        <w:pStyle w:val="TextBody"/>
        <w:bidi w:val="0"/>
        <w:spacing w:before="0" w:after="0"/>
        <w:ind w:left="0" w:right="0" w:hanging="0"/>
        <w:jc w:val="left"/>
        <w:rPr/>
      </w:pPr>
      <w:r>
        <w:rPr/>
        <w:t> </w:t>
      </w:r>
    </w:p>
    <w:tbl>
      <w:tblPr>
        <w:tblW w:w="5350" w:type="dxa"/>
        <w:jc w:val="left"/>
        <w:tblInd w:w="0" w:type="dxa"/>
        <w:tblLayout w:type="fixed"/>
        <w:tblCellMar>
          <w:top w:w="0" w:type="dxa"/>
          <w:left w:w="0" w:type="dxa"/>
          <w:bottom w:w="0" w:type="dxa"/>
          <w:right w:w="0" w:type="dxa"/>
        </w:tblCellMar>
      </w:tblPr>
      <w:tblGrid>
        <w:gridCol w:w="60"/>
        <w:gridCol w:w="170"/>
        <w:gridCol w:w="51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announcements or expectations of additional financing efforts;</w:t>
            </w:r>
          </w:p>
        </w:tc>
      </w:tr>
    </w:tbl>
    <w:p>
      <w:pPr>
        <w:pStyle w:val="TextBody"/>
        <w:bidi w:val="0"/>
        <w:spacing w:before="0" w:after="0"/>
        <w:ind w:left="0" w:right="0" w:hanging="0"/>
        <w:jc w:val="left"/>
        <w:rPr/>
      </w:pPr>
      <w:r>
        <w:rPr/>
        <w:t> </w:t>
      </w:r>
    </w:p>
    <w:tbl>
      <w:tblPr>
        <w:tblW w:w="4540" w:type="dxa"/>
        <w:jc w:val="left"/>
        <w:tblInd w:w="0" w:type="dxa"/>
        <w:tblLayout w:type="fixed"/>
        <w:tblCellMar>
          <w:top w:w="0" w:type="dxa"/>
          <w:left w:w="0" w:type="dxa"/>
          <w:bottom w:w="0" w:type="dxa"/>
          <w:right w:w="0" w:type="dxa"/>
        </w:tblCellMar>
      </w:tblPr>
      <w:tblGrid>
        <w:gridCol w:w="60"/>
        <w:gridCol w:w="170"/>
        <w:gridCol w:w="43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3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sales of our common stock by us or our stockholders;</w:t>
            </w:r>
          </w:p>
        </w:tc>
      </w:tr>
    </w:tbl>
    <w:p>
      <w:pPr>
        <w:pStyle w:val="TextBody"/>
        <w:bidi w:val="0"/>
        <w:spacing w:before="0" w:after="0"/>
        <w:ind w:left="0" w:right="0" w:hanging="0"/>
        <w:jc w:val="left"/>
        <w:rPr/>
      </w:pPr>
      <w:r>
        <w:rPr/>
        <w:t> </w:t>
      </w:r>
    </w:p>
    <w:tbl>
      <w:tblPr>
        <w:tblW w:w="8335" w:type="dxa"/>
        <w:jc w:val="left"/>
        <w:tblInd w:w="0" w:type="dxa"/>
        <w:tblLayout w:type="fixed"/>
        <w:tblCellMar>
          <w:top w:w="0" w:type="dxa"/>
          <w:left w:w="0" w:type="dxa"/>
          <w:bottom w:w="0" w:type="dxa"/>
          <w:right w:w="0" w:type="dxa"/>
        </w:tblCellMar>
      </w:tblPr>
      <w:tblGrid>
        <w:gridCol w:w="60"/>
        <w:gridCol w:w="170"/>
        <w:gridCol w:w="81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stock price and volume fluctuations attributable to inconsistent trading volume levels of our shares;</w:t>
            </w:r>
          </w:p>
        </w:tc>
      </w:tr>
    </w:tbl>
    <w:p>
      <w:pPr>
        <w:pStyle w:val="TextBody"/>
        <w:bidi w:val="0"/>
        <w:spacing w:before="0" w:after="0"/>
        <w:ind w:left="0" w:right="0" w:hanging="0"/>
        <w:jc w:val="left"/>
        <w:rPr/>
      </w:pPr>
      <w:r>
        <w:rPr/>
        <w:t> </w:t>
      </w:r>
    </w:p>
    <w:tbl>
      <w:tblPr>
        <w:tblW w:w="5905" w:type="dxa"/>
        <w:jc w:val="left"/>
        <w:tblInd w:w="0" w:type="dxa"/>
        <w:tblLayout w:type="fixed"/>
        <w:tblCellMar>
          <w:top w:w="0" w:type="dxa"/>
          <w:left w:w="0" w:type="dxa"/>
          <w:bottom w:w="0" w:type="dxa"/>
          <w:right w:w="0" w:type="dxa"/>
        </w:tblCellMar>
      </w:tblPr>
      <w:tblGrid>
        <w:gridCol w:w="60"/>
        <w:gridCol w:w="170"/>
        <w:gridCol w:w="56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6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reports, guidance and ratings issued by securities or industry analysts;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overall conditions in our industry and market including the negative impact of COVID-19 on the global economy and markets; and</w:t>
            </w:r>
          </w:p>
        </w:tc>
      </w:tr>
    </w:tbl>
    <w:p>
      <w:pPr>
        <w:pStyle w:val="TextBody"/>
        <w:bidi w:val="0"/>
        <w:spacing w:before="0" w:after="0"/>
        <w:ind w:left="0" w:right="0" w:hanging="0"/>
        <w:jc w:val="left"/>
        <w:rPr/>
      </w:pPr>
      <w:r>
        <w:rPr/>
        <w:t> </w:t>
      </w:r>
    </w:p>
    <w:tbl>
      <w:tblPr>
        <w:tblW w:w="3595" w:type="dxa"/>
        <w:jc w:val="left"/>
        <w:tblInd w:w="0" w:type="dxa"/>
        <w:tblLayout w:type="fixed"/>
        <w:tblCellMar>
          <w:top w:w="0" w:type="dxa"/>
          <w:left w:w="0" w:type="dxa"/>
          <w:bottom w:w="0" w:type="dxa"/>
          <w:right w:w="0" w:type="dxa"/>
        </w:tblCellMar>
      </w:tblPr>
      <w:tblGrid>
        <w:gridCol w:w="60"/>
        <w:gridCol w:w="170"/>
        <w:gridCol w:w="33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3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and market conditions.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Any of the above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including ours.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The high volatility of our stock price, the composition of our Board and governance practices, including our Executive Chairman’s repeated interest in acquiring additional shares in our Company through related party transactions, as well as countless other factors not identified above, increase the risk of securities litigation or shareholder derivative litigation against the Company and its Directors. Securities litigation against us could result in substantial costs and divert our management’s attention from other business concerns and adversely impact our ability to raise capital to fund our operations, which could seriously harm our business.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Sales or purchases of shares of our common stock may adversely affect the market for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 In particular, Robert W. Duggan, our majority stockholder and Executive Chairman, is not subject to any contractual restrictions with us on his ability to sell or transfer the shares of our common stock that he holds, and these sales or transfers could create substantial declines in the price of our securities or, if these sales or transfers were made to a single buyer or group of buyers, could contribute to a transfer of control of our Company to a third party. Many of Mr. Duggan’s shares in the Company have been registered for resale pursuant to an effective registration statement on Form S-3. Sales by Mr. Duggan of a substantial number of shares, or the expectation of such sales, could cause a significant reduction in the market price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we maintain a shelf registration statement on Form S-3 pursuant to which we may, from time to time, sell up to an aggregate of $212 million of our common stock, preferred stock, depositary shares, warrants, debt securities, or units. We may also issue shares of common stock or securities convertible into, exchangeable or exercisable for our common stock from time to time in connection with financings, acquisitions, investments, or otherwise. Any such issuances would result in dilution to some or all of our existing stockholders and could cause our stock price to fall. We may also sell shares or other securities at a price per share that is less than the price per share paid by existing investors, and investors purchasing shares or other securities in the future could have rights superior to existing stockholders.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do not know whether an active, liquid and orderly trading market will exist for our common stock and as a result it may be difficult for you to sell your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Prior to our initial public offering in May 2016, there was no public market for our common stock. Although our common stock is listed on The Nasdaq Capital Market (“Nasdaq”), the market for our shares has demonstrated varying levels of trading activity. As a result of these and other factors, you may not be able to sell your common stock quickly,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Concentration of ownership by our principal stockholder limits the ability of others to influence the outcome of director elections and other transactions requiring stockholder approval, or create the potential for conflicts of interest.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majority percentage of our outstanding stock is held by Robert W. Duggan, Executive Chairman of our Board, who beneficially owns approximately 67% of our common stock outstanding as of the date of this Quarterly Report. As a result, Mr. Duggan has control over corporate actions requiring stockholder approval, including the following actions:</w:t>
      </w:r>
    </w:p>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or defeat the election of our directors;</w:t>
            </w:r>
          </w:p>
        </w:tc>
      </w:tr>
    </w:tbl>
    <w:p>
      <w:pPr>
        <w:pStyle w:val="TextBody"/>
        <w:bidi w:val="0"/>
        <w:spacing w:before="0" w:after="0"/>
        <w:ind w:left="0" w:right="0" w:hanging="0"/>
        <w:jc w:val="left"/>
        <w:rPr/>
      </w:pPr>
      <w:r>
        <w:rPr/>
        <w:t> </w:t>
      </w:r>
    </w:p>
    <w:tbl>
      <w:tblPr>
        <w:tblW w:w="6490" w:type="dxa"/>
        <w:jc w:val="left"/>
        <w:tblInd w:w="0" w:type="dxa"/>
        <w:tblLayout w:type="fixed"/>
        <w:tblCellMar>
          <w:top w:w="0" w:type="dxa"/>
          <w:left w:w="0" w:type="dxa"/>
          <w:bottom w:w="0" w:type="dxa"/>
          <w:right w:w="0" w:type="dxa"/>
        </w:tblCellMar>
      </w:tblPr>
      <w:tblGrid>
        <w:gridCol w:w="60"/>
        <w:gridCol w:w="170"/>
        <w:gridCol w:w="62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amend or prevent amendment of our certificate of incorporation or bylaws;</w:t>
            </w:r>
          </w:p>
        </w:tc>
      </w:tr>
    </w:tbl>
    <w:p>
      <w:pPr>
        <w:pStyle w:val="TextBody"/>
        <w:bidi w:val="0"/>
        <w:spacing w:before="0" w:after="0"/>
        <w:ind w:left="0" w:right="0" w:hanging="0"/>
        <w:jc w:val="left"/>
        <w:rPr/>
      </w:pPr>
      <w:r>
        <w:rPr/>
        <w:t> </w:t>
      </w:r>
    </w:p>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effect or prevent a merger, sale of assets or other corporate transaction; and</w:t>
            </w:r>
          </w:p>
        </w:tc>
      </w:tr>
    </w:tbl>
    <w:p>
      <w:pPr>
        <w:pStyle w:val="TextBody"/>
        <w:bidi w:val="0"/>
        <w:spacing w:before="0" w:after="0"/>
        <w:ind w:left="0" w:right="0" w:hanging="0"/>
        <w:jc w:val="left"/>
        <w:rPr/>
      </w:pPr>
      <w:r>
        <w:rPr/>
        <w:t> </w:t>
      </w:r>
    </w:p>
    <w:tbl>
      <w:tblPr>
        <w:tblW w:w="6850" w:type="dxa"/>
        <w:jc w:val="left"/>
        <w:tblInd w:w="0" w:type="dxa"/>
        <w:tblLayout w:type="fixed"/>
        <w:tblCellMar>
          <w:top w:w="0" w:type="dxa"/>
          <w:left w:w="0" w:type="dxa"/>
          <w:bottom w:w="0" w:type="dxa"/>
          <w:right w:w="0" w:type="dxa"/>
        </w:tblCellMar>
      </w:tblPr>
      <w:tblGrid>
        <w:gridCol w:w="60"/>
        <w:gridCol w:w="170"/>
        <w:gridCol w:w="6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 control the outcome of any other matter submitted to our stockholders for vote.</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Mr. Duggan’s controlling interest in the Company also creates the potential for conflicts of interest which be viewed unfavorably by minority stockholders, thereby hurting our stock price. For example, in November 2021, we engaged outside legal counsel to represent the Company even though the same legal counsel currently represents Mr. Duggan personally in other matters. This legal counsel represented Mr. Duggan in certain related party transactions described herein and could represent both the Company and Mr. Duggan in future related party transactions. Three of our directors, including Mr. Duggan, are executives at Summit Therapeutics Inc., another company in which Mr. Duggan holds a controlling equity interest. There are no family relationships among any of our directors or executive officers, however, Mr. Duggan and Dr. Zanganeh have a personal relationship with each other.</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Additionally, because Mr. Duggan owns a majority of our outstanding shares, we are considered to be a “controlled” company under applicable Nasdaq rules. As such, we may voluntarily elect not to comply with certain of Nasdaq’s corporate governance requirements, such as certain rules concerning the setting of executive compensation and the appointment of directors. Accordingly, during the period we remain a controlled company and during any transition period following a time when we are no longer a controlled company, other stockholders may not have the same protections afforded to stockholders of companies that are subject to all of the corporate governance requirements of the Nasdaq Stock Market. As a member of our Board, Mr. Duggan will adhere to the corporate governance standards adopted by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Even though we have not yet elected to take advantage of any of these corporate governance exemptions permitted by Nasdaq, Mr. Duggan’s stock ownership and our status as a “controlled” company may discourage a potential acquirer from making a tender offer or otherwise attempting to obtain control of our Company, which in turn could reduce our stock price or prevent our stockholders from realizing a premium over our stock price.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larger percentage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Management currently beneficially holds a small percentage of our common stock. Other than their positions as directors or officers, and the restriction on the stockholders being able to call a special meeting limited to holders of 15% or more of the outstanding shares of common stock, our management will not be able to greatly influence corporate actions requiring stockholder approval.</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Robert W. Duggan</w:t>
      </w:r>
      <w:r>
        <w:rPr>
          <w:rFonts w:ascii="Times New Roman" w:hAnsi="Times New Roman"/>
          <w:caps w:val="false"/>
          <w:smallCaps w:val="false"/>
          <w:sz w:val="20"/>
        </w:rPr>
        <w:t>’</w:t>
      </w:r>
      <w:r>
        <w:rPr>
          <w:rFonts w:ascii="Times New Roman" w:hAnsi="Times New Roman"/>
          <w:b/>
          <w:i/>
          <w:caps w:val="false"/>
          <w:smallCaps w:val="false"/>
          <w:sz w:val="20"/>
        </w:rPr>
        <w:t>s controlling ownership position may impact our stock price and may deter or prevent efforts by others to acquire us, which could prevent our stockholders from realizing a control premium.</w:t>
      </w:r>
      <w:r>
        <w:rPr>
          <w:rFonts w:ascii="Times New Roman" w:hAnsi="Times New Roman"/>
          <w:caps w:val="false"/>
          <w:smallCaps w:val="false"/>
          <w:sz w:val="20"/>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Robert W. Duggan is our Executive Chairman, and he beneficially owns approximately 67% of our common stock outstanding as of the date of this Quarterly Report. In addition, Mr. Duggan is not subject to any contractual restrictions on his ability to acquire additional shares of common stock, and any such purchases, including purchases of equity securities in connection with any rights offerings or any alternative equity or equity-linked offering that we may conduct, could result in his acquisition of a majority of our common stock. As a result of Mr. Duggan’s controlling ownership and position as Executive Chairman, others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 In addition, public speculation regarding Mr. Duggan, as well as our relationship with Mr. Duggan, could cause our stock price to fluctuate.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have incurred and will continue to incur costs as a result of operating as a public company and our management has been and will be required to devote substantial time to public company compliance initiatives.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Nasdaq. The SEC and other regulators have continued to adopt new rules and regulations and make additional changes to existing regulations that require our compliance.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are a</w:t>
      </w:r>
      <w:r>
        <w:rPr>
          <w:rFonts w:ascii="Times New Roman" w:hAnsi="Times New Roman"/>
          <w:caps w:val="false"/>
          <w:smallCaps w:val="false"/>
          <w:sz w:val="20"/>
        </w:rPr>
        <w:t> “</w:t>
      </w:r>
      <w:r>
        <w:rPr>
          <w:rFonts w:ascii="Times New Roman" w:hAnsi="Times New Roman"/>
          <w:b/>
          <w:i/>
          <w:caps w:val="false"/>
          <w:smallCaps w:val="false"/>
          <w:sz w:val="20"/>
        </w:rPr>
        <w:t>smaller reporting company</w:t>
      </w:r>
      <w:r>
        <w:rPr>
          <w:rFonts w:ascii="Times New Roman" w:hAnsi="Times New Roman"/>
          <w:caps w:val="false"/>
          <w:smallCaps w:val="false"/>
          <w:sz w:val="20"/>
        </w:rPr>
        <w:t>”</w:t>
      </w:r>
      <w:r>
        <w:rPr>
          <w:rFonts w:ascii="Times New Roman" w:hAnsi="Times New Roman"/>
          <w:b/>
          <w:i/>
          <w:caps w:val="false"/>
          <w:smallCaps w:val="false"/>
          <w:sz w:val="20"/>
        </w:rPr>
        <w:t>; we cannot be certain if the applicable reduced disclosure requirements will make our common stock less attractive to investors.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Through the end of 2021, we were an “emerging growth company,” as defined in the JOBS Act, and we took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While we are no longer an emerging growth company, we still qualify as a “smaller reporting company,” as defined in the Exchange Act, and so long as we remain a smaller reporting company, we benefit from and may take advantage of scaled disclosure requirements.  We cannot know if investors find our common stock less attractive because we may rely on these exemptions. If some investors find our common stock less attractive as a result, there may be a less active trading market for our common stock and our stock price may be more volatile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securities or industry analysts do not publish research or publish inaccurate or unfavorable research about our business, our market price and trading volume could decline.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trading market for our common stock will depend on the research and reports that securities or industry analysts publish about us or our business. We do not have any control over these analysts. We currently have only limited analyst coverage of us and there can be no assurance that analysts will continue to cover us or provide favorable coverage. If one or more of the analysts who cover us downgrade our stock or change their opinion of our stock, our market price would likely decline. If analysts cease coverage of our Company or fail to regularly publish reports on us, we could lose visibility in the financial markets, which could cause our share price or trading volume to decline.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b/>
          <w:i/>
          <w:caps w:val="false"/>
          <w:smallCaps w:val="false"/>
          <w:sz w:val="20"/>
        </w:rPr>
        <w:t>We have not paid dividends in the past and have no plans to pay dividends</w:t>
      </w:r>
      <w:r>
        <w:rPr>
          <w:rFonts w:ascii="Times New Roman" w:hAnsi="Times New Roman"/>
          <w:caps w:val="false"/>
          <w:smallCaps w:val="false"/>
          <w:sz w:val="20"/>
        </w:rPr>
        <w:t>.</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For the foreseeable future, we plan to reinvest all of our earnings, to the extent we have earnings, into our product research and development efforts, so we have no plans to pay any cash dividends with respect to our securities. We cannot assure you that we would, at any time, generate sufficient surplus cash that would be available for distribution to the holders of our common stock as a dividend. Therefore, you should not expect to receive cash dividends on our outstanding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Anti-takeover provisions in our charter documents and under Delaware law could make an acquisition of us, which may be beneficial to our stockholders, more difficult and may prevent attempts by our stockholders to replace or remove our current management and limit the market price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Certain anti-takeover provisions of Delaware law and provisions in our certificate of incorporation and bylaws may have the effect of delaying or preventing a change of control or changes in our management. These provisions could also make it difficult for stockholders to elect directors that are not nominated by the current members of our board of directors or take other corporate actions, including effecting changes in our management. Our certificate of incorporation and bylaws include provisions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authorize our board of directors to issue, without further action by the stockholders, up to 50,000,000 shares of preferred stock and up to approximately 500,000,000 shares of authorized but unissued shares of common stock;</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that any action to be taken by our stockholders be effected at a duly called annual or special meeting and not by written consent;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specify that special meetings of our stockholders can be called only by our board of directors, the chairman of our board of directors, any of our officers, or any stockholder holding at least fifteen percent (15%) of the voting power of the capital stock issued and outstanding and entitled to vote;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establish an advance notice procedure for stockholder approvals to be brought before an annual meeting of our stockholders, including proposed nominations of persons for election to our board of directors;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require the affirmative vote of holders of at least 66 2/3% of the voting power of all the then outstanding shares of our voting stock, voting together as a single class, to amend provisions of our certificate of incorporation or our bylaws;</w:t>
            </w:r>
          </w:p>
        </w:tc>
      </w:tr>
    </w:tbl>
    <w:p>
      <w:pPr>
        <w:pStyle w:val="TextBody"/>
        <w:bidi w:val="0"/>
        <w:spacing w:before="0" w:after="0"/>
        <w:ind w:left="0" w:right="0" w:hanging="0"/>
        <w:jc w:val="left"/>
        <w:rPr/>
      </w:pPr>
      <w:r>
        <w:rPr/>
        <w:t> </w:t>
      </w:r>
    </w:p>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give our board of directors the ability to amend our bylaws by majority vote;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provide that vacancies on our board of directors may be filled only by a majority of directors then in office, even though less than a quorum.</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Furthermore, our bylaws provide that unless we consent in writing to the selection of an alternative forum, the Court of Chancery of the State of Delaware shall, to the fullest extent permitted by law, be the sole and exclusive forum for (a) any derivative action or proceeding brought on behalf of us, (b) any action asserting a claim of breach of fiduciary duty owed by any director, officer or other employee of us to us or our stockholders, (c) any action asserting a claim arising pursuant to any provision of the Delaware General Corporation Law, our certificate of incorporation or our bylaws, or (d) any action asserting a claim governed by the internal affairs doctrine, in each case subject to the Court of Chancery having personal jurisdiction over the indispensable parties named as defendants therein; provided that, if and only if the Court of Chancery dismisses any such action for lack of subject matter jurisdiction, such action may be brought in another state or federal court sitting in Delaware. Our bylaws further provide that the federal district courts of the United States of America will be the exclusive forum for resolving any complaint asserting a cause of action arising under the Securities Act. Any person or entity purchasing or otherwise acquiring any interest in any of our securities shall be deemed to have notice of and consented to these provisions. These exclusive-forum provisions may discourage lawsuits against us or our directors, officers, and employees. In addition, because we are incorporated in Delaware, we are governed by the provisions of Section 203 of the Delaware General Corporation Law, which limits the ability of stockholders owning in excess of 15% of our outstanding voting stock to engage in certain types of transactions with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Unfavorable global economic or political conditions could adversely affect our business, financial condition or results of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results of operations could be adversely affected by general conditions in the global economy and in the global financial markets, including the negative impact of COVID-19 on the global economy and markets. A global financial crisis or a banking crisis or a global or regional political disruption could cause extreme volatility in the capital and credit markets, as has recently been the case due to COVID-19. The Company places its cash equivalents and investments with high credit quality financial institutions and, by policy, limits the amounts invested with any one financial institution or issuer and restricts the Company’s investments to U.S. treasuries and money market instruments. The Company does not bank with Silicon Valley Bank, however in general the Company’s deposits held with banks may exceed the amount of insurance provided on such deposits. Despite our low-risk investment policies, a severe or prolonged economic downturn or political disruption could result in a variety of risks to our business, including our ability to raise additional capital when needed on acceptable terms, if at all. A weak or declining economy, banking crisis or political disruption could also strain our manufacturers or suppliers, possibly resulting in supply disruption, or cause our customers to delay making payments for our products. Any of the foregoing could harm our business and we cannot anticipate all of the ways in which the political or economic climate and financial market conditions could adversely impact our business.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If we experience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U.S.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The identification of one or more material weaknesses would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 “small reporting company.”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unqualified opinion as to the effectiveness of our internal control over financial reporting, investors may lose confidence in the accuracy and completeness of our financial reports and the market price of our common stock could be adversely affected, and we could become subject to litigation risk and to investigations by Nasdaq, the stock exchange on which our securities are listed, by the SEC, and by other regulatory authorities, which could require additional financial and management resources.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We may become involved in litigation that may materially adversely affect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From time to time, we may be involved in a variety of claims, lawsuits, investigations, or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b/>
          <w:i/>
          <w:caps w:val="false"/>
          <w:smallCaps w:val="false"/>
          <w:sz w:val="20"/>
        </w:rPr>
      </w:pPr>
      <w:r>
        <w:rPr>
          <w:rFonts w:ascii="Times New Roman" w:hAnsi="Times New Roman"/>
          <w:b/>
          <w:i/>
          <w:caps w:val="false"/>
          <w:smallCaps w:val="false"/>
          <w:sz w:val="20"/>
        </w:rPr>
        <w:t>Our facilities in California are located near known earthquake faults, and the occurrence of an earthquake or other catastrophic disaster could cause damage to our facilities and equipment, which could require us to cease or curtail operations.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facilities in Hayward, California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make it difficult for us to recover from a natural disaster. The insurance we maintain may not be adequate to cover our losses resulting from disasters or other business interruptions. Accordingly, an earthquake or other disaster could materially and adversely harm our ability to conduct business.</w:t>
      </w:r>
    </w:p>
    <w:p>
      <w:pPr>
        <w:pStyle w:val="TextBody"/>
        <w:bidi w:val="0"/>
        <w:spacing w:before="0" w:after="0"/>
        <w:ind w:left="0" w:right="0" w:firstLine="50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unregistered"/>
      <w:bookmarkEnd w:id="16"/>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During the three-month period ended June 30, 2023, we completed no unregistered sale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default"/>
      <w:bookmarkEnd w:id="17"/>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Default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mine"/>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otherinfo"/>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exhibi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w:t>
      </w:r>
      <w:r>
        <w:rPr>
          <w:rFonts w:ascii="Times New Roman" w:hAnsi="Times New Roman"/>
          <w:caps w:val="false"/>
          <w:smallCaps w:val="false"/>
          <w:sz w:val="20"/>
        </w:rPr>
        <w:t xml:space="preserve"> </w:t>
      </w:r>
      <w:r>
        <w:rPr>
          <w:rFonts w:ascii="Times New Roman" w:hAnsi="Times New Roman"/>
          <w:b/>
          <w:caps w:val="false"/>
          <w:smallCaps w:val="false"/>
          <w:sz w:val="20"/>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63"/>
        <w:gridCol w:w="60"/>
        <w:gridCol w:w="9382"/>
      </w:tblGrid>
      <w:tr>
        <w:trPr/>
        <w:tc>
          <w:tcPr>
            <w:tcW w:w="763"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Exhibit </w:t>
            </w:r>
            <w:r>
              <w:rPr>
                <w:rFonts w:ascii="Times New Roman" w:hAnsi="Times New Roman"/>
                <w:caps w:val="false"/>
                <w:smallCaps w:val="false"/>
                <w:sz w:val="20"/>
              </w:rPr>
              <w:br/>
            </w:r>
            <w:r>
              <w:rPr>
                <w:rFonts w:ascii="Times New Roman" w:hAnsi="Times New Roman"/>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382"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Exhibit Description</w:t>
            </w:r>
            <w:r>
              <w:rPr>
                <w:rFonts w:ascii="Times New Roman" w:hAnsi="Times New Roman"/>
                <w:caps w:val="false"/>
                <w:smallCaps w:val="false"/>
                <w:sz w:val="20"/>
              </w:rPr>
              <w:t> </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pPr>
            <w:hyperlink w:anchor="ex_525024.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pPr>
            <w:hyperlink w:anchor="ex_525025.htm">
              <w:r>
                <w:rPr>
                  <w:rStyle w:val="InternetLink"/>
                  <w:rFonts w:ascii="Times New Roman" w:hAnsi="Times New Roman"/>
                  <w:caps w:val="false"/>
                  <w:smallCaps w:val="false"/>
                  <w:sz w:val="20"/>
                </w:rPr>
                <w:t>Certification of the Chief Executive Officer pursuant to Section 906 of the Sarbanes-Oxley Act of 2002 (18 U.S.C. Section 1350).</w:t>
              </w:r>
            </w:hyperlink>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763"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82"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The certification attached as Exhibit 32.1 that accompanies this Quarterly Report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Quarterly Report, irrespective of any general incorporation language contained in such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 w:hAnsi="Times New Roman"/>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1934, the registrant has duly caused this report to be signed on its behalf by the undersigned thereunto duly authorized.         </w:t>
      </w:r>
    </w:p>
    <w:p>
      <w:pPr>
        <w:pStyle w:val="TextBody"/>
        <w:bidi w:val="0"/>
        <w:spacing w:before="0" w:after="0"/>
        <w:ind w:left="0" w:right="0" w:hanging="0"/>
        <w:jc w:val="left"/>
        <w:rPr>
          <w:caps w:val="false"/>
          <w:smallCaps w:val="false"/>
        </w:rPr>
      </w:pPr>
      <w:r>
        <w:rPr>
          <w:caps w:val="false"/>
          <w:smallCaps w:val="false"/>
        </w:rPr>
        <w:t> </w:t>
      </w:r>
    </w:p>
    <w:tbl>
      <w:tblPr>
        <w:tblW w:w="6645" w:type="dxa"/>
        <w:jc w:val="left"/>
        <w:tblInd w:w="0" w:type="dxa"/>
        <w:tblLayout w:type="fixed"/>
        <w:tblCellMar>
          <w:top w:w="0" w:type="dxa"/>
          <w:left w:w="0" w:type="dxa"/>
          <w:bottom w:w="0" w:type="dxa"/>
          <w:right w:w="0" w:type="dxa"/>
        </w:tblCellMar>
      </w:tblPr>
      <w:tblGrid>
        <w:gridCol w:w="1850"/>
        <w:gridCol w:w="320"/>
        <w:gridCol w:w="4415"/>
        <w:gridCol w:w="60"/>
      </w:tblGrid>
      <w:tr>
        <w:trPr/>
        <w:tc>
          <w:tcPr>
            <w:tcW w:w="1850" w:type="dxa"/>
            <w:tcBorders/>
            <w:vAlign w:val="center"/>
          </w:tcPr>
          <w:p>
            <w:pPr>
              <w:pStyle w:val="TableContents"/>
              <w:bidi w:val="0"/>
              <w:spacing w:before="0" w:after="283"/>
              <w:jc w:val="left"/>
              <w:rPr/>
            </w:pPr>
            <w:r>
              <w:rPr/>
              <w:t> </w:t>
            </w:r>
          </w:p>
        </w:tc>
        <w:tc>
          <w:tcPr>
            <w:tcW w:w="4735"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PULSE</w:t>
            </w:r>
            <w:r>
              <w:rPr>
                <w:rFonts w:ascii="Times New Roman" w:hAnsi="Times New Roman"/>
                <w:caps w:val="false"/>
                <w:smallCaps w:val="false"/>
                <w:sz w:val="20"/>
              </w:rPr>
              <w:t> </w:t>
            </w:r>
            <w:r>
              <w:rPr>
                <w:rFonts w:ascii="Times New Roman" w:hAnsi="Times New Roman"/>
                <w:b/>
                <w:caps w:val="false"/>
                <w:smallCaps w:val="false"/>
                <w:sz w:val="20"/>
              </w:rPr>
              <w:t>BIOSCIENCES,</w:t>
            </w:r>
            <w:r>
              <w:rPr>
                <w:rFonts w:ascii="Times New Roman" w:hAnsi="Times New Roman"/>
                <w:caps w:val="false"/>
                <w:smallCaps w:val="false"/>
                <w:sz w:val="20"/>
              </w:rPr>
              <w:t> </w:t>
            </w:r>
            <w:r>
              <w:rPr>
                <w:rFonts w:ascii="Times New Roman" w:hAnsi="Times New Roman"/>
                <w:b/>
                <w:caps w:val="false"/>
                <w:smallCaps w:val="false"/>
                <w:sz w:val="20"/>
              </w:rPr>
              <w:t>INC.</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10,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4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President and Chief</w:t>
            </w:r>
            <w:r>
              <w:rPr>
                <w:rFonts w:ascii="Times New Roman" w:hAnsi="Times New Roman"/>
                <w:caps w:val="false"/>
                <w:smallCaps w:val="false"/>
                <w:sz w:val="20"/>
              </w:rPr>
              <w:t> </w:t>
            </w:r>
            <w:r>
              <w:rPr>
                <w:rFonts w:ascii="Times New Roman" w:hAnsi="Times New Roman"/>
                <w:b/>
                <w:caps w:val="false"/>
                <w:smallCaps w:val="false"/>
                <w:sz w:val="20"/>
              </w:rPr>
              <w:t>Executive</w:t>
            </w:r>
            <w:r>
              <w:rPr>
                <w:rFonts w:ascii="Times New Roman" w:hAnsi="Times New Roman"/>
                <w:caps w:val="false"/>
                <w:smallCaps w:val="false"/>
                <w:sz w:val="20"/>
              </w:rPr>
              <w:t> </w:t>
            </w:r>
            <w:r>
              <w:rPr>
                <w:rFonts w:ascii="Times New Roman" w:hAnsi="Times New Roman"/>
                <w:b/>
                <w:caps w:val="false"/>
                <w:smallCaps w:val="false"/>
                <w:sz w:val="20"/>
              </w:rPr>
              <w:t>Officer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 xml:space="preserve">63 </w:t>
      </w:r>
    </w:p>
    <w:p>
      <w:pPr>
        <w:pStyle w:val="TextBody"/>
        <w:bidi w:val="0"/>
        <w:spacing w:before="0" w:after="0"/>
        <w:ind w:left="0" w:right="0" w:hanging="0"/>
        <w:jc w:val="right"/>
        <w:rPr>
          <w:rFonts w:ascii="Times New Roman" w:hAnsi="Times New Roman"/>
          <w:b/>
          <w:caps w:val="false"/>
          <w:smallCaps w:val="false"/>
          <w:sz w:val="20"/>
        </w:rPr>
      </w:pPr>
      <w:bookmarkStart w:id="22" w:name="ex_525024.htm"/>
      <w:bookmarkStart w:id="23" w:name="ksex_525024"/>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CHIEF EXECUTIVE OFFICER PURSUANT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RULES</w:t>
      </w:r>
      <w:r>
        <w:rPr>
          <w:rFonts w:ascii="Times New Roman" w:hAnsi="Times New Roman"/>
          <w:caps w:val="false"/>
          <w:smallCaps w:val="false"/>
          <w:sz w:val="20"/>
        </w:rPr>
        <w:t> </w:t>
      </w:r>
      <w:r>
        <w:rPr>
          <w:rFonts w:ascii="Times New Roman" w:hAnsi="Times New Roman"/>
          <w:b/>
          <w:caps w:val="false"/>
          <w:smallCaps w:val="false"/>
          <w:sz w:val="20"/>
        </w:rPr>
        <w:t>13a-14(a) and 15d-14(a), AS ADOPTED PURSUANT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SECTION</w:t>
      </w:r>
      <w:r>
        <w:rPr>
          <w:rFonts w:ascii="Times New Roman" w:hAnsi="Times New Roman"/>
          <w:caps w:val="false"/>
          <w:smallCaps w:val="false"/>
          <w:sz w:val="20"/>
        </w:rPr>
        <w:t> </w:t>
      </w:r>
      <w:r>
        <w:rPr>
          <w:rFonts w:ascii="Times New Roman" w:hAnsi="Times New Roman"/>
          <w:b/>
          <w:caps w:val="false"/>
          <w:smallCaps w:val="false"/>
          <w:sz w:val="20"/>
        </w:rPr>
        <w:t>302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Kevin Danahy, certify that:</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170"/>
        <w:gridCol w:w="929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2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for the quarter ended </w:t>
            </w:r>
            <w:bookmarkStart w:id="24" w:name="led395676F20233241682357414418"/>
            <w:bookmarkEnd w:id="24"/>
            <w:r>
              <w:rPr>
                <w:rFonts w:ascii="Times New Roman;Times;serif" w:hAnsi="Times New Roman;Times;serif"/>
                <w:caps w:val="false"/>
                <w:smallCaps w:val="false"/>
                <w:sz w:val="20"/>
              </w:rPr>
              <w:t>June 30, 2023 of Pulse Biosciences, Inc.;</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850"/>
        <w:gridCol w:w="320"/>
        <w:gridCol w:w="4280"/>
        <w:gridCol w:w="60"/>
      </w:tblGrid>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Date: </w:t>
            </w:r>
            <w:bookmarkStart w:id="25" w:name="led395676F20233241682357428123"/>
            <w:bookmarkEnd w:id="25"/>
            <w:r>
              <w:rPr>
                <w:rFonts w:ascii="Times New Roman" w:hAnsi="Times New Roman"/>
                <w:caps w:val="false"/>
                <w:smallCaps w:val="false"/>
                <w:sz w:val="20"/>
              </w:rPr>
              <w:t>August 10, 2023</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4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32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525025.htm"/>
      <w:bookmarkStart w:id="27" w:name="ksex_525025"/>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CERTIFICATIONS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18 U.S.C. SECTION 1350, AS ADOPTED PURSUANT TO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SECTION 906 OF THE SARBANES-OXLEY ACT OF 2002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Pulse Biosciences, Inc. (the “Company”) on Form 10-Q for the period ended </w:t>
      </w:r>
      <w:bookmarkStart w:id="28" w:name="led395676F20233241682357328176"/>
      <w:bookmarkEnd w:id="28"/>
      <w:r>
        <w:rPr>
          <w:rFonts w:ascii="Times New Roman" w:hAnsi="Times New Roman"/>
          <w:caps w:val="false"/>
          <w:smallCaps w:val="false"/>
          <w:sz w:val="20"/>
        </w:rPr>
        <w:t>June 30, 2023 as filed with the Securities and Exchange Commission on the date hereof (the “Report”), the undersigned certifies, pursuant to 18 U.S.C. Section 1350, as adopted pursuant to Section 906 of the Sarbanes-Oxley Act of 2002, that to the best of his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295" w:type="dxa"/>
        <w:jc w:val="left"/>
        <w:tblInd w:w="0" w:type="dxa"/>
        <w:tblLayout w:type="fixed"/>
        <w:tblCellMar>
          <w:top w:w="0" w:type="dxa"/>
          <w:left w:w="0" w:type="dxa"/>
          <w:bottom w:w="0" w:type="dxa"/>
          <w:right w:w="0" w:type="dxa"/>
        </w:tblCellMar>
      </w:tblPr>
      <w:tblGrid>
        <w:gridCol w:w="1895"/>
        <w:gridCol w:w="60"/>
        <w:gridCol w:w="4280"/>
        <w:gridCol w:w="60"/>
      </w:tblGrid>
      <w:tr>
        <w:trPr/>
        <w:tc>
          <w:tcPr>
            <w:tcW w:w="1895" w:type="dxa"/>
            <w:tcBorders/>
            <w:vAlign w:val="center"/>
          </w:tcPr>
          <w:p>
            <w:pPr>
              <w:pStyle w:val="TableContents"/>
              <w:bidi w:val="0"/>
              <w:spacing w:before="0" w:after="0"/>
              <w:ind w:left="0" w:right="0" w:hanging="0"/>
              <w:jc w:val="left"/>
              <w:rPr>
                <w:caps w:val="false"/>
                <w:smallCaps w:val="false"/>
              </w:rPr>
            </w:pPr>
            <w:r>
              <w:rPr>
                <w:rFonts w:cs="Times New Roman"/>
                <w:caps w:val="false"/>
                <w:smallCaps w:val="false"/>
                <w:szCs w:val="20"/>
              </w:rPr>
              <w:t>﻿</w:t>
            </w:r>
            <w:r>
              <w:rPr>
                <w:rFonts w:ascii="Times New Roman" w:hAnsi="Times New Roman"/>
                <w:caps w:val="false"/>
                <w:smallCaps w:val="false"/>
                <w:sz w:val="20"/>
              </w:rPr>
              <w:t>Date:  August 10, 2023</w:t>
            </w:r>
          </w:p>
        </w:tc>
        <w:tc>
          <w:tcPr>
            <w:tcW w:w="60" w:type="dxa"/>
            <w:tcBorders/>
            <w:vAlign w:val="center"/>
          </w:tcPr>
          <w:p>
            <w:pPr>
              <w:pStyle w:val="TableContents"/>
              <w:bidi w:val="0"/>
              <w:spacing w:before="0" w:after="283"/>
              <w:jc w:val="left"/>
              <w:rPr/>
            </w:pPr>
            <w:r>
              <w:rPr/>
              <w:t> </w:t>
            </w:r>
          </w:p>
        </w:tc>
        <w:tc>
          <w:tcPr>
            <w:tcW w:w="42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P. Danahy</w:t>
            </w:r>
          </w:p>
        </w:tc>
        <w:tc>
          <w:tcPr>
            <w:tcW w:w="6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P. Danahy</w:t>
            </w:r>
          </w:p>
        </w:tc>
        <w:tc>
          <w:tcPr>
            <w:tcW w:w="6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and Chief Executive Officer </w:t>
            </w:r>
          </w:p>
        </w:tc>
        <w:tc>
          <w:tcPr>
            <w:tcW w:w="60"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0"/>
              <w:ind w:left="0" w:right="0" w:hanging="0"/>
              <w:jc w:val="left"/>
              <w:rPr>
                <w:rFonts w:cs="Times New Roman"/>
                <w:caps w:val="false"/>
                <w:smallCaps w:val="false"/>
                <w:szCs w:val="20"/>
              </w:rPr>
            </w:pPr>
            <w:r>
              <w:rPr>
                <w:rFonts w:cs="Times New Roman"/>
                <w:caps w:val="false"/>
                <w:smallCaps w:val="false"/>
                <w:szCs w:val="20"/>
              </w:rPr>
              <w:t>﻿</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and 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0"/>
        <w:ind w:left="0" w:right="0" w:firstLine="500"/>
        <w:jc w:val="both"/>
        <w:rPr>
          <w:rFonts w:ascii="Times New Roman" w:hAnsi="Times New Roman"/>
          <w:caps w:val="false"/>
          <w:smallCaps w:val="false"/>
          <w:sz w:val="20"/>
        </w:rPr>
      </w:pPr>
      <w:r>
        <w:rPr>
          <w:rFonts w:ascii="Times New Roman" w:hAnsi="Times New Roman"/>
          <w:caps w:val="false"/>
          <w:smallCaps w:val="false"/>
          <w:sz w:val="20"/>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left"/>
        <w:rPr>
          <w:rFonts w:cs="Times New Roman"/>
          <w:caps w:val="false"/>
          <w:smallCaps w:val="false"/>
          <w:szCs w:val="20"/>
        </w:rPr>
      </w:pPr>
      <w:r>
        <w:rPr>
          <w:rFonts w:cs="Times New Roman"/>
          <w:caps w:val="false"/>
          <w:smallCaps w:val="false"/>
          <w:szCs w:val="20"/>
        </w:rPr>
        <w:t>﻿</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37295</Words>
  <Characters>205905</Characters>
  <CharactersWithSpaces>244923</CharactersWithSpaces>
  <Paragraphs>6006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