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1031240</wp:posOffset>
            </wp:positionH>
            <wp:positionV relativeFrom="page">
              <wp:posOffset>423545</wp:posOffset>
            </wp:positionV>
            <wp:extent cx="5486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0" cy="825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10" w:lineRule="auto"/>
        <w:rPr>
          <w:sz w:val="20"/>
          <w:szCs w:val="20"/>
          <w:color w:val="auto"/>
        </w:rPr>
      </w:pPr>
      <w:r>
        <w:rPr>
          <w:rFonts w:ascii="Arial" w:cs="Arial" w:eastAsia="Arial" w:hAnsi="Arial"/>
          <w:sz w:val="22"/>
          <w:szCs w:val="22"/>
          <w:b w:val="1"/>
          <w:bCs w:val="1"/>
          <w:color w:val="auto"/>
        </w:rPr>
        <w:t>Washington, D.C. 20549</w:t>
      </w:r>
    </w:p>
    <w:p>
      <w:pPr>
        <w:ind w:left="3600"/>
        <w:spacing w:after="0"/>
        <w:rPr>
          <w:sz w:val="20"/>
          <w:szCs w:val="20"/>
          <w:color w:val="auto"/>
        </w:rPr>
      </w:pPr>
      <w:r>
        <w:rPr>
          <w:rFonts w:ascii="Arial" w:cs="Arial" w:eastAsia="Arial" w:hAnsi="Arial"/>
          <w:sz w:val="18"/>
          <w:szCs w:val="18"/>
          <w:color w:val="auto"/>
        </w:rPr>
        <w:t>____________________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ind w:left="3600"/>
        <w:spacing w:after="0"/>
        <w:rPr>
          <w:sz w:val="20"/>
          <w:szCs w:val="20"/>
          <w:color w:val="auto"/>
        </w:rPr>
      </w:pPr>
      <w:r>
        <w:rPr>
          <w:rFonts w:ascii="Arial" w:cs="Arial" w:eastAsia="Arial" w:hAnsi="Arial"/>
          <w:sz w:val="18"/>
          <w:szCs w:val="18"/>
          <w:color w:val="auto"/>
        </w:rPr>
        <w:t>____________________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30" w:lineRule="exact"/>
        <w:rPr>
          <w:sz w:val="24"/>
          <w:szCs w:val="24"/>
          <w:color w:val="auto"/>
        </w:rPr>
      </w:pPr>
    </w:p>
    <w:p>
      <w:pPr>
        <w:ind w:left="118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47" w:lineRule="exact"/>
        <w:rPr>
          <w:sz w:val="24"/>
          <w:szCs w:val="24"/>
          <w:color w:val="auto"/>
        </w:rPr>
      </w:pPr>
    </w:p>
    <w:p>
      <w:pPr>
        <w:ind w:left="2320"/>
        <w:spacing w:after="0"/>
        <w:rPr>
          <w:sz w:val="20"/>
          <w:szCs w:val="20"/>
          <w:color w:val="auto"/>
        </w:rPr>
      </w:pPr>
      <w:r>
        <w:rPr>
          <w:rFonts w:ascii="Arial" w:cs="Arial" w:eastAsia="Arial" w:hAnsi="Arial"/>
          <w:sz w:val="22"/>
          <w:szCs w:val="22"/>
          <w:b w:val="1"/>
          <w:bCs w:val="1"/>
          <w:color w:val="auto"/>
        </w:rPr>
        <w:t>Date of Report (Date of earliest event reported)</w:t>
      </w:r>
    </w:p>
    <w:p>
      <w:pPr>
        <w:jc w:val="center"/>
        <w:spacing w:after="0" w:line="209" w:lineRule="auto"/>
        <w:rPr>
          <w:sz w:val="20"/>
          <w:szCs w:val="20"/>
          <w:color w:val="auto"/>
        </w:rPr>
      </w:pPr>
      <w:r>
        <w:rPr>
          <w:rFonts w:ascii="Arial" w:cs="Arial" w:eastAsia="Arial" w:hAnsi="Arial"/>
          <w:sz w:val="22"/>
          <w:szCs w:val="22"/>
          <w:b w:val="1"/>
          <w:bCs w:val="1"/>
          <w:color w:val="auto"/>
        </w:rPr>
        <w:t>August 6, 2020</w:t>
      </w:r>
    </w:p>
    <w:p>
      <w:pPr>
        <w:spacing w:after="0" w:line="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jc w:val="center"/>
        <w:spacing w:after="0" w:line="233" w:lineRule="auto"/>
        <w:rPr>
          <w:sz w:val="20"/>
          <w:szCs w:val="20"/>
          <w:color w:val="auto"/>
        </w:rPr>
      </w:pPr>
      <w:r>
        <w:rPr>
          <w:rFonts w:ascii="Arial" w:cs="Arial" w:eastAsia="Arial" w:hAnsi="Arial"/>
          <w:sz w:val="43"/>
          <w:szCs w:val="43"/>
          <w:b w:val="1"/>
          <w:bCs w:val="1"/>
          <w:color w:val="auto"/>
        </w:rPr>
        <w:t>Pulse Biosciences, Inc.</w:t>
      </w:r>
    </w:p>
    <w:p>
      <w:pPr>
        <w:jc w:val="center"/>
        <w:spacing w:after="0" w:line="205" w:lineRule="auto"/>
        <w:rPr>
          <w:sz w:val="20"/>
          <w:szCs w:val="20"/>
          <w:color w:val="auto"/>
        </w:rPr>
      </w:pPr>
      <w:r>
        <w:rPr>
          <w:rFonts w:ascii="Arial" w:cs="Arial" w:eastAsia="Arial" w:hAnsi="Arial"/>
          <w:sz w:val="18"/>
          <w:szCs w:val="18"/>
          <w:b w:val="1"/>
          <w:bCs w:val="1"/>
          <w:color w:val="auto"/>
        </w:rPr>
        <w:t>(Exact name of registrant as specified in its charter)</w:t>
      </w:r>
    </w:p>
    <w:p>
      <w:pPr>
        <w:ind w:left="3600"/>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9019"/>
          </w:cols>
          <w:pgMar w:left="1440" w:top="846" w:right="1440" w:bottom="1440" w:gutter="0" w:footer="0" w:header="0"/>
        </w:sectPr>
      </w:pPr>
    </w:p>
    <w:p>
      <w:pPr>
        <w:spacing w:after="0" w:line="138"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001-37744</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46-5696597</w:t>
      </w:r>
    </w:p>
    <w:p>
      <w:pPr>
        <w:spacing w:after="0" w:line="1" w:lineRule="exact"/>
        <w:rPr>
          <w:sz w:val="24"/>
          <w:szCs w:val="24"/>
          <w:color w:val="auto"/>
        </w:rPr>
      </w:pPr>
    </w:p>
    <w:p>
      <w:pPr>
        <w:sectPr>
          <w:pgSz w:w="11900" w:h="16838" w:orient="portrait"/>
          <w:cols w:equalWidth="0" w:num="3">
            <w:col w:w="3480" w:space="720"/>
            <w:col w:w="2100" w:space="720"/>
            <w:col w:w="1999"/>
          </w:cols>
          <w:pgMar w:left="1440" w:top="846" w:right="1440" w:bottom="1440" w:gutter="0" w:footer="0" w:header="0"/>
          <w:type w:val="continuous"/>
        </w:sectPr>
      </w:pPr>
    </w:p>
    <w:p>
      <w:pPr>
        <w:jc w:val="center"/>
        <w:ind w:right="180"/>
        <w:spacing w:after="0" w:line="230" w:lineRule="auto"/>
        <w:rPr>
          <w:sz w:val="20"/>
          <w:szCs w:val="20"/>
          <w:color w:val="auto"/>
        </w:rPr>
      </w:pPr>
      <w:r>
        <w:rPr>
          <w:rFonts w:ascii="Arial" w:cs="Arial" w:eastAsia="Arial" w:hAnsi="Arial"/>
          <w:sz w:val="12"/>
          <w:szCs w:val="12"/>
          <w:b w:val="1"/>
          <w:bCs w:val="1"/>
          <w:color w:val="auto"/>
        </w:rPr>
        <w:t>(State or other jurisdiction</w:t>
      </w:r>
    </w:p>
    <w:p>
      <w:pPr>
        <w:jc w:val="center"/>
        <w:ind w:right="1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39"/>
        <w:spacing w:after="0" w:line="212" w:lineRule="auto"/>
        <w:rPr>
          <w:sz w:val="20"/>
          <w:szCs w:val="20"/>
          <w:color w:val="auto"/>
        </w:rPr>
      </w:pPr>
      <w:r>
        <w:rPr>
          <w:rFonts w:ascii="Arial" w:cs="Arial" w:eastAsia="Arial" w:hAnsi="Arial"/>
          <w:sz w:val="13"/>
          <w:szCs w:val="13"/>
          <w:b w:val="1"/>
          <w:bCs w:val="1"/>
          <w:color w:val="auto"/>
        </w:rPr>
        <w:t>(IRS Employer</w:t>
      </w:r>
    </w:p>
    <w:p>
      <w:pPr>
        <w:spacing w:after="0" w:line="1" w:lineRule="exact"/>
        <w:rPr>
          <w:sz w:val="24"/>
          <w:szCs w:val="24"/>
          <w:color w:val="auto"/>
        </w:rPr>
      </w:pPr>
    </w:p>
    <w:p>
      <w:pPr>
        <w:jc w:val="center"/>
        <w:ind w:right="1039"/>
        <w:spacing w:after="0"/>
        <w:rPr>
          <w:sz w:val="20"/>
          <w:szCs w:val="20"/>
          <w:color w:val="auto"/>
        </w:rPr>
      </w:pPr>
      <w:r>
        <w:rPr>
          <w:rFonts w:ascii="Arial" w:cs="Arial" w:eastAsia="Arial" w:hAnsi="Arial"/>
          <w:sz w:val="12"/>
          <w:szCs w:val="12"/>
          <w:b w:val="1"/>
          <w:bCs w:val="1"/>
          <w:color w:val="auto"/>
        </w:rPr>
        <w:t>Identification No.)</w:t>
      </w:r>
    </w:p>
    <w:p>
      <w:pPr>
        <w:spacing w:after="0" w:line="114" w:lineRule="exact"/>
        <w:rPr>
          <w:sz w:val="24"/>
          <w:szCs w:val="24"/>
          <w:color w:val="auto"/>
        </w:rPr>
      </w:pPr>
    </w:p>
    <w:p>
      <w:pPr>
        <w:sectPr>
          <w:pgSz w:w="11900" w:h="16838" w:orient="portrait"/>
          <w:cols w:equalWidth="0" w:num="3">
            <w:col w:w="3480" w:space="720"/>
            <w:col w:w="2000" w:space="720"/>
            <w:col w:w="2099"/>
          </w:cols>
          <w:pgMar w:left="1440" w:top="846"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3957 Point Eden Way</w:t>
      </w:r>
    </w:p>
    <w:p>
      <w:pPr>
        <w:jc w:val="center"/>
        <w:ind w:right="19"/>
        <w:spacing w:after="0" w:line="202" w:lineRule="auto"/>
        <w:rPr>
          <w:sz w:val="20"/>
          <w:szCs w:val="20"/>
          <w:color w:val="auto"/>
        </w:rPr>
      </w:pPr>
      <w:r>
        <w:rPr>
          <w:rFonts w:ascii="Arial" w:cs="Arial" w:eastAsia="Arial" w:hAnsi="Arial"/>
          <w:sz w:val="18"/>
          <w:szCs w:val="18"/>
          <w:b w:val="1"/>
          <w:bCs w:val="1"/>
          <w:color w:val="auto"/>
        </w:rPr>
        <w:t>Hayward, California 94545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(510) 906-4600</w:t>
      </w: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w:t>
      </w:r>
    </w:p>
    <w:p>
      <w:pPr>
        <w:jc w:val="center"/>
        <w:ind w:right="19"/>
        <w:spacing w:after="0" w:line="212" w:lineRule="auto"/>
        <w:rPr>
          <w:sz w:val="20"/>
          <w:szCs w:val="20"/>
          <w:color w:val="auto"/>
        </w:rPr>
      </w:pPr>
      <w:r>
        <w:rPr>
          <w:rFonts w:ascii="Arial" w:cs="Arial" w:eastAsia="Arial" w:hAnsi="Arial"/>
          <w:sz w:val="12"/>
          <w:szCs w:val="12"/>
          <w:b w:val="1"/>
          <w:bCs w:val="1"/>
          <w:color w:val="auto"/>
        </w:rPr>
        <w:t>(Former name or former address, if changed since last report)</w:t>
      </w:r>
    </w:p>
    <w:p>
      <w:pPr>
        <w:ind w:left="3600"/>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9019"/>
          </w:cols>
          <w:pgMar w:left="1440" w:top="846" w:right="1440" w:bottom="1440" w:gutter="0" w:footer="0" w:header="0"/>
          <w:type w:val="continuous"/>
        </w:sectPr>
      </w:pPr>
    </w:p>
    <w:p>
      <w:pPr>
        <w:spacing w:after="0" w:line="209" w:lineRule="exact"/>
        <w:rPr>
          <w:sz w:val="24"/>
          <w:szCs w:val="24"/>
          <w:color w:val="auto"/>
        </w:rPr>
      </w:pPr>
    </w:p>
    <w:p>
      <w:pPr>
        <w:ind w:left="180" w:right="239"/>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10" w:lineRule="exact"/>
        <w:rPr>
          <w:sz w:val="24"/>
          <w:szCs w:val="24"/>
          <w:color w:val="auto"/>
        </w:rPr>
      </w:pPr>
    </w:p>
    <w:p>
      <w:pPr>
        <w:ind w:left="1160" w:hanging="585"/>
        <w:spacing w:after="0"/>
        <w:tabs>
          <w:tab w:leader="none" w:pos="116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1160" w:hanging="585"/>
        <w:spacing w:after="0"/>
        <w:tabs>
          <w:tab w:leader="none" w:pos="116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6"/>
          <w:szCs w:val="16"/>
          <w:color w:val="auto"/>
        </w:rPr>
      </w:pPr>
    </w:p>
    <w:p>
      <w:pPr>
        <w:ind w:left="1160" w:right="819" w:hanging="585"/>
        <w:spacing w:after="0" w:line="204" w:lineRule="auto"/>
        <w:tabs>
          <w:tab w:leader="none" w:pos="116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ind w:left="1160" w:right="839" w:hanging="585"/>
        <w:spacing w:after="0" w:line="226" w:lineRule="auto"/>
        <w:tabs>
          <w:tab w:leader="none" w:pos="116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121"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6" w:lineRule="exact"/>
        <w:rPr>
          <w:sz w:val="24"/>
          <w:szCs w:val="24"/>
          <w:color w:val="auto"/>
        </w:rPr>
      </w:pPr>
    </w:p>
    <w:tbl>
      <w:tblPr>
        <w:tblLayout w:type="fixed"/>
        <w:tblInd w:w="180" w:type="dxa"/>
        <w:tblCellMar>
          <w:top w:w="0" w:type="dxa"/>
          <w:left w:w="0" w:type="dxa"/>
          <w:bottom w:w="0" w:type="dxa"/>
          <w:right w:w="0" w:type="dxa"/>
        </w:tblCellMar>
      </w:tblPr>
      <w:tr>
        <w:trPr>
          <w:trHeight w:val="185"/>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2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c>
          <w:tcPr>
            <w:tcW w:w="40" w:type="dxa"/>
            <w:vAlign w:val="bottom"/>
          </w:tcPr>
          <w:p>
            <w:pPr>
              <w:spacing w:after="0"/>
              <w:rPr>
                <w:sz w:val="16"/>
                <w:szCs w:val="16"/>
                <w:color w:val="auto"/>
              </w:rPr>
            </w:pPr>
          </w:p>
        </w:tc>
      </w:tr>
      <w:tr>
        <w:trPr>
          <w:trHeight w:val="271"/>
        </w:trPr>
        <w:tc>
          <w:tcPr>
            <w:tcW w:w="3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PLSE</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Stock Market</w:t>
            </w:r>
          </w:p>
        </w:tc>
        <w:tc>
          <w:tcPr>
            <w:tcW w:w="40" w:type="dxa"/>
            <w:vAlign w:val="bottom"/>
          </w:tcPr>
          <w:p>
            <w:pPr>
              <w:spacing w:after="0"/>
              <w:rPr>
                <w:sz w:val="23"/>
                <w:szCs w:val="23"/>
                <w:color w:val="auto"/>
              </w:rPr>
            </w:pPr>
          </w:p>
        </w:tc>
      </w:tr>
      <w:tr>
        <w:trPr>
          <w:trHeight w:val="370"/>
        </w:trPr>
        <w:tc>
          <w:tcPr>
            <w:tcW w:w="3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4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type w:val="continuous"/>
        </w:sectPr>
      </w:pPr>
    </w:p>
    <w:bookmarkStart w:id="1" w:name="page2"/>
    <w:bookmarkEnd w:id="1"/>
    <w:p>
      <w:pPr>
        <w:jc w:val="both"/>
        <w:ind w:left="180" w:right="199"/>
        <w:spacing w:after="0" w:line="22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0"/>
          <w:szCs w:val="20"/>
          <w:color w:val="auto"/>
        </w:rPr>
      </w:pPr>
    </w:p>
    <w:p>
      <w:pPr>
        <w:ind w:left="1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77" w:lineRule="exact"/>
        <w:rPr>
          <w:sz w:val="20"/>
          <w:szCs w:val="20"/>
          <w:color w:val="auto"/>
        </w:rPr>
      </w:pPr>
    </w:p>
    <w:p>
      <w:pPr>
        <w:jc w:val="both"/>
        <w:ind w:left="180" w:right="199"/>
        <w:spacing w:after="0" w:line="19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220980</wp:posOffset>
            </wp:positionV>
            <wp:extent cx="5486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554990</wp:posOffset>
            </wp:positionV>
            <wp:extent cx="550354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 w:name="page3"/>
    <w:bookmarkEnd w:id="2"/>
    <w:p>
      <w:pPr>
        <w:spacing w:after="0"/>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 Election of Directors; Appointment of Certain Officers;</w:t>
      </w:r>
    </w:p>
    <w:p>
      <w:pPr>
        <w:spacing w:after="0"/>
        <w:rPr>
          <w:sz w:val="20"/>
          <w:szCs w:val="20"/>
          <w:color w:val="auto"/>
        </w:rPr>
      </w:pPr>
      <w:r>
        <w:rPr>
          <w:rFonts w:ascii="Arial" w:cs="Arial" w:eastAsia="Arial" w:hAnsi="Arial"/>
          <w:sz w:val="18"/>
          <w:szCs w:val="18"/>
          <w:b w:val="1"/>
          <w:bCs w:val="1"/>
          <w:color w:val="auto"/>
        </w:rPr>
        <w:t>Compensatory Arrangements of Certain Officers.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 Appointment of Member to Audit Committee and Compensation Committee</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August 6, 2020, the Board of Directors (the “Board”) of Pulse Biosciences, Inc. (the “Company”) increased the size of the Board by one and elected Richard van den Broek to fill the resulting vacancy on the Board, effective immediately. Mr. van den Broek will serve until his term expires at the annual meeting of stockholders to be held in 2021 and until his successor is elected and qualified or until his earlier death, resignation or removal. In addition, the Board appointed Mr. van den Broek to serve on the Audit Committee and the Compensation Committee of the Company. In the case of the Audit Committee, Mr. van den Broek will serve in place of Mitchell Levinson.</w:t>
      </w:r>
    </w:p>
    <w:p>
      <w:pPr>
        <w:spacing w:after="0" w:line="16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Mr. van den Broek, 54, currently serves as managing partner of HSMR Advisors, LLC, a position he has held since February 2004, and as a director of PhaseBio Pharmaceuticals, Inc. since February 2019. He previously served on the boards of directors of Pharmacyclics, Inc. from December 2009 to April 2015, Response Genetics, Inc. from December 2010 to September 2015, Special Diversified Opportunities, Inc. from March 2008 to October 2015 and Celldex Therapeutics, Inc. from December 2014 to December 2016. Mr. van den Broek received an A.B. from Harvard University and is a Chartered Financial Analyst. Mr. van den Broek has extensive experience in the biotechnology sector and deep understanding of the global pharmaceutical market.</w:t>
      </w:r>
    </w:p>
    <w:p>
      <w:pPr>
        <w:spacing w:after="0" w:line="16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In accordance with the Company’s outside director compensation policy, Mr. van den Broek will receive: (i) an annual retainer of $40,000 for his service on the Board; (ii) an annual retainer of $10,000 for his service on the Audit Committee; and</w:t>
      </w:r>
    </w:p>
    <w:p>
      <w:pPr>
        <w:spacing w:after="0" w:line="1" w:lineRule="exact"/>
        <w:rPr>
          <w:sz w:val="20"/>
          <w:szCs w:val="20"/>
          <w:color w:val="auto"/>
        </w:rPr>
      </w:pPr>
    </w:p>
    <w:p>
      <w:pPr>
        <w:jc w:val="both"/>
        <w:spacing w:after="0" w:line="209" w:lineRule="auto"/>
        <w:tabs>
          <w:tab w:leader="none" w:pos="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annual retainer of $6,500 for his service on the Compensation Committee. In addition, the Company shall reimburse him for all reasonable out-of-pocket expenses incurred in the performance of his duties as a director. He may elect to convert all or a portion of his cash payments into a number of options (a “Retainer Option,” and such election, a “Retainer Option Election”). The number of shares subject to a Retainer Option will be equal to (i) the product of (A) the dollar value of the aggregate cash-based retainer payments that he elects to forego over the course of a specified period covered by a Retainer Option Election in favor of receiving a Retainer Option multiplied by (B) three, divided by (ii) the fair market value of a share on the date of grant of the Retainer Option, provided that the number of shares covered by such Retainer Option shall be rounded to the nearest whole share.</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In addition, Mr. van den Broek shall receive an initial stock option grant to purchase 32,500 shares of the Company’s common stock under the terms of the Company’s equity compensation plan, which will vest over three years, with one-third of the shares subject to the option vesting on the one year anniversary of the date of grant, and the remaining shares vesting monthly over the following two years, provided he continue to serve as a director through each vesting date. He shall also be eligible to automatically receive an annual stock option grant to purchase 20,000 shares of the Company’s common stock on the date of the annual meeting beginning on the date of the first annual meeting that is held after he received his initial award, provided that he continues to serve as a director through such date, which annual award will vest monthly over one year, provided such non-employee director continues to serve as a director through each vesting date.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van den Broek will be executing the Company’s standard form of indemnification agreement.</w:t>
      </w:r>
    </w:p>
    <w:p>
      <w:pPr>
        <w:spacing w:after="0" w:line="18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There are no family relationships between Mr. van den Broek and any director or executive officer of the Company and Mr. van den Broek was not selected by the Board to serve as a director pursuant to any arrangement or understanding with any person. Mr. van den Broek has not engaged in any transaction that would be reportable as a related party transaction under Item 404(a) of Regulation S-K.</w:t>
      </w:r>
    </w:p>
    <w:p>
      <w:pPr>
        <w:spacing w:after="0" w:line="15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8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7"/>
          <w:szCs w:val="17"/>
          <w:color w:val="auto"/>
        </w:rPr>
        <w:t>On August 6, 2020, the Company issued a press release announcing the appointment of Mr. van den Broek to the Board. A copy of the press release is included as Exhibit 99.1 hereto. This information is intended to be furnished under Item 7.01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591502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96" w:right="1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5"/>
        </w:trPr>
        <w:tc>
          <w:tcPr>
            <w:tcW w:w="118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8140" w:type="dxa"/>
            <w:vAlign w:val="bottom"/>
          </w:tcPr>
          <w:p>
            <w:pPr>
              <w:spacing w:after="0"/>
              <w:rPr>
                <w:sz w:val="20"/>
                <w:szCs w:val="20"/>
                <w:color w:val="auto"/>
              </w:rPr>
            </w:pPr>
          </w:p>
        </w:tc>
      </w:tr>
      <w:tr>
        <w:trPr>
          <w:trHeight w:val="526"/>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Exhibit No.</w:t>
            </w:r>
          </w:p>
        </w:tc>
        <w:tc>
          <w:tcPr>
            <w:tcW w:w="8140" w:type="dxa"/>
            <w:vAlign w:val="bottom"/>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18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99.1</w:t>
              </w:r>
            </w:hyperlink>
          </w:p>
        </w:tc>
        <w:tc>
          <w:tcPr>
            <w:tcW w:w="8140" w:type="dxa"/>
            <w:vAlign w:val="bottom"/>
          </w:tcPr>
          <w:p>
            <w:pPr>
              <w:ind w:left="240"/>
              <w:spacing w:after="0"/>
              <w:rPr>
                <w:sz w:val="20"/>
                <w:szCs w:val="20"/>
                <w:color w:val="auto"/>
              </w:rPr>
            </w:pPr>
            <w:r>
              <w:rPr>
                <w:rFonts w:ascii="Arial" w:cs="Arial" w:eastAsia="Arial" w:hAnsi="Arial"/>
                <w:sz w:val="18"/>
                <w:szCs w:val="18"/>
                <w:color w:val="auto"/>
              </w:rPr>
              <w:t>Press Release of Pulse Biosciences, Inc. dated August 6, 2020.</w:t>
            </w:r>
          </w:p>
        </w:tc>
      </w:tr>
      <w:tr>
        <w:trPr>
          <w:trHeight w:val="1403"/>
        </w:trPr>
        <w:tc>
          <w:tcPr>
            <w:tcW w:w="118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r>
        <w:trPr>
          <w:trHeight w:val="20"/>
        </w:trPr>
        <w:tc>
          <w:tcPr>
            <w:tcW w:w="1180" w:type="dxa"/>
            <w:vAlign w:val="bottom"/>
            <w:tcBorders>
              <w:bottom w:val="single" w:sz="8" w:color="EEEEEE"/>
            </w:tcBorders>
          </w:tcPr>
          <w:p>
            <w:pPr>
              <w:spacing w:after="0" w:line="20" w:lineRule="exact"/>
              <w:rPr>
                <w:sz w:val="1"/>
                <w:szCs w:val="1"/>
                <w:color w:val="auto"/>
              </w:rPr>
            </w:pPr>
          </w:p>
        </w:tc>
        <w:tc>
          <w:tcPr>
            <w:tcW w:w="8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-16510</wp:posOffset>
            </wp:positionV>
            <wp:extent cx="8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889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320"/>
          </w:cols>
          <w:pgMar w:left="1300" w:top="108" w:right="1279" w:bottom="1440" w:gutter="0" w:footer="0" w:header="0"/>
        </w:sectPr>
      </w:pPr>
    </w:p>
    <w:bookmarkStart w:id="4" w:name="page5"/>
    <w:bookmarkEnd w:id="4"/>
    <w:p>
      <w:pPr>
        <w:jc w:val="center"/>
        <w:ind w:right="-120"/>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right="79"/>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Pulse Biosciences, Inc.</w:t>
      </w:r>
    </w:p>
    <w:p>
      <w:pPr>
        <w:spacing w:after="0" w:line="159"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0</wp:posOffset>
            </wp:positionV>
            <wp:extent cx="2100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ind w:left="5980"/>
        <w:spacing w:after="0" w:line="195" w:lineRule="auto"/>
        <w:rPr>
          <w:sz w:val="20"/>
          <w:szCs w:val="20"/>
          <w:color w:val="auto"/>
        </w:rPr>
      </w:pPr>
      <w:r>
        <w:rPr>
          <w:rFonts w:ascii="Arial" w:cs="Arial" w:eastAsia="Arial" w:hAnsi="Arial"/>
          <w:sz w:val="13"/>
          <w:szCs w:val="13"/>
          <w:b w:val="1"/>
          <w:bCs w:val="1"/>
          <w:color w:val="auto"/>
        </w:rPr>
        <w:t>Sandra A. Gardiner</w:t>
      </w:r>
    </w:p>
    <w:p>
      <w:pPr>
        <w:ind w:left="5980"/>
        <w:spacing w:after="0" w:line="211" w:lineRule="auto"/>
        <w:rPr>
          <w:sz w:val="20"/>
          <w:szCs w:val="20"/>
          <w:color w:val="auto"/>
        </w:rPr>
      </w:pPr>
      <w:r>
        <w:rPr>
          <w:rFonts w:ascii="Arial" w:cs="Arial" w:eastAsia="Arial" w:hAnsi="Arial"/>
          <w:sz w:val="12"/>
          <w:szCs w:val="12"/>
          <w:b w:val="1"/>
          <w:bCs w:val="1"/>
          <w:color w:val="auto"/>
        </w:rPr>
        <w:t>Chief Financial Officer, Executive Vice President of</w:t>
      </w:r>
    </w:p>
    <w:p>
      <w:pPr>
        <w:ind w:left="5980"/>
        <w:spacing w:after="0" w:line="211" w:lineRule="auto"/>
        <w:rPr>
          <w:sz w:val="20"/>
          <w:szCs w:val="20"/>
          <w:color w:val="auto"/>
        </w:rPr>
      </w:pPr>
      <w:r>
        <w:rPr>
          <w:rFonts w:ascii="Arial" w:cs="Arial" w:eastAsia="Arial" w:hAnsi="Arial"/>
          <w:sz w:val="12"/>
          <w:szCs w:val="12"/>
          <w:b w:val="1"/>
          <w:bCs w:val="1"/>
          <w:color w:val="auto"/>
        </w:rPr>
        <w:t>Finance and Administration, Secretary and Treasurer</w:t>
      </w:r>
    </w:p>
    <w:p>
      <w:pPr>
        <w:ind w:left="59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Principal Financial and Accounting Officer</w:t>
      </w:r>
      <w:r>
        <w:rPr>
          <w:rFonts w:ascii="Arial" w:cs="Arial" w:eastAsia="Arial" w:hAnsi="Arial"/>
          <w:sz w:val="13"/>
          <w:szCs w:val="13"/>
          <w:b w:val="1"/>
          <w:bCs w:val="1"/>
          <w:color w:val="auto"/>
        </w:rPr>
        <w: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591502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159"/>
          </w:cols>
          <w:pgMar w:left="1300" w:top="108" w:right="1440" w:bottom="1440" w:gutter="0" w:footer="0" w:header="0"/>
        </w:sectPr>
      </w:pPr>
    </w:p>
    <w:bookmarkStart w:id="5" w:name="page6"/>
    <w:bookmarkEnd w:id="5"/>
    <w:p>
      <w:pPr>
        <w:ind w:left="8040"/>
        <w:spacing w:after="0"/>
        <w:rPr>
          <w:sz w:val="20"/>
          <w:szCs w:val="20"/>
          <w:color w:val="auto"/>
        </w:rPr>
      </w:pPr>
      <w:r>
        <w:rPr>
          <w:rFonts w:ascii="Arial" w:cs="Arial" w:eastAsia="Arial" w:hAnsi="Arial"/>
          <w:sz w:val="20"/>
          <w:szCs w:val="20"/>
          <w:b w:val="1"/>
          <w:bCs w:val="1"/>
          <w:color w:val="auto"/>
        </w:rPr>
        <w:t>EXHIBIT 99.1</w:t>
      </w:r>
    </w:p>
    <w:p>
      <w:pPr>
        <w:spacing w:after="0" w:line="147"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auto"/>
        </w:rPr>
        <w:t>Pulse Biosciences, Inc. Appoints Richard van den Broek to Board of Directors</w:t>
      </w:r>
    </w:p>
    <w:p>
      <w:pPr>
        <w:spacing w:after="0" w:line="168"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auto"/>
        </w:rPr>
        <w:t>HAYWARD, Calif., August 6, 2020 – Pulse Biosciences, Inc. (Nasdaq: PLSE) (the “Company” or “Pulse Biosciences”), a novel bioelectric medicine company progressing Nano-Pulse Stimulation</w:t>
      </w:r>
      <w:r>
        <w:rPr>
          <w:rFonts w:ascii="Arial" w:cs="Arial" w:eastAsia="Arial" w:hAnsi="Arial"/>
          <w:sz w:val="20"/>
          <w:szCs w:val="20"/>
          <w:color w:val="auto"/>
          <w:vertAlign w:val="superscript"/>
        </w:rPr>
        <w:t>TM</w:t>
      </w:r>
      <w:r>
        <w:rPr>
          <w:rFonts w:ascii="Arial" w:cs="Arial" w:eastAsia="Arial" w:hAnsi="Arial"/>
          <w:sz w:val="20"/>
          <w:szCs w:val="20"/>
          <w:color w:val="auto"/>
        </w:rPr>
        <w:t xml:space="preserve"> (NPS™) technology, announced today the appointment of Richard van den Broek to its board of directors. In connection with his appointment to the board, Mr. van den Broek will also serve as a member of the audit committee and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-694690</wp:posOffset>
            </wp:positionV>
            <wp:extent cx="589788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97880" cy="685800"/>
                    </a:xfrm>
                    <a:prstGeom prst="rect">
                      <a:avLst/>
                    </a:prstGeom>
                    <a:noFill/>
                  </pic:spPr>
                </pic:pic>
              </a:graphicData>
            </a:graphic>
          </wp:anchor>
        </w:drawing>
      </w:r>
    </w:p>
    <w:p>
      <w:pPr>
        <w:spacing w:after="0" w:line="259" w:lineRule="exact"/>
        <w:rPr>
          <w:sz w:val="20"/>
          <w:szCs w:val="20"/>
          <w:color w:val="auto"/>
        </w:rPr>
      </w:pPr>
    </w:p>
    <w:p>
      <w:pPr>
        <w:jc w:val="both"/>
        <w:ind w:right="20"/>
        <w:spacing w:after="0" w:line="218" w:lineRule="auto"/>
        <w:rPr>
          <w:sz w:val="20"/>
          <w:szCs w:val="20"/>
          <w:color w:val="auto"/>
        </w:rPr>
      </w:pPr>
      <w:r>
        <w:rPr>
          <w:rFonts w:ascii="Arial" w:cs="Arial" w:eastAsia="Arial" w:hAnsi="Arial"/>
          <w:sz w:val="20"/>
          <w:szCs w:val="20"/>
          <w:color w:val="auto"/>
        </w:rPr>
        <w:t>“Several of our current Board members served alongside Richard at Pharmacyclics Inc. A more able and productive Board member would be hard to find,” said Robert Duggan, Chairman of the Company’s Board of Directors. “We all look forward to reunite around the mission and vision of Pulse Biosciences.”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589788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97880" cy="360045"/>
                    </a:xfrm>
                    <a:prstGeom prst="rect">
                      <a:avLst/>
                    </a:prstGeom>
                    <a:noFill/>
                  </pic:spPr>
                </pic:pic>
              </a:graphicData>
            </a:graphic>
          </wp:anchor>
        </w:drawing>
      </w:r>
    </w:p>
    <w:p>
      <w:pPr>
        <w:spacing w:after="0" w:line="244" w:lineRule="exact"/>
        <w:rPr>
          <w:sz w:val="20"/>
          <w:szCs w:val="20"/>
          <w:color w:val="auto"/>
        </w:rPr>
      </w:pPr>
    </w:p>
    <w:p>
      <w:pPr>
        <w:ind w:right="80"/>
        <w:spacing w:after="0" w:line="218" w:lineRule="auto"/>
        <w:rPr>
          <w:sz w:val="20"/>
          <w:szCs w:val="20"/>
          <w:color w:val="auto"/>
        </w:rPr>
      </w:pPr>
      <w:r>
        <w:rPr>
          <w:rFonts w:ascii="Arial" w:cs="Arial" w:eastAsia="Arial" w:hAnsi="Arial"/>
          <w:sz w:val="20"/>
          <w:szCs w:val="20"/>
          <w:color w:val="auto"/>
        </w:rPr>
        <w:t>“Richard is a great addition to our Board because of his deep understanding of the life science sector, both in the US and globally,” added Darrin Uecker, President and Chief Executive Officer. “His experience will be a valuable asset in achieving the mission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589788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97880" cy="360045"/>
                    </a:xfrm>
                    <a:prstGeom prst="rect">
                      <a:avLst/>
                    </a:prstGeom>
                    <a:noFill/>
                  </pic:spPr>
                </pic:pic>
              </a:graphicData>
            </a:graphic>
          </wp:anchor>
        </w:drawing>
      </w:r>
    </w:p>
    <w:p>
      <w:pPr>
        <w:spacing w:after="0" w:line="244" w:lineRule="exact"/>
        <w:rPr>
          <w:sz w:val="20"/>
          <w:szCs w:val="20"/>
          <w:color w:val="auto"/>
        </w:rPr>
      </w:pPr>
    </w:p>
    <w:p>
      <w:pPr>
        <w:ind w:right="200"/>
        <w:spacing w:after="0" w:line="221" w:lineRule="auto"/>
        <w:rPr>
          <w:sz w:val="20"/>
          <w:szCs w:val="20"/>
          <w:color w:val="auto"/>
        </w:rPr>
      </w:pPr>
      <w:r>
        <w:rPr>
          <w:rFonts w:ascii="Arial" w:cs="Arial" w:eastAsia="Arial" w:hAnsi="Arial"/>
          <w:sz w:val="19"/>
          <w:szCs w:val="19"/>
          <w:color w:val="auto"/>
        </w:rPr>
        <w:t>Mr. van den Broek currently serves as managing partner of HSMR Advisors, LLC, a position he has held since February 2004, and as a director of PhaseBio Pharmaceuticals, Inc. since February 2019. He previously served on the boards of directors of Pharmacyclics, Inc. from December 2009 to April 2015, Response Genetics, Inc. from December 2010 to September 2015, Special Diversified Opportunities, Inc. from March 2008 to October 2015 and Celldex Therapeutics, Inc. from December 2014 to December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589788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7880" cy="60007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Mr. van den Broek received an A.B. from Harvard University and is a Chartered Financial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589788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97880" cy="12001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Pulse Biosciences</w:t>
      </w:r>
      <w:r>
        <w:rPr>
          <w:rFonts w:ascii="Arial" w:cs="Arial" w:eastAsia="Arial" w:hAnsi="Arial"/>
          <w:sz w:val="20"/>
          <w:szCs w:val="20"/>
          <w:b w:val="1"/>
          <w:bCs w:val="1"/>
          <w:color w:val="auto"/>
          <w:vertAlign w:val="superscript"/>
        </w:rPr>
        <w:t>®</w:t>
      </w:r>
    </w:p>
    <w:p>
      <w:pPr>
        <w:spacing w:after="0" w:line="154" w:lineRule="exact"/>
        <w:rPr>
          <w:sz w:val="20"/>
          <w:szCs w:val="20"/>
          <w:color w:val="auto"/>
        </w:rPr>
      </w:pPr>
    </w:p>
    <w:p>
      <w:pPr>
        <w:spacing w:after="0" w:line="214" w:lineRule="auto"/>
        <w:rPr>
          <w:sz w:val="20"/>
          <w:szCs w:val="20"/>
          <w:color w:val="auto"/>
        </w:rPr>
      </w:pPr>
      <w:r>
        <w:rPr>
          <w:rFonts w:ascii="Arial" w:cs="Arial" w:eastAsia="Arial" w:hAnsi="Arial"/>
          <w:sz w:val="19"/>
          <w:szCs w:val="19"/>
          <w:color w:val="auto"/>
        </w:rPr>
        <w:t>Pulse Biosciences is a novel bioelectric medicine company committed to health innovation that has the potential to improve and extend the lives of patients. If cleared, the CellFX</w:t>
      </w:r>
      <w:r>
        <w:rPr>
          <w:rFonts w:ascii="Arial" w:cs="Arial" w:eastAsia="Arial" w:hAnsi="Arial"/>
          <w:sz w:val="19"/>
          <w:szCs w:val="19"/>
          <w:color w:val="auto"/>
          <w:vertAlign w:val="superscript"/>
        </w:rPr>
        <w:t>®</w:t>
      </w:r>
      <w:r>
        <w:rPr>
          <w:rFonts w:ascii="Arial" w:cs="Arial" w:eastAsia="Arial" w:hAnsi="Arial"/>
          <w:sz w:val="19"/>
          <w:szCs w:val="19"/>
          <w:color w:val="auto"/>
        </w:rPr>
        <w:t xml:space="preserve"> System will be the first commercial product to harness the distinctive advantages of the Company’s proprietary Nano-Pulse Stimulation™ technology to treat a variety of applications for which an optimal solution remains unfulfilled. Nano-Pulse Stimulation technology delivers nano-second pulses of electrical energy to non-thermally clear cells while sparing adjacent non-cellular tissue. Subject to regulatory approval, the initial commercial use of the CellFX System is expected to address a broad range of dermatologic conditions that share high demand among patients and practitioners for improved and durable aesthetic outcomes. Designed as a multi-application platform, the CellFX System is intended to offer customer value with a utilization-based revenue model across an expanding spectrum of clinical applications. To learn more, please visit </w:t>
      </w:r>
      <w:r>
        <w:rPr>
          <w:rFonts w:ascii="Arial" w:cs="Arial" w:eastAsia="Arial" w:hAnsi="Arial"/>
          <w:sz w:val="19"/>
          <w:szCs w:val="19"/>
          <w:b w:val="1"/>
          <w:bCs w:val="1"/>
          <w:color w:val="auto"/>
        </w:rPr>
        <w:t>www.pulsebiosciences.com</w:t>
      </w:r>
      <w:r>
        <w:rPr>
          <w:rFonts w:ascii="Arial" w:cs="Arial" w:eastAsia="Arial" w:hAnsi="Arial"/>
          <w:sz w:val="19"/>
          <w:szCs w:val="19"/>
          <w:color w:val="auto"/>
        </w:rPr>
        <w:t>.</w:t>
      </w:r>
    </w:p>
    <w:p>
      <w:pPr>
        <w:spacing w:after="0" w:line="171" w:lineRule="exact"/>
        <w:rPr>
          <w:sz w:val="20"/>
          <w:szCs w:val="20"/>
          <w:color w:val="auto"/>
        </w:rPr>
      </w:pPr>
    </w:p>
    <w:p>
      <w:pPr>
        <w:ind w:right="300"/>
        <w:spacing w:after="0" w:line="242" w:lineRule="auto"/>
        <w:rPr>
          <w:sz w:val="20"/>
          <w:szCs w:val="20"/>
          <w:color w:val="auto"/>
        </w:rPr>
      </w:pPr>
      <w:r>
        <w:rPr>
          <w:rFonts w:ascii="Arial" w:cs="Arial" w:eastAsia="Arial" w:hAnsi="Arial"/>
          <w:sz w:val="19"/>
          <w:szCs w:val="19"/>
          <w:color w:val="auto"/>
        </w:rPr>
        <w:t>Pulse Biosciences, CellFX, Nano-Pulse Stimulation, NPS and the stylized logos are among the trademarks and/or registered trademarks of Pulse Biosciences, Inc. in the United States and other countries.</w:t>
      </w:r>
    </w:p>
    <w:p>
      <w:pPr>
        <w:spacing w:after="0" w:line="126" w:lineRule="exact"/>
        <w:rPr>
          <w:sz w:val="20"/>
          <w:szCs w:val="20"/>
          <w:color w:val="auto"/>
        </w:rPr>
      </w:pPr>
    </w:p>
    <w:p>
      <w:pPr>
        <w:ind w:right="40"/>
        <w:spacing w:after="0" w:line="394" w:lineRule="auto"/>
        <w:rPr>
          <w:sz w:val="20"/>
          <w:szCs w:val="20"/>
          <w:color w:val="auto"/>
        </w:rPr>
      </w:pPr>
      <w:r>
        <w:rPr>
          <w:rFonts w:ascii="Arial" w:cs="Arial" w:eastAsia="Arial" w:hAnsi="Arial"/>
          <w:sz w:val="20"/>
          <w:szCs w:val="20"/>
          <w:color w:val="auto"/>
        </w:rPr>
        <w:t xml:space="preserve">Caution: Pulse Biosciences’ CellFX System and Nano-Pulse Stimulation technology are for investigational use only. </w:t>
      </w:r>
      <w:r>
        <w:rPr>
          <w:rFonts w:ascii="Arial" w:cs="Arial" w:eastAsia="Arial" w:hAnsi="Arial"/>
          <w:sz w:val="20"/>
          <w:szCs w:val="20"/>
          <w:b w:val="1"/>
          <w:bCs w:val="1"/>
          <w:color w:val="auto"/>
        </w:rPr>
        <w:t>Forward-Looking Statements</w:t>
      </w:r>
    </w:p>
    <w:p>
      <w:pPr>
        <w:spacing w:after="0" w:line="1" w:lineRule="exact"/>
        <w:rPr>
          <w:sz w:val="20"/>
          <w:szCs w:val="20"/>
          <w:color w:val="auto"/>
        </w:rPr>
      </w:pPr>
    </w:p>
    <w:p>
      <w:pPr>
        <w:jc w:val="both"/>
        <w:ind w:right="440"/>
        <w:spacing w:after="0" w:line="225" w:lineRule="auto"/>
        <w:rPr>
          <w:sz w:val="20"/>
          <w:szCs w:val="20"/>
          <w:color w:val="auto"/>
        </w:rPr>
      </w:pPr>
      <w:r>
        <w:rPr>
          <w:rFonts w:ascii="Arial" w:cs="Arial" w:eastAsia="Arial" w:hAnsi="Arial"/>
          <w:sz w:val="18"/>
          <w:szCs w:val="18"/>
          <w:color w:val="auto"/>
        </w:rPr>
        <w:t>This press release contains forward-looking statements within the meaning of the federal securities laws. These statements include, among other things, statements relating to Nano-Pulse Stimulation technology including the effectiveness of such technology, the CellFX System including the benefits of the CellFX System</w:t>
      </w:r>
    </w:p>
    <w:p>
      <w:pPr>
        <w:spacing w:after="0" w:line="1" w:lineRule="exact"/>
        <w:rPr>
          <w:sz w:val="20"/>
          <w:szCs w:val="20"/>
          <w:color w:val="auto"/>
        </w:rPr>
      </w:pPr>
    </w:p>
    <w:p>
      <w:pPr>
        <w:ind w:right="380"/>
        <w:spacing w:after="0" w:line="206" w:lineRule="auto"/>
        <w:rPr>
          <w:sz w:val="20"/>
          <w:szCs w:val="20"/>
          <w:color w:val="auto"/>
        </w:rPr>
      </w:pPr>
      <w:r>
        <w:rPr>
          <w:rFonts w:ascii="Arial" w:cs="Arial" w:eastAsia="Arial" w:hAnsi="Arial"/>
          <w:sz w:val="20"/>
          <w:szCs w:val="20"/>
          <w:color w:val="auto"/>
        </w:rPr>
        <w:t>and commercialization of the CellFX System and the potential of Nano-Pulse Stimulation technology to treat medical needs across medical specialties, the Company’s market opportunity, and other future events. These statements are not historical facts but rather are based on Pulse Biosciences’ current expectations, estimates, and projections regarding Pulse Biosciences’ business, operations and other similar or related factors. Words such as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591502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18" w:right="1319" w:bottom="1440" w:gutter="0" w:footer="0" w:header="0"/>
        </w:sectPr>
      </w:pPr>
    </w:p>
    <w:bookmarkStart w:id="6" w:name="page7"/>
    <w:bookmarkEnd w:id="6"/>
    <w:p>
      <w:pPr>
        <w:spacing w:after="0" w:line="213" w:lineRule="auto"/>
        <w:rPr>
          <w:sz w:val="20"/>
          <w:szCs w:val="20"/>
          <w:color w:val="auto"/>
        </w:rPr>
      </w:pPr>
      <w:r>
        <w:rPr>
          <w:rFonts w:ascii="Arial" w:cs="Arial" w:eastAsia="Arial" w:hAnsi="Arial"/>
          <w:sz w:val="19"/>
          <w:szCs w:val="19"/>
          <w:color w:val="auto"/>
        </w:rPr>
        <w:t>“will,”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Additionally, you should not consider past results to be an indication of our future performance. Additional risks and uncertainties relating to the proposed offering, Pulse Biosciences and its business can be found under the heading “Risk Factors” in Pulse Biosciences’ most recent periodic, quarterly and annual reports filed with the SEC and in the accompanying prospectus relating to the offering to be filed with the SEC. Pulse Biosciences undertakes no obligation to revise or update any forward-looking statements to reflect events or circumstances in the future, even if new information becomes available.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Pulse Biosciences</w:t>
      </w:r>
    </w:p>
    <w:p>
      <w:pPr>
        <w:spacing w:after="0"/>
        <w:rPr>
          <w:sz w:val="20"/>
          <w:szCs w:val="20"/>
          <w:color w:val="auto"/>
        </w:rPr>
      </w:pPr>
      <w:r>
        <w:rPr>
          <w:rFonts w:ascii="Arial" w:cs="Arial" w:eastAsia="Arial" w:hAnsi="Arial"/>
          <w:sz w:val="20"/>
          <w:szCs w:val="20"/>
          <w:color w:val="auto"/>
        </w:rPr>
        <w:t>Sandra Gardiner, EVP and CFO</w:t>
      </w:r>
    </w:p>
    <w:p>
      <w:pPr>
        <w:spacing w:after="0"/>
        <w:rPr>
          <w:sz w:val="20"/>
          <w:szCs w:val="20"/>
          <w:color w:val="auto"/>
        </w:rPr>
      </w:pPr>
      <w:r>
        <w:rPr>
          <w:rFonts w:ascii="Arial" w:cs="Arial" w:eastAsia="Arial" w:hAnsi="Arial"/>
          <w:sz w:val="20"/>
          <w:szCs w:val="20"/>
          <w:color w:val="auto"/>
        </w:rPr>
        <w:t>510.241.1077</w:t>
      </w:r>
    </w:p>
    <w:p>
      <w:pPr>
        <w:spacing w:after="0" w:line="225" w:lineRule="auto"/>
        <w:rPr>
          <w:sz w:val="20"/>
          <w:szCs w:val="20"/>
          <w:color w:val="auto"/>
        </w:rPr>
      </w:pPr>
      <w:r>
        <w:rPr>
          <w:rFonts w:ascii="Arial" w:cs="Arial" w:eastAsia="Arial" w:hAnsi="Arial"/>
          <w:sz w:val="20"/>
          <w:szCs w:val="20"/>
          <w:u w:val="single" w:color="auto"/>
          <w:color w:val="auto"/>
        </w:rPr>
        <w:t>IR@pulsebiosciences.com</w:t>
      </w:r>
    </w:p>
    <w:p>
      <w:pPr>
        <w:spacing w:after="0" w:line="197" w:lineRule="auto"/>
        <w:rPr>
          <w:sz w:val="20"/>
          <w:szCs w:val="20"/>
          <w:color w:val="auto"/>
        </w:rPr>
      </w:pPr>
      <w:r>
        <w:rPr>
          <w:rFonts w:ascii="Arial" w:cs="Arial" w:eastAsia="Arial" w:hAnsi="Arial"/>
          <w:sz w:val="20"/>
          <w:szCs w:val="20"/>
          <w:color w:val="auto"/>
        </w:rPr>
        <w:t>or</w:t>
      </w:r>
    </w:p>
    <w:p>
      <w:pPr>
        <w:spacing w:after="0" w:line="197" w:lineRule="auto"/>
        <w:rPr>
          <w:sz w:val="20"/>
          <w:szCs w:val="20"/>
          <w:color w:val="auto"/>
        </w:rPr>
      </w:pPr>
      <w:r>
        <w:rPr>
          <w:rFonts w:ascii="Arial" w:cs="Arial" w:eastAsia="Arial" w:hAnsi="Arial"/>
          <w:sz w:val="20"/>
          <w:szCs w:val="20"/>
          <w:color w:val="auto"/>
        </w:rPr>
        <w:t>Gilmartin Group</w:t>
      </w:r>
    </w:p>
    <w:p>
      <w:pPr>
        <w:spacing w:after="0" w:line="198" w:lineRule="auto"/>
        <w:rPr>
          <w:sz w:val="20"/>
          <w:szCs w:val="20"/>
          <w:color w:val="auto"/>
        </w:rPr>
      </w:pPr>
      <w:r>
        <w:rPr>
          <w:rFonts w:ascii="Arial" w:cs="Arial" w:eastAsia="Arial" w:hAnsi="Arial"/>
          <w:sz w:val="20"/>
          <w:szCs w:val="20"/>
          <w:color w:val="auto"/>
        </w:rPr>
        <w:t>Philip Trip Taylor</w:t>
      </w:r>
    </w:p>
    <w:p>
      <w:pPr>
        <w:spacing w:after="0" w:line="197" w:lineRule="auto"/>
        <w:rPr>
          <w:sz w:val="20"/>
          <w:szCs w:val="20"/>
          <w:color w:val="auto"/>
        </w:rPr>
      </w:pPr>
      <w:r>
        <w:rPr>
          <w:rFonts w:ascii="Arial" w:cs="Arial" w:eastAsia="Arial" w:hAnsi="Arial"/>
          <w:sz w:val="20"/>
          <w:szCs w:val="20"/>
          <w:color w:val="auto"/>
        </w:rPr>
        <w:t>415.937.5406</w:t>
      </w:r>
    </w:p>
    <w:p>
      <w:pPr>
        <w:spacing w:after="0"/>
        <w:rPr>
          <w:sz w:val="20"/>
          <w:szCs w:val="20"/>
          <w:color w:val="auto"/>
        </w:rPr>
      </w:pPr>
      <w:r>
        <w:rPr>
          <w:rFonts w:ascii="Arial" w:cs="Arial" w:eastAsia="Arial" w:hAnsi="Arial"/>
          <w:sz w:val="20"/>
          <w:szCs w:val="20"/>
          <w:u w:val="single" w:color="auto"/>
          <w:color w:val="auto"/>
        </w:rPr>
        <w:t>philip@gilmartinir.com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197" w:lineRule="auto"/>
        <w:rPr>
          <w:sz w:val="20"/>
          <w:szCs w:val="20"/>
          <w:color w:val="auto"/>
        </w:rPr>
      </w:pPr>
      <w:r>
        <w:rPr>
          <w:rFonts w:ascii="Arial" w:cs="Arial" w:eastAsia="Arial" w:hAnsi="Arial"/>
          <w:sz w:val="20"/>
          <w:szCs w:val="20"/>
          <w:color w:val="auto"/>
        </w:rPr>
        <w:t>Tosk Communications</w:t>
      </w:r>
    </w:p>
    <w:p>
      <w:pPr>
        <w:spacing w:after="0" w:line="197" w:lineRule="auto"/>
        <w:rPr>
          <w:sz w:val="20"/>
          <w:szCs w:val="20"/>
          <w:color w:val="auto"/>
        </w:rPr>
      </w:pPr>
      <w:r>
        <w:rPr>
          <w:rFonts w:ascii="Arial" w:cs="Arial" w:eastAsia="Arial" w:hAnsi="Arial"/>
          <w:sz w:val="20"/>
          <w:szCs w:val="20"/>
          <w:color w:val="auto"/>
        </w:rPr>
        <w:t>Nadine D. Tosk</w:t>
      </w:r>
    </w:p>
    <w:p>
      <w:pPr>
        <w:spacing w:after="0" w:line="197" w:lineRule="auto"/>
        <w:rPr>
          <w:sz w:val="20"/>
          <w:szCs w:val="20"/>
          <w:color w:val="auto"/>
        </w:rPr>
      </w:pPr>
      <w:r>
        <w:rPr>
          <w:rFonts w:ascii="Arial" w:cs="Arial" w:eastAsia="Arial" w:hAnsi="Arial"/>
          <w:sz w:val="20"/>
          <w:szCs w:val="20"/>
          <w:color w:val="auto"/>
        </w:rPr>
        <w:t>504.453.8344</w:t>
      </w:r>
    </w:p>
    <w:p>
      <w:pPr>
        <w:spacing w:after="0" w:line="197" w:lineRule="auto"/>
        <w:rPr>
          <w:sz w:val="20"/>
          <w:szCs w:val="20"/>
          <w:color w:val="auto"/>
        </w:rPr>
      </w:pPr>
      <w:r>
        <w:rPr>
          <w:rFonts w:ascii="Arial" w:cs="Arial" w:eastAsia="Arial" w:hAnsi="Arial"/>
          <w:sz w:val="20"/>
          <w:szCs w:val="20"/>
          <w:u w:val="single" w:color="auto"/>
          <w:color w:val="auto"/>
        </w:rPr>
        <w:t>nadinepr@gmail.com</w:t>
      </w:r>
      <w:r>
        <w:rPr>
          <w:rFonts w:ascii="Arial" w:cs="Arial" w:eastAsia="Arial" w:hAnsi="Arial"/>
          <w:sz w:val="20"/>
          <w:szCs w:val="20"/>
          <w:color w:val="auto"/>
        </w:rPr>
        <w:t xml:space="preserve">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press@pulsebiosciences.com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488950</wp:posOffset>
            </wp:positionV>
            <wp:extent cx="58978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7880"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994410</wp:posOffset>
            </wp:positionV>
            <wp:extent cx="591502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sectPr>
      <w:pgSz w:w="11900" w:h="16838" w:orient="portrait"/>
      <w:cols w:equalWidth="0" w:num="1">
        <w:col w:w="9240"/>
      </w:cols>
      <w:pgMar w:left="1300" w:top="108"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2020-08-06T16:27:56Z</dcterms:created>
  <dcterms:modified xsi:type="dcterms:W3CDTF">2020-08-06T16:27:56Z</dcterms:modified>
</cp:coreProperties>
</file>