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50165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0"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21" w:lineRule="exact"/>
        <w:rPr>
          <w:sz w:val="24"/>
          <w:szCs w:val="24"/>
          <w:color w:val="auto"/>
        </w:rPr>
      </w:pPr>
    </w:p>
    <w:p>
      <w:pPr>
        <w:ind w:left="1820" w:hanging="307"/>
        <w:spacing w:after="0"/>
        <w:tabs>
          <w:tab w:leader="none" w:pos="18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1660" w:hanging="314"/>
        <w:spacing w:after="0"/>
        <w:tabs>
          <w:tab w:leader="none" w:pos="1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85"/>
        </w:trPr>
        <w:tc>
          <w:tcPr>
            <w:tcW w:w="2740" w:type="dxa"/>
            <w:vAlign w:val="bottom"/>
          </w:tcPr>
          <w:p>
            <w:pPr>
              <w:spacing w:after="0"/>
              <w:rPr>
                <w:sz w:val="24"/>
                <w:szCs w:val="24"/>
                <w:color w:val="auto"/>
              </w:rPr>
            </w:pPr>
          </w:p>
        </w:tc>
        <w:tc>
          <w:tcPr>
            <w:tcW w:w="4840" w:type="dxa"/>
            <w:vAlign w:val="bottom"/>
            <w:gridSpan w:val="3"/>
          </w:tcPr>
          <w:p>
            <w:pPr>
              <w:jc w:val="center"/>
              <w:ind w:right="1959"/>
              <w:spacing w:after="0"/>
              <w:rPr>
                <w:sz w:val="20"/>
                <w:szCs w:val="20"/>
                <w:color w:val="auto"/>
              </w:rPr>
            </w:pPr>
            <w:r>
              <w:rPr>
                <w:rFonts w:ascii="Times New Roman" w:cs="Times New Roman" w:eastAsia="Times New Roman" w:hAnsi="Times New Roman"/>
                <w:sz w:val="16"/>
                <w:szCs w:val="16"/>
                <w:b w:val="1"/>
                <w:bCs w:val="1"/>
                <w:color w:val="auto"/>
              </w:rPr>
              <w:t>Commission File Number 001-34899</w:t>
            </w:r>
          </w:p>
        </w:tc>
      </w:tr>
      <w:tr>
        <w:trPr>
          <w:trHeight w:val="60"/>
        </w:trPr>
        <w:tc>
          <w:tcPr>
            <w:tcW w:w="2740" w:type="dxa"/>
            <w:vAlign w:val="bottom"/>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r>
      <w:tr>
        <w:trPr>
          <w:trHeight w:val="234"/>
        </w:trPr>
        <w:tc>
          <w:tcPr>
            <w:tcW w:w="2740" w:type="dxa"/>
            <w:vAlign w:val="bottom"/>
          </w:tcPr>
          <w:p>
            <w:pPr>
              <w:spacing w:after="0"/>
              <w:rPr>
                <w:sz w:val="20"/>
                <w:szCs w:val="20"/>
                <w:color w:val="auto"/>
              </w:rPr>
            </w:pPr>
          </w:p>
        </w:tc>
        <w:tc>
          <w:tcPr>
            <w:tcW w:w="242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Pulse Biosciences, Inc.</w:t>
            </w: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12"/>
        </w:trPr>
        <w:tc>
          <w:tcPr>
            <w:tcW w:w="7580" w:type="dxa"/>
            <w:vAlign w:val="bottom"/>
            <w:gridSpan w:val="4"/>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60"/>
        </w:trPr>
        <w:tc>
          <w:tcPr>
            <w:tcW w:w="2740" w:type="dxa"/>
            <w:vAlign w:val="bottom"/>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r>
      <w:tr>
        <w:trPr>
          <w:trHeight w:val="437"/>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46-5696597</w:t>
            </w:r>
          </w:p>
        </w:tc>
      </w:tr>
      <w:tr>
        <w:trPr>
          <w:trHeight w:val="203"/>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80" w:type="dxa"/>
            <w:vAlign w:val="bottom"/>
          </w:tcPr>
          <w:p>
            <w:pPr>
              <w:spacing w:after="0"/>
              <w:rPr>
                <w:sz w:val="17"/>
                <w:szCs w:val="17"/>
                <w:color w:val="auto"/>
              </w:rPr>
            </w:pPr>
          </w:p>
        </w:tc>
        <w:tc>
          <w:tcPr>
            <w:tcW w:w="20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gridSpan w:val="2"/>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80" w:type="dxa"/>
            <w:vAlign w:val="bottom"/>
          </w:tcPr>
          <w:p>
            <w:pPr>
              <w:spacing w:after="0"/>
              <w:rPr>
                <w:sz w:val="18"/>
                <w:szCs w:val="18"/>
                <w:color w:val="auto"/>
              </w:rPr>
            </w:pPr>
          </w:p>
        </w:tc>
        <w:tc>
          <w:tcPr>
            <w:tcW w:w="20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601 Brickell Key Drive, Suite 1080</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Miami, FL</w:t>
            </w:r>
          </w:p>
        </w:tc>
        <w:tc>
          <w:tcPr>
            <w:tcW w:w="242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33131</w:t>
            </w:r>
          </w:p>
        </w:tc>
      </w:tr>
      <w:tr>
        <w:trPr>
          <w:trHeight w:val="212"/>
        </w:trPr>
        <w:tc>
          <w:tcPr>
            <w:tcW w:w="5160" w:type="dxa"/>
            <w:vAlign w:val="bottom"/>
            <w:gridSpan w:val="2"/>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80" w:type="dxa"/>
            <w:vAlign w:val="bottom"/>
          </w:tcPr>
          <w:p>
            <w:pPr>
              <w:spacing w:after="0"/>
              <w:rPr>
                <w:sz w:val="18"/>
                <w:szCs w:val="18"/>
                <w:color w:val="auto"/>
              </w:rPr>
            </w:pPr>
          </w:p>
        </w:tc>
        <w:tc>
          <w:tcPr>
            <w:tcW w:w="20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 (510) 906-4600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472" w:right="339" w:bottom="115"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PLSE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200" w:lineRule="exact"/>
        <w:rPr>
          <w:sz w:val="24"/>
          <w:szCs w:val="24"/>
          <w:color w:val="auto"/>
        </w:rPr>
      </w:pPr>
    </w:p>
    <w:p>
      <w:pPr>
        <w:sectPr>
          <w:pgSz w:w="11900" w:h="16838" w:orient="portrait"/>
          <w:cols w:equalWidth="0" w:num="3">
            <w:col w:w="4260" w:space="720"/>
            <w:col w:w="2080" w:space="720"/>
            <w:col w:w="3460"/>
          </w:cols>
          <w:pgMar w:left="320" w:top="472" w:right="339" w:bottom="115"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240"/>
          </w:cols>
          <w:pgMar w:left="320" w:top="472" w:right="339" w:bottom="115" w:gutter="0" w:footer="0" w:header="0"/>
          <w:type w:val="continuous"/>
        </w:sect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3">
            <w:col w:w="7620" w:space="180"/>
            <w:col w:w="440" w:space="120"/>
            <w:col w:w="2880"/>
          </w:cols>
          <w:pgMar w:left="320" w:top="472" w:right="339" w:bottom="115" w:gutter="0" w:footer="0" w:header="0"/>
          <w:type w:val="continuous"/>
        </w:sectPr>
      </w:pPr>
    </w:p>
    <w:p>
      <w:pPr>
        <w:spacing w:after="0" w:line="184" w:lineRule="exact"/>
        <w:tabs>
          <w:tab w:leader="none" w:pos="740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69"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spacing w:after="0" w:line="184" w:lineRule="exact"/>
        <w:tabs>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Aggregate market value of registrant’s common stock held by non-affiliates of the registrant on June 30, 2024, the last business day of the registrant’s most recently completed second fiscal quarter, based upon the closing price of the registrant’s common stock on such date as reported by Nasdaq Capital Market, was approximately $182,956,030. Shares of voting stock held by each officer and director have been excluded in that such persons may be deemed to be affiliates. This assumption regarding affiliate status is not necessarily a conclusive determination for other purposes.</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as of March 21, 2025: 67,273,800</w:t>
      </w:r>
    </w:p>
    <w:p>
      <w:pPr>
        <w:sectPr>
          <w:pgSz w:w="11900" w:h="16838" w:orient="portrait"/>
          <w:cols w:equalWidth="0" w:num="1">
            <w:col w:w="11240"/>
          </w:cols>
          <w:pgMar w:left="320" w:top="472" w:right="339" w:bottom="115"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4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Business</w:t>
            </w:r>
          </w:p>
        </w:tc>
        <w:tc>
          <w:tcPr>
            <w:tcW w:w="8500" w:type="dxa"/>
            <w:vAlign w:val="bottom"/>
            <w:gridSpan w:val="21"/>
          </w:tcPr>
          <w:p>
            <w:pPr>
              <w:spacing w:after="0"/>
              <w:rPr>
                <w:sz w:val="16"/>
                <w:szCs w:val="16"/>
                <w:color w:val="auto"/>
              </w:rPr>
            </w:pPr>
          </w:p>
        </w:tc>
        <w:tc>
          <w:tcPr>
            <w:tcW w:w="6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24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710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14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4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3"/>
          </w:tcPr>
          <w:p>
            <w:pPr>
              <w:spacing w:after="0"/>
              <w:rPr>
                <w:sz w:val="17"/>
                <w:szCs w:val="17"/>
                <w:color w:val="auto"/>
              </w:rPr>
            </w:pPr>
          </w:p>
        </w:tc>
        <w:tc>
          <w:tcPr>
            <w:tcW w:w="27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582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68</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6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3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68</w:t>
            </w:r>
          </w:p>
        </w:tc>
        <w:tc>
          <w:tcPr>
            <w:tcW w:w="0" w:type="dxa"/>
            <w:vAlign w:val="bottom"/>
          </w:tcPr>
          <w:p>
            <w:pPr>
              <w:spacing w:after="0"/>
              <w:rPr>
                <w:sz w:val="1"/>
                <w:szCs w:val="1"/>
                <w:color w:val="auto"/>
              </w:rPr>
            </w:pPr>
          </w:p>
        </w:tc>
      </w:tr>
      <w:tr>
        <w:trPr>
          <w:trHeight w:val="4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69</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50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69</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8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7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4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240" w:type="dxa"/>
            <w:vAlign w:val="bottom"/>
            <w:gridSpan w:val="10"/>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70</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71</w:t>
            </w:r>
          </w:p>
        </w:tc>
        <w:tc>
          <w:tcPr>
            <w:tcW w:w="0" w:type="dxa"/>
            <w:vAlign w:val="bottom"/>
          </w:tcPr>
          <w:p>
            <w:pPr>
              <w:spacing w:after="0"/>
              <w:rPr>
                <w:sz w:val="1"/>
                <w:szCs w:val="1"/>
                <w:color w:val="auto"/>
              </w:rPr>
            </w:pPr>
          </w:p>
        </w:tc>
      </w:tr>
      <w:tr>
        <w:trPr>
          <w:trHeight w:val="41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60" w:firstLine="324"/>
        <w:spacing w:after="0" w:line="233" w:lineRule="auto"/>
        <w:rPr>
          <w:sz w:val="20"/>
          <w:szCs w:val="20"/>
          <w:color w:val="auto"/>
        </w:rPr>
      </w:pPr>
      <w:r>
        <w:rPr>
          <w:rFonts w:ascii="Times New Roman" w:cs="Times New Roman" w:eastAsia="Times New Roman" w:hAnsi="Times New Roman"/>
          <w:sz w:val="18"/>
          <w:szCs w:val="18"/>
          <w:color w:val="auto"/>
        </w:rPr>
        <w:t xml:space="preserve">“Pulse Biosciences,” the Pulse logos and other trademarks or service marks that we use in connection with the operation of our business appearing in this annual report on Form 10-K (this "Annual Report"), including CellFX, CellFX CloudConnect, Nano-pulse Stimulation, nsPFA, nanosecond-PFA, CellFX nsPFA, and NPS, are the property of Pulse Biosciences, Inc. Solely for your convenience, some of our trademarks and trade names referred to in this Annual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 Also, this Annual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99" w:lineRule="exact"/>
        <w:rPr>
          <w:sz w:val="20"/>
          <w:szCs w:val="20"/>
          <w:color w:val="auto"/>
        </w:rPr>
      </w:pPr>
    </w:p>
    <w:p>
      <w:pPr>
        <w:jc w:val="both"/>
        <w:ind w:left="160" w:firstLine="324"/>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and adoption rates, sales forecasts, results of clinical studies, expectations regarding regulatory clearance and the timing of FDA or non-US filings or approvals, procedure adoption, future financial position, our ability to generate revenues, our financing plans and future capital requirements, anticipated costs of revenue, anticipated expenses,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Annual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current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Annual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Annual Report, actual results may differ from the projections.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under the heading “Risk Factors” in Part I, Item IA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commercialization of our products. If we do not receive substantial capital when needed, we may be forced to restrict our operations or delay, reduce or eliminate our product development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an organization.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may result in further dilution to our investors, or incur indebtedness. The servicing of future debt may impair our liquidity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such as our nsPFA Cardiac Clamp and our nsPFA 360° Cardiac Catheter,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sales and marketing experience and we can give no assurances that our devices will be adopted by surgeons or other physicians to treat any medical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product candidates could be delayed or prevented if we experience any number of possible unforeseen events in connection with our clinical trials.</w:t>
      </w:r>
    </w:p>
    <w:p>
      <w:pPr>
        <w:sectPr>
          <w:pgSz w:w="11900" w:h="16838" w:orient="portrait"/>
          <w:cols w:equalWidth="0" w:num="1">
            <w:col w:w="11240"/>
          </w:cols>
          <w:pgMar w:left="320" w:top="121" w:right="339" w:bottom="0" w:gutter="0" w:footer="0" w:header="0"/>
        </w:sectPr>
      </w:pPr>
    </w:p>
    <w:bookmarkStart w:id="4" w:name="page5"/>
    <w:bookmarkEnd w:id="4"/>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competitive products before or more successfully than we do.</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dermatology, as well as in minimally invasive procedures. All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result in a change of control or cause us to incur a material amount of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in particular related to product liability and intellectual property infringement.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 and changes at the U.S. FDA may adversely affect our operating costs and timelines.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U.S. and foreign anti-corruption, anti-money laundering, export control, sanctions, and other trade laws and regulations. We can face serious consequences for violations.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officers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Co-Chairman owns approximately 73% of the voting power of the outstanding shares of our common stock and, as a result, investors may have limited ability to affect either the corporate governance of the Company or the taking of certain major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of our outstanding shares are owned by our Co-Chairman, Robert Duggan, and his affiliates, which can reduce liquidity of our stock. Historically, our trading volume on Nasdaq has been 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CellFX System, a novel nsPFA delivery platform, and commercialized the initial application of its nsPFA technology to treat benign lesions of the skin. In parallel, we have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CellFX platform in the treatment of atrial fibrillation and in a select few other markets where it could have a profound positive impact on healthcare for both patients and providers, such as surgical soft tissue ablation.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CellFX nsPFA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product for soft tissue ablation in a surgical setting, the nsPFA Percutaneous Electrode System, consists of a disposable, percutaneous, needle electrode for use with our proprietary CellFX Console. This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post-procedure showed treated portions of the benign thyroid nodules were mostly resorbed with no sign of scarring or fibrosis by ultrasound, which can be a side effect of other ablation modalities using thermal energies.</w:t>
      </w:r>
    </w:p>
    <w:p>
      <w:pPr>
        <w:spacing w:after="0" w:line="1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nsPFA Percutaneous Electrode System in the United States. In March 2024, we received FDA 510(k) clearance for our nsPFA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Having secured 510(k) clearance to market and sell the nsPFA Percutaneous Electrode System in the United States with different sizes of percutaneous electrode needles, we have engaged with experts in the field of soft tissue ablation to gather information that will help shape our future commercial endeavors. To date, we have placed our CellFX System with eight sites in the United States and these sites have been performing initial patient treatments and evaluating the CellFX System under short-term evaluation agreements. To date, the clinicians in our pilot program have completed more than 70 patient procedures. We expect to pursue more clinical evidenced-based milestones throughout 2025 in connection with evaluating the early pilot commercialization of our percutaneous electrodes, and we expect to commence a pivotal clinical trial in mid-2025 to support a specific labeling indication to commercialize the nsPFA Percutaneous Electrode System in the United States as a treatment for benign thyroid nodules.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results of preclinical and clinical testing of both our nsPFA cardiac products, namely our surgical ablation clamp and our endocardial ablation catheter, have exceeded our expectations and initial data have been presented at physician and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CellFX nsPFA Cardiac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both"/>
        <w:ind w:firstLine="450"/>
        <w:spacing w:after="0" w:line="270" w:lineRule="auto"/>
        <w:rPr>
          <w:sz w:val="20"/>
          <w:szCs w:val="20"/>
          <w:color w:val="auto"/>
        </w:rPr>
      </w:pPr>
      <w:r>
        <w:rPr>
          <w:rFonts w:ascii="Times New Roman" w:cs="Times New Roman" w:eastAsia="Times New Roman" w:hAnsi="Times New Roman"/>
          <w:sz w:val="17"/>
          <w:szCs w:val="17"/>
          <w:color w:val="auto"/>
        </w:rPr>
        <w:t>We believe our nsPFA technology can provide important advantages over today’s thermal modalities in creating these ablation lines. For example, surgeons using the CellFX System should be able to deliver faster ablations and through thicker tissue than thermal modalities because of the nonthermal mechanism of action that nsPFA employs, which is not affected by heatsinks such as blood in the heart. In preclinical studies, our nsPFA Cardiac Clamp has consistently achieved transmural ablations in less than two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w:t>
      </w:r>
    </w:p>
    <w:p>
      <w:pPr>
        <w:sectPr>
          <w:pgSz w:w="11900" w:h="16838" w:orient="portrait"/>
          <w:cols w:equalWidth="0" w:num="1">
            <w:col w:w="11240"/>
          </w:cols>
          <w:pgMar w:left="320" w:top="121" w:right="339" w:bottom="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surgeon and the Director of Cardiothoracic Surgery at St. Helena Hospital (Napa Valley). He specializes in minimally invasive complex cardiothoracic procedures for the treatment of AF. And, in October 2023, we appointed Dr. Niv Ad as our Chief Science Officer, Cardiac Surgery. Dr. Ad specializes in the surgical treatment of atrial fibrillation, minimally invasive heart surgery and other advanced heart surgery techniques and transcatheter therapies.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Today, we plan to pursue a PMA application for FDA approval to market the cardiac clamp specifically as a surgical way to treat AF. Seeking an AF indication through a PMA application will require pivotal clinical data to support the application. We expect to begin our pivotal clinical trial of the cardiac surgical clamp for AF in mid-2025. With PMA approval, we expect that we would then commercialize the nsPFA Cardiac Surgical System in the United States specifically as a treatment for AF. Separately, we have already enrolled thirty patients in our first-in-human clinical feasibility study of the cardiac clamp, a multi-site study of AF in the Netherlands. All of the patients in our first-in-human study have tolerated the procedure well and acute data have been encouraging. We expect data from this study will provide important support for our IDE submission for the pivotal clinical trial as well as initial evidence of the effectiveness and safety of our cardiac surgical ablation clamp as a surgical way to treat AF.</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CellFX nsPFA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Cardiac Catheter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endocardial catheter ablation device will have many of the same advantages that the surgical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 In 2024, we appointed David Kenigsberg, M.D. as Chief Medical Officer of Electrophysiology.</w:t>
      </w:r>
    </w:p>
    <w:p>
      <w:pPr>
        <w:spacing w:after="0" w:line="18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nsPFA 360° Cardiac Catheter in patients with AF and both acute data and remapping data from this study have been promising. We therefore expanded the initial clinical protocol in 2024 to enroll more than 80 patients, from 30, and to include participation by two additional sites. The study is now almost fully enrolled. Investigators have successfully remapped more than half of the study participants and we have been encouraged by the results seen in the study. Therefore, given the compelling data to date, we expect to commence a U.S. IDE pivotal clinical study of our proprietary 360° cardiac catheter sometime in mid-2025. We continue to believe we will need PMA approval from the FDA in order to market and sell our catheter in the United States.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The CellFX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CellFX Console is a tunable, software-enabled, console-based platform, designed to accommodate the clinical workflow preferred by physicians. The CellFX System is configured to accept a variety of disposable applicators or electrodes across a range of clinical applications. In February 2021, we received 510(k) clearance from the FDA for the CellFX System for dermatologic procedures requiring ablation and resurfacing of the skin. In January 2021, we received Conformité Européene (“CE”) marking approval for the CellFX System, which allows for marketing of the system in the European Union (“EU”). Shortly after these regulatory clearances, we began commercializing the CellFX System in dermatology for the treatment of benign skin lesions. However, in September 2022, we announced a shift in our focus from dermatology to cardiology and soft tissue ablation. We have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nsPFA Percutaneous Electrode System.</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maintain a portfolio of intellectual property surrounding our CellFX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 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spacing w:after="0" w:line="187" w:lineRule="exact"/>
        <w:rPr>
          <w:sz w:val="20"/>
          <w:szCs w:val="20"/>
          <w:color w:val="auto"/>
        </w:rPr>
      </w:pPr>
    </w:p>
    <w:p>
      <w:pPr>
        <w:jc w:val="both"/>
        <w:ind w:firstLine="450"/>
        <w:spacing w:after="0" w:line="273" w:lineRule="auto"/>
        <w:rPr>
          <w:sz w:val="20"/>
          <w:szCs w:val="20"/>
          <w:color w:val="auto"/>
        </w:rPr>
      </w:pPr>
      <w:r>
        <w:rPr>
          <w:rFonts w:ascii="Times New Roman" w:cs="Times New Roman" w:eastAsia="Times New Roman" w:hAnsi="Times New Roman"/>
          <w:sz w:val="17"/>
          <w:szCs w:val="17"/>
          <w:color w:val="auto"/>
        </w:rPr>
        <w:t>Today, on a worldwide basis, we own over 220 issued patents and pending patent applications, and we have an exclusive license to over 65 additional issued patents and pending patent applications. The vast majority of our granted patents have an expiration date between 2035 and 2042. As in the past, we plan to continue to file new patent applications to protect our systems, algorithms, applicators, methods, and designs of our technologies and products as they evolve. Medical technologies such as ours may be used in many different applications and incorporate several patentable features, and our strategy will be to always strive to protect our products and technologies with multiple patents directed to the variety of features and applications, in order to establish a strong and useful patent portfolio against competitors, such that an expiration of a single patent should not lessen our overall comprehensive coverage and competitive advantage. We believe our NPS platform and CellFX System are protected by several issued patents, as well as pending applications.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2024, we had 75 employees, of which most were located at our facility in Hayward, California. Of these employees, half were engaged in research and development activities and half were engaged in operations, marketing, business development, and general and administrative activities.</w:t>
      </w:r>
    </w:p>
    <w:p>
      <w:pPr>
        <w:spacing w:after="0" w:line="17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Talent Acquisition and Development. </w:t>
      </w:r>
      <w:r>
        <w:rPr>
          <w:rFonts w:ascii="Times New Roman" w:cs="Times New Roman" w:eastAsia="Times New Roman" w:hAnsi="Times New Roman"/>
          <w:sz w:val="18"/>
          <w:szCs w:val="18"/>
          <w:color w:val="auto"/>
        </w:rPr>
        <w:t>We are committed to providing a respectful work environment to our diverse workforce. We provide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opportunities to all persons regardless of race, age, color, gender, sexual orientation, national origin, physical or mental disability, religion, or any other characteristic protected by federal, state, or local law. We believe our employees are essential to our success and our ability to attract, develop, and retain key talent is a vital part of that. Our philosophy is to both develop talent from within and to strategically recruit key external talent. Our overall talent acquisition and retention strategy is designed to attract and retain diverse and qualified candidates to enable the success of the Company and achievement of our performance goals. The skills, experience and industry knowledge of key employees significantly benefit our operations and performance.</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Program. </w:t>
      </w:r>
      <w:r>
        <w:rPr>
          <w:rFonts w:ascii="Times New Roman" w:cs="Times New Roman" w:eastAsia="Times New Roman" w:hAnsi="Times New Roman"/>
          <w:sz w:val="18"/>
          <w:szCs w:val="18"/>
          <w:color w:val="auto"/>
        </w:rPr>
        <w:t>Our compensation program is designed to attract, motivate, and retain talented individuals who possess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skills necessary to support our business and contribute to our strategic goals, creating long-term value for our stockholders. We provide employees with competitive compensation packages that include base salary, annual incentive bonuses, 401(k), and equity awards tied to the value of our stock price. Our comprehensive benefits package also includes medical, dental, vision, life and disability plans, and an employee assistance program.</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and Safety. </w:t>
      </w:r>
      <w:r>
        <w:rPr>
          <w:rFonts w:ascii="Times New Roman" w:cs="Times New Roman" w:eastAsia="Times New Roman" w:hAnsi="Times New Roman"/>
          <w:sz w:val="18"/>
          <w:szCs w:val="18"/>
          <w:color w:val="auto"/>
        </w:rPr>
        <w:t>The health and safety of our employees is of utmost importance to us. We currently operate under a hybrid model of onsite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work with our technical teams being mostly onsite on a full-time basis. We have policies and guidelines which are designed to protect the safety of our employees.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The applications we intend to target are subject to intense competition from rapidly evolving companies and new scientific discoveries. We compete against well-established incumbent technologies offering products in cardiology, oncology, and dermatology, as well as in minimally invasive procedures.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or already have PFA products for the treatment of AF. All of these companies currently have greater financial, technical, research, and/or other resources than we do and have larger and more established manufacturing capabilities and marketing, sales, and support functions. Our future success will depend on our ability to establish and maintain a competitive position in current and future technologies. Our technology is unique and differentiated in that NPS technology can influence many cellular functions depending on the energy applied. When it is used to stimulate primarily regulated cell death, such as through nsPFA ablation, we believe it will be less traumatic to treated tissue and result in less scarring or collateral damage to surrounding tissues, which we feel will give us a competitive advantage over these more established companies despite formidable competition.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10" w:firstLine="450"/>
        <w:spacing w:after="0" w:line="261" w:lineRule="auto"/>
        <w:rPr>
          <w:sz w:val="20"/>
          <w:szCs w:val="20"/>
          <w:color w:val="auto"/>
        </w:rPr>
      </w:pPr>
      <w:r>
        <w:rPr>
          <w:rFonts w:ascii="Times New Roman" w:cs="Times New Roman" w:eastAsia="Times New Roman" w:hAnsi="Times New Roman"/>
          <w:sz w:val="18"/>
          <w:szCs w:val="18"/>
          <w:color w:val="auto"/>
        </w:rPr>
        <w:t>The CellFX System is a medical device subject to extensive and ongoing regulation by the FDA under the Federal Food, Drug, and Cosmetic Act and its implementing regulations, as well as other federal and state regulatory bodies in the United States. These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spacing w:after="0" w:line="180" w:lineRule="exact"/>
        <w:rPr>
          <w:sz w:val="20"/>
          <w:szCs w:val="20"/>
          <w:color w:val="auto"/>
        </w:rPr>
      </w:pPr>
    </w:p>
    <w:p>
      <w:pPr>
        <w:jc w:val="both"/>
        <w:ind w:left="10" w:firstLine="450"/>
        <w:spacing w:after="0" w:line="258" w:lineRule="auto"/>
        <w:rPr>
          <w:sz w:val="20"/>
          <w:szCs w:val="20"/>
          <w:color w:val="auto"/>
        </w:rPr>
      </w:pPr>
      <w:r>
        <w:rPr>
          <w:rFonts w:ascii="Times New Roman" w:cs="Times New Roman" w:eastAsia="Times New Roman" w:hAnsi="Times New Roman"/>
          <w:sz w:val="18"/>
          <w:szCs w:val="18"/>
          <w:color w:val="auto"/>
        </w:rPr>
        <w:t>The FDA regulates the medical device market to ensure the safety and efficacy of our products. For medical devices that require pre-market review, the FDA allows for three clearance/approval pathways for a medical device to be commercialized: (i) approval via a Pre-market Approval Application (“PMA”), (ii) clearance of a 510(k) submission, or (iii)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United States.</w:t>
      </w:r>
    </w:p>
    <w:p>
      <w:pPr>
        <w:spacing w:after="0" w:line="183"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Class I and Class II devices are considered low and moderate risk devices. Most Class I devices are exempt from premarket notification. Most Class</w:t>
      </w:r>
    </w:p>
    <w:p>
      <w:pPr>
        <w:spacing w:after="0" w:line="27" w:lineRule="exact"/>
        <w:rPr>
          <w:sz w:val="20"/>
          <w:szCs w:val="20"/>
          <w:color w:val="auto"/>
        </w:rPr>
      </w:pPr>
    </w:p>
    <w:p>
      <w:pPr>
        <w:jc w:val="both"/>
        <w:ind w:left="10" w:hanging="10"/>
        <w:spacing w:after="0" w:line="251" w:lineRule="auto"/>
        <w:tabs>
          <w:tab w:leader="none" w:pos="1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devices require 510(k) clearance from the FDA in order to be marketed in the U.S. A 510(k) Premarket Notification is a premarket submission made to the FDA to demonstrate that the device to be marketed is substantially equivalent to a legally marketed Class II device,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 predicate device. Companies making a 510(k) submission must compare their 510(k)-candidate device to a predicate device and establish substantial equivalence to the satisfaction of FDA. A device previously cleared under 510(k) or a device approved through a de novo application can be used as a predicate device 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spacing w:after="0" w:line="192" w:lineRule="exact"/>
        <w:rPr>
          <w:sz w:val="20"/>
          <w:szCs w:val="20"/>
          <w:color w:val="auto"/>
        </w:rPr>
      </w:pPr>
    </w:p>
    <w:p>
      <w:pPr>
        <w:jc w:val="both"/>
        <w:ind w:left="10" w:firstLine="450"/>
        <w:spacing w:after="0" w:line="271" w:lineRule="auto"/>
        <w:rPr>
          <w:sz w:val="20"/>
          <w:szCs w:val="20"/>
          <w:color w:val="auto"/>
        </w:rPr>
      </w:pPr>
      <w:r>
        <w:rPr>
          <w:rFonts w:ascii="Times New Roman" w:cs="Times New Roman" w:eastAsia="Times New Roman" w:hAnsi="Times New Roman"/>
          <w:sz w:val="17"/>
          <w:szCs w:val="17"/>
          <w:color w:val="auto"/>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effectiveness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the device. Although the FDA is not required to follow the recommendation of an advisory panel, it generally does. As part of the review, the FDA will also inspect the manufacturing operations of the company requesting approval to verify compliance with Quality System regulations.</w:t>
      </w:r>
    </w:p>
    <w:p>
      <w:pPr>
        <w:spacing w:after="0" w:line="173" w:lineRule="exact"/>
        <w:rPr>
          <w:sz w:val="20"/>
          <w:szCs w:val="20"/>
          <w:color w:val="auto"/>
        </w:rPr>
      </w:pPr>
    </w:p>
    <w:p>
      <w:pPr>
        <w:jc w:val="both"/>
        <w:ind w:left="10" w:firstLine="450"/>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can be identified to which it is substantially equivalent,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efficacy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94" w:lineRule="exact"/>
        <w:rPr>
          <w:sz w:val="20"/>
          <w:szCs w:val="20"/>
          <w:color w:val="auto"/>
        </w:rPr>
      </w:pPr>
    </w:p>
    <w:p>
      <w:pPr>
        <w:jc w:val="both"/>
        <w:ind w:left="10" w:firstLine="450"/>
        <w:spacing w:after="0" w:line="255" w:lineRule="auto"/>
        <w:rPr>
          <w:sz w:val="20"/>
          <w:szCs w:val="20"/>
          <w:color w:val="auto"/>
        </w:rPr>
      </w:pPr>
      <w:r>
        <w:rPr>
          <w:rFonts w:ascii="Times New Roman" w:cs="Times New Roman" w:eastAsia="Times New Roman" w:hAnsi="Times New Roman"/>
          <w:sz w:val="18"/>
          <w:szCs w:val="18"/>
          <w:color w:val="auto"/>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 to be submitted. The FDA could also require a manufacturer to cease marketing and distribution and/or recall the modified device until clearance or approval is obtained. Also, in these circumstances, the manufacturer may be subject to significant regulatory fines, penalties, and warning letters.</w:t>
      </w:r>
    </w:p>
    <w:p>
      <w:pPr>
        <w:spacing w:after="0" w:line="1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Regulation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Even after a device is placed on the market with FDA clearance or approval, numerous regulatory requirements continue to apply. These include:</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Quality System Regulation (“QSR”) which requires manufacturers, including third-party manufacturers, to follow stringent design, testing, control, documentation, and other quality assurance procedures during all aspects of the manufacturing process</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and FTC prohibitions against the promotion of products for uncleared, unapproved, or off-label uses;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efficacy data for the device.</w:t>
      </w:r>
    </w:p>
    <w:p>
      <w:pPr>
        <w:spacing w:after="0" w:line="16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and we must comply with the post-market surveillance regulations, including medical device reporting regulations. We are required to report to the FDA information if a Company device has, or may have, caused or contributed to a death or serious injury or has malfunctioned in a way that would likely cause or contribute to death or serious injury, if the malfunction of the device or one of our similar devices were to recur.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9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Failure to comply with applicable regulatory requirements can result in enforcement action by the FDA, which may include any of the following sanctions: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products, new intended uses, or modifications to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 that has already been granted;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System for Medical Devices in Europe</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European Union (the “EU”) consists of 27-member states and has a coordinated system for the authorization of medical devices. Marketing medical devices in the EU is subject to compliance with the Medical Devices Directive 93/92/EEC (MDD) and the European Union Medical Device Regulation (2017/745 or EU MDR) following its entry into application on May 26,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Manufacturers must demonstrate that their devices conform to the relevant essential requirements through a conformity assessment procedure. The nature of the assessment depends upon the classification of the device. The classification rules are mainly based on three criteria: (i) the length of time the device is in contact with the body, (ii) the degree of invasiveness, and (iii)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 country.</w:t>
      </w:r>
    </w:p>
    <w:p>
      <w:pPr>
        <w:spacing w:after="0" w:line="192" w:lineRule="exact"/>
        <w:rPr>
          <w:sz w:val="20"/>
          <w:szCs w:val="20"/>
          <w:color w:val="auto"/>
        </w:rPr>
      </w:pPr>
    </w:p>
    <w:p>
      <w:pPr>
        <w:jc w:val="both"/>
        <w:ind w:left="20" w:firstLine="450"/>
        <w:spacing w:after="0" w:line="273" w:lineRule="auto"/>
        <w:rPr>
          <w:sz w:val="20"/>
          <w:szCs w:val="20"/>
          <w:color w:val="auto"/>
        </w:rPr>
      </w:pPr>
      <w:r>
        <w:rPr>
          <w:rFonts w:ascii="Times New Roman" w:cs="Times New Roman" w:eastAsia="Times New Roman" w:hAnsi="Times New Roman"/>
          <w:sz w:val="17"/>
          <w:szCs w:val="17"/>
          <w:color w:val="auto"/>
        </w:rPr>
        <w:t>The EU MDR, which repealed and replaced the MDD, entered into force on May 25, 2017 with a transition period extending until May 26, 2021. The EU MDR clearly envisages, among other things, stricter controls of medical devices, including strengthening of the conformity assessment procedures, increased expectations with respect to clinical data for devices, and pre-market regulatory review of high-risk devices. The EU MDR also envisages greater control over notified bodies and their standards, increased transparency, more robust device vigilance requirements, and clarification of the rules for clinical investigations. Under transitional provisions, medical devices with notified body certificates issued under the MDD prior to May 26, 2020, and which have not been significantly changed, may continue to be placed on the market for the remaining validity of the certificate, until December 2028 at the latest. After the expiry of any applicable transitional period, only devices that have been CE marked under the EU MDR may be placed on the market in the EU.</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jc w:val="both"/>
        <w:ind w:left="20" w:firstLine="450"/>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We maintain product and clinical trial liability insurance coverage which includes a maximum of per claim and annual aggregate policy limits, subject to self-insured retentions. The policy covers, subject to policy conditions and exclusions, claims of bodily injury and property damage from any product manufactured by us or from trial-related adverse events.</w:t>
      </w:r>
    </w:p>
    <w:p>
      <w:pPr>
        <w:spacing w:after="0" w:line="176"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May 2022, the Company determined not to renew its annual director and officer liability insurance policy due to disproportionately high premiums quoted by insurance companies. Instead, on May 31, 2022, the Company and Robert W. Duggan, the Company's Co-Chairman, entered into a letter agreement (the “Letter Agreement”) pursuant to which Mr. Duggan agreed with the Company to personally provide indemnity coverage for a one-year period, and he agreed to deposit cash and/or marketable securities into a third-party escrow, as security for these obligations, if requested by the Company. On May 31, 2023, the last day of the one-year period, the Company paid Mr. Duggan a fee of $1.0 million in consideration of the obligations set forth in the Letter Agreement. As of December 31, 2024, there were no additional amounts owed to Mr. Duggan under the Letter Agreement.</w:t>
      </w:r>
    </w:p>
    <w:p>
      <w:pPr>
        <w:spacing w:after="0" w:line="187" w:lineRule="exact"/>
        <w:rPr>
          <w:sz w:val="20"/>
          <w:szCs w:val="20"/>
          <w:color w:val="auto"/>
        </w:rPr>
      </w:pPr>
    </w:p>
    <w:p>
      <w:pPr>
        <w:ind w:left="20" w:right="880" w:firstLine="486"/>
        <w:spacing w:after="0" w:line="282" w:lineRule="auto"/>
        <w:rPr>
          <w:sz w:val="20"/>
          <w:szCs w:val="20"/>
          <w:color w:val="auto"/>
        </w:rPr>
      </w:pPr>
      <w:r>
        <w:rPr>
          <w:rFonts w:ascii="Times New Roman" w:cs="Times New Roman" w:eastAsia="Times New Roman" w:hAnsi="Times New Roman"/>
          <w:sz w:val="18"/>
          <w:szCs w:val="18"/>
          <w:color w:val="auto"/>
        </w:rPr>
        <w:t>In May 2023 and 2024, the Company secured director and officer liability insurance from third-party insurance carriers through brokered transactions.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601 Brickell Key Drive, Suite 1080, Miami, Florida, 33131. Our telephone number is (510) 906-4600.</w:t>
      </w:r>
    </w:p>
    <w:p>
      <w:pPr>
        <w:spacing w:after="0" w:line="176" w:lineRule="exact"/>
        <w:rPr>
          <w:sz w:val="20"/>
          <w:szCs w:val="20"/>
          <w:color w:val="auto"/>
        </w:rPr>
      </w:pPr>
    </w:p>
    <w:p>
      <w:pPr>
        <w:jc w:val="both"/>
        <w:ind w:left="20" w:firstLine="450"/>
        <w:spacing w:after="0" w:line="258" w:lineRule="auto"/>
        <w:rPr>
          <w:sz w:val="20"/>
          <w:szCs w:val="20"/>
          <w:color w:val="auto"/>
        </w:rPr>
      </w:pPr>
      <w:r>
        <w:rPr>
          <w:rFonts w:ascii="Times New Roman" w:cs="Times New Roman" w:eastAsia="Times New Roman" w:hAnsi="Times New Roman"/>
          <w:sz w:val="18"/>
          <w:szCs w:val="18"/>
          <w:color w:val="auto"/>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spacing w:after="0" w:line="183"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Additionally, we use our website as a channel for distribution of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our website home page.</w:t>
      </w:r>
    </w:p>
    <w:p>
      <w:pPr>
        <w:sectPr>
          <w:pgSz w:w="11900" w:h="16838" w:orient="portrait"/>
          <w:cols w:equalWidth="0" w:num="1">
            <w:col w:w="11260"/>
          </w:cols>
          <w:pgMar w:left="300" w:top="121" w:right="33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92"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future profitability are entirely dependent upon one family of products, the CellFX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CellFX System, which consists of a console, connectors and end-effectors, and these products and all our potential products under development are based upon the same patented platform technology,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market the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spacing w:after="0" w:line="176" w:lineRule="exact"/>
        <w:rPr>
          <w:sz w:val="20"/>
          <w:szCs w:val="20"/>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or cost to the patient as well as lack of evidence showing procedures using our devices are reimbursable by governmental and private payers;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introduction of new technologies competitive to our products;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procedures.</w:t>
      </w:r>
    </w:p>
    <w:p>
      <w:pPr>
        <w:spacing w:after="0" w:line="225" w:lineRule="exact"/>
        <w:rPr>
          <w:sz w:val="20"/>
          <w:szCs w:val="20"/>
          <w:color w:val="auto"/>
        </w:rPr>
      </w:pPr>
    </w:p>
    <w:p>
      <w:pPr>
        <w:ind w:left="20" w:right="40"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62" w:lineRule="exact"/>
        <w:rPr>
          <w:sz w:val="20"/>
          <w:szCs w:val="20"/>
          <w:color w:val="auto"/>
        </w:rPr>
      </w:pPr>
    </w:p>
    <w:p>
      <w:pPr>
        <w:ind w:left="360" w:right="20" w:hanging="211"/>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360" w:hanging="211"/>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 internationally or in the United States, such as the U.S. FDA;</w:t>
      </w:r>
    </w:p>
    <w:p>
      <w:pPr>
        <w:spacing w:after="0" w:line="161" w:lineRule="exact"/>
        <w:rPr>
          <w:rFonts w:ascii="Times New Roman" w:cs="Times New Roman" w:eastAsia="Times New Roman" w:hAnsi="Times New Roman"/>
          <w:sz w:val="18"/>
          <w:szCs w:val="18"/>
          <w:color w:val="auto"/>
        </w:rPr>
      </w:pPr>
    </w:p>
    <w:p>
      <w:pPr>
        <w:ind w:left="360" w:hanging="211"/>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25" w:lineRule="exact"/>
        <w:rPr>
          <w:rFonts w:ascii="Times New Roman" w:cs="Times New Roman" w:eastAsia="Times New Roman" w:hAnsi="Times New Roman"/>
          <w:sz w:val="18"/>
          <w:szCs w:val="18"/>
          <w:color w:val="auto"/>
        </w:rPr>
      </w:pPr>
    </w:p>
    <w:p>
      <w:pPr>
        <w:ind w:left="360" w:hanging="211"/>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161" w:lineRule="exact"/>
        <w:rPr>
          <w:rFonts w:ascii="Times New Roman" w:cs="Times New Roman" w:eastAsia="Times New Roman" w:hAnsi="Times New Roman"/>
          <w:sz w:val="18"/>
          <w:szCs w:val="18"/>
          <w:color w:val="auto"/>
        </w:rPr>
      </w:pPr>
    </w:p>
    <w:p>
      <w:pPr>
        <w:ind w:left="360" w:hanging="211"/>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360" w:hanging="211"/>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360" w:hanging="211"/>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and any product candidates, if approved or cleared, which may vary significantly over time;</w:t>
      </w:r>
    </w:p>
    <w:p>
      <w:pPr>
        <w:spacing w:after="0" w:line="225" w:lineRule="exact"/>
        <w:rPr>
          <w:rFonts w:ascii="Times New Roman" w:cs="Times New Roman" w:eastAsia="Times New Roman" w:hAnsi="Times New Roman"/>
          <w:sz w:val="18"/>
          <w:szCs w:val="18"/>
          <w:color w:val="auto"/>
        </w:rPr>
      </w:pPr>
    </w:p>
    <w:p>
      <w:pPr>
        <w:ind w:left="360" w:hanging="211"/>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25" w:lineRule="exact"/>
        <w:rPr>
          <w:rFonts w:ascii="Times New Roman" w:cs="Times New Roman" w:eastAsia="Times New Roman" w:hAnsi="Times New Roman"/>
          <w:sz w:val="18"/>
          <w:szCs w:val="18"/>
          <w:color w:val="auto"/>
        </w:rPr>
      </w:pPr>
    </w:p>
    <w:p>
      <w:pPr>
        <w:ind w:left="360" w:hanging="211"/>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360" w:hanging="211"/>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left="60" w:firstLine="486"/>
        <w:spacing w:after="0" w:line="255"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spacing w:after="0" w:line="189" w:lineRule="exact"/>
        <w:rPr>
          <w:sz w:val="20"/>
          <w:szCs w:val="20"/>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25"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but has recently seen increased use of a different type of PFA called micro-PFA.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Paul LaViolette, our Chief Financial Officer, Jon Skinner,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83" w:lineRule="exact"/>
        <w:rPr>
          <w:sz w:val="20"/>
          <w:szCs w:val="20"/>
          <w:color w:val="auto"/>
        </w:rPr>
      </w:pPr>
    </w:p>
    <w:p>
      <w:pPr>
        <w:jc w:val="both"/>
        <w:ind w:lef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selling the CellFX System.</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2024, we had no international sales force and very few employees in the Unites States with sales and marketing experience. We have only just recently begun to hire employees to help market and sell our nsPFA Percutaneous Electrode System. We therefore have limited experience marketing and selling the CellFX System and our revenues and cash flows have been volatile and difficult to predict.</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162" w:lineRule="exact"/>
        <w:rPr>
          <w:sz w:val="20"/>
          <w:szCs w:val="20"/>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and internationally;</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surgeons and other physicians and patients about the benefits, administration and use of our products;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physicians and patients of the safety and effectiveness of our products;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therapies;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regulatory requirements applicable to our products.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left="60" w:firstLine="486"/>
        <w:spacing w:after="0" w:line="256"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ectPr>
          <w:pgSz w:w="11900" w:h="16838" w:orient="portrait"/>
          <w:cols w:equalWidth="0" w:num="1">
            <w:col w:w="11300"/>
          </w:cols>
          <w:pgMar w:left="260" w:top="121" w:right="3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currently experiencing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83" w:lineRule="exact"/>
        <w:rPr>
          <w:sz w:val="20"/>
          <w:szCs w:val="20"/>
          <w:color w:val="auto"/>
        </w:rPr>
      </w:pPr>
    </w:p>
    <w:p>
      <w:pPr>
        <w:jc w:val="both"/>
        <w:ind w:firstLine="50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CellFX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components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92"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8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CellFX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88"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ectPr>
          <w:pgSz w:w="11900" w:h="16838" w:orient="portrait"/>
          <w:cols w:equalWidth="0" w:num="1">
            <w:col w:w="11260"/>
          </w:cols>
          <w:pgMar w:left="300" w:top="121" w:right="33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CellFX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3"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CellFX System, a number of potentially significant negative consequences could result, including:</w:t>
      </w:r>
    </w:p>
    <w:p>
      <w:pPr>
        <w:spacing w:after="0" w:line="162" w:lineRule="exact"/>
        <w:rPr>
          <w:sz w:val="20"/>
          <w:szCs w:val="20"/>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25"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CellFX System or of any future particular planned product, if approved.</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and very limited clinical experience treating AF with our nsPFA 360° Cardiac Catheter and our nPFA Cardiac Surgery Clamp; our past successes in dermatology may not translate into similar results in cardiology or in any other medical field. In particular, the safety and efficacy data we have generated using NPS technology and the CellFX System to treat benign lesions in the skin and benign thyroid nodules might not be replicated in other areas of medicine, including the use of nsPFA technology and the CellFX System to treat AF or other cardiac disease.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products, or if clearances or approvals for future devices and indications are delayed or not issued, the commercial prospects for our CellFX System and other NPS technologies would be harmed.</w:t>
      </w:r>
    </w:p>
    <w:p>
      <w:pPr>
        <w:spacing w:after="0" w:line="159" w:lineRule="exact"/>
        <w:rPr>
          <w:sz w:val="20"/>
          <w:szCs w:val="20"/>
          <w:color w:val="auto"/>
        </w:rPr>
      </w:pPr>
    </w:p>
    <w:p>
      <w:pPr>
        <w:jc w:val="both"/>
        <w:ind w:left="20" w:right="400"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ectPr>
          <w:pgSz w:w="11900" w:h="16838" w:orient="portrait"/>
          <w:cols w:equalWidth="0" w:num="1">
            <w:col w:w="11260"/>
          </w:cols>
          <w:pgMar w:left="300" w:top="121" w:right="339" w:bottom="1440" w:gutter="0" w:footer="0" w:header="0"/>
        </w:sectPr>
      </w:pP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680" w:hanging="32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NPS technology platform has not been fully determined or validated.</w:t>
      </w:r>
    </w:p>
    <w:p>
      <w:pPr>
        <w:spacing w:after="0" w:line="22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5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90" w:lineRule="exact"/>
        <w:rPr>
          <w:sz w:val="20"/>
          <w:szCs w:val="20"/>
          <w:color w:val="auto"/>
        </w:rPr>
      </w:pPr>
    </w:p>
    <w:p>
      <w:pPr>
        <w:jc w:val="both"/>
        <w:ind w:left="16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59" w:lineRule="exact"/>
        <w:rPr>
          <w:sz w:val="20"/>
          <w:szCs w:val="20"/>
          <w:color w:val="auto"/>
        </w:rPr>
      </w:pPr>
    </w:p>
    <w:p>
      <w:pPr>
        <w:jc w:val="both"/>
        <w:ind w:left="160"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ectPr>
          <w:pgSz w:w="11900" w:h="16838" w:orient="portrait"/>
          <w:cols w:equalWidth="0" w:num="1">
            <w:col w:w="11260"/>
          </w:cols>
          <w:pgMar w:left="300" w:top="121" w:right="339" w:bottom="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680" w:hanging="328"/>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25" w:lineRule="exact"/>
        <w:rPr>
          <w:rFonts w:ascii="Times New Roman" w:cs="Times New Roman" w:eastAsia="Times New Roman" w:hAnsi="Times New Roman"/>
          <w:sz w:val="18"/>
          <w:szCs w:val="18"/>
          <w:color w:val="auto"/>
        </w:rPr>
      </w:pPr>
    </w:p>
    <w:p>
      <w:pPr>
        <w:ind w:left="680" w:right="20" w:hanging="328"/>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680" w:hanging="328"/>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pacing w:after="0" w:line="221"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ectPr>
          <w:pgSz w:w="11900" w:h="16838" w:orient="portrait"/>
          <w:cols w:equalWidth="0" w:num="1">
            <w:col w:w="11260"/>
          </w:cols>
          <w:pgMar w:left="300" w:top="121" w:right="339"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180"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spacing w:after="0" w:line="188" w:lineRule="exact"/>
        <w:rPr>
          <w:sz w:val="20"/>
          <w:szCs w:val="20"/>
          <w:color w:val="auto"/>
        </w:rPr>
      </w:pPr>
    </w:p>
    <w:p>
      <w:pPr>
        <w:jc w:val="both"/>
        <w:ind w:left="40"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spacing w:after="0" w:line="187"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92" w:lineRule="exact"/>
        <w:rPr>
          <w:sz w:val="20"/>
          <w:szCs w:val="20"/>
          <w:color w:val="auto"/>
        </w:rPr>
      </w:pPr>
    </w:p>
    <w:p>
      <w:pPr>
        <w:jc w:val="both"/>
        <w:ind w:left="40" w:firstLine="486"/>
        <w:spacing w:after="0" w:line="269" w:lineRule="auto"/>
        <w:rPr>
          <w:sz w:val="20"/>
          <w:szCs w:val="20"/>
          <w:color w:val="auto"/>
        </w:rPr>
      </w:pPr>
      <w:r>
        <w:rPr>
          <w:rFonts w:ascii="Times New Roman" w:cs="Times New Roman" w:eastAsia="Times New Roman" w:hAnsi="Times New Roman"/>
          <w:sz w:val="17"/>
          <w:szCs w:val="17"/>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spacing w:after="0" w:line="175" w:lineRule="exact"/>
        <w:rPr>
          <w:sz w:val="20"/>
          <w:szCs w:val="20"/>
          <w:color w:val="auto"/>
        </w:rPr>
      </w:pPr>
    </w:p>
    <w:p>
      <w:pPr>
        <w:jc w:val="both"/>
        <w:ind w:lef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59" w:lineRule="exact"/>
        <w:rPr>
          <w:sz w:val="20"/>
          <w:szCs w:val="20"/>
          <w:color w:val="auto"/>
        </w:rPr>
      </w:pPr>
    </w:p>
    <w:p>
      <w:pPr>
        <w:jc w:val="both"/>
        <w:ind w:left="60"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89" w:lineRule="exact"/>
        <w:rPr>
          <w:sz w:val="20"/>
          <w:szCs w:val="20"/>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225" w:lineRule="exact"/>
        <w:rPr>
          <w:sz w:val="20"/>
          <w:szCs w:val="20"/>
          <w:color w:val="auto"/>
        </w:rPr>
      </w:pPr>
    </w:p>
    <w:p>
      <w:pPr>
        <w:jc w:val="both"/>
        <w:ind w:left="40" w:firstLine="486"/>
        <w:spacing w:after="0" w:line="266"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w:t>
      </w:r>
    </w:p>
    <w:p>
      <w:pPr>
        <w:sectPr>
          <w:pgSz w:w="11900" w:h="16838" w:orient="portrait"/>
          <w:cols w:equalWidth="0" w:num="1">
            <w:col w:w="11300"/>
          </w:cols>
          <w:pgMar w:left="260" w:top="121" w:right="339" w:bottom="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commercialization efforts. Even if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80"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5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87" w:lineRule="exact"/>
        <w:rPr>
          <w:sz w:val="20"/>
          <w:szCs w:val="20"/>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25"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9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Changes in healthcare policy could increase our costs, decrease our revenues, and impact sales of, and reimbursement for, our current and future products. For example, the Affordable Care Act substantially changed the way healthcare is financed by both governmental and private insurers, and significantly impacted our industry.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spacing w:after="0" w:line="183" w:lineRule="exact"/>
        <w:rPr>
          <w:sz w:val="20"/>
          <w:szCs w:val="20"/>
          <w:color w:val="auto"/>
        </w:rPr>
      </w:pPr>
    </w:p>
    <w:p>
      <w:pPr>
        <w:jc w:val="both"/>
        <w:ind w:left="20" w:right="140" w:firstLine="45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spacing w:after="0" w:line="175" w:lineRule="exact"/>
        <w:rPr>
          <w:sz w:val="20"/>
          <w:szCs w:val="20"/>
          <w:color w:val="auto"/>
        </w:rPr>
      </w:pPr>
    </w:p>
    <w:p>
      <w:pPr>
        <w:jc w:val="both"/>
        <w:ind w:left="20" w:firstLine="45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left="20" w:firstLine="45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jc w:val="both"/>
        <w:ind w:left="20" w:firstLine="450"/>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83"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Further, given changes to the U.S. government's policies and priorities since the new administration entered office in January 2025, there is substantial uncertainty as to how, if at all, the new administration will seek to modify or revise the requirements and policies of the FDA and other regulatory agencies with jurisdiction over our product candidates. There is also uncertainty as to how other measures being implemented by the current</w:t>
      </w:r>
    </w:p>
    <w:p>
      <w:pPr>
        <w:sectPr>
          <w:pgSz w:w="11900" w:h="16838" w:orient="portrait"/>
          <w:cols w:equalWidth="0" w:num="1">
            <w:col w:w="11260"/>
          </w:cols>
          <w:pgMar w:left="300" w:top="121" w:right="339" w:bottom="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research funding by the National Institutes of Health of medical research could have substantial indirect impacts on our research activities.</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84" w:lineRule="exact"/>
        <w:rPr>
          <w:sz w:val="20"/>
          <w:szCs w:val="20"/>
          <w:color w:val="auto"/>
        </w:rPr>
      </w:pPr>
    </w:p>
    <w:p>
      <w:pPr>
        <w:jc w:val="both"/>
        <w:ind w:left="4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left="40"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720" w:hanging="328"/>
        <w:spacing w:after="0" w:line="255"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720" w:hanging="328"/>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720" w:hanging="328"/>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720" w:hanging="328"/>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720" w:hanging="328"/>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83" w:lineRule="exact"/>
        <w:rPr>
          <w:rFonts w:ascii="Times New Roman" w:cs="Times New Roman" w:eastAsia="Times New Roman" w:hAnsi="Times New Roman"/>
          <w:sz w:val="18"/>
          <w:szCs w:val="18"/>
          <w:color w:val="auto"/>
        </w:rPr>
      </w:pPr>
    </w:p>
    <w:p>
      <w:pPr>
        <w:jc w:val="both"/>
        <w:ind w:left="720" w:hanging="328"/>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("CCPA") requires covered companies to, among other things provide new disclosures to California consumers and afford such consumers new abilities to opt-out of certain sales of personal information. We cannot yet predict the impact of the CCPA or the recently approved California Privacy Rights Act ("CPRA") on our business or operations, but it may require us to modify our data processing practices and policies and could cause us to incur substantial costs and expenses in an effort to comply;</w:t>
      </w:r>
    </w:p>
    <w:p>
      <w:pPr>
        <w:spacing w:after="0" w:line="179"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720" w:hanging="328"/>
        <w:spacing w:after="0" w:line="25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w:t>
      </w:r>
    </w:p>
    <w:p>
      <w:pPr>
        <w:sectPr>
          <w:pgSz w:w="11900" w:h="16838" w:orient="portrait"/>
          <w:cols w:equalWidth="0" w:num="1">
            <w:col w:w="11300"/>
          </w:cols>
          <w:pgMar w:left="260" w:top="121" w:right="339" w:bottom="0" w:gutter="0" w:footer="0" w:header="0"/>
        </w:sectPr>
      </w:pPr>
    </w:p>
    <w:bookmarkStart w:id="32" w:name="page33"/>
    <w:bookmarkEnd w:id="32"/>
    <w:p>
      <w:pPr>
        <w:ind w:left="680"/>
        <w:spacing w:after="0" w:line="282" w:lineRule="auto"/>
        <w:rPr>
          <w:sz w:val="20"/>
          <w:szCs w:val="20"/>
          <w:color w:val="auto"/>
        </w:rPr>
      </w:pPr>
      <w:r>
        <w:rPr>
          <w:rFonts w:ascii="Times New Roman" w:cs="Times New Roman" w:eastAsia="Times New Roman" w:hAnsi="Times New Roman"/>
          <w:sz w:val="18"/>
          <w:szCs w:val="18"/>
          <w:color w:val="auto"/>
        </w:rPr>
        <w:t>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ind w:left="20" w:right="280"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changes to any of the laws or regulations applicable to our business could harm our business, financial condition and results of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 w:right="3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left="60"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80" w:lineRule="exact"/>
        <w:rPr>
          <w:sz w:val="20"/>
          <w:szCs w:val="20"/>
          <w:color w:val="auto"/>
        </w:rPr>
      </w:pPr>
    </w:p>
    <w:p>
      <w:pPr>
        <w:ind w:left="720" w:hanging="32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25" w:lineRule="exact"/>
        <w:rPr>
          <w:sz w:val="20"/>
          <w:szCs w:val="20"/>
          <w:color w:val="auto"/>
        </w:rPr>
      </w:pPr>
    </w:p>
    <w:p>
      <w:pPr>
        <w:ind w:left="60" w:right="240"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2" w:lineRule="exact"/>
        <w:rPr>
          <w:sz w:val="20"/>
          <w:szCs w:val="20"/>
          <w:color w:val="auto"/>
        </w:rPr>
      </w:pPr>
    </w:p>
    <w:p>
      <w:pPr>
        <w:jc w:val="both"/>
        <w:ind w:left="4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left="60"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0" w:lineRule="exact"/>
        <w:rPr>
          <w:sz w:val="20"/>
          <w:szCs w:val="20"/>
          <w:color w:val="auto"/>
        </w:rPr>
      </w:pPr>
    </w:p>
    <w:p>
      <w:pPr>
        <w:jc w:val="both"/>
        <w:ind w:left="4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both"/>
        <w:ind w:left="60"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ectPr>
          <w:pgSz w:w="11900" w:h="16838" w:orient="portrait"/>
          <w:cols w:equalWidth="0" w:num="1">
            <w:col w:w="11300"/>
          </w:cols>
          <w:pgMar w:left="260" w:top="121" w:right="339" w:bottom="111" w:gutter="0" w:footer="0" w:header="0"/>
        </w:sectPr>
      </w:pPr>
    </w:p>
    <w:p>
      <w:pPr>
        <w:spacing w:after="0" w:line="18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ectPr>
          <w:pgSz w:w="11900" w:h="16838" w:orient="portrait"/>
          <w:cols w:equalWidth="0" w:num="1">
            <w:col w:w="11300"/>
          </w:cols>
          <w:pgMar w:left="260" w:top="121" w:right="339" w:bottom="111" w:gutter="0" w:footer="0" w:header="0"/>
          <w:type w:val="continuous"/>
        </w:sectPr>
      </w:pPr>
    </w:p>
    <w:bookmarkStart w:id="34" w:name="page35"/>
    <w:bookmarkEnd w:id="34"/>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actual or perceived violations of applicable anti-corruption law or our own internal policies designed to ensure ethical business practices.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ind w:left="20" w:right="56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25" w:lineRule="exact"/>
        <w:rPr>
          <w:rFonts w:ascii="Times New Roman" w:cs="Times New Roman" w:eastAsia="Times New Roman" w:hAnsi="Times New Roman"/>
          <w:sz w:val="18"/>
          <w:szCs w:val="18"/>
          <w:color w:val="auto"/>
        </w:rPr>
      </w:pPr>
    </w:p>
    <w:p>
      <w:pPr>
        <w:ind w:left="680" w:right="2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CellFX System or to our planned end-effectors;</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security breaches;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ectPr>
          <w:pgSz w:w="11900" w:h="16838" w:orient="portrait"/>
          <w:cols w:equalWidth="0" w:num="1">
            <w:col w:w="11260"/>
          </w:cols>
          <w:pgMar w:left="300" w:top="121" w:right="339" w:bottom="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Co-Chairman of our Board, who beneficially owns approximately 73% of our common stock outstanding as of the date of this Annual Report. As a result, Mr. Duggan has control over corporate actions requiring stockholder approval, including the following actions:</w:t>
      </w:r>
    </w:p>
    <w:p>
      <w:pPr>
        <w:spacing w:after="0" w:line="176" w:lineRule="exact"/>
        <w:rPr>
          <w:sz w:val="20"/>
          <w:szCs w:val="20"/>
          <w:color w:val="auto"/>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5560" w:right="4700" w:hanging="5208"/>
        <w:spacing w:after="0" w:line="532" w:lineRule="auto"/>
        <w:tabs>
          <w:tab w:leader="none" w:pos="6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-90170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exceeds 74%.</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Co-Chairman, and he beneficially owns approximately 73% of our common stock outstanding as of the date of this Annual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we cannot be certain if the applicable reduced disclosure requirements will make our common stock less attractive to investors.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ectPr>
          <w:pgSz w:w="11900" w:h="16838" w:orient="portrait"/>
          <w:cols w:equalWidth="0" w:num="1">
            <w:col w:w="11260"/>
          </w:cols>
          <w:pgMar w:left="300" w:top="121" w:right="339" w:bottom="181" w:gutter="0" w:footer="0" w:header="0"/>
        </w:sectPr>
      </w:pPr>
    </w:p>
    <w:bookmarkStart w:id="39" w:name="page40"/>
    <w:bookmarkEnd w:id="39"/>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680" w:hanging="328"/>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80" w:hanging="328"/>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4" w:lineRule="exact"/>
        <w:rPr>
          <w:sz w:val="20"/>
          <w:szCs w:val="20"/>
          <w:color w:val="auto"/>
        </w:rPr>
      </w:pPr>
    </w:p>
    <w:p>
      <w:pPr>
        <w:jc w:val="both"/>
        <w:ind w:left="20" w:firstLine="450"/>
        <w:spacing w:after="0" w:line="261" w:lineRule="auto"/>
        <w:rPr>
          <w:sz w:val="20"/>
          <w:szCs w:val="20"/>
          <w:color w:val="auto"/>
        </w:rPr>
      </w:pPr>
      <w:r>
        <w:rPr>
          <w:rFonts w:ascii="Times New Roman" w:cs="Times New Roman" w:eastAsia="Times New Roman" w:hAnsi="Times New Roman"/>
          <w:sz w:val="18"/>
          <w:szCs w:val="18"/>
          <w:color w:val="auto"/>
        </w:rPr>
        <w:t>The global financial markets and economy may also be adversely affected by the current or anticipated impact of military conflict, including the ongoing Russian-Ukrainian war, and the Hamas-Israel war, terrorism or other geopolitical events. Sanctions imposed by the United States and other countries in response to such conflicts, including the Russian-Ukrainian war and the Hamas-Israel war, may also adversely impact the financial markets and the global economy, and any economic countermeasures by the affected countries or others could exacerbate market and economic instability.</w:t>
      </w:r>
    </w:p>
    <w:p>
      <w:pPr>
        <w:spacing w:after="0" w:line="180" w:lineRule="exact"/>
        <w:rPr>
          <w:sz w:val="20"/>
          <w:szCs w:val="20"/>
          <w:color w:val="auto"/>
        </w:rPr>
      </w:pPr>
    </w:p>
    <w:p>
      <w:pPr>
        <w:jc w:val="both"/>
        <w:ind w:left="20" w:firstLine="450"/>
        <w:spacing w:after="0" w:line="255" w:lineRule="auto"/>
        <w:rPr>
          <w:sz w:val="20"/>
          <w:szCs w:val="20"/>
          <w:color w:val="auto"/>
        </w:rPr>
      </w:pPr>
      <w:r>
        <w:rPr>
          <w:rFonts w:ascii="Times New Roman" w:cs="Times New Roman" w:eastAsia="Times New Roman" w:hAnsi="Times New Roman"/>
          <w:sz w:val="18"/>
          <w:szCs w:val="18"/>
          <w:color w:val="auto"/>
        </w:rPr>
        <w:t>Recently, the U.S. government has indicated its intent to alter its approach to international trade policy and in some cases to renegotiate, or potentially terminate, certain existing bilateral or multi-lateral trade agreements and treaties with foreign countries. In addition, the U.S. government has initiated or is considering imposing tariffs on certain foreign goods. Related to this action, certain foreign governments, including those of China, Canada and Mexico, have instituted or are considering imposing tariffs on certain U.S. goods. It remains unclear what the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ectPr>
          <w:pgSz w:w="11900" w:h="16838" w:orient="portrait"/>
          <w:cols w:equalWidth="0" w:num="1">
            <w:col w:w="11260"/>
          </w:cols>
          <w:pgMar w:left="300" w:top="121" w:right="339" w:bottom="0" w:gutter="0" w:footer="0" w:header="0"/>
        </w:sectPr>
      </w:pPr>
    </w:p>
    <w:bookmarkStart w:id="41" w:name="page42"/>
    <w:bookmarkEnd w:id="41"/>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right="4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interpretations, estimates or judgments we use to prepare our financial statements prove to be incorrect, investors and others may lose confidence in our financial data, which could cause our stock price to decline.</w:t>
      </w:r>
    </w:p>
    <w:p>
      <w:pPr>
        <w:spacing w:after="0" w:line="15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combat ever-present cyber risks, the Company maintains a comprehensive cybersecurity program, which includes employee training, annual risk assessments and a comprehensive cybersecurity environment meant to detect, prevent, and limit unauthorized or harmful actions across our information technology environment. However, we operate in the medical device sector, which is subject to various cybersecurity risks that could adversely affect our business, financial condition, and results of operations, including intellectual property theft; fraud; extortion; harm to patients, customers, and employees; violation of privacy laws and other litigation and legal risk; and reputational risk.</w:t>
      </w:r>
    </w:p>
    <w:p>
      <w:pPr>
        <w:spacing w:after="0" w:line="174"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21"/>
          <w:szCs w:val="21"/>
          <w:color w:val="auto"/>
        </w:rPr>
        <w:t>We have implemented a risk-based approach to identify and assess the cybersecurity threats that could affect our business and information systems. We use recognized commercially reasonable measures, tools and methodologies to manage cybersecurity risk that are tested on a regular cadence. We also monitor and evaluate our cybersecurity posture on an ongoing basis through regular vulnerability scans, penetration tests and third-party reviews. Other key components of our cybersecurity program include, but are not limited to, asset management, encryption, data loss prevention technology, access controls, identity and access management (IAM), such as multi-factor authentication (MFA), vulnerability management, endpoint threat detection and response (EDR), logging and monitoring involving the use of security information and event management (SIEM), privileged access management (PAM), email and web gateway protection, multi-faceted backup and data recovery solutions, anti-malware, firewalls, IDS and IPS, auditing and monitoring, regular policy updates, security awareness training, anti-phishing campaigns, intrusion detection and prevention, vulnerability and patch management, and third-party risk management. We also subscribe to third-party threat intelligence tools and services that support monitoring, analyzing, and responding to emerging risks and threats. We require third-party service providers with access to personal, confidential, or proprietary information to implement and maintain comprehensive cybersecurity practices consistent with applicable legal standards, although currently we do not audit this. While we believe our cybersecurity practices are comparable to those of similarly situated companies, the Company does not currently audit its third-party service providers’ cybersecurity practices, except through annual SOC-1 reviews and its regulatory and quality control auditing of vendors engaged in clinical trials or the manufacture of products used in the assembly of our medical devices. We also rely on industry leading third party service providers to provide the systems required to effectively run our clinical trials and require that these third-party service providers implement and maintain standard cybersecurity practices. We have business continuity plans that we regularly review and update in line with our evolving applications architecture. We believe our cybersecurity practices comply with applicable legal requirements, including those established by the FDA.</w:t>
      </w:r>
    </w:p>
    <w:p>
      <w:pPr>
        <w:sectPr>
          <w:pgSz w:w="11900" w:h="16927" w:orient="portrait"/>
          <w:cols w:equalWidth="0" w:num="1">
            <w:col w:w="11260"/>
          </w:cols>
          <w:pgMar w:left="300" w:top="121" w:right="339" w:bottom="0" w:gutter="0" w:footer="0" w:header="0"/>
        </w:sectPr>
      </w:pPr>
    </w:p>
    <w:p>
      <w:pPr>
        <w:spacing w:after="0" w:line="19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To date, we have not experienced any material security incidents or data breaches as a result of a compromise of our information systems and are not aware of any cybersecurity incidents that have had a material impact or are reasonably likely to materially affect our business strategy, operating results, or</w:t>
      </w:r>
    </w:p>
    <w:p>
      <w:pPr>
        <w:sectPr>
          <w:pgSz w:w="11900" w:h="16927" w:orient="portrait"/>
          <w:cols w:equalWidth="0" w:num="1">
            <w:col w:w="11260"/>
          </w:cols>
          <w:pgMar w:left="300" w:top="121" w:right="339"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financial condition.</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59"/>
          </w:cols>
          <w:pgMar w:left="300" w:top="121"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0" w:lineRule="exact"/>
        <w:rPr>
          <w:sz w:val="20"/>
          <w:szCs w:val="20"/>
          <w:color w:val="auto"/>
        </w:rPr>
      </w:pPr>
    </w:p>
    <w:p>
      <w:pPr>
        <w:ind w:left="20" w:right="40"/>
        <w:spacing w:after="0" w:line="233" w:lineRule="auto"/>
        <w:rPr>
          <w:sz w:val="20"/>
          <w:szCs w:val="20"/>
          <w:color w:val="auto"/>
        </w:rPr>
      </w:pPr>
      <w:r>
        <w:rPr>
          <w:rFonts w:ascii="Times New Roman" w:cs="Times New Roman" w:eastAsia="Times New Roman" w:hAnsi="Times New Roman"/>
          <w:sz w:val="22"/>
          <w:szCs w:val="22"/>
          <w:color w:val="auto"/>
        </w:rPr>
        <w:t>One of the key functions of our board of directors is informed oversight of our compliance program, including the processes used to mitigate risks associated with cybersecurity threats. Our Board is responsible for monitoring and assessing strategic risk exposure generally, and our executive officers are responsible for the day-to-day management of the material risks we face. Our Board administers its enterprise-level oversight of risks associated with cybersecurity threats directly as a whole, as well as through delegation of responsibility to our Audit Committee, which serves and functions as the Board’s primary oversight body to monitor the Company’s cybersecurity and related information technology risk. The Audit Committee receives periodic reports from management personnel responsible for enterprise risk management, which also evaluates cybersecurity among other enterprise level risks on an annual basis. It also assesses the experience of management personnel responsible for preventing, mitigating, detecting, and remediating any cyber incidents, including applicable third-party providers. The Audit Committee also oversees the Company’s disclosure of any cybersecurity incident deemed material as required by the SEC or any other governmental authority, as applicable.</w:t>
      </w:r>
    </w:p>
    <w:p>
      <w:pPr>
        <w:spacing w:after="0" w:line="187" w:lineRule="exact"/>
        <w:rPr>
          <w:sz w:val="20"/>
          <w:szCs w:val="20"/>
          <w:color w:val="auto"/>
        </w:rPr>
      </w:pPr>
    </w:p>
    <w:p>
      <w:pPr>
        <w:ind w:left="20" w:right="200"/>
        <w:spacing w:after="0" w:line="235" w:lineRule="auto"/>
        <w:rPr>
          <w:sz w:val="20"/>
          <w:szCs w:val="20"/>
          <w:color w:val="auto"/>
        </w:rPr>
      </w:pPr>
      <w:r>
        <w:rPr>
          <w:rFonts w:ascii="Times New Roman" w:cs="Times New Roman" w:eastAsia="Times New Roman" w:hAnsi="Times New Roman"/>
          <w:sz w:val="22"/>
          <w:szCs w:val="22"/>
          <w:color w:val="auto"/>
        </w:rPr>
        <w:t>At the operational level, the Company has established an information security team, including a Privacy and Security Council (“PSC”), consisting of representatives from IT, Legal, HR, and Finance, to help provide governance and strategic direction for managing cyber risks, maintaining IT regulatory compliance, and optimizing technology initiatives for alignment with our company goals and objectives. Pursuant to various policies adopted by the Company since 2021, including the Company's Privacy Policy, the Company’s senior most IT employee, our Information Security Coordinator (our “ISC”), is a member of the PSC and has frontline responsibility for assessing, identifying and managing material risks from cybersecurity threats. The PSC convenes not less than annually, and meetings include updates on cybersecurity matters provided by the information security team.</w:t>
      </w:r>
    </w:p>
    <w:p>
      <w:pPr>
        <w:spacing w:after="0" w:line="178" w:lineRule="exact"/>
        <w:rPr>
          <w:sz w:val="20"/>
          <w:szCs w:val="20"/>
          <w:color w:val="auto"/>
        </w:rPr>
      </w:pPr>
    </w:p>
    <w:p>
      <w:pPr>
        <w:ind w:left="20" w:right="80"/>
        <w:spacing w:after="0" w:line="236" w:lineRule="auto"/>
        <w:rPr>
          <w:sz w:val="20"/>
          <w:szCs w:val="20"/>
          <w:color w:val="auto"/>
        </w:rPr>
      </w:pPr>
      <w:r>
        <w:rPr>
          <w:rFonts w:ascii="Times New Roman" w:cs="Times New Roman" w:eastAsia="Times New Roman" w:hAnsi="Times New Roman"/>
          <w:sz w:val="22"/>
          <w:szCs w:val="22"/>
          <w:color w:val="auto"/>
        </w:rPr>
        <w:t>Our ISC has expertise in the following areas which assist in assessing and managing applicable cybersecurity risk: 27 years of IT experience including endpoint detection, security, incident management and response, vulnerability management and response, event management and response, and network security segmentation. The ISC provides regular reports on ongoing risk and mitigation practices, including information about cyber risk management governance and status updates on various projects intended to enhance the overall cybersecurity posture of the Company, to our Chief Executive Officer, Chief Financial Officer, Chief Technology Officer, and General Counsel, who then report to the Audit Committee and the Board.</w:t>
      </w:r>
    </w:p>
    <w:p>
      <w:pPr>
        <w:spacing w:after="0" w:line="19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incident response plan designates our ISC as primarily responsible for identifying and evaluating any cybersecurity incident or suspected incident and reporting any such incidents to our General Counsel in order for management to evaluate materiality, and to report to our Audit Committee, our Board and make public disclosures, as applicable. Our General Counsel is responsible for routinely updating both the Board and the Audit Committee on the Company’s cybersecurity personnel, practices and processes and, pursuant to our data breach response policy, which is updated from time to time, he must report to the Board in the event of any detected material incident and regularly update the Board on any mitigation and remediation steps being taken in connection with the Company’s response. The Company has, from time to time, engaged external experts, including cybersecurity assessors, consultants, auditors, and legal counsel, in evaluating and testing our risk management systems and on a project-specific basis to assist us with projects that will improve our IT infrastructure, strengthen our products’ security posture, and improve our cyber readiness. This enables us to leverage specialized knowledge and insights, ensuring our cybersecurity strategies and processes remain current.</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20" w:firstLine="450"/>
        <w:spacing w:after="0" w:line="256" w:lineRule="auto"/>
        <w:rPr>
          <w:sz w:val="20"/>
          <w:szCs w:val="20"/>
          <w:color w:val="auto"/>
        </w:rPr>
      </w:pPr>
      <w:r>
        <w:rPr>
          <w:rFonts w:ascii="Times New Roman" w:cs="Times New Roman" w:eastAsia="Times New Roman" w:hAnsi="Times New Roman"/>
          <w:sz w:val="18"/>
          <w:szCs w:val="18"/>
          <w:color w:val="auto"/>
        </w:rPr>
        <w:t>We currently lease approximately 50,300 square feet of premises located in Hayward, California, which is used for our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November 2024, we leased approximately 2,000 square feet of premises located in Miami, Florida, which is used for our corporate headquarters.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term of the lease is 65-months and it commenced on November 8, 2024.</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believe that our existing and expanded facilities will be sufficient to meet our needs for the foreseeable future.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20" w:right="180" w:firstLine="45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in the ordinary course of business. Having resolved our earlier dispute with our former Chief Financial Officer,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60"/>
          </w:cols>
          <w:pgMar w:left="300" w:top="121" w:right="339" w:bottom="555"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55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Nasdaq and has been traded under the symbol “PLSE” since May 18,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March 20, 2025, there were approximately 11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have no present plans to do so. We intend to retain earnings for use in the operation and expansion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On September 1, 2024, we sold 4,221 unregistered shares of our common stock to four accredited investors participating in our Employee Stock Purchase Plan and pursuant to the other terms of that plan, for the aggregate purchase price of $20,000. The shares of common stock issued in the foregoing transactions were issued without registration under the Securities Act of 1933, as amended (the “Securities Act”), in reliance on the exemptions provided by Section 4(a)(2) of the Securities Act as a transaction not involving a public offering and/or Rule 506 promulgated under the Securities Act as sales to accredited investors, and in reliance on similar exemptions under applicable state laws. Based on our investigation and the information provided to us, we determined the purchasers were accredited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performance graph included in this Annual Report on Form 10-K shall not be deemed “filed” for purposes of Section 18 of the Securities Exchange Act of 1934, as amended (“Exchange Act”), or incorporated by reference into any filing of Pulse Biosciences, Inc. under the Securities Act of 1933, as amended, or the Exchange Act, except as shall be expressly set forth by specific reference in such filing.</w:t>
      </w:r>
    </w:p>
    <w:p>
      <w:pPr>
        <w:spacing w:after="0" w:line="17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following graph matches our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December 31, 2019, to December 31, 2024.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125730</wp:posOffset>
            </wp:positionV>
            <wp:extent cx="6000750" cy="4474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0" cy="44748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consolidated financial statements and the related notes thereto included in Item 8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Some of the information contained in this discussion and analysis or set forth elsewhere in this Form 10-K contains forward-looking statements that involve risks and uncertainties, including statements regarding our expected financial results in future periods.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expressions are intended to identify forward-looking statements, although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Form 10-K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CellFX System, a novel nsPFA delivery platform, and commercialized the initial application of its nsPFA technology to treat benign lesions of the skin. In parallel, we have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CellFX platform in the treatment of atrial fibrillation and in a select few other markets where it could have a profound positive impact on healthcare for both patients and providers, such as surgical soft tissue ablation.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CellFX nsPFA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product for soft tissue ablation in a surgical setting, the nsPFA Percutaneous Electrode System, consists of a disposable, percutaneous, needle electrode for use with our proprietary CellFX Console. This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post-procedure showed treated portions of the benign thyroid nodules were mostly resorbed with no sign of scarring or fibrosis by ultrasound, which can be a side effect of other ablation modalities using thermal energies.</w:t>
      </w:r>
    </w:p>
    <w:p>
      <w:pPr>
        <w:spacing w:after="0" w:line="1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nsPFA Percutaneous Electrode System in the United States. In March 2024, we received FDA 510(k) clearance for our nsPFA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Having secured 510(k) clearance to market and sell the nsPFA Percutaneous Electrode System in the United States with different sizes of percutaneous electrode needles, we have engaged with experts in the field of soft tissue ablation to gather information that will help shape our future commercial endeavors. To date, we have placed our CellFX System with eight sites in the United States and these sites have been performing initial patient treatments and evaluating the CellFX System under short-term evaluation agreements. To date, the clinicians in our pilot program have completed more than 70 patient procedures. We expect to pursue more clinical evidenced-based milestones throughout 2025 in connection with evaluating the early pilot commercialization of our percutaneous electrodes, and we expect to commence a pivotal clinical trial in mid-2025 to support a specific labeling indication to commercialize the nsPFA Percutaneous Electrode System in the United States as a treatment for benign thyroid nodules.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results of preclinical and clinical testing of both our nsPFA cardiac products, namely our surgical ablation clamp and our endocardial ablation catheter, have exceeded our expectations and initial data have been presented at physician and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CellFX nsPFA Cardiac Clamp</w:t>
      </w:r>
    </w:p>
    <w:p>
      <w:pPr>
        <w:sectPr>
          <w:pgSz w:w="11900" w:h="16838" w:orient="portrait"/>
          <w:cols w:equalWidth="0" w:num="1">
            <w:col w:w="11240"/>
          </w:cols>
          <w:pgMar w:left="320" w:top="121" w:right="339" w:bottom="0" w:gutter="0" w:footer="0" w:header="0"/>
        </w:sectPr>
      </w:pPr>
    </w:p>
    <w:bookmarkStart w:id="47" w:name="page48"/>
    <w:bookmarkEnd w:id="47"/>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We believe our nsPFA technology can provide important advantages over today’s thermal modalities in creating these ablation lines. For example, surgeons using the CellFX System should be able to deliver faster ablations and through thicker tissue than thermal modalities because of the nonthermal mechanism of action that nsPFA employs, which is not affected by heatsinks such as blood in the heart. In preclinical studies, our nsPFA Cardiac Clamp has consistently achieved transmural ablations in less than two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Today, we plan to pursue a PMA application for FDA approval to market the cardiac clamp specifically as a surgical way to treat AF. Seeking an AF indication through a PMA application will require pivotal clinical data to support the application. We expect to begin our pivotal clinical trial of the cardiac surgical clamp for AF in mid-2025. With PMA approval, we expect that we would then commercialize the nsPFA Cardiac Surgery System in the United States specifically as a treatment for AF. Separately, we have already enrolled thirty patients in our first-in-human clinical study of the cardiac clamp, a multi-site study of AF in the Netherlands. All of the patients in our first-in-human study have tolerated the procedure well and acute data have been encouraging. We expect data from this study will provide important support for our IDE submission for the pivotal clinical trial as well as initial evidence of the effectiveness and safety of our cardiac surgical ablation clamp as a surgical way to treat AF.</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CellFX nsPFA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Cardiac Catheter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cardiac, endocardial, catheter ablation device will have many of the same advantages that the surgical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w:t>
      </w:r>
    </w:p>
    <w:p>
      <w:pPr>
        <w:spacing w:after="0" w:line="18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nsPFA 360° Cardiac Catheter in patients with AF and both acute data and remapping data from this study have been promising. We therefore expanded the initial clinical protocol in 2024 to enroll more than 80 patients, from 30, and to include participation by two additional sites. The study is now almost fully enrolled. Investigators have successfully remapped more than half of the study participants and we have been encouraged by the results seen in the study. Therefore, given the compelling data to date, we expect to commence a U.S. IDE pivotal clinical study of our proprietary 360° cardiac catheter sometime in mid-2025. We continue to believe we will need PMA approval from the FDA in order to market and sell our catheter in the United States.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The CellFX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CellFX Console is a tunable, software-enabled, console-based platform, designed to accommodate the clinical workflow preferred by physicians. The CellFX System is configured to accept a variety of disposable applicators or electrodes across a range of clinical applications. In February 2021, we received 510(k) clearance from the FDA for the CellFX System for dermatologic procedures requiring ablation and resurfacing of the skin. In January 2021, we received Conformité Européene (“CE”) marking approval for the CellFX System, which allows for marketing of the system in the European Union (“EU”). Shortly after these regulatory clearances, we began commercializing the CellFX System in dermatology for the treatment of benign skin lesions. However, in September 2022, we announced a shift in our focus from dermatology to cardiology and soft tissue ablation. We have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nsPFA Percutaneous Electrode System.</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Co-Chairman, has made significant investments in our Company to fund its operations. In June 2022, we completed a common stock rights offering to our existing stockholders, which raised $15 million in aggregate. Mr. Duggan purchased approximately 56% of the shares offered through this offering. Then, in September 2022, we entered into a loan agreement with Mr. Duggan pursuant to which he lent us $65 million to fund our product development operations. In April 2023, this loan agreement was terminated when Mr. Duggan and the Company entered into a Securities Purchase Agreement whereby the shares were paid for through the cancellation of both the principal sum of $65.0 million and all accrued and unpaid interest owed at the time under the 2022 Loan Agreement, which totaled approximately $0.2 million. In June 2024, we completed a rights offering of units (each unit comprising a share of our common stock and two warrants, each to purchase a one-half share of our common stock) to our existing stockholders, which raised $60 million in aggregate. Mr. Duggan purchased approximately 88% of the shares offered through this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in order to maintain the Company as a going concern.</w:t>
      </w:r>
    </w:p>
    <w:p>
      <w:pPr>
        <w:sectPr>
          <w:pgSz w:w="11900" w:h="16838" w:orient="portrait"/>
          <w:cols w:equalWidth="0" w:num="1">
            <w:col w:w="11240"/>
          </w:cols>
          <w:pgMar w:left="320" w:top="121" w:right="339" w:bottom="144" w:gutter="0" w:footer="0" w:header="0"/>
        </w:sectPr>
      </w:pPr>
    </w:p>
    <w:bookmarkStart w:id="49" w:name="page50"/>
    <w:bookmarkEnd w:id="49"/>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the Middle East and Ukraine and high interest rates, together with other market factors, could have an adverse impact on potential sources of future financing.</w:t>
      </w:r>
    </w:p>
    <w:p>
      <w:pPr>
        <w:spacing w:after="0" w:line="19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have incurred substantial operating losses and have used cash in our operating activities since inception. To fund our business, we may utilize some combination of public or private equity offerings, debt financings, or potential new collaborations in the future. There can be no assurance, however, that any additional financing or any revenue-generating collaboration will be available when needed or that we will be able to obtain financing or enter into a collaboration on terms acceptable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discussion and analysis of financial condition and results of operations is based upon our consolidated financial statements, which have been prepared in accordance with the rules and regulations of the SEC.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 We continually evaluate the accounting policies and estimates used in preparing our consolidated financial statements.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 In October 2024, our Board approved changes to the vesting conditions of certain outstanding common stock option awards so that the performance-based vesting criteria of those particular awards were modified to either time-based or market-based vesting criteria.</w:t>
      </w:r>
    </w:p>
    <w:p>
      <w:pPr>
        <w:spacing w:after="0" w:line="18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w:t>
      </w:r>
    </w:p>
    <w:p>
      <w:pPr>
        <w:spacing w:after="0" w:line="176"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During 2024, we issued certain stock options with market-based vesting conditions and modified certain performance-based stock option awards to market-based options. The vesting conditions related to market-based options relate to the achievement of certain market capitalization targets of the Company. Using a Monte Carlo simulation model, we estimate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model requires us to make assumptions and judgements about the variables used in the calculation including the expected volatility, the risk-free interest rate, cost of equity, and the expected term.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spacing w:after="0" w:line="17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provide a valuation allowance to reduce its deferred tax assets to the amount that is more likely than not to be realized. If we determine that we would be able to realize deferred tax assets in the future in excess of the recorded amount, an adjustment 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We account for uncertainties in income tax law under a comprehensive model for the financial statement recognition, measurement, presentation and disclosure of uncertain tax positions taken or expected to be taken in income tax returns as prescribed by Financial Accounting Standards Board (“FASB”) issued Accounting Standards Codification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are subject to U.S. federal income taxes and income taxes in California and various states.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consolidated statements of operations as discussed herein are presented below:</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6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5"/>
                <w:szCs w:val="15"/>
                <w:color w:val="auto"/>
              </w:rPr>
            </w:pPr>
          </w:p>
        </w:tc>
        <w:tc>
          <w:tcPr>
            <w:tcW w:w="126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Product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16"/>
        </w:trPr>
        <w:tc>
          <w:tcPr>
            <w:tcW w:w="6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23,921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15,777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56,257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09"/>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09"/>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revenues for the years ended December 31, 2024 and 2023.</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 Research and development expenses increased by $4.5 million to $32.3 million for the year ended December 31, 2024, compared to $27.8 million during the same period in 2023, primarily due to increases of $2.8 million in stock-based compensation, $1.6 million in compensation and other employee-related expenses, and $0.7 million in supplies; partially offset by a decrease of $0.6 million in paid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compensation and other employee-related expenses for executives, finance, legal, human resources, information technology, and administrative personnel, professional fees, patent fees and costs, insurance costs and other general corporate expenses. General and administrative expenses increased by $8.1 million to $23.9 million for the year ended December 31, 2024, compared to $15.8 million during the same period in 2023, primarily due to increases of $3.6 million in stock-based compensation, $1.2 million in legal settlement, $1.5 million in compensation and other employee-related expenses, $0.9 million in paid services and administrative costs, $0.7 million in severance cost, and $0.3 million in supplies and facilities and IT cost allocations.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left="20" w:right="20" w:firstLine="486"/>
        <w:spacing w:after="0" w:line="266" w:lineRule="auto"/>
        <w:rPr>
          <w:sz w:val="20"/>
          <w:szCs w:val="20"/>
          <w:color w:val="auto"/>
        </w:rPr>
      </w:pPr>
      <w:r>
        <w:rPr>
          <w:rFonts w:ascii="Times New Roman" w:cs="Times New Roman" w:eastAsia="Times New Roman" w:hAnsi="Times New Roman"/>
          <w:sz w:val="18"/>
          <w:szCs w:val="18"/>
          <w:color w:val="auto"/>
        </w:rPr>
        <w:t>Interest income increased by $0.2 million to $2.7 million for the year ended December 31, 2024, compared to $2.5 million during the same period in 2023, driven by increased returns on higher cash balances. Interest expense decreased by $1.1 million to zero for the year ended December 31, 2024, compared to $1.1 million during the same period in 2023, driven by interest on the 2022 Loan Agreement, which was terminated in 2023.</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Since inception, we have funded our business primarily through the issuance of equity securities and debt. Over the next few years, we intend to invest heavily in research and development to make our existing products ready for commercial launch and complete their clinical testing and to assess the feasibility of potential future products.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Robert W. Duggan, the Company’s majority stockholder and Co-Chairman, purchased approximately 56% of the shares offered through the 2022 Rights Offering. As of December 31, 2024, there were no 2022 Rights Offering Warrants outstanding.</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September 2022, we entered into the 2022 Loan Agreement with Robert W. Duggan, our majority stockholder and Co-Chairman,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but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At December 31, 2024 and 2023, there were no remaining amounts owed to Mr. Duggan under the 2022 Loan Agreement.</w:t>
      </w:r>
    </w:p>
    <w:p>
      <w:pPr>
        <w:spacing w:after="0" w:line="190" w:lineRule="exact"/>
        <w:rPr>
          <w:sz w:val="20"/>
          <w:szCs w:val="20"/>
          <w:color w:val="auto"/>
        </w:rPr>
      </w:pPr>
    </w:p>
    <w:p>
      <w:pPr>
        <w:jc w:val="both"/>
        <w:ind w:left="20" w:firstLine="450"/>
        <w:spacing w:after="0" w:line="252" w:lineRule="auto"/>
        <w:rPr>
          <w:sz w:val="20"/>
          <w:szCs w:val="20"/>
          <w:color w:val="auto"/>
        </w:rPr>
      </w:pPr>
      <w:r>
        <w:rPr>
          <w:rFonts w:ascii="Times New Roman" w:cs="Times New Roman" w:eastAsia="Times New Roman" w:hAnsi="Times New Roman"/>
          <w:sz w:val="18"/>
          <w:szCs w:val="18"/>
          <w:color w:val="auto"/>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December 31, 2024, there were 253,246 2024 Rights Offering Warrants outstanding which were subject to the 150% redemption feature and there were 1,245,237 2024 Rights Offering Warrants outstanding which were subject to the 200% redemption feature. As of December 31, 2024, we have received $49.4 million in gross proceeds from exercises of the 2024 Rights Offering Warrants.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3" w:name="page54"/>
    <w:bookmarkEnd w:id="53"/>
    <w:tbl>
      <w:tblPr>
        <w:tblLayout w:type="fixed"/>
        <w:tblInd w:w="2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53"/>
        </w:trPr>
        <w:tc>
          <w:tcPr>
            <w:tcW w:w="8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Our consolidated statements of cash flows as discussed herein are presented below:</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16,388</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73,673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date, we have generated limited revenue and used cash in our operating activities. As a result, we have incurred significant operating losses in each year since our inception and we may continue to incur additional losses for the next several years. As of December 31, 2024, we had cash and cash equivalents of $118.0 million. Additionally, subsequent to December 31, 2024, we have received $14.1 million in gross proceeds from additional exercises of 2024 Rights Offering Warrants. See Note 13 for further details. We believe that our existing cash and cash equivalents will be sufficient to fund our projected operating requirements for at least the next twelve months from the filing date of this Annual Report on Form 10-K. However, we plan to raise additional capital in the future. We can give no assurance, at this time, that additional financing or a collaboration will be available when needed on terms acceptable to us, however.</w:t>
      </w:r>
    </w:p>
    <w:p>
      <w:pPr>
        <w:spacing w:after="0" w:line="18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conflicts in Ukraine and Israel, together with the deterioration of the credit, banking and capital markets, could have an adverse impact on potential sources of future financing.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20" w:firstLine="432"/>
        <w:spacing w:after="0" w:line="266" w:lineRule="auto"/>
        <w:rPr>
          <w:sz w:val="20"/>
          <w:szCs w:val="20"/>
          <w:color w:val="auto"/>
        </w:rPr>
      </w:pPr>
      <w:r>
        <w:rPr>
          <w:rFonts w:ascii="Times New Roman" w:cs="Times New Roman" w:eastAsia="Times New Roman" w:hAnsi="Times New Roman"/>
          <w:sz w:val="18"/>
          <w:szCs w:val="18"/>
          <w:color w:val="auto"/>
        </w:rPr>
        <w:t>During 2024, we used cash of $36.3 million in operating activities. The difference between cash used in operating activities and net loss consisted primarily of stock-based compensation and depreciation and amortization, with a decrease in accounts payable, partially offset by increases in prepaid expenses and accrued expenses.</w:t>
      </w:r>
    </w:p>
    <w:p>
      <w:pPr>
        <w:spacing w:after="0" w:line="176" w:lineRule="exact"/>
        <w:rPr>
          <w:sz w:val="20"/>
          <w:szCs w:val="20"/>
          <w:color w:val="auto"/>
        </w:rPr>
      </w:pPr>
    </w:p>
    <w:p>
      <w:pPr>
        <w:jc w:val="both"/>
        <w:ind w:left="20" w:firstLine="432"/>
        <w:spacing w:after="0" w:line="266" w:lineRule="auto"/>
        <w:rPr>
          <w:sz w:val="20"/>
          <w:szCs w:val="20"/>
          <w:color w:val="auto"/>
        </w:rPr>
      </w:pPr>
      <w:r>
        <w:rPr>
          <w:rFonts w:ascii="Times New Roman" w:cs="Times New Roman" w:eastAsia="Times New Roman" w:hAnsi="Times New Roman"/>
          <w:sz w:val="18"/>
          <w:szCs w:val="18"/>
          <w:color w:val="auto"/>
        </w:rPr>
        <w:t>During 2023, we used cash of $33.0 million in operating activities. The difference between cash used in operating activities and net loss consisted primarily of stock-based compensation, depreciation and amortization, accrued interest, and right-of-use assets, partially offset by increases in accounts payable and accrued expenses.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investing activities consist primarily of capital expenditures.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2024, cash used in investing activities was $0.1 million, which was for the purchase of property and equipment.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2023, cash used in investing activities was $0.1 million, which was for the purchase of property and equipment.</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20" w:firstLine="450"/>
        <w:spacing w:after="0" w:line="261" w:lineRule="auto"/>
        <w:rPr>
          <w:sz w:val="20"/>
          <w:szCs w:val="20"/>
          <w:color w:val="auto"/>
        </w:rPr>
      </w:pPr>
      <w:r>
        <w:rPr>
          <w:rFonts w:ascii="Times New Roman" w:cs="Times New Roman" w:eastAsia="Times New Roman" w:hAnsi="Times New Roman"/>
          <w:sz w:val="18"/>
          <w:szCs w:val="18"/>
          <w:color w:val="auto"/>
        </w:rPr>
        <w:t>During 2024, cash provided from financing activities was $110.1 million, primarily due to $59.6 million of net proceeds from the 2024 Rights Offering, $49.4 million of proceeds from the exercise of common stock warrants, $0.9 million of proceeds from the exercise of stock options, and $0.5 million from the sale of stock under our employee stock purchase plan, offset by $0.3 million of deferred issuance costs in relation to a future at-the-market equity offering.</w:t>
      </w:r>
    </w:p>
    <w:p>
      <w:pPr>
        <w:spacing w:after="0" w:line="180"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During 2023, cash provided from financing activities was $16.3 million, primarily due to $14.8 million of proceeds from the exercise of common stock warrants, $1.2 million of proceeds from the exercise of stock options, and $0.4 million from the sale of stock under our employee stock purchase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left="20" w:firstLine="450"/>
        <w:spacing w:after="0" w:line="256" w:lineRule="auto"/>
        <w:rPr>
          <w:sz w:val="20"/>
          <w:szCs w:val="20"/>
          <w:color w:val="auto"/>
        </w:rPr>
      </w:pPr>
      <w:r>
        <w:rPr>
          <w:rFonts w:ascii="Times New Roman" w:cs="Times New Roman" w:eastAsia="Times New Roman" w:hAnsi="Times New Roman"/>
          <w:sz w:val="18"/>
          <w:szCs w:val="18"/>
          <w:color w:val="auto"/>
        </w:rPr>
        <w:t>We currently lease approximately 50,300 square feet of premises located in Hayward, California, which is used for our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November 2024, we leased approximately 2,000 square feet of premises located in Miami, Florida, which is used for our corporate headquarters.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term of the lease is 65 months and it commenced on November 8, 2024.</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2024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1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5</w:t>
            </w:r>
          </w:p>
        </w:tc>
      </w:tr>
      <w:tr>
        <w:trPr>
          <w:trHeight w:val="21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1 to 3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3 to 5 Years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11,212</w:t>
            </w:r>
          </w:p>
        </w:tc>
        <w:tc>
          <w:tcPr>
            <w:tcW w:w="2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2,151</w:t>
            </w:r>
          </w:p>
        </w:tc>
        <w:tc>
          <w:tcPr>
            <w:tcW w:w="2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4,527</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4,461</w:t>
            </w:r>
          </w:p>
        </w:tc>
        <w:tc>
          <w:tcPr>
            <w:tcW w:w="32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73</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2024, we did not have any transactions, obligations or relationships that constitute off-balance sheet arrangements.</w:t>
      </w:r>
    </w:p>
    <w:p>
      <w:pPr>
        <w:spacing w:after="0" w:line="225"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December 31, 2024.</w:t>
      </w: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Annual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ectPr>
          <w:pgSz w:w="11900" w:h="16838" w:orient="portrait"/>
          <w:cols w:equalWidth="0" w:num="1">
            <w:col w:w="11260"/>
          </w:cols>
          <w:pgMar w:left="300" w:top="121" w:right="33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and Market Risk</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Our exposure to interest rate and market risk is confined to our cash, cash equivalents and investments, all of which have maturities of less than one year. The goals of our investment policy are preservation of capital, fulfillment of liquidity needs and fiduciary control of our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 At December 31, 2024, we did not have any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majority of our expense and capital purchasing activities are transacted in U.S. dollars. In 2021, we expended operations and sales into Europe and Canada. While we currently have limited international operations, we may incur foreign exchange gains or losses in the future as we further commercialize and expand internationally.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60" w:type="dxa"/>
            <w:vAlign w:val="bottom"/>
            <w:gridSpan w:val="3"/>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2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8"/>
        </w:trPr>
        <w:tc>
          <w:tcPr>
            <w:tcW w:w="101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91"/>
        </w:trPr>
        <w:tc>
          <w:tcPr>
            <w:tcW w:w="10160" w:type="dxa"/>
            <w:vAlign w:val="bottom"/>
            <w:gridSpan w:val="9"/>
            <w:vMerge w:val="continue"/>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76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No. 34)</w:t>
            </w:r>
          </w:p>
        </w:tc>
        <w:tc>
          <w:tcPr>
            <w:tcW w:w="4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88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620" w:type="dxa"/>
            <w:vAlign w:val="bottom"/>
            <w:gridSpan w:val="2"/>
          </w:tcPr>
          <w:p>
            <w:pPr>
              <w:jc w:val="center"/>
              <w:ind w:left="370"/>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(Deficit) Equity</w:t>
            </w:r>
          </w:p>
        </w:tc>
        <w:tc>
          <w:tcPr>
            <w:tcW w:w="53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340" w:type="dxa"/>
            <w:vAlign w:val="bottom"/>
            <w:tcBorders>
              <w:top w:val="single" w:sz="8" w:color="0000EE"/>
            </w:tcBorders>
            <w:gridSpan w:val="2"/>
          </w:tcPr>
          <w:p>
            <w:pPr>
              <w:spacing w:after="0"/>
              <w:rPr>
                <w:sz w:val="17"/>
                <w:szCs w:val="17"/>
                <w:color w:val="auto"/>
              </w:rPr>
            </w:pPr>
          </w:p>
        </w:tc>
        <w:tc>
          <w:tcPr>
            <w:tcW w:w="57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8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940" w:type="dxa"/>
            <w:vAlign w:val="bottom"/>
            <w:gridSpan w:val="8"/>
          </w:tcPr>
          <w:p>
            <w:pPr>
              <w:jc w:val="center"/>
              <w:ind w:left="5230"/>
              <w:spacing w:after="0"/>
              <w:rPr>
                <w:sz w:val="20"/>
                <w:szCs w:val="20"/>
                <w:color w:val="auto"/>
              </w:rPr>
            </w:pPr>
            <w:r>
              <w:rPr>
                <w:rFonts w:ascii="Times New Roman" w:cs="Times New Roman" w:eastAsia="Times New Roman" w:hAnsi="Times New Roman"/>
                <w:sz w:val="18"/>
                <w:szCs w:val="18"/>
                <w:color w:val="auto"/>
                <w:w w:val="99"/>
              </w:rPr>
              <w:t>43</w:t>
            </w: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Pulse Biosciences,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Pulse Biosciences, Inc. and its wholly owned subsidiaries (the "Company") as of December 31, 2024 and 2023, the related consolidated statements of operations and comprehensive loss, stockholders' equity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Market-based Options - Refer to Notes 2 and 6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2024, the Company issued certain stock options with market-based vesting conditions and modified certain performance-based stock option awards to market-based options. The vesting conditions related to market-based options relate to the achievement of certain market capitalization targets of the Company. Using a Monte Carlo simulation model, the Company estimates the fair value of the market-based options on the grant date or modification date, with the associated stock-based compensation expense recognized over the requisite service period. The requisite service period is the service period derived from the Monte Carlo simulation model. The determination of the fair value of market-based options is estimated using the expected volatility, the risk-free interest rate, cost of equity, and the expected term.</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grant date and modification date fair value of the market-based options, audit procedures required a high degree of subjective auditor judgment necessary in evaluating the Monte Carlo simulation model and the expected volatility used and an increased extent of effort, including the need to involve our fair value specialists.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valuation of market-based options granted and modified included the following, among others:</w:t>
      </w:r>
    </w:p>
    <w:p>
      <w:pPr>
        <w:spacing w:after="0" w:line="225" w:lineRule="exact"/>
        <w:rPr>
          <w:sz w:val="20"/>
          <w:szCs w:val="20"/>
          <w:color w:val="auto"/>
        </w:rPr>
      </w:pPr>
    </w:p>
    <w:p>
      <w:pPr>
        <w:ind w:left="240" w:right="320" w:hanging="232"/>
        <w:spacing w:after="0" w:line="282"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stock option agreements and Board of Directors minutes to evaluate key terms and conditions of the market-based options granted and modified.</w:t>
      </w:r>
    </w:p>
    <w:p>
      <w:pPr>
        <w:spacing w:after="0" w:line="161" w:lineRule="exact"/>
        <w:rPr>
          <w:rFonts w:ascii="Times New Roman" w:cs="Times New Roman" w:eastAsia="Times New Roman" w:hAnsi="Times New Roman"/>
          <w:sz w:val="18"/>
          <w:szCs w:val="18"/>
          <w:color w:val="auto"/>
        </w:rPr>
      </w:pPr>
    </w:p>
    <w:p>
      <w:pPr>
        <w:jc w:val="both"/>
        <w:ind w:left="240" w:right="180" w:hanging="232"/>
        <w:spacing w:after="0" w:line="266"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market-based options granted and modified during the year by agreeing the underlying inputs, such as grant date, modification date, exercise price, and vesting conditions, among others, back to source documents, such as Board of Directors minutes and stock option agreements.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management’s valuation of the market-based options by:</w:t>
      </w:r>
    </w:p>
    <w:p>
      <w:pPr>
        <w:spacing w:after="0" w:line="225"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Monte Carlo simulation model and the reasonableness of the valuation assumptions, including the expected volatility.</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○Independently calculating a fair value estimate for the market-based options.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2024 Rights Offering and Subscription Rights and 2024 Rights Offering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Refer to Note 6 to the financial statements</w:t>
      </w:r>
    </w:p>
    <w:p>
      <w:pPr>
        <w:sectPr>
          <w:pgSz w:w="11900" w:h="16838" w:orient="portrait"/>
          <w:cols w:equalWidth="0" w:num="1">
            <w:col w:w="11240"/>
          </w:cols>
          <w:pgMar w:left="320" w:top="121" w:right="339"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2024, the Company initiated a rights offering (the “2024 Rights Offering”) and distributed non-transferable subscriptions rights at no charge to all holders of the Company’s common stock as of the close of business on May 31, 2024 (the “Record Date”) to purchase up to an aggregate of six million units (the “2024 Units”). Each 2024 Unit consisted of one share of the Company’s common stock and two warrants, each being a warrant to purchase one-half of one share of common stock. The Company determined that the issuance of the subscription rights represent a pro-rata distribution issued to existing stockholders as of the Record Date. The Company further concluded that the subscription rights and warrants represent equity-classified instruments. The Company determined the fair value of the subscription rights as of the Record Date, which involved the use of a Monte Carlo simulation model to value the underlying warrants. The Monte Carlo simulation model is based on certain unobservable inputs, such as a risk-free interest rate, stock price volatility, dividend yield, and expected term of the rights offering.</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the complexity in applying the accounting framework and the significant judgments made by management in the valuation of the subscription rights, audit procedures required an increased extent of effort to evaluate the accounting conclusion that the subscription rights and the warrants were appropriately identified to be equity-classified instruments and a high degree of subjective auditor judgment necessary in evaluating the Monte Carlo simulation model and the stock price volatility used in the valuation of the subscription rights, including the need to involve our fair value specialists and professionals in our firm having expertise in financial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evaluation of the accounting conclusion that the subscription rights and the warrants were appropriately identified to be equity-classified instruments and the valuation of the subscription rights included the following, among others:</w:t>
      </w:r>
    </w:p>
    <w:p>
      <w:pPr>
        <w:spacing w:after="0" w:line="162" w:lineRule="exact"/>
        <w:rPr>
          <w:sz w:val="20"/>
          <w:szCs w:val="20"/>
          <w:color w:val="auto"/>
        </w:rPr>
      </w:pPr>
    </w:p>
    <w:p>
      <w:pPr>
        <w:ind w:left="240" w:right="100" w:hanging="232"/>
        <w:spacing w:after="0" w:line="266" w:lineRule="auto"/>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agreements associated with the 2024 Rights Offering and tested the accuracy and completeness of the significant terms identified by management for purposes of determining the appropriate accounting treatment, including the accounting conclusion that the subscription rights and the warrants were appropriately identified to be equity-classified instruments.</w:t>
      </w:r>
    </w:p>
    <w:p>
      <w:pPr>
        <w:spacing w:after="0" w:line="175" w:lineRule="exact"/>
        <w:rPr>
          <w:rFonts w:ascii="Times New Roman" w:cs="Times New Roman" w:eastAsia="Times New Roman" w:hAnsi="Times New Roman"/>
          <w:sz w:val="18"/>
          <w:szCs w:val="18"/>
          <w:color w:val="auto"/>
        </w:rPr>
      </w:pPr>
    </w:p>
    <w:p>
      <w:pPr>
        <w:ind w:left="240" w:right="380" w:hanging="232"/>
        <w:spacing w:after="0" w:line="312" w:lineRule="auto"/>
        <w:tabs>
          <w:tab w:leader="none" w:pos="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professionals in our firm having expertise in the accounting treatment for financial instruments, we evaluated the Company’s conclusions regarding the accounting treatment applied to the subscription rights and underlying warrants as equity-classified instruments.</w:t>
      </w:r>
    </w:p>
    <w:p>
      <w:pPr>
        <w:spacing w:after="0" w:line="139"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management’s valuation of the subscription rights by:</w:t>
      </w:r>
    </w:p>
    <w:p>
      <w:pPr>
        <w:spacing w:after="0" w:line="225" w:lineRule="exact"/>
        <w:rPr>
          <w:rFonts w:ascii="Times New Roman" w:cs="Times New Roman" w:eastAsia="Times New Roman" w:hAnsi="Times New Roman"/>
          <w:sz w:val="18"/>
          <w:szCs w:val="18"/>
          <w:color w:val="auto"/>
        </w:rPr>
      </w:pPr>
    </w:p>
    <w:p>
      <w:pPr>
        <w:ind w:left="340" w:right="200" w:hanging="12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Monte Carlo simulation model used to value the underlying warrants, and the reasonableness of the valuation assumptions, including the stock price volatility.</w:t>
      </w:r>
    </w:p>
    <w:p>
      <w:pPr>
        <w:spacing w:after="0" w:line="161"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calculating a fair value estimate for the underlying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118,038</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132,460</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59,154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14,794</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 shares; no shares issued and outstanding</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 shares; issued and outstanding – 65,926 shares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55,144 shares at December 31, 2024 and 2023, respectively</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505,296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381,220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(390,500)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(336,915)</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114,862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44,360</w:t>
            </w:r>
          </w:p>
        </w:tc>
      </w:tr>
      <w:tr>
        <w:trPr>
          <w:trHeight w:val="25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59,154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582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20" w:type="dxa"/>
            <w:vAlign w:val="bottom"/>
            <w:gridSpan w:val="2"/>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20" w:type="dxa"/>
            <w:vAlign w:val="bottom"/>
            <w:gridSpan w:val="2"/>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revenues</w:t>
            </w:r>
          </w:p>
        </w:tc>
        <w:tc>
          <w:tcPr>
            <w:tcW w:w="58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9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4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27,797</w:t>
            </w:r>
          </w:p>
        </w:tc>
      </w:tr>
      <w:tr>
        <w:trPr>
          <w:trHeight w:val="216"/>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15,777</w:t>
            </w:r>
          </w:p>
        </w:tc>
      </w:tr>
      <w:tr>
        <w:trPr>
          <w:trHeight w:val="209"/>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49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43,574</w:t>
            </w:r>
          </w:p>
        </w:tc>
      </w:tr>
      <w:tr>
        <w:trPr>
          <w:trHeight w:val="209"/>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9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(56,257)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(43,574)</w:t>
            </w:r>
          </w:p>
        </w:tc>
      </w:tr>
      <w:tr>
        <w:trPr>
          <w:trHeight w:val="210"/>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49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r>
      <w:tr>
        <w:trPr>
          <w:trHeight w:val="209"/>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49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r>
      <w:tr>
        <w:trPr>
          <w:trHeight w:val="21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4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(42,210)</w:t>
            </w:r>
          </w:p>
        </w:tc>
      </w:tr>
      <w:tr>
        <w:trPr>
          <w:trHeight w:val="216"/>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9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(42,210)</w:t>
            </w:r>
          </w:p>
        </w:tc>
      </w:tr>
      <w:tr>
        <w:trPr>
          <w:trHeight w:val="25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8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(53,585)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w:t>
            </w:r>
          </w:p>
        </w:tc>
      </w:tr>
      <w:tr>
        <w:trPr>
          <w:trHeight w:val="196"/>
        </w:trPr>
        <w:tc>
          <w:tcPr>
            <w:tcW w:w="31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49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56"/>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9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196"/>
        </w:trPr>
        <w:tc>
          <w:tcPr>
            <w:tcW w:w="8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net loss per common share — basic and diluted</w:t>
            </w:r>
          </w:p>
        </w:tc>
        <w:tc>
          <w:tcPr>
            <w:tcW w:w="6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58,398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49,737</w:t>
            </w: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19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8"/>
                <w:szCs w:val="18"/>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7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37,235</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292,420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236" w:lineRule="exact"/>
              <w:rPr>
                <w:sz w:val="20"/>
                <w:szCs w:val="20"/>
                <w:color w:val="auto"/>
              </w:rPr>
            </w:pPr>
            <w:r>
              <w:rPr>
                <w:rFonts w:ascii="Times New Roman" w:cs="Times New Roman" w:eastAsia="Times New Roman" w:hAnsi="Times New Roman"/>
                <w:sz w:val="14"/>
                <w:szCs w:val="14"/>
                <w:color w:val="auto"/>
              </w:rPr>
              <w:t>(294,705</w:t>
            </w:r>
            <w:r>
              <w:rPr>
                <w:rFonts w:ascii="Times New Roman" w:cs="Times New Roman" w:eastAsia="Times New Roman" w:hAnsi="Times New Roman"/>
                <w:sz w:val="27"/>
                <w:szCs w:val="27"/>
                <w:color w:val="auto"/>
                <w:vertAlign w:val="superscript"/>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236" w:lineRule="exact"/>
              <w:rPr>
                <w:sz w:val="20"/>
                <w:szCs w:val="20"/>
                <w:color w:val="auto"/>
              </w:rPr>
            </w:pPr>
            <w:r>
              <w:rPr>
                <w:rFonts w:ascii="Times New Roman" w:cs="Times New Roman" w:eastAsia="Times New Roman" w:hAnsi="Times New Roman"/>
                <w:sz w:val="14"/>
                <w:szCs w:val="14"/>
                <w:color w:val="auto"/>
              </w:rPr>
              <w:t>(2,248</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tcPr>
          <w:p>
            <w:pPr>
              <w:ind w:left="180"/>
              <w:spacing w:after="0" w:line="169" w:lineRule="exact"/>
              <w:rPr>
                <w:sz w:val="20"/>
                <w:szCs w:val="20"/>
                <w:color w:val="auto"/>
              </w:rPr>
            </w:pPr>
            <w:r>
              <w:rPr>
                <w:rFonts w:ascii="Times New Roman" w:cs="Times New Roman" w:eastAsia="Times New Roman" w:hAnsi="Times New Roman"/>
                <w:sz w:val="16"/>
                <w:szCs w:val="16"/>
                <w:color w:val="auto"/>
              </w:rPr>
              <w:t>Issuance of common stock as part of debt extinguishment,</w:t>
            </w: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of issuance costs of $6</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10,023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65,243</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exercise of warrants, net of</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 of $9</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14,828</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shares under employee stock purchase plan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148"/>
        </w:trPr>
        <w:tc>
          <w:tcPr>
            <w:tcW w:w="41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
        </w:trPr>
        <w:tc>
          <w:tcPr>
            <w:tcW w:w="418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jc w:val="right"/>
              <w:ind w:right="43"/>
              <w:spacing w:after="0" w:line="68" w:lineRule="exact"/>
              <w:rPr>
                <w:sz w:val="20"/>
                <w:szCs w:val="20"/>
                <w:color w:val="auto"/>
              </w:rPr>
            </w:pPr>
            <w:r>
              <w:rPr>
                <w:rFonts w:ascii="Times New Roman" w:cs="Times New Roman" w:eastAsia="Times New Roman" w:hAnsi="Times New Roman"/>
                <w:sz w:val="7"/>
                <w:szCs w:val="7"/>
                <w:color w:val="auto"/>
              </w:rPr>
              <w:t>(42,210</w:t>
            </w: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jc w:val="right"/>
              <w:ind w:right="22"/>
              <w:spacing w:after="0" w:line="68" w:lineRule="exact"/>
              <w:rPr>
                <w:sz w:val="20"/>
                <w:szCs w:val="20"/>
                <w:color w:val="auto"/>
              </w:rPr>
            </w:pPr>
            <w:r>
              <w:rPr>
                <w:rFonts w:ascii="Times New Roman" w:cs="Times New Roman" w:eastAsia="Times New Roman" w:hAnsi="Times New Roman"/>
                <w:sz w:val="7"/>
                <w:szCs w:val="7"/>
                <w:color w:val="auto"/>
              </w:rPr>
              <w:t>(42,210</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55,144</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381,220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color w:val="auto"/>
              </w:rPr>
              <w:t>(336,915</w:t>
            </w:r>
            <w:r>
              <w:rPr>
                <w:rFonts w:ascii="Times New Roman" w:cs="Times New Roman" w:eastAsia="Times New Roman" w:hAnsi="Times New Roman"/>
                <w:sz w:val="27"/>
                <w:szCs w:val="27"/>
                <w:color w:val="auto"/>
                <w:vertAlign w:val="superscript"/>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44,360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6"/>
                <w:szCs w:val="16"/>
                <w:color w:val="auto"/>
              </w:rPr>
              <w:t>Issuance of common stock and warrants in connection with</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offering, net of issuance costs of $364</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59,636</w:t>
            </w:r>
          </w:p>
        </w:tc>
        <w:tc>
          <w:tcPr>
            <w:tcW w:w="0" w:type="dxa"/>
            <w:vAlign w:val="bottom"/>
          </w:tcPr>
          <w:p>
            <w:pPr>
              <w:spacing w:after="0"/>
              <w:rPr>
                <w:sz w:val="1"/>
                <w:szCs w:val="1"/>
                <w:color w:val="auto"/>
              </w:rPr>
            </w:pPr>
          </w:p>
        </w:tc>
      </w:tr>
      <w:tr>
        <w:trPr>
          <w:trHeight w:val="189"/>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exercise of warrants, net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of $1</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49,516</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shares under employee stock purchase plan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shares in at-the-market offering, net of issuance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of $24</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equity-classified subscription rights as part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rights offering (Note 6)</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47,700</w:t>
            </w:r>
          </w:p>
        </w:tc>
        <w:tc>
          <w:tcPr>
            <w:tcW w:w="0" w:type="dxa"/>
            <w:vAlign w:val="bottom"/>
          </w:tcPr>
          <w:p>
            <w:pPr>
              <w:spacing w:after="0"/>
              <w:rPr>
                <w:sz w:val="1"/>
                <w:szCs w:val="1"/>
                <w:color w:val="auto"/>
              </w:rPr>
            </w:pPr>
          </w:p>
        </w:tc>
      </w:tr>
      <w:tr>
        <w:trPr>
          <w:trHeight w:val="192"/>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Rights offering deemed pro-rata distribution to</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(Note 6)</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(47,700)</w:t>
            </w: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13,586</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(53,585)</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65,926</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505,296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color w:val="auto"/>
              </w:rPr>
              <w:t>(390,500</w:t>
            </w:r>
            <w:r>
              <w:rPr>
                <w:rFonts w:ascii="Times New Roman" w:cs="Times New Roman" w:eastAsia="Times New Roman" w:hAnsi="Times New Roman"/>
                <w:sz w:val="27"/>
                <w:szCs w:val="27"/>
                <w:color w:val="auto"/>
                <w:vertAlign w:val="superscript"/>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114,862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 on related party note payable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warrants in relation to rights offering, net of issuance</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cost in relation to related party note extinguishment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issuance costs in relation to future at-the-market equity offering</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110,141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16,388</w:t>
            </w: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44,365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61,139</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118,038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44,365</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accrued interest of related party note settled via issuance of common stock</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 from exercise of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purchases included in 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offering and warrant issuance costs in 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tissue. NPS technology, also referred to as a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efforts on the use of nsPFA and the CellFX platform in the treatment of atrial fibrillation (“AF”), and in a select few other markets where nsPFA could have a profound positive impact on healthcare for both patients and providers, such as surgical soft tissue ablation.</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was incorporated in Nevada on May 19, 2014. On June 18, 2018, the Company reincorporated from the State of Nevada to the State of Delaware. The Company is headquartered in Miami, Florida, with its principal operating facility located in Hayward, California.</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need for additional capital. The Company does not currently have any material cash flows from operations. It has had minimal revenue since inception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and recognition of stock-based compensation, the valuation of equity-classified subscription rights,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The Company places its cash equivalents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believes the carrying amounts of its financial instruments, including cash equivalents, prepaid expenses and other current assets, accounts payable and accrued expenses, approximate fair value due to the short-term nature of such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invests its cash primarily in money market funds. The Company considers all highly liquid investments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cost and depreciated using the straight-line method over their estimated useful lives, ranging from three to five years. Leasehold improvements are amortized using the straight-line method over the shorter of the lease term or estimated useful life. Upon the sale or retirement of property and equipment, the costs and related accumulated depreciation and amortization are removed from the balance sheet and the resulting gain or loss is reflected in operating expenses. Maintenance and repairs are charged to operations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intangible assets consist of acquired patents and licenses, which are amortized over their estimated useful lives of twelve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records goodwill when the consideration paid in a business acquisition exceeds the fair value of the net tangible assets and the identified intangible assets acquired. The Company reviews goodwill for impairment at the reporting unit level, of which there is one reportable unit, at least annually or whenever changes in circumstances indicate that the carrying value of the goodwill may not be recoverable. To date, there has been no impairment of goodwill.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stock-based compensation programs include stock options and an employee stock purchase program.</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not recognize compensation expense until it is probable that the performance-based vesting condition will be achieved. The analysis to determine such probability involves estimates and judgements from management and the estimate of expense may be revised periodically. In October 2024, the Board approved changes to the vesting conditions of certain outstanding common stock option awards so that the performance-based vesting criteria of those particular awards were modified to either time-based or market-based vesting criteria.</w:t>
      </w:r>
    </w:p>
    <w:p>
      <w:pPr>
        <w:spacing w:after="0" w:line="18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During 2024, the Company issued certain stock options with market-based vesting conditions and modified certain performance-based stock option awards to market-based options. These vesting conditions relate to the achievement of certain market capitalization targets of the Company. Using a Monte Carlo simulation model, the Company estimated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model requires the Company to make assumptions and judgements about the variables used in the calculation including the expected volatility, the risk-free interest rate, cost of equity, and the expected term. The assumptions used in the option-pricing model represent management’s best estimates. If factors change and different assumptions are used, the Company's stock-based compensation expense could be materially different in the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6 for a detailed discussion of the Company’s stock plans and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Research and development costs consist primarily of compensation costs,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costs incurred by the Company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During both of the years ended December 31, 2024 and 2023, patent costs totaled $0.5 million, respectively. Patent costs are included in general and administrative costs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to the amount that is more-likely-than-not to be realized. In the event the Company determines that it would be able to realize its deferred tax assets in the future in excess of its recorded amount, an adjustment to the deferred tax assets would be credited to operations in the period such determination was made. Likewise, should the Company determine that it would not be able to realize all or part of its deferred tax assets in the future, an adjustment to the deferred tax assets would be charged to operations in the period such determination was made.</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taxes and state income taxes in various states. As the Company’s net operating losses have yet to be utilized, previous tax years remain open to examination by federal authorities and other jurisdictions in which the Company currently operates or has operated in the past. The Company is not currently under examination by any tax authority.</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more-likely-than-not to be sustained by the taxing authority as of the reporting date. If the tax position is not considered more-likely-than-not to be sustained, then no benefits of the position are recognized. At December 31, 2024 and 2023, the Company had not recorded any liability for uncertain tax positions. The Company includes interest and penalties related to uncertain tax positions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displays comprehensive loss, and if applicable its components, as part of the consolidated statements of operations and comprehensive loss. There were no adjustments to comprehensive loss during both of the years ended December 31, 2024 and 2023.</w:t>
      </w:r>
    </w:p>
    <w:p>
      <w:pPr>
        <w:sectPr>
          <w:pgSz w:w="11900" w:h="16838" w:orient="portrait"/>
          <w:cols w:equalWidth="0" w:num="1">
            <w:col w:w="11240"/>
          </w:cols>
          <w:pgMar w:left="320" w:top="121" w:right="339" w:bottom="798"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81"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Based on the Accounting Standards Codification ("ASC") </w:t>
      </w:r>
      <w:r>
        <w:rPr>
          <w:rFonts w:ascii="Times New Roman" w:cs="Times New Roman" w:eastAsia="Times New Roman" w:hAnsi="Times New Roman"/>
          <w:sz w:val="18"/>
          <w:szCs w:val="18"/>
          <w:i w:val="1"/>
          <w:iCs w:val="1"/>
          <w:color w:val="auto"/>
        </w:rPr>
        <w:t>260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55, Earnings Per Share - Implementation Guidance and Illustrations</w:t>
      </w:r>
      <w:r>
        <w:rPr>
          <w:rFonts w:ascii="Times New Roman" w:cs="Times New Roman" w:eastAsia="Times New Roman" w:hAnsi="Times New Roman"/>
          <w:sz w:val="18"/>
          <w:szCs w:val="18"/>
          <w:color w:val="auto"/>
        </w:rPr>
        <w:t>, the Company determined that the 2024 Rights Offering (Note 6), contained a bonus element. A rights offering is deemed to have a bonus element when the exercise price at issuance is less than fair value of the Company's stock. The Company has retroactively adjusted earnings per share and weighted average number of shares outstanding for the bonus element for prior periods presented.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common share is the same for all periods presented because all warrants and stock options outstanding are anti-dilutive.</w:t>
      </w:r>
    </w:p>
    <w:p>
      <w:pPr>
        <w:spacing w:after="0" w:line="225"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outstanding stock options and warrants were excluded from the computation of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1,498,483</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10,979,332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9,466,036</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12,477,815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9,466,036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Geographical Information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has one operating and reporting segment and reports segment information in accordance with ASC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The Company’s Chief Executive Officer, who is the chief operating decision maker ("CODM"), reviews financial information on an aggregate basis for allocating and evaluating financial performance; however, the CODM is regularly provided with more detailed expense information than what is included in the Statement of Operations and Comprehensive Loss. See Note 9 for further details of the Company's segment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require disclosures, on an annual and interim basis, of significant segment expenses that are regularly provided to the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See Note 9 for details of the Company's segment reporting.</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requires greater disaggregation of information about a reporting entity's effective tax rate reconciliation as well 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December 15, 2024, with early adoption permitted. This ASU should be applied on a prospective basis although retrospective application is permitted. The Company is currently evaluating the impact the adoption of this ASU will have on its consolidated financial statements and related disclosures.</w:t>
      </w:r>
    </w:p>
    <w:p>
      <w:pPr>
        <w:spacing w:after="0" w:line="18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an amendment of the FASB Accounting Standards Codification. The amendments in this ASU are related to the removal of various references to FASB Concept Statements from the codification to make clear distinctions between authoritative and non-authoritative literature in the codification. This ASU is effective for fiscal years beginning after December 15, 2024, with early adoption permitted. The Company does not believe this standard will have an impact on its consolidated financial statements and related disclosures.</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w:t>
      </w:r>
    </w:p>
    <w:p>
      <w:pPr>
        <w:sectPr>
          <w:pgSz w:w="11900" w:h="16838" w:orient="portrait"/>
          <w:cols w:equalWidth="0" w:num="1">
            <w:col w:w="11240"/>
          </w:cols>
          <w:pgMar w:left="320" w:top="121" w:right="339" w:bottom="1149"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9"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based on a fair value hierarchy that prioritizes the inputs to valuation techniques used to measure fair value into three levels:</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which are directly observable for the asset or liability or indirectly observable through corroboration with observable market data. The Company did not classify any of its investments within Level 2 of the fair value hierarchy.</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measured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113,776</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113,776</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113,776</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113,776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41,184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41,184</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41,184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41,184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did not record impairment charges related to its cash equivalents. During the years ended December 31, 2024 and 2023, the Company did not have any transfers between Level 1, Level 2 or Level 3 of the fair value hierarchy. Additionally, the Company did not have any financial liabilities measured on a recurring basis as of December 31, 2024 or 2023.</w:t>
      </w:r>
    </w:p>
    <w:p>
      <w:pPr>
        <w:spacing w:after="0" w:line="200" w:lineRule="exact"/>
        <w:rPr>
          <w:sz w:val="20"/>
          <w:szCs w:val="20"/>
          <w:color w:val="auto"/>
        </w:rPr>
      </w:pPr>
    </w:p>
    <w:p>
      <w:pPr>
        <w:spacing w:after="0" w:line="215" w:lineRule="exact"/>
        <w:rPr>
          <w:sz w:val="20"/>
          <w:szCs w:val="20"/>
          <w:color w:val="auto"/>
        </w:rPr>
      </w:pPr>
    </w:p>
    <w:p>
      <w:pPr>
        <w:ind w:left="460" w:right="8520" w:hanging="452"/>
        <w:spacing w:after="0" w:line="532" w:lineRule="auto"/>
        <w:tabs>
          <w:tab w:leader="none" w:pos="19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2,519</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each of the years ended December 31, 2024 and 2023, was $0.5 million, respectively.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 license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(“SRA”) with Old Dominion University’s Frank Reidy Research Center for Bioelectrics, a leading research organization in the field, which includes certain intellectual property rights arising from the research. The Company is amortizing the intangible assets over an estimated useful life of 12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patents and licenses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7,985</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 schedule of the amortization of intangible assets is as follows (in thousands):</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4,097</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fees and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recorded goodwill of $2.8 million in connection with the acquisitions, which represents the excess of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over the fair value of net tangible and intangible assets acquired.</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or whenever changes in circumstances indicate that the carrying amount of goodwill may not be recoverable. Based on the Company’s annual assessment as of December 31, 2024, the Company determined that its goodwill was not impaired.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left="20" w:firstLine="396"/>
        <w:spacing w:after="0" w:line="266" w:lineRule="auto"/>
        <w:rPr>
          <w:sz w:val="20"/>
          <w:szCs w:val="20"/>
          <w:color w:val="auto"/>
        </w:rPr>
      </w:pPr>
      <w:r>
        <w:rPr>
          <w:rFonts w:ascii="Times New Roman" w:cs="Times New Roman" w:eastAsia="Times New Roman" w:hAnsi="Times New Roman"/>
          <w:sz w:val="18"/>
          <w:szCs w:val="18"/>
          <w:color w:val="auto"/>
        </w:rPr>
        <w:t>The Company has authorized a total of 50,000,000 shares of preferred stock, par value $0.001 per share, none of which were outstanding at December 31, 2024 and 2023. The Company’s Board of Directors (the “Board”) has the authority to issue preferred stock and to determine the rights, preferences, privileges, and restrictions, including voting rights, without any further vote or action by the Company’s stockholders.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authorized a total of 500,000,000 shares of common stock, par value $0.001 per share.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and Subscription Rights</w:t>
      </w:r>
    </w:p>
    <w:p>
      <w:pPr>
        <w:spacing w:after="0" w:line="229" w:lineRule="exact"/>
        <w:rPr>
          <w:sz w:val="20"/>
          <w:szCs w:val="20"/>
          <w:color w:val="auto"/>
        </w:rPr>
      </w:pPr>
    </w:p>
    <w:p>
      <w:pPr>
        <w:jc w:val="both"/>
        <w:ind w:left="20" w:firstLine="450"/>
        <w:spacing w:after="0" w:line="252" w:lineRule="auto"/>
        <w:rPr>
          <w:sz w:val="20"/>
          <w:szCs w:val="20"/>
          <w:color w:val="auto"/>
        </w:rPr>
      </w:pPr>
      <w:r>
        <w:rPr>
          <w:rFonts w:ascii="Times New Roman" w:cs="Times New Roman" w:eastAsia="Times New Roman" w:hAnsi="Times New Roman"/>
          <w:sz w:val="18"/>
          <w:szCs w:val="18"/>
          <w:color w:val="auto"/>
        </w:rPr>
        <w:t>On March 28, 2024, the Company announced that its Board unanimously approved plans to initiate a rights offering, whereby the Company would distribute non-transferable subscription rights at no charge to all holders of the Company's common stock, par value $0.001 per share (the "Common Stock"), as of the close of business on a record date to be determined. On May 20, 2024, the Company announced that the Board had set May 31, 2024 as the record date (the "Record Date"). All holders of Common Stock as of the Record Date received non-transferable subscription rights to purchase up to an aggregate of six million units (the "2024 Units") with an aggregate offering value of up to $60 million (the "2024 Rights Offering") at a price per 2024 Unit equal to the lesser of: (i) $10 (the "Initial Price") and (ii) the volume weighted average price of the Common Stock for the ten trading day period through and including the expiration date, June 26, 2024 (the "Expiration Date"), of the Rights Offering (the "Alternate Price"). Each subscription right entitled the holder to purchase 0.10864186 2024 Units for each share of Common Stock owned as of the Record Date. Each 2024 Unit consisted of one share of Common Stock and two warrants, each being a warrant to purchase one-half of one share of Common Stock. The subscription rights were to expire and have no value if they were not exercised prior to the Expiration Date. The Company determined that the equity-classified subscription rights represent a pro-rata distribution issued to existing stockholders as of the Record Date, which is based on a purchase price of $10 per 2024 Unit as compared to (1) the price of $11.55 per one share of Common Stock on the Record Date, plus (2) the value of the warrants on the Record Date. The Company determined the fair value of the equity-classified subscription rights as of the Record Date, which involved the use of a Monte Carlo simulation model to value the underlying warrants. The Monte Carlo simulation model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w:t>
      </w:r>
    </w:p>
    <w:p>
      <w:pPr>
        <w:spacing w:after="0" w:line="192" w:lineRule="exact"/>
        <w:rPr>
          <w:sz w:val="20"/>
          <w:szCs w:val="20"/>
          <w:color w:val="auto"/>
        </w:rPr>
      </w:pPr>
    </w:p>
    <w:p>
      <w:pPr>
        <w:jc w:val="both"/>
        <w:ind w:left="20" w:firstLine="450"/>
        <w:spacing w:after="0" w:line="255"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See 2024 Rights Offering Warrants below for additional details of the warrants. Robert W. Duggan, the Company’s majority stockholder and Co-Chairman, purchased approximately 88% of the units offered through the 2024 Rights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Securities Purchase Agreement</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On April 30, 2023, the Company entered into a Securities Purchase Agreement with Robert W. Duggan, the Company’s majority stockholder and Co-Chairman, pursuant to which the Company agreed to issue and sell to Mr. Duggan 10,022,937 shares of the Company’s common stock, par value $0.001 per share, in a Private Placement, at a price per share of $6.51. The parties completed the Private Placement on May 9, 2023, after satisfying all pre-closing conditions, and the Company issued the full number of shares to Mr. Duggan. The shares were paid for through the cancellation of the principal sum of $65.0 million borrowed by the Company pursuant to the 2022 Loan Agreement (See Note 7), together with all accrued and unpaid interest outstanding owed at the time of closing.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Rights Offering</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On June 9, 2022, the Company completed a rights offering (the "2022 Rights Offering") resulting in the sale of 7,317,072 units (the "Units"), at a price of $2.05 per Unit, with each Unit consisting of one share of the Company’s common stock, par value $0.001 per share, and one warrant (the "2022 Rights Offering Warrants") to purchase one share of common stock at a price of $2.05 per share. The common stock and warrants comprising the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See the 2022 Rights Offering Warrants section below for further details. Robert W. Duggan, the Company’s majority stockholder and Co-Chairman, purchased approximately 56% of the shares offered through the 2022 Rights Offering.</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Warrants</w:t>
      </w:r>
    </w:p>
    <w:p>
      <w:pPr>
        <w:spacing w:after="0" w:line="229" w:lineRule="exact"/>
        <w:rPr>
          <w:sz w:val="20"/>
          <w:szCs w:val="20"/>
          <w:color w:val="auto"/>
        </w:rPr>
      </w:pPr>
    </w:p>
    <w:p>
      <w:pPr>
        <w:jc w:val="both"/>
        <w:ind w:left="20" w:firstLine="450"/>
        <w:spacing w:after="0" w:line="255" w:lineRule="auto"/>
        <w:rPr>
          <w:sz w:val="20"/>
          <w:szCs w:val="20"/>
          <w:color w:val="auto"/>
        </w:rPr>
      </w:pPr>
      <w:r>
        <w:rPr>
          <w:rFonts w:ascii="Times New Roman" w:cs="Times New Roman" w:eastAsia="Times New Roman" w:hAnsi="Times New Roman"/>
          <w:sz w:val="18"/>
          <w:szCs w:val="18"/>
          <w:color w:val="auto"/>
        </w:rPr>
        <w:t>In connection with the 2024 Rights Offering, the Company issued 2024 Rights Offering Warrants to purchase a total of 5,999,999 shares of its common stock at an exercise price of $11.00 per whole share, which equaled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2024 Rights Offering. Half of the warrants issued in the rights offering were redeemable for $0.01 per underlying share of common stock, on not less than thirty days’ written notice, if the VWAP of the Company’s common stock equaled or exceeded 150% of the exercise price for the warrants, or $16.50, for twenty consecutive trading days. In December 2024, the Company delivered an irrevocable notice of redemption to redeem this first tranche of common stock warrants because the VWAP of the</w:t>
      </w:r>
    </w:p>
    <w:p>
      <w:pPr>
        <w:sectPr>
          <w:pgSz w:w="11900" w:h="16838" w:orient="portrait"/>
          <w:cols w:equalWidth="0" w:num="1">
            <w:col w:w="11260"/>
          </w:cols>
          <w:pgMar w:left="300" w:top="121" w:right="339" w:bottom="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Company's common stock over the twenty consecutive trading days before the notice was $18.85. Accordingly, pursuant to the 150% redemption feature, we redeemed 18,221 warrants on the redemption date, February 5, 2025, and none of these warrants are still outstanding. The other half of the warrants issued in the rights offering remain redeemable for $0.01 per underlying share of common stock, on not less than thirty days’ written notice, but only if the VWAP of the Company’s common stock equals or exceeds 200% of the exercise price for the warrants, or $22.00, for twenty consecutive trading days. As of December 31, 2024, there were 253,246 2024 Rights Offering Warrants outstanding which were subject to the 150% redemption feature and there were 1,245,237 2024 Rights Offering Warrants outstanding which were subject to the 200% redemption feature. As of December 31, 2024, we have received $49.4 million in gross proceeds from exercises of the 2024 Rights Offering Warrants. Refer to Note 13 for disclosure of gross proceeds received subsequent to December 31, 2024.</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Rights Offering Warrants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2022 Rights Offering, the Company issued 2022 Rights Offering Warrants to purchase a total of 7,317,072 shares of its common stock at an exercise price of $2.05. The 2022 Rights Offering Warrants were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On May 10, 2023, the Company issued a press release announcing that on May 9, 2023 the terms for warrant redemption had been met. Pursuant to the redemption, the Company redeemed 66,175 warrants on the redemption date, June 16, 2023. Prior to the redemption date, warrants to purchase 7,250,897 shares were exercised, generating approximately $14.9 million of total gross proceeds to the Company. As of December 31, 2024, there were no 2022 Rights Offering Warrants outstanding.</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total warrants activity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19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3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5,999,999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Expired/Redeemed</w:t>
            </w:r>
          </w:p>
        </w:tc>
        <w:tc>
          <w:tcPr>
            <w:tcW w:w="1960" w:type="dxa"/>
            <w:vAlign w:val="bottom"/>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3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1,498,483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413"/>
        </w:trPr>
        <w:tc>
          <w:tcPr>
            <w:tcW w:w="436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55</w:t>
            </w: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 and 2017 Inducement Equity Incentive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previously adopted, and the Company’s stockholders approved, the Company’s 2017 Equity Incentive Plan (the "2017 Plan").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at both January 1, 2024 and 2023, the number of shares of common stock available under the 2017 Plan increased by 1,200,000, respectively, pursuant to the evergreen provision of the 2017 Plan. Under the evergreen provision of the 2017 Plan, the share increase is determined based on the least of (i) 1,200,000 shares, (ii) 4% of the Company’s common stock outstanding at December 31 of the immediately preceding year, or (iii) such number of shares as determined by the Board. Additionally, in December 2023, the number of shares of common stock available under the 2017 Plan increased by 1,375,000 shares as a result of a stockholder vote held at a special meeting of stockholders. As of December 31, 2024, 77,490 shares of common stock remained available for issuance under the 2017 Plan.</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November 2017, the Board of the Company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non-employee directors of the Company prior to the Inducement Plan’s adoption date. In May 2021, the Board approved an amendment to the Inducement Plan to reserve an additional 1,000,000 shares of the Company’s common stock for issuance pursuant to the Inducement Plan. And, in March 2024, the Board approved a second amendment to the Inducement Plan to reserve an additional 2,000,000 shares of the Company’s common stock for issuance pursuant to the Inducement Plan. As of December 31, 2024, 2,941,626 shares of common stock were available for issuance under the Inducement Plan.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88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4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4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4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3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9,466,036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3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3,018,643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23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Balances — December 31, 2024</w:t>
            </w:r>
          </w:p>
        </w:tc>
        <w:tc>
          <w:tcPr>
            <w:tcW w:w="3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10,979,332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r>
      <w:tr>
        <w:trPr>
          <w:trHeight w:val="20"/>
        </w:trPr>
        <w:tc>
          <w:tcPr>
            <w:tcW w:w="4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December 31, 2024</w:t>
            </w:r>
          </w:p>
        </w:tc>
        <w:tc>
          <w:tcPr>
            <w:tcW w:w="388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4,525,945</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12.74</w:t>
            </w:r>
          </w:p>
        </w:tc>
        <w:tc>
          <w:tcPr>
            <w:tcW w:w="166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4.98</w:t>
            </w:r>
          </w:p>
        </w:tc>
      </w:tr>
      <w:tr>
        <w:trPr>
          <w:trHeight w:val="413"/>
        </w:trPr>
        <w:tc>
          <w:tcPr>
            <w:tcW w:w="40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550"/>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Time-based Options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 summary of the time-based stock option activity under the 2015 Plan, 2017 Plan and Inducement Plan for the year ended December 31,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Borders>
              <w:bottom w:val="single" w:sz="8" w:color="auto"/>
            </w:tcBorders>
            <w:gridSpan w:val="6"/>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6,141,906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2,124,643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modified from performance-based to time-based</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600,113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4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8,075,265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r>
      <w:tr>
        <w:trPr>
          <w:trHeight w:val="197"/>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 December 31, 2024</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4,093,267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4.80</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4"/>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intrinsic value of time-based options exercised during the years ended</w:t>
            </w:r>
          </w:p>
        </w:tc>
        <w:tc>
          <w:tcPr>
            <w:tcW w:w="50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December 31, 2024 and 2023 was $1.9 million and $0.9 million,</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fair value of the time-based options granted to employees and directors during the years ended December 31, 2024 and 2023 was $18.7 million and $9.0 million, respectively.</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i w:val="1"/>
          <w:iCs w:val="1"/>
          <w:color w:val="auto"/>
        </w:rPr>
        <w:t>Time-based Modifications</w:t>
      </w:r>
    </w:p>
    <w:p>
      <w:pPr>
        <w:spacing w:after="0" w:line="227" w:lineRule="exact"/>
        <w:rPr>
          <w:sz w:val="20"/>
          <w:szCs w:val="20"/>
          <w:color w:val="auto"/>
        </w:rPr>
      </w:pPr>
    </w:p>
    <w:p>
      <w:pPr>
        <w:jc w:val="both"/>
        <w:ind w:left="980" w:firstLine="936"/>
        <w:spacing w:after="0" w:line="255" w:lineRule="auto"/>
        <w:rPr>
          <w:sz w:val="20"/>
          <w:szCs w:val="20"/>
          <w:color w:val="auto"/>
        </w:rPr>
      </w:pPr>
      <w:r>
        <w:rPr>
          <w:rFonts w:ascii="Times New Roman" w:cs="Times New Roman" w:eastAsia="Times New Roman" w:hAnsi="Times New Roman"/>
          <w:sz w:val="18"/>
          <w:szCs w:val="18"/>
          <w:color w:val="auto"/>
        </w:rPr>
        <w:t>In October 2024, the Board approved changes to the performance-based vesting conditions of certain unvested outstanding common stock option awards that were improbable of vesting. Specifically, 600,113 performance-based stock option awards were modified to time-based vesting criteria. The modified time-based awards will vest and become exercisable, subject to the individual’s continued employment or service through the applicable vesting date, based upon individually specific vesting schedules with annual vesting milestones. The vesting schedules have a range from two to four years. The fair value of the time-based modification awards at the modification date was $8.8 million. As a result of this modification, the Company recognized an additional $2.9 million of stock-based compensation expense during the year ended December 31, 2024.</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 Options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Certain stock options awarded to the Company’s executives and other employees contain performance conditions related to certain financial measures and achievements of strategic and operational milestones. The options will vest and become exercisable once the specific performance condition is fulfilled. In October 2024, the Board approved changes to the performance-based vesting conditions of certain unvested outstanding common stock option awards that were improbable of vesting. Specifically, certain performance-based stock option awards were changed to time-based vesting criteria and certain performance-based stock option awards were changed to market-based vesting criteria.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performance option activity under the 2017 Plan and Inducement Plan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tcBorders>
              <w:bottom w:val="single" w:sz="8" w:color="auto"/>
            </w:tcBorders>
            <w:gridSpan w:val="6"/>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1,224,130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modified from performance-based to time-based and market-based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(806,502)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4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2024</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196"/>
        </w:trPr>
        <w:tc>
          <w:tcPr>
            <w:tcW w:w="6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 December 31, 2024</w:t>
            </w: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432,678</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66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6.73</w:t>
            </w:r>
          </w:p>
        </w:tc>
      </w:tr>
      <w:tr>
        <w:trPr>
          <w:trHeight w:val="20"/>
        </w:trPr>
        <w:tc>
          <w:tcPr>
            <w:tcW w:w="6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fair value of the performance options granted to employees during the years ended December 31, 2024 and 2023 was $0.3 million and $2.0 million, respectively.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time-based and performance-based stock options on the grant date and modification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20" w:type="dxa"/>
            <w:vAlign w:val="bottom"/>
          </w:tcPr>
          <w:p>
            <w:pPr>
              <w:spacing w:after="0"/>
              <w:rPr>
                <w:sz w:val="19"/>
                <w:szCs w:val="19"/>
                <w:color w:val="auto"/>
              </w:rPr>
            </w:pPr>
          </w:p>
        </w:tc>
        <w:tc>
          <w:tcPr>
            <w:tcW w:w="15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Market-based Options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market conditions related to achievement of certain market capitalization targets. The options will vest and become exercisable once the specific market capitalization target is fulfilled.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market-based option activity under the 2017 Plan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tcBorders>
              <w:bottom w:val="single" w:sz="8" w:color="auto"/>
            </w:tcBorders>
            <w:gridSpan w:val="6"/>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modified from performance-based to market-based</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206,389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5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2024</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2,461,389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196"/>
        </w:trPr>
        <w:tc>
          <w:tcPr>
            <w:tcW w:w="63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Exercisable — December 31, 2024</w:t>
            </w:r>
          </w:p>
        </w:tc>
        <w:tc>
          <w:tcPr>
            <w:tcW w:w="15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market-based options granted to employees during the years ended December 31, 2024 and 2023 was $5.3 million and $10.5 million, respectively.</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i w:val="1"/>
          <w:iCs w:val="1"/>
          <w:color w:val="auto"/>
        </w:rPr>
        <w:t>Market-based Modifications</w:t>
      </w:r>
    </w:p>
    <w:p>
      <w:pPr>
        <w:spacing w:after="0" w:line="227" w:lineRule="exact"/>
        <w:rPr>
          <w:sz w:val="20"/>
          <w:szCs w:val="20"/>
          <w:color w:val="auto"/>
        </w:rPr>
      </w:pPr>
    </w:p>
    <w:p>
      <w:pPr>
        <w:jc w:val="both"/>
        <w:ind w:left="980" w:firstLine="936"/>
        <w:spacing w:after="0" w:line="254" w:lineRule="auto"/>
        <w:rPr>
          <w:sz w:val="20"/>
          <w:szCs w:val="20"/>
          <w:color w:val="auto"/>
        </w:rPr>
      </w:pPr>
      <w:r>
        <w:rPr>
          <w:rFonts w:ascii="Times New Roman" w:cs="Times New Roman" w:eastAsia="Times New Roman" w:hAnsi="Times New Roman"/>
          <w:sz w:val="18"/>
          <w:szCs w:val="18"/>
          <w:color w:val="auto"/>
        </w:rPr>
        <w:t>In October 2024, the Board approved changes to the performance-based vesting conditions of certain unvested outstanding common stock option awards that were improbable of vesting. Specifically, 206,389 performance-based stock option awards were modified to market-based vesting criteria. The modified market-based awards will vest and become exercisable, subject to the individual’s continued employment and service through the applicable vesting date, based upon the achievement of certain market capitalization targets. The fair value of these market-based modification awards at the modification date was $2.8 million. Additionally, in October 2024, the Board approved a modification to certain market-based awards to adopt a uniform methodology for calculating its market capitalization whereas they aligned all awards to use consecutive calendar days and not consecutive trading days in the calculation. As a result of this modification, incremental value of $0.4 million will be recognized over the remaining derived service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market-based stock options on the grant date and modification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20" w:type="dxa"/>
            <w:vAlign w:val="bottom"/>
          </w:tcPr>
          <w:p>
            <w:pPr>
              <w:spacing w:after="0"/>
              <w:rPr>
                <w:sz w:val="18"/>
                <w:szCs w:val="18"/>
                <w:color w:val="auto"/>
              </w:rPr>
            </w:pP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1.4 - 4.3</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4.0 - 6.3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- 3.7%</w:t>
            </w:r>
          </w:p>
        </w:tc>
        <w:tc>
          <w:tcPr>
            <w:tcW w:w="16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3.4% - 3.8%</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previously adopted and the stockholders approved the Company’s 2017 Employee Stock Purchase Plan (the "2017 ESPP").</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In 2024, the Company reserved an additional 450,000 shares under the 2017 ESPP pursuant to the evergreen provision. In 2023, the Board waived the evergreen provision and no additional shares were reserved under the 2017 ESPP. During the years ended December 31, 2024 and 2023, the Company issued 117,539 and 347,681 shares of common stock under the 2017 ESPP, respectively. As of December 31, 2024, 445,779 shares of common stock remained available for issuance under the 2017 ESPP.</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36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980" w:type="dxa"/>
            <w:vAlign w:val="bottom"/>
            <w:gridSpan w:val="2"/>
            <w:shd w:val="clear" w:color="auto" w:fill="CCEEFF"/>
          </w:tcPr>
          <w:p>
            <w:pPr>
              <w:jc w:val="center"/>
              <w:ind w:left="4330"/>
              <w:spacing w:after="0"/>
              <w:rPr>
                <w:sz w:val="20"/>
                <w:szCs w:val="20"/>
                <w:color w:val="auto"/>
              </w:rPr>
            </w:pPr>
            <w:r>
              <w:rPr>
                <w:rFonts w:ascii="Times New Roman" w:cs="Times New Roman" w:eastAsia="Times New Roman" w:hAnsi="Times New Roman"/>
                <w:sz w:val="18"/>
                <w:szCs w:val="18"/>
                <w:color w:val="auto"/>
                <w:w w:val="99"/>
              </w:rPr>
              <w:t>0.5 - 1.0</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0.5 - 1.0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980" w:type="dxa"/>
            <w:vAlign w:val="bottom"/>
            <w:gridSpan w:val="2"/>
          </w:tcPr>
          <w:p>
            <w:pPr>
              <w:jc w:val="center"/>
              <w:ind w:left="4330"/>
              <w:spacing w:after="0"/>
              <w:rPr>
                <w:sz w:val="20"/>
                <w:szCs w:val="20"/>
                <w:color w:val="auto"/>
              </w:rPr>
            </w:pPr>
            <w:r>
              <w:rPr>
                <w:rFonts w:ascii="Times New Roman" w:cs="Times New Roman" w:eastAsia="Times New Roman" w:hAnsi="Times New Roman"/>
                <w:sz w:val="18"/>
                <w:szCs w:val="18"/>
                <w:color w:val="auto"/>
                <w:w w:val="96"/>
              </w:rPr>
              <w:t>98%</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83%</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980" w:type="dxa"/>
            <w:vAlign w:val="bottom"/>
            <w:gridSpan w:val="2"/>
            <w:shd w:val="clear" w:color="auto" w:fill="CCEEFF"/>
          </w:tcPr>
          <w:p>
            <w:pPr>
              <w:jc w:val="center"/>
              <w:ind w:left="4350"/>
              <w:spacing w:after="0"/>
              <w:rPr>
                <w:sz w:val="20"/>
                <w:szCs w:val="20"/>
                <w:color w:val="auto"/>
              </w:rPr>
            </w:pPr>
            <w:r>
              <w:rPr>
                <w:rFonts w:ascii="Times New Roman" w:cs="Times New Roman" w:eastAsia="Times New Roman" w:hAnsi="Times New Roman"/>
                <w:sz w:val="18"/>
                <w:szCs w:val="18"/>
                <w:color w:val="auto"/>
                <w:w w:val="99"/>
              </w:rPr>
              <w:t>4.4% - 5.3%</w:t>
            </w:r>
          </w:p>
        </w:tc>
        <w:tc>
          <w:tcPr>
            <w:tcW w:w="16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5.1% - 5.5%</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4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14"/>
        </w:trPr>
        <w:tc>
          <w:tcPr>
            <w:tcW w:w="3600" w:type="dxa"/>
            <w:vAlign w:val="bottom"/>
          </w:tcPr>
          <w:p>
            <w:pPr>
              <w:spacing w:after="0"/>
              <w:rPr>
                <w:sz w:val="24"/>
                <w:szCs w:val="24"/>
                <w:color w:val="auto"/>
              </w:rPr>
            </w:pPr>
          </w:p>
        </w:tc>
        <w:tc>
          <w:tcPr>
            <w:tcW w:w="442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October 2024, the Board approved changes to the performance-based vesting conditions of certain unvested outstanding common stock option awards that were improbable of vesting. Specifically, certain performance-based stock option awards were modified to time-based vesting criteria and certain performance-based stock option awards were modified to market-based vesting criteria. This modification resulted in approximately $3.2 million of additional stock-based compensation expense for the year ended December 31, 2024.</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operations and comprehensive loss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6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r>
      <w:tr>
        <w:trPr>
          <w:trHeight w:val="209"/>
        </w:trPr>
        <w:tc>
          <w:tcPr>
            <w:tcW w:w="802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7,293</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3,690</w:t>
            </w:r>
          </w:p>
        </w:tc>
      </w:tr>
      <w:tr>
        <w:trPr>
          <w:trHeight w:val="249"/>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7,181</w:t>
            </w: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2024, not all of the performance conditions of the performance options are probable to be achieved. Compensation expense has only been recognized for those conditions that are assumed to be probable.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by award type was as follows (in thousands):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Time-based options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10,343</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options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options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7,181</w:t>
            </w: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Total time-based stock-based compensation expense for the year ended December 31, 2024, includes $2.9 million of additional expense due to the modification of certain performance-based stock option awards to time-based stock option awards, and $0.7 million of additional expense, net of forfeiture of unvested options that were previously expensed for $0.6 million, due to the modification of a certain award whereby there was a partial acceleration of vesting upon the departure of the Company's former Chief Executive Officer.</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At December 31, 2024, there was $34.8 million of unrecognized compensation cost related to unvested stock-based compensation arrangements, which is expected to be recognized over a weighted average period of 2.85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480" w:right="8500" w:hanging="472"/>
        <w:spacing w:after="0" w:line="532" w:lineRule="auto"/>
        <w:tabs>
          <w:tab w:leader="none" w:pos="192"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2022 Loan Agreement</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Co-Chairman, entered into a Loan Agreement ("2022 Loan Agreement") in connection with Mr. Duggan lending the principal sum of $65.0 million to the Company. The 2022 Loan Agreement bore interest at a rate per annum equal to 5.0%, payable quarterly commencing on January 1, 2023, with the principal sum payable on March 20, 2024. On March 17, 2023, the Company and Mr. Duggan amended certain terms of the 2022 Loan Agreement. There were no changes to the interest rate, but the principal sum repayment date was changed to September 30, 2024. During the year ended December 31, 2023, the Company made cash payments of $1.7 million for accrued interest on the loan, and recorded an additional $1.1 million of interest expense in relation to the 2022 Loan Agreement.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There were no additional amounts are owed to Mr. Duggan under the 2022 Loan Agreement at December 31, 2024 and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Hayward Lease</w:t>
      </w:r>
    </w:p>
    <w:p>
      <w:pPr>
        <w:spacing w:after="0" w:line="22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In January 2017, the Company entered into a five-year lease (the "Existing Lease") for approximately 15,700 square feet for its principal operating facility located in Hayward, California. The lease commenced during July 2017. 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 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("ROU")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Miami Lease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 November 2024, the Company entered into a 65-month lease for approximately 2,000 square feet for its corporate headquarters located in Miami, Florida, which commenced on November 8, 2024. The lease contains one five-year extension option, however, as of the lease commencement date, the Company has determined that it is not reasonably certain to exercise the option to extend the lease and has not included the extension period in the lease term. The monthly lease payment is approximately $0.02 million with annual escalation of approximately 3%. Variable lease costs are comprised primarily of the Company's proportionate share of operating expenses, property taxes, and insurance. Operating lease ROU assets and liabilities on our balance sheet are based on the net present value of the remaining lease payments over the remaining lease term. As the lease did not provide an implicit rate, the Company used its incremental borrowing rate based on the information available in determining the present value of lease payments. The Company’s incremental borrowing rate of 8% was based on the term of the lease, the economic environment of the lease, and reflects the rate the Company would have had to pay to borrow on a secured basis. The Company recorded a ROU asset and lease liability upon lease commencement in the amount of $0.8 million.</w:t>
      </w:r>
    </w:p>
    <w:p>
      <w:pPr>
        <w:spacing w:after="0" w:line="188" w:lineRule="exact"/>
        <w:rPr>
          <w:sz w:val="20"/>
          <w:szCs w:val="20"/>
          <w:color w:val="auto"/>
        </w:rPr>
      </w:pPr>
    </w:p>
    <w:p>
      <w:pPr>
        <w:jc w:val="both"/>
        <w:ind w:firstLine="450"/>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2024 and 2023, total rent expense, including common area maintenance charges, was $2.5 million and $2.3 million, respectively. The variable portion of the lease costs included in the totals were immaterial for the years ended December 31, 2024 and 2023.</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(in thousands):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7,163</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7,256</w:t>
            </w:r>
          </w:p>
        </w:tc>
      </w:tr>
      <w:tr>
        <w:trPr>
          <w:trHeight w:val="432"/>
        </w:trPr>
        <w:tc>
          <w:tcPr>
            <w:tcW w:w="8000" w:type="dxa"/>
            <w:vAlign w:val="bottom"/>
          </w:tcPr>
          <w:p>
            <w:pPr>
              <w:spacing w:after="0"/>
              <w:rPr>
                <w:sz w:val="24"/>
                <w:szCs w:val="24"/>
                <w:color w:val="auto"/>
              </w:rPr>
            </w:pPr>
          </w:p>
        </w:tc>
        <w:tc>
          <w:tcPr>
            <w:tcW w:w="26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current</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8,086</w:t>
            </w:r>
          </w:p>
        </w:tc>
      </w:tr>
      <w:tr>
        <w:trPr>
          <w:trHeight w:val="24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8,898</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9,144</w:t>
            </w:r>
          </w:p>
        </w:tc>
      </w:tr>
      <w:tr>
        <w:trPr>
          <w:trHeight w:val="413"/>
        </w:trPr>
        <w:tc>
          <w:tcPr>
            <w:tcW w:w="800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cash paid for operating lease liabilities (in thousands):</w:t>
            </w:r>
          </w:p>
        </w:tc>
        <w:tc>
          <w:tcPr>
            <w:tcW w:w="10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6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w:t>
            </w:r>
          </w:p>
        </w:tc>
      </w:tr>
    </w:tbl>
    <w:p>
      <w:pPr>
        <w:spacing w:after="0" w:line="198" w:lineRule="exact"/>
        <w:rPr>
          <w:sz w:val="20"/>
          <w:szCs w:val="20"/>
          <w:color w:val="auto"/>
        </w:rPr>
      </w:pPr>
    </w:p>
    <w:p>
      <w:pPr>
        <w:sectPr>
          <w:pgSz w:w="11900" w:h="16838" w:orient="portrait"/>
          <w:cols w:equalWidth="0" w:num="1">
            <w:col w:w="11240"/>
          </w:cols>
          <w:pgMar w:left="320" w:top="121" w:right="339" w:bottom="636"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36"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9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Maturities of total operating lease liabilities were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4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9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11,212</w:t>
            </w:r>
          </w:p>
        </w:tc>
      </w:tr>
      <w:tr>
        <w:trPr>
          <w:trHeight w:val="216"/>
        </w:trPr>
        <w:tc>
          <w:tcPr>
            <w:tcW w:w="9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10"/>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8,898</w:t>
            </w:r>
          </w:p>
        </w:tc>
      </w:tr>
      <w:tr>
        <w:trPr>
          <w:trHeight w:val="20"/>
        </w:trPr>
        <w:tc>
          <w:tcPr>
            <w:tcW w:w="1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both the Hayward Lease and Miami Lease, as of December 31, 2024,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in the ordinary course of business. Having resolved our earlier dispute with our former Chief Financial Officer,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72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 (in thousands):</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(53,585)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28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w:t>
            </w: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not recorded any income tax expenses in the Consolidated Statements of Operations and Comprehensive Loss for the years ended December 31, 2024 and 2023.</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estimated by applying the statutory federal income tax rate to income (loss) before taxes as follows:</w:t>
      </w:r>
    </w:p>
    <w:p>
      <w:pPr>
        <w:spacing w:after="0" w:line="158"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adjustment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tax rate</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impact of carryforwards and temporary differences between the amounts of assets and liabilities for financial reporting purposes and such amounts as measured by tax laws. The carryforwards and temporary differences, which give rise to a significant portion of the Company’s deferred tax asset (liability) as of December 31, 2024 and 2023,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4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61,072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R&amp;D capitalization</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89,503</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(99,542)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(87,853)</w:t>
            </w:r>
          </w:p>
        </w:tc>
        <w:tc>
          <w:tcPr>
            <w:tcW w:w="0" w:type="dxa"/>
            <w:vAlign w:val="bottom"/>
          </w:tcPr>
          <w:p>
            <w:pPr>
              <w:spacing w:after="0"/>
              <w:rPr>
                <w:sz w:val="1"/>
                <w:szCs w:val="1"/>
                <w:color w:val="auto"/>
              </w:rPr>
            </w:pPr>
          </w:p>
        </w:tc>
      </w:tr>
      <w:tr>
        <w:trPr>
          <w:trHeight w:val="20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4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unrecognized tax benefits as of December 31, 2024 and 2023 were $17.4 million and $10.2 million, respectively. If recognized, none of the unrecognized tax benefits would impact income tax expense to the extent that the Company continues to maintain a full valuation allowance against its deferred tax assets.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 is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Unrecognized tax benefits at end of year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10,170</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8,925</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1,129</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10,170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taxes as components of interest expense and other expense, respectively. The Company did not accrue interest and penalties related to unrecognized tax benefits as of December 31, 2024 and does not anticipate any significant change within twelve months of this reporting date.</w:t>
      </w:r>
    </w:p>
    <w:p>
      <w:pPr>
        <w:spacing w:after="0" w:line="176"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valuation allowance increased by $11.7 million in the year ended December 31, 2024 and increased by $8.1 million in the year ended December 31, 2023.</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(“NOL”) carryforwards of $250.0 million and $274.3 million, respectively, which begin to expire in 2034. Of the total federal NOL carryforward of $250.0 million, approximately $224.4 million is carried forward indefinitely but is limited to 80% of the taxable income.</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approximately $9.5 million and $9.3 million of U.S. federal and California research and development (“R&amp;D”) credits, respectively. The federal R&amp;D credits begin to expire in 2035 and the California R&amp;D credits have an indefinite carryforward period.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for Federal and for State, within various states in which the Company operates. All jurisdictions and tax years currently remain open for IRS and state taxing authorities’ examination. As of December 31, 2024, the Company was not under examination by the Internal Revenue Service or any state tax jurisdiction.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Internal Revenue Code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(the "CODM"), in deciding how to allocate resources and assess performance. The Company has one operating and reportable segment relating to the research and development of the Company’s NPS technology. The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Consolidated Statement of Operations and Comprehensive Loss. Throughout 2024, the CODM of the Company changed multiple times, however the financial information that was reviewed by each of the CODMs did not change throughout the year. The table below shows a reconciliation of the Company’s net loss, including the significant expense categories regularly provided to and reviewed by the CODM, as computed under U.S. GAAP to the Company’s total net loss in the statements of operations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tcPr>
          <w:p>
            <w:pPr>
              <w:ind w:left="340"/>
              <w:spacing w:after="0" w:line="210" w:lineRule="exact"/>
              <w:rPr>
                <w:sz w:val="20"/>
                <w:szCs w:val="20"/>
                <w:color w:val="auto"/>
              </w:rPr>
            </w:pPr>
            <w:r>
              <w:rPr>
                <w:rFonts w:ascii="Times New Roman" w:cs="Times New Roman" w:eastAsia="Times New Roman" w:hAnsi="Times New Roman"/>
                <w:sz w:val="15"/>
                <w:szCs w:val="15"/>
                <w:color w:val="auto"/>
              </w:rPr>
              <w:t>Cross platform research and engineering</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13,487</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15,742</w:t>
            </w:r>
          </w:p>
        </w:tc>
      </w:tr>
      <w:tr>
        <w:trPr>
          <w:trHeight w:val="216"/>
        </w:trPr>
        <w:tc>
          <w:tcPr>
            <w:tcW w:w="80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Manufacturing</w:t>
            </w:r>
            <w:r>
              <w:rPr>
                <w:rFonts w:ascii="Times New Roman" w:cs="Times New Roman" w:eastAsia="Times New Roman" w:hAnsi="Times New Roman"/>
                <w:sz w:val="25"/>
                <w:szCs w:val="25"/>
                <w:color w:val="auto"/>
                <w:vertAlign w:val="superscript"/>
              </w:rPr>
              <w:t>2</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80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Clinical and regulatory</w:t>
            </w:r>
            <w:r>
              <w:rPr>
                <w:rFonts w:ascii="Times New Roman" w:cs="Times New Roman" w:eastAsia="Times New Roman" w:hAnsi="Times New Roman"/>
                <w:sz w:val="25"/>
                <w:szCs w:val="25"/>
                <w:color w:val="auto"/>
                <w:vertAlign w:val="superscript"/>
              </w:rPr>
              <w:t>3</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80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5"/>
                <w:szCs w:val="25"/>
                <w:color w:val="auto"/>
                <w:vertAlign w:val="superscript"/>
              </w:rPr>
              <w:t>4</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13,317</w:t>
            </w:r>
          </w:p>
        </w:tc>
      </w:tr>
      <w:tr>
        <w:trPr>
          <w:trHeight w:val="216"/>
        </w:trPr>
        <w:tc>
          <w:tcPr>
            <w:tcW w:w="80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5"/>
                <w:szCs w:val="25"/>
                <w:color w:val="auto"/>
                <w:vertAlign w:val="superscript"/>
              </w:rPr>
              <w:t>5</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80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6</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(53,585)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w:t>
            </w:r>
          </w:p>
        </w:tc>
      </w:tr>
      <w:tr>
        <w:trPr>
          <w:trHeight w:val="198"/>
        </w:trPr>
        <w:tc>
          <w:tcPr>
            <w:tcW w:w="80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___________________</w:t>
            </w: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bl>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Cross platform research and engineering includes compensation costs, fees paid to consultants and outside service providers and organizations, prototype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spending and other expenses relating to the acquisition, design and development of the Company’s clinical stage devices.</w:t>
      </w: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2 </w:t>
      </w:r>
      <w:r>
        <w:rPr>
          <w:rFonts w:ascii="Times New Roman" w:cs="Times New Roman" w:eastAsia="Times New Roman" w:hAnsi="Times New Roman"/>
          <w:sz w:val="17"/>
          <w:szCs w:val="17"/>
          <w:color w:val="auto"/>
        </w:rPr>
        <w:t>Manufacturing includes compensation costs, fees paid to consultants and outside service providers and organizations, and costs associated with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procurement of materials and the manufacturing of the Company’s clinical stage devices.</w:t>
      </w: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3 </w:t>
      </w:r>
      <w:r>
        <w:rPr>
          <w:rFonts w:ascii="Times New Roman" w:cs="Times New Roman" w:eastAsia="Times New Roman" w:hAnsi="Times New Roman"/>
          <w:sz w:val="17"/>
          <w:szCs w:val="17"/>
          <w:color w:val="auto"/>
        </w:rPr>
        <w:t>Clinical and regulatory includes compensation costs, fees paid to consultants and outside service providers and organizations, and costs associated with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clinical trials and regulatory approvals required for the development of the Company’s clinical stage devices.</w:t>
      </w: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4 </w:t>
      </w:r>
      <w:r>
        <w:rPr>
          <w:rFonts w:ascii="Times New Roman" w:cs="Times New Roman" w:eastAsia="Times New Roman" w:hAnsi="Times New Roman"/>
          <w:sz w:val="17"/>
          <w:szCs w:val="17"/>
          <w:color w:val="auto"/>
        </w:rPr>
        <w:t>Adjusted general and administrative includes compensation costs and fees paid to consultants and outside service providers and organizations in support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of the administrative functions of the Company, including finance, legal and human resources.</w:t>
      </w: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5 </w:t>
      </w:r>
      <w:r>
        <w:rPr>
          <w:rFonts w:ascii="Times New Roman" w:cs="Times New Roman" w:eastAsia="Times New Roman" w:hAnsi="Times New Roman"/>
          <w:sz w:val="17"/>
          <w:szCs w:val="17"/>
          <w:color w:val="auto"/>
        </w:rPr>
        <w:t>Sales and marketing includes compensation costs, fees paid to consultants and outside service providers and organizations, costs associated with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marketing and sales strategy as well as execution of marketing and sales initiatives for the Company's products.</w:t>
      </w:r>
    </w:p>
    <w:p>
      <w:pPr>
        <w:spacing w:after="0"/>
        <w:rPr>
          <w:sz w:val="20"/>
          <w:szCs w:val="20"/>
          <w:color w:val="auto"/>
        </w:rPr>
      </w:pPr>
      <w:r>
        <w:rPr>
          <w:rFonts w:ascii="Times New Roman" w:cs="Times New Roman" w:eastAsia="Times New Roman" w:hAnsi="Times New Roman"/>
          <w:sz w:val="15"/>
          <w:szCs w:val="15"/>
          <w:color w:val="auto"/>
        </w:rPr>
        <w:t xml:space="preserve">6 </w:t>
      </w:r>
      <w:r>
        <w:rPr>
          <w:rFonts w:ascii="Times New Roman" w:cs="Times New Roman" w:eastAsia="Times New Roman" w:hAnsi="Times New Roman"/>
          <w:sz w:val="17"/>
          <w:szCs w:val="17"/>
          <w:color w:val="auto"/>
        </w:rPr>
        <w:t>Other segment items includes stock-based compensation, depreciation and amortization, and facilities and IT costs allocations.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2024 and 2023, all of the Company’s long-lived assets are located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9"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7"/>
          <w:szCs w:val="17"/>
          <w:color w:val="auto"/>
        </w:rPr>
        <w:t>In May 2022, the Company determined not to renew its annual director and officer liability insurance policy due to disproportionately high premiums quoted by insurance companies. Instead, on May 31, 2022, the Company and Robert W. Duggan, majority stockholder and Co-Chairman, entered into a letter agreement (the "Letter Agreement") pursuant to which Mr. Duggan agreed with the Company to personally provide indemnity coverage for a one-year period, and he agreed to deposit cash and/or marketable securities into a third-party escrow, as security for these obligations, if requested by the Company. On May 31, 2023, the last day of the one-year period, the Company paid Mr. Duggan a fee of $1.0 million in consideration of the obligations set forth in the Letter Agreement. As of December 31, 2024, there were no additional amounts owed to Mr. Duggan under the Letter Agreement.</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9, 2022, the Company completed the 2022 Rights Offering resulting in the sale of 7,317,072 Units, at a price of $2.05 per Unit, with each Unit consisting of one share of the Company’s common stock, par value $0.001 per share, and one 2022 Rights Offering Warrant to purchase one share of common stock at a price of $2.05 per share. Robert W. Duggan, the Company’s majority stockholder and Co-Chairman, purchased approximately 56% of the shares offered through the 2022 Rights Offering. See Note 6 for further details.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Co-Chairman, entered into the 2022 Loan Agreement in connection with Mr. Duggan lending the principal sum of $65.0 million to the Company.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Upon closing of the Private Placement and satisfaction of the outstanding debt, the 2022 Loan Agreement terminated, without early termination fees or penalties being owed by the Company. No additional amounts are owed to Mr. Duggan under the 2022 Loan Agreement. See Note 7 for further details.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Robert W. Duggan, the Company’s majority stockholder and Co-Chairman, purchased approximately 88% of the units offered through the 2024 Rights Offering. See Note 6 for further details.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 Charges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February 2023, the Company eliminated seven positions and incurred a discrete restructuring related charge of $0.1 million which was fully recorded in February 2023 and the related expenses are included within total cost and expenses on the condensed consolidated statement of operations for the year ended December 31, 2023. This charge represents the total amount incurred in connection with the activity. The Company did not incur any restructuring related charges in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sponsors a defined contribution plan under which it may make discretionary contributions. The Company did not make any employer matching contributions to this plan during the years ended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Warrants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Half of the warrants issued in the Company’s 2024 Rights Offering were redeemable for $0.01 per underlying share of common stock, on not less than thirty days’ written notice, if the VWAP of the Company’s common stock equaled or exceeded 150% of the exercise price for the warrants, or $16.50, for twenty consecutive trading days. In December 2024, the Company delivered an irrevocable notice of redemption to redeem the 2024 Rights Offering Warrants which were subject to this 150% redemption feature, because the VWAP of the Company’s common stock over the twenty consecutive trading days before the notice was $18.85. Pursuant to the 150% redemption feature, the Company redeemed 18,221 warrants on the redemption date, February 5, 2025, and at the date of this filing, there are no 2024 Rights Offering Warrants subject to the 150% redemption feature outstanding. Subsequent to December 31, 2024, but prior to the redemption date of February 5, 2025, the Company received approximately $2.6 million in gross proceeds from exercises of the 150% redemption feature 2024 Rights Offering Warrants.</w:t>
      </w:r>
    </w:p>
    <w:p>
      <w:pPr>
        <w:spacing w:after="0" w:line="19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other half of the warrants issued in the 2024 Rights Offering remain redeemable by the Company for $0.01 per underlying share of common stock, on not less than thirty days’ written notice, if the VWAP of the Company’s common stock equals or exceeds 200% of the exercise price for the warrants, or $22.00, for twenty consecutive trading days. Although the 200% redemption feature of the 2024 Rights Offering Warrants has not yet been triggered, since December 31, 2024, the Company has received approximately $11.4 million in gross proceeds from exercises of warrants subject to the 200% redemption feature. If exercised, an additional $2.3 million of gross proceeds may be received if the remaining outstanding 2024 Rights Offering Warrants subject to the 200% redemption feature are exercised.</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2, 2025, Robert W. Duggan, the Company’s majority stockholder and Co-Chairman, has exercised all of his outstanding 2024 Rights Offering Warrants. He has zero 150% redemption feature and zero 200% redemption feature warrants outstanding as of the date of this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Appointments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2025, the Company appointed Paul A. LaViolette, the Company's Co-Chairman, as Chief Executive Officer and President of the Company. In connection with his appointment, the Company awarded Mr. LaViolette stock options to purchase up to 1,500,000 shares of the Company’s common stock, with an exercise price of $18.43 per share, the closing price of the Company’s common stock on January 8, 2025, the last trading day preceding Mr. LaViolette’s employment start date and date of grant. Subject to certain accelerated vesting provisions, 450,000 option shares will vest over four years, subject to a time-based vesting schedule, and 1,050,000 option shares will vest subject to both market and performance conditions related to</w:t>
      </w:r>
    </w:p>
    <w:p>
      <w:pPr>
        <w:sectPr>
          <w:pgSz w:w="11900" w:h="16905" w:orient="portrait"/>
          <w:cols w:equalWidth="0" w:num="1">
            <w:col w:w="11240"/>
          </w:cols>
          <w:pgMar w:left="320" w:top="121" w:right="339" w:bottom="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achievement of certain market capitalization and revenue and gross margin targets. The options will vest and become exercisable once the specific targets are fulfilled.</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2025, the Company appointed Jon Skinner as Chief Financial Officer of the Company. In connection with his appointment, the Company awarded Mr. Skinner stock options to purchase up to 300,000 shares of the Company’s common stock, with an exercise price of $20.93 per share, the closing price of the Company’s common stock on January 31, 2025, the last trading day preceding Mr. Skinner’s employment start date and date of grant. Subject to certain accelerated vesting provisions, 150,000 option shares will vest over four years, subject to a time-based vesting schedule, and 150,000 option shares will vest subject to both market and performance conditions related to achievement of certain market capitalization and revenue targets. The options will vest and become exercisable once the specific targets are fulfilled.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and Chief Financial Officer have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Chief Financial Officer, and Corporate Controller, we evaluated the effectiveness of our internal control over financial reporting based on the framework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under that framework and applicable SEC rules, our management concluded that our internal control over financial reporting was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year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60"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22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Item 8 of this Annual Report on Form 10-K.</w:t>
      </w:r>
    </w:p>
    <w:p>
      <w:pPr>
        <w:spacing w:after="0" w:line="225" w:lineRule="exact"/>
        <w:rPr>
          <w:rFonts w:ascii="Times New Roman" w:cs="Times New Roman" w:eastAsia="Times New Roman" w:hAnsi="Times New Roman"/>
          <w:sz w:val="18"/>
          <w:szCs w:val="18"/>
          <w:color w:val="auto"/>
        </w:rPr>
      </w:pPr>
    </w:p>
    <w:p>
      <w:pPr>
        <w:ind w:left="660" w:hanging="4"/>
        <w:spacing w:after="0" w:line="284"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schedules are omitted because they are not required, are not applicable or the information is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notes thereto.</w:t>
      </w:r>
    </w:p>
    <w:p>
      <w:pPr>
        <w:spacing w:after="0" w:line="16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30"/>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Exhibit(s)</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620" w:type="dxa"/>
            <w:vAlign w:val="bottom"/>
          </w:tcPr>
          <w:p>
            <w:pPr>
              <w:jc w:val="center"/>
              <w:ind w:left="21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gridSpan w:val="37"/>
          </w:tcPr>
          <w:p>
            <w:pPr>
              <w:spacing w:after="0" w:line="169"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Plan of Conversion of Pulse Biosciences, Inc.</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8-K12B</w:t>
            </w:r>
          </w:p>
        </w:tc>
        <w:tc>
          <w:tcPr>
            <w:tcW w:w="12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001-37744</w:t>
            </w:r>
          </w:p>
        </w:tc>
        <w:tc>
          <w:tcPr>
            <w:tcW w:w="10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Articles of Conversion</w:t>
              </w:r>
            </w:hyperlink>
          </w:p>
        </w:tc>
        <w:tc>
          <w:tcPr>
            <w:tcW w:w="1640" w:type="dxa"/>
            <w:vAlign w:val="bottom"/>
            <w:tcBorders>
              <w:top w:val="single" w:sz="8" w:color="0000EE"/>
            </w:tcBorders>
            <w:gridSpan w:val="15"/>
          </w:tcPr>
          <w:p>
            <w:pPr>
              <w:spacing w:after="0"/>
              <w:rPr>
                <w:sz w:val="17"/>
                <w:szCs w:val="17"/>
                <w:color w:val="auto"/>
              </w:rPr>
            </w:pPr>
          </w:p>
        </w:tc>
        <w:tc>
          <w:tcPr>
            <w:tcW w:w="222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Conversion</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Incorporation of Pulse Biosciences, Inc.</w:t>
              </w:r>
            </w:hyperlink>
          </w:p>
        </w:tc>
        <w:tc>
          <w:tcPr>
            <w:tcW w:w="162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Bylaws of Pulse Biosciences, Inc.</w:t>
              </w:r>
            </w:hyperlink>
          </w:p>
        </w:tc>
        <w:tc>
          <w:tcPr>
            <w:tcW w:w="3060" w:type="dxa"/>
            <w:vAlign w:val="bottom"/>
            <w:gridSpan w:val="27"/>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Specimen Common Stock Certificate</w:t>
              </w:r>
            </w:hyperlink>
          </w:p>
        </w:tc>
        <w:tc>
          <w:tcPr>
            <w:tcW w:w="282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84">
              <w:r>
                <w:rPr>
                  <w:rFonts w:ascii="Times New Roman" w:cs="Times New Roman" w:eastAsia="Times New Roman" w:hAnsi="Times New Roman"/>
                  <w:sz w:val="18"/>
                  <w:szCs w:val="18"/>
                  <w:color w:val="0000EE"/>
                  <w:w w:val="96"/>
                </w:rPr>
                <w:t>Form of Warrant</w:t>
              </w:r>
            </w:hyperlink>
          </w:p>
        </w:tc>
        <w:tc>
          <w:tcPr>
            <w:tcW w:w="4300" w:type="dxa"/>
            <w:vAlign w:val="bottom"/>
            <w:gridSpan w:val="35"/>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333-278494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April 3, 2024</w:t>
            </w:r>
          </w:p>
        </w:tc>
        <w:tc>
          <w:tcPr>
            <w:tcW w:w="0" w:type="dxa"/>
            <w:vAlign w:val="bottom"/>
          </w:tcPr>
          <w:p>
            <w:pPr>
              <w:spacing w:after="0"/>
              <w:rPr>
                <w:sz w:val="1"/>
                <w:szCs w:val="1"/>
                <w:color w:val="auto"/>
              </w:rPr>
            </w:pPr>
          </w:p>
        </w:tc>
      </w:tr>
      <w:tr>
        <w:trPr>
          <w:trHeight w:val="196"/>
        </w:trPr>
        <w:tc>
          <w:tcPr>
            <w:tcW w:w="6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Warrant Agent Agreement</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333-278494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April 3, 2024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Lease for facilities at 3955 Point Eden Way, Hayward, California, dated</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January 26, 2017</w:t>
              </w:r>
            </w:hyperlink>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20, 2017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Employment Agreement between Mitchell E. Levinson and the Registrant</w:t>
              </w:r>
            </w:hyperlink>
          </w:p>
        </w:tc>
        <w:tc>
          <w:tcPr>
            <w:tcW w:w="1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31, 2022</w:t>
            </w: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Employment Agreement between Kevin Danahy and the Registrant</w:t>
              </w:r>
            </w:hyperlink>
          </w:p>
        </w:tc>
        <w:tc>
          <w:tcPr>
            <w:tcW w:w="64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31, 2022</w:t>
            </w: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Securities Purchase Agreement, dated February 7, 2017, by and between Pulse</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10,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Biosciences, Inc. and certain purchasers</w:t>
              </w:r>
            </w:hyperlink>
          </w:p>
        </w:tc>
        <w:tc>
          <w:tcPr>
            <w:tcW w:w="2620" w:type="dxa"/>
            <w:vAlign w:val="bottom"/>
            <w:tcBorders>
              <w:top w:val="single" w:sz="8" w:color="0000EE"/>
            </w:tcBorders>
            <w:gridSpan w:val="21"/>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Securities Purchase Agreement, dated September 24, 2017, by and between</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Pulse Biosciences, Inc. and certain purchasers</w:t>
              </w:r>
            </w:hyperlink>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8"/>
        </w:trPr>
        <w:tc>
          <w:tcPr>
            <w:tcW w:w="7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5"/>
              </w:rPr>
              <w:t>10.8+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Borders>
              <w:top w:val="single" w:sz="8" w:color="0000EE"/>
            </w:tcBorders>
            <w:gridSpan w:val="21"/>
            <w:vMerge w:val="restart"/>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2015 Stock Incentive Plan</w:t>
              </w:r>
            </w:hyperlink>
          </w:p>
        </w:tc>
        <w:tc>
          <w:tcPr>
            <w:tcW w:w="2200" w:type="dxa"/>
            <w:vAlign w:val="bottom"/>
            <w:gridSpan w:val="16"/>
            <w:vMerge w:val="restart"/>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86"/>
        </w:trPr>
        <w:tc>
          <w:tcPr>
            <w:tcW w:w="7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300" w:type="dxa"/>
            <w:vAlign w:val="bottom"/>
            <w:gridSpan w:val="21"/>
            <w:vMerge w:val="continue"/>
          </w:tcPr>
          <w:p>
            <w:pPr>
              <w:spacing w:after="0"/>
              <w:rPr>
                <w:sz w:val="7"/>
                <w:szCs w:val="7"/>
                <w:color w:val="auto"/>
              </w:rPr>
            </w:pPr>
          </w:p>
        </w:tc>
        <w:tc>
          <w:tcPr>
            <w:tcW w:w="2200" w:type="dxa"/>
            <w:vAlign w:val="bottom"/>
            <w:gridSpan w:val="16"/>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333-208694</w:t>
            </w:r>
          </w:p>
        </w:tc>
        <w:tc>
          <w:tcPr>
            <w:tcW w:w="8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4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5"/>
              </w:rPr>
              <w:t>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37"/>
            <w:vMerge w:val="restart"/>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2017 Inducement Equity Incentive Plan and forms of agreements thereunder</w:t>
              </w:r>
            </w:hyperlink>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28,</w:t>
            </w:r>
          </w:p>
        </w:tc>
        <w:tc>
          <w:tcPr>
            <w:tcW w:w="0" w:type="dxa"/>
            <w:vAlign w:val="bottom"/>
          </w:tcPr>
          <w:p>
            <w:pPr>
              <w:spacing w:after="0"/>
              <w:rPr>
                <w:sz w:val="1"/>
                <w:szCs w:val="1"/>
                <w:color w:val="auto"/>
              </w:rPr>
            </w:pPr>
          </w:p>
        </w:tc>
      </w:tr>
      <w:tr>
        <w:trPr>
          <w:trHeight w:val="91"/>
        </w:trPr>
        <w:tc>
          <w:tcPr>
            <w:tcW w:w="7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500" w:type="dxa"/>
            <w:vAlign w:val="bottom"/>
            <w:tcBorders>
              <w:bottom w:val="single" w:sz="8" w:color="0000EE"/>
            </w:tcBorders>
            <w:gridSpan w:val="37"/>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6"/>
                <w:szCs w:val="16"/>
                <w:color w:val="auto"/>
              </w:rPr>
            </w:pPr>
          </w:p>
        </w:tc>
        <w:tc>
          <w:tcPr>
            <w:tcW w:w="5500" w:type="dxa"/>
            <w:vAlign w:val="bottom"/>
            <w:gridSpan w:val="37"/>
          </w:tcPr>
          <w:p>
            <w:pPr>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2017 Equity Incentive Plan and forms of agreements thereunder</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12, 2021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2017 Employee Stock Purchase Plan and forms of agreements thereunder</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19, 2017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Executive  Employment  Agreement  between  Darrin  R.  Uecker  and</w:t>
              </w:r>
            </w:hyperlink>
          </w:p>
        </w:tc>
        <w:tc>
          <w:tcPr>
            <w:tcW w:w="1240" w:type="dxa"/>
            <w:vAlign w:val="bottom"/>
            <w:gridSpan w:val="4"/>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128"/>
        </w:trPr>
        <w:tc>
          <w:tcPr>
            <w:tcW w:w="9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0000EE"/>
            </w:tcBorders>
            <w:vMerge w:val="restart"/>
          </w:tcPr>
          <w:p>
            <w:pPr>
              <w:spacing w:after="0" w:line="196"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Registrant</w:t>
              </w:r>
            </w:hyperlink>
          </w:p>
        </w:tc>
        <w:tc>
          <w:tcPr>
            <w:tcW w:w="4760" w:type="dxa"/>
            <w:vAlign w:val="bottom"/>
            <w:tcBorders>
              <w:top w:val="single" w:sz="8" w:color="0000EE"/>
            </w:tcBorders>
            <w:gridSpan w:val="36"/>
            <w:vMerge w:val="restart"/>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333-208694</w:t>
            </w:r>
          </w:p>
        </w:tc>
        <w:tc>
          <w:tcPr>
            <w:tcW w:w="88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34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73"/>
        </w:trPr>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0000EE"/>
            </w:tcBorders>
            <w:vMerge w:val="continue"/>
          </w:tcPr>
          <w:p>
            <w:pPr>
              <w:spacing w:after="0"/>
              <w:rPr>
                <w:sz w:val="5"/>
                <w:szCs w:val="5"/>
                <w:color w:val="auto"/>
              </w:rPr>
            </w:pPr>
          </w:p>
        </w:tc>
        <w:tc>
          <w:tcPr>
            <w:tcW w:w="4760" w:type="dxa"/>
            <w:vAlign w:val="bottom"/>
            <w:gridSpan w:val="36"/>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Amendment to Employment Agreement between Darrin R. Uecker and Pulse</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October 11,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Biosciences, Inc. dated October 5, 2016</w:t>
              </w:r>
            </w:hyperlink>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At-Will  Employment,  Confidential  Information,  Invention</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Assignment, and Arbitration Agreement for Employees</w:t>
              </w:r>
            </w:hyperlink>
          </w:p>
        </w:tc>
        <w:tc>
          <w:tcPr>
            <w:tcW w:w="1500" w:type="dxa"/>
            <w:vAlign w:val="bottom"/>
            <w:tcBorders>
              <w:top w:val="single" w:sz="8" w:color="0000EE"/>
            </w:tcBorders>
            <w:gridSpan w:val="13"/>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333-208694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196"/>
        </w:trPr>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Indemnification Agreement</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First Amendment to the lease for facilities at 3955 Point Eden Way, Hayward,</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California, dated May 28, 2019</w:t>
              </w:r>
            </w:hyperlink>
          </w:p>
        </w:tc>
        <w:tc>
          <w:tcPr>
            <w:tcW w:w="3240" w:type="dxa"/>
            <w:vAlign w:val="bottom"/>
            <w:tcBorders>
              <w:top w:val="single" w:sz="8" w:color="0000EE"/>
            </w:tcBorders>
            <w:gridSpan w:val="28"/>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31, 2019</w:t>
            </w: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At-the-Market Equity Offering Sales Agreement</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July 15, 2024</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4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Securities Purchase Agreement, dated June 30, 2021, by and between Pulse</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Biosciences, Inc. and Robert W. Duggan</w:t>
              </w:r>
            </w:hyperlink>
          </w:p>
        </w:tc>
        <w:tc>
          <w:tcPr>
            <w:tcW w:w="2580" w:type="dxa"/>
            <w:vAlign w:val="bottom"/>
            <w:tcBorders>
              <w:top w:val="single" w:sz="8" w:color="0000EE"/>
            </w:tcBorders>
            <w:gridSpan w:val="20"/>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July 1, 2021</w:t>
            </w: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Indemnification Letter, dated May 27, 2022, by and between Pulse</w:t>
              </w:r>
            </w:hyperlink>
          </w:p>
        </w:tc>
        <w:tc>
          <w:tcPr>
            <w:tcW w:w="7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Biosciences, Inc. and Robert W. Duggan</w:t>
              </w:r>
            </w:hyperlink>
          </w:p>
        </w:tc>
        <w:tc>
          <w:tcPr>
            <w:tcW w:w="258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10, 2022</w:t>
            </w: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Loan Agreement, dated as of September 20, 2022, by and between Pulse</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Biosciences, Inc. and Robert W. Duggan</w:t>
              </w:r>
            </w:hyperlink>
          </w:p>
        </w:tc>
        <w:tc>
          <w:tcPr>
            <w:tcW w:w="2360" w:type="dxa"/>
            <w:vAlign w:val="bottom"/>
            <w:tcBorders>
              <w:top w:val="single" w:sz="8" w:color="0000EE"/>
            </w:tcBorders>
            <w:gridSpan w:val="15"/>
          </w:tcPr>
          <w:p>
            <w:pPr>
              <w:spacing w:after="0"/>
              <w:rPr>
                <w:sz w:val="17"/>
                <w:szCs w:val="17"/>
                <w:color w:val="auto"/>
              </w:rPr>
            </w:pPr>
          </w:p>
        </w:tc>
        <w:tc>
          <w:tcPr>
            <w:tcW w:w="2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196"/>
        </w:trPr>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7"/>
                <w:szCs w:val="17"/>
                <w:color w:val="auto"/>
              </w:rPr>
            </w:pPr>
          </w:p>
        </w:tc>
        <w:tc>
          <w:tcPr>
            <w:tcW w:w="54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Amendment to Employment Agreement, between Darrin Uecker and Pulse</w:t>
              </w:r>
            </w:hyperlink>
          </w:p>
        </w:tc>
        <w:tc>
          <w:tcPr>
            <w:tcW w:w="1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Biosciences, Inc., dated September 20, 2022</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to Employment Agreement, between Kevin Danahy and Pulse</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28,</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Biosciences, Inc., dated September 23, 2022</w:t>
              </w:r>
            </w:hyperlink>
          </w:p>
        </w:tc>
        <w:tc>
          <w:tcPr>
            <w:tcW w:w="1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Amendment to Employment Agreement, between Kevin Danahy and Pulse</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9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Borders>
              <w:top w:val="single" w:sz="8" w:color="0000EE"/>
            </w:tcBorders>
            <w:gridSpan w:val="13"/>
            <w:vMerge w:val="restart"/>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Biosciences, Inc., dated May 4, 2023</w:t>
              </w:r>
            </w:hyperlink>
          </w:p>
        </w:tc>
        <w:tc>
          <w:tcPr>
            <w:tcW w:w="2740" w:type="dxa"/>
            <w:vAlign w:val="bottom"/>
            <w:tcBorders>
              <w:top w:val="single" w:sz="8" w:color="0000EE"/>
            </w:tcBorders>
            <w:gridSpan w:val="21"/>
            <w:vMerge w:val="restart"/>
          </w:tcPr>
          <w:p>
            <w:pPr>
              <w:spacing w:after="0"/>
              <w:rPr>
                <w:sz w:val="11"/>
                <w:szCs w:val="11"/>
                <w:color w:val="auto"/>
              </w:rPr>
            </w:pPr>
          </w:p>
        </w:tc>
        <w:tc>
          <w:tcPr>
            <w:tcW w:w="100" w:type="dxa"/>
            <w:vAlign w:val="bottom"/>
            <w:gridSpan w:val="3"/>
            <w:vMerge w:val="restart"/>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1"/>
                <w:szCs w:val="11"/>
                <w:color w:val="auto"/>
              </w:rPr>
            </w:pPr>
          </w:p>
        </w:tc>
        <w:tc>
          <w:tcPr>
            <w:tcW w:w="12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5, 2023</w:t>
            </w:r>
          </w:p>
        </w:tc>
        <w:tc>
          <w:tcPr>
            <w:tcW w:w="0" w:type="dxa"/>
            <w:vAlign w:val="bottom"/>
          </w:tcPr>
          <w:p>
            <w:pPr>
              <w:spacing w:after="0"/>
              <w:rPr>
                <w:sz w:val="1"/>
                <w:szCs w:val="1"/>
                <w:color w:val="auto"/>
              </w:rPr>
            </w:pPr>
          </w:p>
        </w:tc>
      </w:tr>
      <w:tr>
        <w:trPr>
          <w:trHeight w:val="73"/>
        </w:trPr>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gridSpan w:val="13"/>
            <w:vMerge w:val="continue"/>
          </w:tcPr>
          <w:p>
            <w:pPr>
              <w:spacing w:after="0"/>
              <w:rPr>
                <w:sz w:val="5"/>
                <w:szCs w:val="5"/>
                <w:color w:val="auto"/>
              </w:rPr>
            </w:pPr>
          </w:p>
        </w:tc>
        <w:tc>
          <w:tcPr>
            <w:tcW w:w="2740" w:type="dxa"/>
            <w:vAlign w:val="bottom"/>
            <w:gridSpan w:val="21"/>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7"/>
                <w:szCs w:val="17"/>
                <w:color w:val="auto"/>
              </w:rPr>
            </w:pPr>
          </w:p>
        </w:tc>
        <w:tc>
          <w:tcPr>
            <w:tcW w:w="54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Amendment to Employment Agreement, between Darrin Uecker and Pulse</w:t>
              </w:r>
            </w:hyperlink>
          </w:p>
        </w:tc>
        <w:tc>
          <w:tcPr>
            <w:tcW w:w="1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9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13"/>
            <w:vMerge w:val="restart"/>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Biosciences, Inc., dated May 5, 2023</w:t>
              </w:r>
            </w:hyperlink>
          </w:p>
        </w:tc>
        <w:tc>
          <w:tcPr>
            <w:tcW w:w="2840" w:type="dxa"/>
            <w:vAlign w:val="bottom"/>
            <w:gridSpan w:val="24"/>
            <w:vMerge w:val="restart"/>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1"/>
                <w:szCs w:val="11"/>
                <w:color w:val="auto"/>
              </w:rPr>
            </w:pPr>
          </w:p>
        </w:tc>
        <w:tc>
          <w:tcPr>
            <w:tcW w:w="12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5, 2023</w:t>
            </w:r>
          </w:p>
        </w:tc>
        <w:tc>
          <w:tcPr>
            <w:tcW w:w="0" w:type="dxa"/>
            <w:vAlign w:val="bottom"/>
          </w:tcPr>
          <w:p>
            <w:pPr>
              <w:spacing w:after="0"/>
              <w:rPr>
                <w:sz w:val="1"/>
                <w:szCs w:val="1"/>
                <w:color w:val="auto"/>
              </w:rPr>
            </w:pPr>
          </w:p>
        </w:tc>
      </w:tr>
      <w:tr>
        <w:trPr>
          <w:trHeight w:val="73"/>
        </w:trPr>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gridSpan w:val="13"/>
            <w:vMerge w:val="continue"/>
          </w:tcPr>
          <w:p>
            <w:pPr>
              <w:spacing w:after="0"/>
              <w:rPr>
                <w:sz w:val="5"/>
                <w:szCs w:val="5"/>
                <w:color w:val="auto"/>
              </w:rPr>
            </w:pPr>
          </w:p>
        </w:tc>
        <w:tc>
          <w:tcPr>
            <w:tcW w:w="2840" w:type="dxa"/>
            <w:vAlign w:val="bottom"/>
            <w:gridSpan w:val="24"/>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7"/>
                <w:szCs w:val="17"/>
                <w:color w:val="auto"/>
              </w:rPr>
            </w:pPr>
          </w:p>
        </w:tc>
        <w:tc>
          <w:tcPr>
            <w:tcW w:w="54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Third Amendment to Employment Agreement, between Kevin Danahy and</w:t>
              </w:r>
            </w:hyperlink>
          </w:p>
        </w:tc>
        <w:tc>
          <w:tcPr>
            <w:tcW w:w="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9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gridSpan w:val="18"/>
            <w:vMerge w:val="restart"/>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Pulse Biosciences, Inc., dated March 2024</w:t>
              </w:r>
            </w:hyperlink>
          </w:p>
        </w:tc>
        <w:tc>
          <w:tcPr>
            <w:tcW w:w="2440" w:type="dxa"/>
            <w:vAlign w:val="bottom"/>
            <w:gridSpan w:val="19"/>
            <w:vMerge w:val="restart"/>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1"/>
                <w:szCs w:val="11"/>
                <w:color w:val="auto"/>
              </w:rPr>
            </w:pPr>
          </w:p>
        </w:tc>
        <w:tc>
          <w:tcPr>
            <w:tcW w:w="12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28, 2024</w:t>
            </w:r>
          </w:p>
        </w:tc>
        <w:tc>
          <w:tcPr>
            <w:tcW w:w="0" w:type="dxa"/>
            <w:vAlign w:val="bottom"/>
          </w:tcPr>
          <w:p>
            <w:pPr>
              <w:spacing w:after="0"/>
              <w:rPr>
                <w:sz w:val="1"/>
                <w:szCs w:val="1"/>
                <w:color w:val="auto"/>
              </w:rPr>
            </w:pPr>
          </w:p>
        </w:tc>
      </w:tr>
      <w:tr>
        <w:trPr>
          <w:trHeight w:val="73"/>
        </w:trPr>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60" w:type="dxa"/>
            <w:vAlign w:val="bottom"/>
            <w:tcBorders>
              <w:bottom w:val="single" w:sz="8" w:color="0000EE"/>
            </w:tcBorders>
            <w:gridSpan w:val="18"/>
            <w:vMerge w:val="continue"/>
          </w:tcPr>
          <w:p>
            <w:pPr>
              <w:spacing w:after="0"/>
              <w:rPr>
                <w:sz w:val="5"/>
                <w:szCs w:val="5"/>
                <w:color w:val="auto"/>
              </w:rPr>
            </w:pPr>
          </w:p>
        </w:tc>
        <w:tc>
          <w:tcPr>
            <w:tcW w:w="244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7"/>
                <w:szCs w:val="17"/>
                <w:color w:val="auto"/>
              </w:rPr>
            </w:pPr>
          </w:p>
        </w:tc>
        <w:tc>
          <w:tcPr>
            <w:tcW w:w="5500" w:type="dxa"/>
            <w:vAlign w:val="bottom"/>
            <w:gridSpan w:val="37"/>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Fourth Amendment to Employment Agreement, between Darrin Uecker and</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9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tcBorders>
              <w:top w:val="single" w:sz="8" w:color="0000EE"/>
            </w:tcBorders>
            <w:gridSpan w:val="18"/>
            <w:vMerge w:val="restart"/>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Pulse Biosciences, Inc., dated March 2024</w:t>
              </w:r>
            </w:hyperlink>
          </w:p>
        </w:tc>
        <w:tc>
          <w:tcPr>
            <w:tcW w:w="2420" w:type="dxa"/>
            <w:vAlign w:val="bottom"/>
            <w:tcBorders>
              <w:top w:val="single" w:sz="8" w:color="0000EE"/>
            </w:tcBorders>
            <w:gridSpan w:val="18"/>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1"/>
                <w:szCs w:val="11"/>
                <w:color w:val="auto"/>
              </w:rPr>
            </w:pPr>
          </w:p>
        </w:tc>
        <w:tc>
          <w:tcPr>
            <w:tcW w:w="12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28, 2024</w:t>
            </w:r>
          </w:p>
        </w:tc>
        <w:tc>
          <w:tcPr>
            <w:tcW w:w="0" w:type="dxa"/>
            <w:vAlign w:val="bottom"/>
          </w:tcPr>
          <w:p>
            <w:pPr>
              <w:spacing w:after="0"/>
              <w:rPr>
                <w:sz w:val="1"/>
                <w:szCs w:val="1"/>
                <w:color w:val="auto"/>
              </w:rPr>
            </w:pPr>
          </w:p>
        </w:tc>
      </w:tr>
      <w:tr>
        <w:trPr>
          <w:trHeight w:val="73"/>
        </w:trPr>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60" w:type="dxa"/>
            <w:vAlign w:val="bottom"/>
            <w:tcBorders>
              <w:bottom w:val="single" w:sz="8" w:color="0000EE"/>
            </w:tcBorders>
            <w:gridSpan w:val="18"/>
            <w:vMerge w:val="continue"/>
          </w:tcPr>
          <w:p>
            <w:pPr>
              <w:spacing w:after="0"/>
              <w:rPr>
                <w:sz w:val="5"/>
                <w:szCs w:val="5"/>
                <w:color w:val="auto"/>
              </w:rPr>
            </w:pPr>
          </w:p>
        </w:tc>
        <w:tc>
          <w:tcPr>
            <w:tcW w:w="2420" w:type="dxa"/>
            <w:vAlign w:val="bottom"/>
            <w:gridSpan w:val="18"/>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8"/>
                <w:szCs w:val="18"/>
                <w:color w:val="auto"/>
              </w:rPr>
            </w:pPr>
          </w:p>
        </w:tc>
        <w:tc>
          <w:tcPr>
            <w:tcW w:w="5500" w:type="dxa"/>
            <w:vAlign w:val="bottom"/>
            <w:gridSpan w:val="37"/>
            <w:vMerge w:val="restart"/>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Agreement between Paul A. LaViolette and the Registrant</w:t>
              </w:r>
            </w:hyperlink>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13,</w:t>
            </w: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500" w:type="dxa"/>
            <w:vAlign w:val="bottom"/>
            <w:gridSpan w:val="37"/>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4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5500" w:type="dxa"/>
            <w:vAlign w:val="bottom"/>
            <w:gridSpan w:val="37"/>
            <w:vMerge w:val="restart"/>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Employment Agreement between Jon Skinner and the Registrant</w:t>
              </w:r>
            </w:hyperlink>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31,</w:t>
            </w: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500" w:type="dxa"/>
            <w:vAlign w:val="bottom"/>
            <w:gridSpan w:val="37"/>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28"/>
        </w:trPr>
        <w:tc>
          <w:tcPr>
            <w:tcW w:w="7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21.1*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3260" w:type="dxa"/>
            <w:vAlign w:val="bottom"/>
            <w:tcBorders>
              <w:top w:val="single" w:sz="8" w:color="0000EE"/>
            </w:tcBorders>
            <w:gridSpan w:val="23"/>
            <w:vMerge w:val="restart"/>
          </w:tcPr>
          <w:p>
            <w:pPr>
              <w:spacing w:after="0"/>
              <w:rPr>
                <w:sz w:val="11"/>
                <w:szCs w:val="11"/>
                <w:color w:val="auto"/>
              </w:rPr>
            </w:pPr>
          </w:p>
        </w:tc>
        <w:tc>
          <w:tcPr>
            <w:tcW w:w="840" w:type="dxa"/>
            <w:vAlign w:val="bottom"/>
            <w:gridSpan w:val="10"/>
            <w:vMerge w:val="restart"/>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0000EE"/>
            </w:tcBorders>
            <w:gridSpan w:val="4"/>
            <w:vMerge w:val="continue"/>
          </w:tcPr>
          <w:p>
            <w:pPr>
              <w:spacing w:after="0"/>
              <w:rPr>
                <w:sz w:val="15"/>
                <w:szCs w:val="15"/>
                <w:color w:val="auto"/>
              </w:rPr>
            </w:pPr>
          </w:p>
        </w:tc>
        <w:tc>
          <w:tcPr>
            <w:tcW w:w="3260" w:type="dxa"/>
            <w:vAlign w:val="bottom"/>
            <w:gridSpan w:val="23"/>
            <w:vMerge w:val="continue"/>
          </w:tcPr>
          <w:p>
            <w:pPr>
              <w:spacing w:after="0"/>
              <w:rPr>
                <w:sz w:val="15"/>
                <w:szCs w:val="15"/>
                <w:color w:val="auto"/>
              </w:rPr>
            </w:pPr>
          </w:p>
        </w:tc>
        <w:tc>
          <w:tcPr>
            <w:tcW w:w="840" w:type="dxa"/>
            <w:vAlign w:val="bottom"/>
            <w:gridSpan w:val="10"/>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118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w:t>
            </w:r>
          </w:p>
        </w:tc>
        <w:tc>
          <w:tcPr>
            <w:tcW w:w="42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400" w:type="dxa"/>
            <w:vAlign w:val="bottom"/>
            <w:gridSpan w:val="29"/>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31.2*</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w:t>
            </w: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920" w:type="dxa"/>
            <w:vAlign w:val="bottom"/>
            <w:tcBorders>
              <w:top w:val="single" w:sz="8" w:color="0000EE"/>
            </w:tcBorders>
            <w:gridSpan w:val="3"/>
          </w:tcPr>
          <w:p>
            <w:pPr>
              <w:spacing w:after="0"/>
              <w:rPr>
                <w:sz w:val="17"/>
                <w:szCs w:val="17"/>
                <w:color w:val="auto"/>
              </w:rPr>
            </w:pPr>
          </w:p>
        </w:tc>
        <w:tc>
          <w:tcPr>
            <w:tcW w:w="7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5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w:t>
            </w: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(18 U.S.C. Section 1350).</w:t>
            </w:r>
          </w:p>
        </w:tc>
        <w:tc>
          <w:tcPr>
            <w:tcW w:w="138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5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906 of the</w:t>
            </w:r>
          </w:p>
        </w:tc>
        <w:tc>
          <w:tcPr>
            <w:tcW w:w="4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(18 U.S.C. Section 1350).</w:t>
            </w:r>
          </w:p>
        </w:tc>
        <w:tc>
          <w:tcPr>
            <w:tcW w:w="176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5"/>
              </w:rPr>
              <w:t>97.1+</w:t>
            </w:r>
          </w:p>
        </w:tc>
        <w:tc>
          <w:tcPr>
            <w:tcW w:w="2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Section 10D Clawback Policy</w:t>
              </w:r>
            </w:hyperlink>
          </w:p>
        </w:tc>
        <w:tc>
          <w:tcPr>
            <w:tcW w:w="3560" w:type="dxa"/>
            <w:vAlign w:val="bottom"/>
            <w:gridSpan w:val="5"/>
          </w:tcPr>
          <w:p>
            <w:pPr>
              <w:spacing w:after="0"/>
              <w:rPr>
                <w:sz w:val="17"/>
                <w:szCs w:val="17"/>
                <w:color w:val="auto"/>
              </w:rPr>
            </w:pPr>
          </w:p>
        </w:tc>
        <w:tc>
          <w:tcPr>
            <w:tcW w:w="104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001-37744</w:t>
            </w:r>
          </w:p>
        </w:tc>
        <w:tc>
          <w:tcPr>
            <w:tcW w:w="7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3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7"/>
              </w:rPr>
              <w:t>March 28, 2024</w:t>
            </w:r>
          </w:p>
        </w:tc>
      </w:tr>
      <w:tr>
        <w:trPr>
          <w:trHeight w:val="218"/>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101.INS</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101.SCH</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101.CAL</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101.DEF</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101.LAB</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5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ind w:left="920" w:right="4580" w:hanging="715"/>
        <w:spacing w:after="0" w:line="260"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9" w:lineRule="exact"/>
        <w:rPr>
          <w:sz w:val="20"/>
          <w:szCs w:val="20"/>
          <w:color w:val="auto"/>
        </w:rPr>
      </w:pPr>
    </w:p>
    <w:p>
      <w:pPr>
        <w:ind w:left="920" w:right="4460" w:hanging="6"/>
        <w:spacing w:after="0" w:line="260" w:lineRule="auto"/>
        <w:tabs>
          <w:tab w:leader="none" w:pos="10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grant of confidential treatment.</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40" w:top="108"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28, 2025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9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Paul A. LaViolette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17145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4920" w:space="720"/>
            <w:col w:w="1300" w:space="720"/>
            <w:col w:w="3580"/>
          </w:cols>
          <w:pgMar w:left="320" w:top="121" w:right="339" w:bottom="1440" w:gutter="0" w:footer="0" w:header="0"/>
          <w:type w:val="continuous"/>
        </w:sectPr>
      </w:pPr>
    </w:p>
    <w:p>
      <w:pPr>
        <w:jc w:val="center"/>
        <w:ind w:left="5740"/>
        <w:spacing w:after="0"/>
        <w:rPr>
          <w:sz w:val="20"/>
          <w:szCs w:val="20"/>
          <w:color w:val="auto"/>
        </w:rPr>
      </w:pPr>
      <w:r>
        <w:rPr>
          <w:rFonts w:ascii="Times New Roman" w:cs="Times New Roman" w:eastAsia="Times New Roman" w:hAnsi="Times New Roman"/>
          <w:sz w:val="18"/>
          <w:szCs w:val="18"/>
          <w:color w:val="auto"/>
        </w:rPr>
        <w:t>Paul A. LaViolette</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Paul A. LaViolette and Jon Skinner,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18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8"/>
              </w:rPr>
              <w:t>Paul A. LaViolette</w:t>
            </w:r>
          </w:p>
        </w:tc>
        <w:tc>
          <w:tcPr>
            <w:tcW w:w="120" w:type="dxa"/>
            <w:vAlign w:val="bottom"/>
          </w:tcPr>
          <w:p>
            <w:pPr>
              <w:spacing w:after="0"/>
              <w:rPr>
                <w:sz w:val="24"/>
                <w:szCs w:val="24"/>
                <w:color w:val="auto"/>
              </w:rPr>
            </w:pPr>
          </w:p>
        </w:tc>
        <w:tc>
          <w:tcPr>
            <w:tcW w:w="55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Chief Executive Officer and Co-Chairman of the Board of Directors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Paul A. LaViolette</w:t>
            </w:r>
          </w:p>
        </w:tc>
        <w:tc>
          <w:tcPr>
            <w:tcW w:w="12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w w:val="98"/>
              </w:rPr>
              <w:t>Robert W. Duggan</w:t>
            </w:r>
          </w:p>
        </w:tc>
        <w:tc>
          <w:tcPr>
            <w:tcW w:w="120" w:type="dxa"/>
            <w:vAlign w:val="bottom"/>
          </w:tcPr>
          <w:p>
            <w:pPr>
              <w:spacing w:after="0"/>
              <w:rPr>
                <w:sz w:val="24"/>
                <w:szCs w:val="24"/>
                <w:color w:val="auto"/>
              </w:rPr>
            </w:pPr>
          </w:p>
        </w:tc>
        <w:tc>
          <w:tcPr>
            <w:tcW w:w="55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Co-Chairman of the Board of Directors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Robert W. Duggan</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52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Darrin R. Uecker</w:t>
            </w:r>
          </w:p>
        </w:tc>
        <w:tc>
          <w:tcPr>
            <w:tcW w:w="120" w:type="dxa"/>
            <w:vAlign w:val="bottom"/>
          </w:tcPr>
          <w:p>
            <w:pPr>
              <w:spacing w:after="0"/>
              <w:rPr>
                <w:sz w:val="24"/>
                <w:szCs w:val="24"/>
                <w:color w:val="auto"/>
              </w:rPr>
            </w:pPr>
          </w:p>
        </w:tc>
        <w:tc>
          <w:tcPr>
            <w:tcW w:w="5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1300" w:type="dxa"/>
            <w:vAlign w:val="bottom"/>
          </w:tcPr>
          <w:p>
            <w:pPr>
              <w:spacing w:after="0"/>
              <w:rPr>
                <w:sz w:val="19"/>
                <w:szCs w:val="19"/>
                <w:color w:val="auto"/>
              </w:rPr>
            </w:pPr>
          </w:p>
        </w:tc>
        <w:tc>
          <w:tcPr>
            <w:tcW w:w="25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Darrin R. Uecker</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52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Manmeet S. Soni</w:t>
            </w:r>
          </w:p>
        </w:tc>
        <w:tc>
          <w:tcPr>
            <w:tcW w:w="120" w:type="dxa"/>
            <w:vAlign w:val="bottom"/>
          </w:tcPr>
          <w:p>
            <w:pPr>
              <w:spacing w:after="0"/>
              <w:rPr>
                <w:sz w:val="24"/>
                <w:szCs w:val="24"/>
                <w:color w:val="auto"/>
              </w:rPr>
            </w:pPr>
          </w:p>
        </w:tc>
        <w:tc>
          <w:tcPr>
            <w:tcW w:w="5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1300" w:type="dxa"/>
            <w:vAlign w:val="bottom"/>
          </w:tcPr>
          <w:p>
            <w:pPr>
              <w:spacing w:after="0"/>
              <w:rPr>
                <w:sz w:val="19"/>
                <w:szCs w:val="19"/>
                <w:color w:val="auto"/>
              </w:rPr>
            </w:pPr>
          </w:p>
        </w:tc>
        <w:tc>
          <w:tcPr>
            <w:tcW w:w="25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Manmeet S. Soni</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Mahkam Zanganeh</w:t>
            </w:r>
          </w:p>
        </w:tc>
        <w:tc>
          <w:tcPr>
            <w:tcW w:w="120" w:type="dxa"/>
            <w:vAlign w:val="bottom"/>
          </w:tcPr>
          <w:p>
            <w:pPr>
              <w:spacing w:after="0"/>
              <w:rPr>
                <w:sz w:val="24"/>
                <w:szCs w:val="24"/>
                <w:color w:val="auto"/>
              </w:rPr>
            </w:pPr>
          </w:p>
        </w:tc>
        <w:tc>
          <w:tcPr>
            <w:tcW w:w="5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Mahkam Zanganeh</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Richard A. van den Broek</w:t>
            </w:r>
          </w:p>
        </w:tc>
        <w:tc>
          <w:tcPr>
            <w:tcW w:w="120" w:type="dxa"/>
            <w:vAlign w:val="bottom"/>
          </w:tcPr>
          <w:p>
            <w:pPr>
              <w:spacing w:after="0"/>
              <w:rPr>
                <w:sz w:val="24"/>
                <w:szCs w:val="24"/>
                <w:color w:val="auto"/>
              </w:rPr>
            </w:pPr>
          </w:p>
        </w:tc>
        <w:tc>
          <w:tcPr>
            <w:tcW w:w="5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Richard A. van den Broek</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rPr>
              <w:t>/s/  Jon Skinner</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1300" w:type="dxa"/>
            <w:vAlign w:val="bottom"/>
          </w:tcPr>
          <w:p>
            <w:pPr>
              <w:spacing w:after="0"/>
              <w:rPr>
                <w:sz w:val="19"/>
                <w:szCs w:val="19"/>
                <w:color w:val="auto"/>
              </w:rPr>
            </w:pPr>
          </w:p>
        </w:tc>
        <w:tc>
          <w:tcPr>
            <w:tcW w:w="25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Jon Skinner</w:t>
            </w:r>
          </w:p>
        </w:tc>
        <w:tc>
          <w:tcPr>
            <w:tcW w:w="12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Timothy H. Mitsuoka</w:t>
            </w:r>
          </w:p>
        </w:tc>
        <w:tc>
          <w:tcPr>
            <w:tcW w:w="120" w:type="dxa"/>
            <w:vAlign w:val="bottom"/>
          </w:tcPr>
          <w:p>
            <w:pPr>
              <w:spacing w:after="0"/>
              <w:rPr>
                <w:sz w:val="24"/>
                <w:szCs w:val="24"/>
                <w:color w:val="auto"/>
              </w:rPr>
            </w:pPr>
          </w:p>
        </w:tc>
        <w:tc>
          <w:tcPr>
            <w:tcW w:w="55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28"/>
        </w:trPr>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Timothy H. Mitsuoka</w:t>
            </w:r>
          </w:p>
        </w:tc>
        <w:tc>
          <w:tcPr>
            <w:tcW w:w="120" w:type="dxa"/>
            <w:vAlign w:val="bottom"/>
          </w:tcPr>
          <w:p>
            <w:pPr>
              <w:spacing w:after="0"/>
              <w:rPr>
                <w:sz w:val="19"/>
                <w:szCs w:val="19"/>
                <w:color w:val="auto"/>
              </w:rPr>
            </w:pPr>
          </w:p>
        </w:tc>
        <w:tc>
          <w:tcPr>
            <w:tcW w:w="552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40" w:type="dxa"/>
            <w:vAlign w:val="bottom"/>
            <w:gridSpan w:val="2"/>
          </w:tcPr>
          <w:p>
            <w:pPr>
              <w:jc w:val="right"/>
              <w:ind w:right="365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96"/>
              </w:rPr>
              <w:t>Exhibit 21.1</w:t>
            </w:r>
          </w:p>
        </w:tc>
      </w:tr>
      <w:tr>
        <w:trPr>
          <w:trHeight w:val="432"/>
        </w:trPr>
        <w:tc>
          <w:tcPr>
            <w:tcW w:w="4180" w:type="dxa"/>
            <w:vAlign w:val="bottom"/>
          </w:tcPr>
          <w:p>
            <w:pPr>
              <w:spacing w:after="0"/>
              <w:rPr>
                <w:sz w:val="24"/>
                <w:szCs w:val="24"/>
                <w:color w:val="auto"/>
              </w:rPr>
            </w:pPr>
          </w:p>
        </w:tc>
        <w:tc>
          <w:tcPr>
            <w:tcW w:w="39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List of Subsidiaries</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648"/>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Subsidiary</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8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 Position</w:t>
            </w: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NanoBlate Corp., a Delaware Corporation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BioElectroMed Corp., a California Corporation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3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Pulse Biosciences BV</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3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2783162 Ontario Inc.</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Ontario</w:t>
            </w:r>
          </w:p>
        </w:tc>
        <w:tc>
          <w:tcPr>
            <w:tcW w:w="3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333-280805, 333-278494, 333-278322, 333-273944, 333-259330, 333-246346, 333-237577, 333-227974, 333-224800, 333-219104, and 333-219096 on Form S-3 and Registration Statement Nos. 333-285374, 333-285383, 333-271808, 333-264957, 333-256992, 333-254451, 333-237225, 333-229320, 333-222582, 333-221788, 333-218164, and 333-216897 on Form S-8 of our report dated March 28, 2025, relating to the financial statements of Pulse Biosciences, Inc. appearing in this Annual Report on Form 10-K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LaViolette,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Pulse Biosciences,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43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Paul A. LaViolette</w:t>
            </w:r>
          </w:p>
        </w:tc>
      </w:tr>
      <w:tr>
        <w:trPr>
          <w:trHeight w:val="191"/>
        </w:trPr>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left="480" w:right="18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Skinner, certify that:</w:t>
      </w:r>
    </w:p>
    <w:p>
      <w:pPr>
        <w:spacing w:after="0" w:line="225" w:lineRule="exact"/>
        <w:rPr>
          <w:sz w:val="20"/>
          <w:szCs w:val="20"/>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Pulse Biosciences, Inc.;</w:t>
      </w:r>
    </w:p>
    <w:p>
      <w:pPr>
        <w:spacing w:after="0" w:line="225" w:lineRule="exact"/>
        <w:rPr>
          <w:rFonts w:ascii="Times New Roman" w:cs="Times New Roman" w:eastAsia="Times New Roman" w:hAnsi="Times New Roman"/>
          <w:sz w:val="18"/>
          <w:szCs w:val="18"/>
          <w:color w:val="auto"/>
        </w:rPr>
      </w:pPr>
    </w:p>
    <w:p>
      <w:pPr>
        <w:ind w:left="240" w:right="40" w:hanging="232"/>
        <w:spacing w:after="0" w:line="312" w:lineRule="auto"/>
        <w:tabs>
          <w:tab w:leader="none" w:pos="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240" w:right="500" w:hanging="232"/>
        <w:spacing w:after="0" w:line="282" w:lineRule="auto"/>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40" w:right="120" w:hanging="232"/>
        <w:spacing w:after="0" w:line="266" w:lineRule="auto"/>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hanging="223"/>
        <w:spacing w:after="0" w:line="266" w:lineRule="auto"/>
        <w:tabs>
          <w:tab w:leader="none" w:pos="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40" w:hanging="223"/>
        <w:spacing w:after="0" w:line="266" w:lineRule="auto"/>
        <w:tabs>
          <w:tab w:leader="none" w:pos="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100" w:hanging="223"/>
        <w:spacing w:after="0" w:line="282" w:lineRule="auto"/>
        <w:tabs>
          <w:tab w:leader="none" w:pos="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120" w:hanging="223"/>
        <w:spacing w:after="0" w:line="266" w:lineRule="auto"/>
        <w:tabs>
          <w:tab w:leader="none" w:pos="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40" w:right="420" w:hanging="232"/>
        <w:spacing w:after="0" w:line="282" w:lineRule="auto"/>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0" w:hanging="223"/>
        <w:spacing w:after="0" w:line="282" w:lineRule="auto"/>
        <w:tabs>
          <w:tab w:leader="none" w:pos="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60" w:hanging="223"/>
        <w:spacing w:after="0" w:line="282" w:lineRule="auto"/>
        <w:tabs>
          <w:tab w:leader="none" w:pos="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41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Jon Skinner</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3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Pulse Biosciences, Inc. (the “Company”) on Form 10-K for the fiscal year ended December 31, 2024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720" w:hanging="262"/>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80" w:firstLine="458"/>
        <w:spacing w:after="0" w:line="282" w:lineRule="auto"/>
        <w:tabs>
          <w:tab w:leader="none" w:pos="7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   Paul A.</w:t>
            </w:r>
          </w:p>
        </w:tc>
      </w:tr>
      <w:tr>
        <w:trPr>
          <w:trHeight w:val="234"/>
        </w:trPr>
        <w:tc>
          <w:tcPr>
            <w:tcW w:w="604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LaViolette</w:t>
            </w:r>
          </w:p>
        </w:tc>
      </w:tr>
      <w:tr>
        <w:trPr>
          <w:trHeight w:val="191"/>
        </w:trPr>
        <w:tc>
          <w:tcPr>
            <w:tcW w:w="6040" w:type="dxa"/>
            <w:vAlign w:val="bottom"/>
          </w:tcPr>
          <w:p>
            <w:pPr>
              <w:spacing w:after="0"/>
              <w:rPr>
                <w:sz w:val="16"/>
                <w:szCs w:val="16"/>
                <w:color w:val="auto"/>
              </w:rPr>
            </w:pPr>
          </w:p>
        </w:tc>
        <w:tc>
          <w:tcPr>
            <w:tcW w:w="1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60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16"/>
        </w:trPr>
        <w:tc>
          <w:tcPr>
            <w:tcW w:w="60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w:t>
            </w:r>
          </w:p>
        </w:tc>
      </w:tr>
      <w:tr>
        <w:trPr>
          <w:trHeight w:val="234"/>
        </w:trPr>
        <w:tc>
          <w:tcPr>
            <w:tcW w:w="60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ind w:right="40" w:firstLine="8"/>
        <w:spacing w:after="0" w:line="261" w:lineRule="auto"/>
        <w:tabs>
          <w:tab w:leader="none" w:pos="4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Pulse Biosciences, Inc. (the “Company”) on Form 10-K for the fiscal year ended December 31, 2024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560" w:hanging="246"/>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0" w:right="60" w:firstLine="154"/>
        <w:spacing w:after="0" w:line="282" w:lineRule="auto"/>
        <w:tabs>
          <w:tab w:leader="none" w:pos="5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6080" w:type="dxa"/>
            <w:vAlign w:val="bottom"/>
          </w:tcPr>
          <w:p>
            <w:pPr>
              <w:spacing w:after="0"/>
              <w:rPr>
                <w:sz w:val="16"/>
                <w:szCs w:val="16"/>
                <w:color w:val="auto"/>
              </w:rPr>
            </w:pPr>
          </w:p>
        </w:tc>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608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608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w:t>
            </w:r>
          </w:p>
        </w:tc>
      </w:tr>
      <w:tr>
        <w:trPr>
          <w:trHeight w:val="234"/>
        </w:trPr>
        <w:tc>
          <w:tcPr>
            <w:tcW w:w="608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jc w:val="both"/>
        <w:ind w:left="160" w:right="200" w:hanging="8"/>
        <w:spacing w:after="0" w:line="261" w:lineRule="auto"/>
        <w:tabs>
          <w:tab w:leader="none" w:pos="6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upperLetter"/>
      <w:start w:val="35"/>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4"/>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lowerLetter"/>
      <w:start w:val="1"/>
    </w:lvl>
    <w:lvl w:ilvl="1">
      <w:lvlJc w:val="left"/>
      <w:lvlText w:val="%2."/>
      <w:numFmt w:val="decimal"/>
      <w:start w:val="1"/>
    </w:lvl>
  </w:abstractNum>
  <w:abstractNum w:abstractNumId="35">
    <w:nsid w:val="51EAD36B"/>
    <w:multiLevelType w:val="hybridMultilevel"/>
    <w:lvl w:ilvl="0">
      <w:lvlJc w:val="left"/>
      <w:lvlText w:val="%1"/>
      <w:numFmt w:val="decimal"/>
      <w:start w:val="104"/>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78" Type="http://schemas.openxmlformats.org/officeDocument/2006/relationships/hyperlink" Target="http://www.sec.gov/Archives/edgar/data/1625101/000162510118000036/plse-20180618xex2_1.htm" TargetMode="External"/><Relationship Id="rId79" Type="http://schemas.openxmlformats.org/officeDocument/2006/relationships/hyperlink" Target="http://www.sec.gov/Archives/edgar/data/1625101/000162510118000036/plse-20180618xex3_1.htm" TargetMode="External"/><Relationship Id="rId80" Type="http://schemas.openxmlformats.org/officeDocument/2006/relationships/hyperlink" Target="http://www.sec.gov/Archives/edgar/data/1625101/000162510118000036/plse-20180618xex3_2.htm" TargetMode="External"/><Relationship Id="rId81" Type="http://schemas.openxmlformats.org/officeDocument/2006/relationships/hyperlink" Target="http://www.sec.gov/Archives/edgar/data/1625101/000162510118000036/plse-20180618xex3_3.htm" TargetMode="External"/><Relationship Id="rId82" Type="http://schemas.openxmlformats.org/officeDocument/2006/relationships/hyperlink" Target="http://www.sec.gov/Archives/edgar/data/1625101/000162510118000036/plse-20180618xex3_4.htm" TargetMode="External"/><Relationship Id="rId83" Type="http://schemas.openxmlformats.org/officeDocument/2006/relationships/hyperlink" Target="http://www.sec.gov/Archives/edgar/data/1625101/000162510118000036/plse-20180618xex4_1.htm" TargetMode="External"/><Relationship Id="rId84" Type="http://schemas.openxmlformats.org/officeDocument/2006/relationships/hyperlink" Target="http://www.sec.gov/Archives/edgar/data/1625101/000143774924010918/ex_649528.htm" TargetMode="External"/><Relationship Id="rId85" Type="http://schemas.openxmlformats.org/officeDocument/2006/relationships/hyperlink" Target="http://www.sec.gov/Archives/edgar/data/1625101/000143774924010918/ex_649529.htm" TargetMode="External"/><Relationship Id="rId86" Type="http://schemas.openxmlformats.org/officeDocument/2006/relationships/hyperlink" Target="http://www.sec.gov/Archives/edgar/data/1625101/000162510117000011/plse-20161231xex10_1.htm" TargetMode="External"/><Relationship Id="rId87" Type="http://schemas.openxmlformats.org/officeDocument/2006/relationships/hyperlink" Target="http://www.sec.gov/Archives/edgar/data/1625101/000162510122000016/plse-20211231xex10_4.htm" TargetMode="External"/><Relationship Id="rId88" Type="http://schemas.openxmlformats.org/officeDocument/2006/relationships/hyperlink" Target="http://www.sec.gov/Archives/edgar/data/1625101/000162510122000016/plse-20211231xex10_5.htm" TargetMode="External"/><Relationship Id="rId89" Type="http://schemas.openxmlformats.org/officeDocument/2006/relationships/hyperlink" Target="http://www.sec.gov/Archives/edgar/data/1625101/000156276217000015/plse-20170210xex10_1.htm" TargetMode="External"/><Relationship Id="rId90" Type="http://schemas.openxmlformats.org/officeDocument/2006/relationships/hyperlink" Target="http://www.sec.gov/Archives/edgar/data/1625101/000119312515410608/d11949dex102.htm" TargetMode="External"/><Relationship Id="rId91" Type="http://schemas.openxmlformats.org/officeDocument/2006/relationships/hyperlink" Target="http://www.sec.gov/Archives/edgar/data/1625101/000162510117000044/plse-20171128xex10_1.htm" TargetMode="External"/><Relationship Id="rId92" Type="http://schemas.openxmlformats.org/officeDocument/2006/relationships/hyperlink" Target="http://www.sec.gov/Archives/edgar/data/1625101/000162510121000014/plse-20201231xex10_10.htm" TargetMode="External"/><Relationship Id="rId93" Type="http://schemas.openxmlformats.org/officeDocument/2006/relationships/hyperlink" Target="http://www.sec.gov/Archives/edgar/data/1625101/000156276217000071/plse-20170519xex10_2.htm" TargetMode="External"/><Relationship Id="rId94" Type="http://schemas.openxmlformats.org/officeDocument/2006/relationships/hyperlink" Target="http://www.sec.gov/Archives/edgar/data/1625101/000119312515410608/d11949dex109.htm" TargetMode="External"/><Relationship Id="rId95" Type="http://schemas.openxmlformats.org/officeDocument/2006/relationships/hyperlink" Target="http://www.sec.gov/Archives/edgar/data/1625101/000156276216000431/plse-20161011xex10_1.htm" TargetMode="External"/><Relationship Id="rId96" Type="http://schemas.openxmlformats.org/officeDocument/2006/relationships/hyperlink" Target="http://www.sec.gov/Archives/edgar/data/1625101/000119312515410608/d11949dex1010.htm" TargetMode="External"/><Relationship Id="rId97" Type="http://schemas.openxmlformats.org/officeDocument/2006/relationships/hyperlink" Target="http://www.sec.gov/Archives/edgar/data/1625101/000162510118000036/plse-20180618xex10_1.htm" TargetMode="External"/><Relationship Id="rId98" Type="http://schemas.openxmlformats.org/officeDocument/2006/relationships/hyperlink" Target="http://www.sec.gov/Archives/edgar/data/1625101/000162510119000025/plse-20190531xex10_19.htm" TargetMode="External"/><Relationship Id="rId99" Type="http://schemas.openxmlformats.org/officeDocument/2006/relationships/hyperlink" Target="http://www.sec.gov/Archives/edgar/data/1625101/000119312524178827/d867904dex11.htm" TargetMode="External"/><Relationship Id="rId100" Type="http://schemas.openxmlformats.org/officeDocument/2006/relationships/hyperlink" Target="http://www.sec.gov/Archives/edgar/data/1625101/000162510121000037/plse-20210630xex10_1.htm" TargetMode="External"/><Relationship Id="rId101" Type="http://schemas.openxmlformats.org/officeDocument/2006/relationships/hyperlink" Target="http://www.sec.gov/Archives/edgar/data/1625101/000162510122000061/plse-20220630xex10_1.htm" TargetMode="External"/><Relationship Id="rId102" Type="http://schemas.openxmlformats.org/officeDocument/2006/relationships/hyperlink" Target="http://www.sec.gov/Archives/edgar/data/1625101/000138713122009977/ex10-1.htm" TargetMode="External"/><Relationship Id="rId103" Type="http://schemas.openxmlformats.org/officeDocument/2006/relationships/hyperlink" Target="http://www.sec.gov/Archives/edgar/data/1625101/000138713122009977/ex10-2.htm" TargetMode="External"/><Relationship Id="rId104" Type="http://schemas.openxmlformats.org/officeDocument/2006/relationships/hyperlink" Target="http://www.sec.gov/Archives/edgar/data/1625101/000138713122010041/ex10-1.htm" TargetMode="External"/><Relationship Id="rId105" Type="http://schemas.openxmlformats.org/officeDocument/2006/relationships/hyperlink" Target="http://www.sec.gov/Archives/edgar/data/1625101/000143774923012849/ex_514882.htm" TargetMode="External"/><Relationship Id="rId106" Type="http://schemas.openxmlformats.org/officeDocument/2006/relationships/hyperlink" Target="http://www.sec.gov/Archives/edgar/data/1625101/000143774923012849/ex_514883.htm" TargetMode="External"/><Relationship Id="rId107" Type="http://schemas.openxmlformats.org/officeDocument/2006/relationships/hyperlink" Target="http://www.sec.gov/Archives/edgar/data/1625101/000143774924009815/ex_646101.htm" TargetMode="External"/><Relationship Id="rId108" Type="http://schemas.openxmlformats.org/officeDocument/2006/relationships/hyperlink" Target="http://www.sec.gov/Archives/edgar/data/1625101/000143774924009815/ex_646102.htm" TargetMode="External"/><Relationship Id="rId109" Type="http://schemas.openxmlformats.org/officeDocument/2006/relationships/hyperlink" Target="http://www.sec.gov/Archives/edgar/data/1625101/000143774925001006/ex_764902.htm" TargetMode="External"/><Relationship Id="rId110" Type="http://schemas.openxmlformats.org/officeDocument/2006/relationships/hyperlink" Target="http://www.sec.gov/Archives/edgar/data/1625101/000143774925002664/ex_773340.htm" TargetMode="External"/><Relationship Id="rId111" Type="http://schemas.openxmlformats.org/officeDocument/2006/relationships/hyperlink" Target="http://www.sec.gov/Archives/edgar/data/1625101/000143774924009815/ex_6456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2025-03-31T05:19:33Z</dcterms:created>
  <dcterms:modified xsi:type="dcterms:W3CDTF">2025-03-31T05:19:33Z</dcterms:modified>
</cp:coreProperties>
</file>