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755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55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71755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5715"/>
                    </a:xfrm>
                    <a:prstGeom prst="rect">
                      <a:avLst/>
                    </a:prstGeom>
                    <a:noFill/>
                  </pic:spPr>
                </pic:pic>
              </a:graphicData>
            </a:graphic>
          </wp:anchor>
        </w:drawing>
      </w:r>
    </w:p>
    <w:p>
      <w:pPr>
        <w:jc w:val="center"/>
        <w:ind w:right="-45"/>
        <w:spacing w:after="0" w:line="225" w:lineRule="auto"/>
        <w:rPr>
          <w:sz w:val="20"/>
          <w:szCs w:val="20"/>
          <w:color w:val="auto"/>
        </w:rPr>
      </w:pPr>
      <w:r>
        <w:rPr>
          <w:rFonts w:ascii="Arial" w:cs="Arial" w:eastAsia="Arial" w:hAnsi="Arial"/>
          <w:sz w:val="20"/>
          <w:szCs w:val="20"/>
          <w:b w:val="1"/>
          <w:bCs w:val="1"/>
          <w:color w:val="auto"/>
        </w:rPr>
        <w:t>SECURITIES AND EXCHANGE COMMISSION</w:t>
      </w:r>
    </w:p>
    <w:p>
      <w:pPr>
        <w:jc w:val="center"/>
        <w:ind w:right="-45"/>
        <w:spacing w:after="0" w:line="209" w:lineRule="auto"/>
        <w:rPr>
          <w:sz w:val="20"/>
          <w:szCs w:val="20"/>
          <w:color w:val="auto"/>
        </w:rPr>
      </w:pPr>
      <w:r>
        <w:rPr>
          <w:rFonts w:ascii="Arial" w:cs="Arial" w:eastAsia="Arial" w:hAnsi="Arial"/>
          <w:sz w:val="14"/>
          <w:szCs w:val="14"/>
          <w:b w:val="1"/>
          <w:bCs w:val="1"/>
          <w:color w:val="auto"/>
        </w:rPr>
        <w:t>Washington, D.C. 20549</w:t>
      </w: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23" w:lineRule="exact"/>
        <w:rPr>
          <w:sz w:val="24"/>
          <w:szCs w:val="24"/>
          <w:color w:val="auto"/>
        </w:rPr>
      </w:pPr>
    </w:p>
    <w:p>
      <w:pPr>
        <w:jc w:val="center"/>
        <w:ind w:right="-45"/>
        <w:spacing w:after="0"/>
        <w:rPr>
          <w:sz w:val="20"/>
          <w:szCs w:val="20"/>
          <w:color w:val="auto"/>
        </w:rPr>
      </w:pPr>
      <w:r>
        <w:rPr>
          <w:rFonts w:ascii="Arial" w:cs="Arial" w:eastAsia="Arial" w:hAnsi="Arial"/>
          <w:sz w:val="20"/>
          <w:szCs w:val="20"/>
          <w:b w:val="1"/>
          <w:bCs w:val="1"/>
          <w:color w:val="auto"/>
        </w:rPr>
        <w:t>Form 10-Q</w:t>
      </w:r>
    </w:p>
    <w:p>
      <w:pPr>
        <w:spacing w:after="0" w:line="5" w:lineRule="exact"/>
        <w:rPr>
          <w:sz w:val="24"/>
          <w:szCs w:val="24"/>
          <w:color w:val="auto"/>
        </w:rPr>
      </w:pP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33" w:lineRule="exact"/>
        <w:rPr>
          <w:sz w:val="24"/>
          <w:szCs w:val="24"/>
          <w:color w:val="auto"/>
        </w:rPr>
      </w:pPr>
    </w:p>
    <w:p>
      <w:pPr>
        <w:ind w:left="6"/>
        <w:spacing w:after="0"/>
        <w:rPr>
          <w:sz w:val="20"/>
          <w:szCs w:val="20"/>
          <w:color w:val="auto"/>
        </w:rPr>
      </w:pPr>
      <w:r>
        <w:rPr>
          <w:rFonts w:ascii="Arial" w:cs="Arial" w:eastAsia="Arial" w:hAnsi="Arial"/>
          <w:sz w:val="12"/>
          <w:szCs w:val="12"/>
          <w:b w:val="1"/>
          <w:bCs w:val="1"/>
          <w:color w:val="auto"/>
        </w:rPr>
        <w:t>(Mark One)</w:t>
      </w:r>
    </w:p>
    <w:p>
      <w:pPr>
        <w:spacing w:after="0" w:line="128" w:lineRule="exact"/>
        <w:rPr>
          <w:sz w:val="24"/>
          <w:szCs w:val="24"/>
          <w:color w:val="auto"/>
        </w:rPr>
      </w:pPr>
    </w:p>
    <w:p>
      <w:pPr>
        <w:ind w:left="526" w:hanging="526"/>
        <w:spacing w:after="0"/>
        <w:tabs>
          <w:tab w:leader="none" w:pos="526"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0" w:lineRule="exact"/>
        <w:rPr>
          <w:rFonts w:ascii="Arial" w:cs="Arial" w:eastAsia="Arial" w:hAnsi="Arial"/>
          <w:sz w:val="14"/>
          <w:szCs w:val="14"/>
          <w:b w:val="1"/>
          <w:bCs w:val="1"/>
          <w:color w:val="auto"/>
        </w:rPr>
      </w:pPr>
    </w:p>
    <w:p>
      <w:pPr>
        <w:ind w:left="4306"/>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For the quarterly period ended September 30, 2021</w:t>
      </w:r>
    </w:p>
    <w:p>
      <w:pPr>
        <w:spacing w:after="0" w:line="102" w:lineRule="exact"/>
        <w:rPr>
          <w:sz w:val="24"/>
          <w:szCs w:val="24"/>
          <w:color w:val="auto"/>
        </w:rPr>
      </w:pPr>
    </w:p>
    <w:p>
      <w:pPr>
        <w:jc w:val="center"/>
        <w:ind w:right="-45"/>
        <w:spacing w:after="0"/>
        <w:rPr>
          <w:sz w:val="20"/>
          <w:szCs w:val="20"/>
          <w:color w:val="auto"/>
        </w:rPr>
      </w:pPr>
      <w:r>
        <w:rPr>
          <w:rFonts w:ascii="Arial" w:cs="Arial" w:eastAsia="Arial" w:hAnsi="Arial"/>
          <w:sz w:val="12"/>
          <w:szCs w:val="12"/>
          <w:b w:val="1"/>
          <w:bCs w:val="1"/>
          <w:color w:val="auto"/>
        </w:rPr>
        <w:t>Or</w:t>
      </w:r>
    </w:p>
    <w:p>
      <w:pPr>
        <w:spacing w:after="0" w:line="128"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1046" w:type="dxa"/>
        <w:tblCellMar>
          <w:top w:w="0" w:type="dxa"/>
          <w:left w:w="0" w:type="dxa"/>
          <w:bottom w:w="0" w:type="dxa"/>
          <w:right w:w="0" w:type="dxa"/>
        </w:tblCellMar>
      </w:tblPr>
      <w:tr>
        <w:trPr>
          <w:trHeight w:val="160"/>
        </w:trPr>
        <w:tc>
          <w:tcPr>
            <w:tcW w:w="3000" w:type="dxa"/>
            <w:vAlign w:val="bottom"/>
          </w:tcPr>
          <w:p>
            <w:pPr>
              <w:spacing w:after="0"/>
              <w:rPr>
                <w:sz w:val="13"/>
                <w:szCs w:val="13"/>
                <w:color w:val="auto"/>
              </w:rPr>
            </w:pPr>
          </w:p>
        </w:tc>
        <w:tc>
          <w:tcPr>
            <w:tcW w:w="2340" w:type="dxa"/>
            <w:vAlign w:val="bottom"/>
          </w:tcPr>
          <w:p>
            <w:pPr>
              <w:ind w:left="560"/>
              <w:spacing w:after="0"/>
              <w:rPr>
                <w:sz w:val="20"/>
                <w:szCs w:val="20"/>
                <w:color w:val="auto"/>
              </w:rPr>
            </w:pPr>
            <w:r>
              <w:rPr>
                <w:rFonts w:ascii="Arial" w:cs="Arial" w:eastAsia="Arial" w:hAnsi="Arial"/>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Arial" w:cs="Arial" w:eastAsia="Arial" w:hAnsi="Arial"/>
                <w:sz w:val="12"/>
                <w:szCs w:val="12"/>
                <w:b w:val="1"/>
                <w:bCs w:val="1"/>
                <w:color w:val="auto"/>
              </w:rPr>
              <w:t>to</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3"/>
              </w:rPr>
              <w:t>Commission File Number: 001-34899</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2"/>
              </w:rPr>
              <w:t>___________________________________</w:t>
            </w:r>
          </w:p>
        </w:tc>
        <w:tc>
          <w:tcPr>
            <w:tcW w:w="0" w:type="dxa"/>
            <w:vAlign w:val="bottom"/>
          </w:tcPr>
          <w:p>
            <w:pPr>
              <w:spacing w:after="0"/>
              <w:rPr>
                <w:sz w:val="1"/>
                <w:szCs w:val="1"/>
                <w:color w:val="auto"/>
              </w:rPr>
            </w:pPr>
          </w:p>
        </w:tc>
      </w:tr>
      <w:tr>
        <w:trPr>
          <w:trHeight w:val="318"/>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27"/>
                <w:szCs w:val="27"/>
                <w:b w:val="1"/>
                <w:bCs w:val="1"/>
                <w:color w:val="auto"/>
                <w:w w:val="85"/>
              </w:rPr>
              <w:t>Pulse Biosciences, Inc.</w:t>
            </w: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0"/>
                <w:szCs w:val="10"/>
                <w:b w:val="1"/>
                <w:bCs w:val="1"/>
                <w:color w:val="auto"/>
                <w:w w:val="87"/>
              </w:rPr>
              <w:t>(Exact name of registrant as specified in its charter)</w:t>
            </w:r>
          </w:p>
        </w:tc>
        <w:tc>
          <w:tcPr>
            <w:tcW w:w="0" w:type="dxa"/>
            <w:vAlign w:val="bottom"/>
          </w:tcPr>
          <w:p>
            <w:pPr>
              <w:spacing w:after="0"/>
              <w:rPr>
                <w:sz w:val="1"/>
                <w:szCs w:val="1"/>
                <w:color w:val="auto"/>
              </w:rPr>
            </w:pPr>
          </w:p>
        </w:tc>
      </w:tr>
      <w:tr>
        <w:trPr>
          <w:trHeight w:val="341"/>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0"/>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Arial" w:cs="Arial" w:eastAsia="Arial" w:hAnsi="Arial"/>
                <w:sz w:val="11"/>
                <w:szCs w:val="11"/>
                <w:b w:val="1"/>
                <w:bCs w:val="1"/>
                <w:color w:val="auto"/>
              </w:rPr>
              <w:t>46-5696597</w:t>
            </w:r>
          </w:p>
        </w:tc>
        <w:tc>
          <w:tcPr>
            <w:tcW w:w="0" w:type="dxa"/>
            <w:vAlign w:val="bottom"/>
          </w:tcPr>
          <w:p>
            <w:pPr>
              <w:spacing w:after="0"/>
              <w:rPr>
                <w:sz w:val="1"/>
                <w:szCs w:val="1"/>
                <w:color w:val="auto"/>
              </w:rPr>
            </w:pPr>
          </w:p>
        </w:tc>
      </w:tr>
      <w:tr>
        <w:trPr>
          <w:trHeight w:val="111"/>
        </w:trPr>
        <w:tc>
          <w:tcPr>
            <w:tcW w:w="3000" w:type="dxa"/>
            <w:vAlign w:val="bottom"/>
          </w:tcPr>
          <w:p>
            <w:pPr>
              <w:jc w:val="center"/>
              <w:ind w:left="505"/>
              <w:spacing w:after="0" w:line="111" w:lineRule="exact"/>
              <w:rPr>
                <w:sz w:val="20"/>
                <w:szCs w:val="20"/>
                <w:color w:val="auto"/>
              </w:rPr>
            </w:pPr>
            <w:r>
              <w:rPr>
                <w:rFonts w:ascii="Arial" w:cs="Arial" w:eastAsia="Arial" w:hAnsi="Arial"/>
                <w:sz w:val="11"/>
                <w:szCs w:val="11"/>
                <w:b w:val="1"/>
                <w:bCs w:val="1"/>
                <w:color w:val="auto"/>
                <w:w w:val="92"/>
              </w:rPr>
              <w:t>(State or other jurisdiction of</w:t>
            </w:r>
          </w:p>
        </w:tc>
        <w:tc>
          <w:tcPr>
            <w:tcW w:w="2340" w:type="dxa"/>
            <w:vAlign w:val="bottom"/>
          </w:tcPr>
          <w:p>
            <w:pPr>
              <w:spacing w:after="0"/>
              <w:rPr>
                <w:sz w:val="9"/>
                <w:szCs w:val="9"/>
                <w:color w:val="auto"/>
              </w:rPr>
            </w:pPr>
          </w:p>
        </w:tc>
        <w:tc>
          <w:tcPr>
            <w:tcW w:w="3680" w:type="dxa"/>
            <w:vAlign w:val="bottom"/>
          </w:tcPr>
          <w:p>
            <w:pPr>
              <w:jc w:val="center"/>
              <w:ind w:left="464"/>
              <w:spacing w:after="0" w:line="111" w:lineRule="exact"/>
              <w:rPr>
                <w:sz w:val="20"/>
                <w:szCs w:val="20"/>
                <w:color w:val="auto"/>
              </w:rPr>
            </w:pPr>
            <w:r>
              <w:rPr>
                <w:rFonts w:ascii="Arial" w:cs="Arial" w:eastAsia="Arial" w:hAnsi="Arial"/>
                <w:sz w:val="11"/>
                <w:szCs w:val="11"/>
                <w:b w:val="1"/>
                <w:bCs w:val="1"/>
                <w:color w:val="auto"/>
                <w:w w:val="94"/>
              </w:rPr>
              <w:t>(I.R.S. Employer</w:t>
            </w: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1"/>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189"/>
        </w:trPr>
        <w:tc>
          <w:tcPr>
            <w:tcW w:w="3000" w:type="dxa"/>
            <w:vAlign w:val="bottom"/>
          </w:tcPr>
          <w:p>
            <w:pPr>
              <w:jc w:val="center"/>
              <w:ind w:left="525"/>
              <w:spacing w:after="0"/>
              <w:rPr>
                <w:sz w:val="20"/>
                <w:szCs w:val="20"/>
                <w:color w:val="auto"/>
              </w:rPr>
            </w:pPr>
            <w:r>
              <w:rPr>
                <w:rFonts w:ascii="Arial" w:cs="Arial" w:eastAsia="Arial" w:hAnsi="Arial"/>
                <w:sz w:val="11"/>
                <w:szCs w:val="11"/>
                <w:b w:val="1"/>
                <w:bCs w:val="1"/>
                <w:color w:val="auto"/>
                <w:w w:val="92"/>
              </w:rPr>
              <w:t>3957 Point Eden Way</w:t>
            </w:r>
          </w:p>
        </w:tc>
        <w:tc>
          <w:tcPr>
            <w:tcW w:w="2340" w:type="dxa"/>
            <w:vAlign w:val="bottom"/>
          </w:tcPr>
          <w:p>
            <w:pPr>
              <w:spacing w:after="0"/>
              <w:rPr>
                <w:sz w:val="16"/>
                <w:szCs w:val="16"/>
                <w:color w:val="auto"/>
              </w:rPr>
            </w:pPr>
          </w:p>
        </w:tc>
        <w:tc>
          <w:tcPr>
            <w:tcW w:w="3680" w:type="dxa"/>
            <w:vAlign w:val="bottom"/>
            <w:vMerge w:val="restart"/>
          </w:tcPr>
          <w:p>
            <w:pPr>
              <w:jc w:val="right"/>
              <w:ind w:right="1404"/>
              <w:spacing w:after="0"/>
              <w:rPr>
                <w:sz w:val="20"/>
                <w:szCs w:val="20"/>
                <w:color w:val="auto"/>
              </w:rPr>
            </w:pPr>
            <w:r>
              <w:rPr>
                <w:rFonts w:ascii="Arial" w:cs="Arial" w:eastAsia="Arial" w:hAnsi="Arial"/>
                <w:sz w:val="11"/>
                <w:szCs w:val="11"/>
                <w:b w:val="1"/>
                <w:bCs w:val="1"/>
                <w:color w:val="auto"/>
              </w:rPr>
              <w:t>94545</w:t>
            </w:r>
          </w:p>
        </w:tc>
        <w:tc>
          <w:tcPr>
            <w:tcW w:w="0" w:type="dxa"/>
            <w:vAlign w:val="bottom"/>
          </w:tcPr>
          <w:p>
            <w:pPr>
              <w:spacing w:after="0"/>
              <w:rPr>
                <w:sz w:val="1"/>
                <w:szCs w:val="1"/>
                <w:color w:val="auto"/>
              </w:rPr>
            </w:pPr>
          </w:p>
        </w:tc>
      </w:tr>
      <w:tr>
        <w:trPr>
          <w:trHeight w:val="111"/>
        </w:trPr>
        <w:tc>
          <w:tcPr>
            <w:tcW w:w="3000" w:type="dxa"/>
            <w:vAlign w:val="bottom"/>
          </w:tcPr>
          <w:p>
            <w:pPr>
              <w:jc w:val="center"/>
              <w:ind w:left="525"/>
              <w:spacing w:after="0" w:line="111" w:lineRule="exact"/>
              <w:rPr>
                <w:sz w:val="20"/>
                <w:szCs w:val="20"/>
                <w:color w:val="auto"/>
              </w:rPr>
            </w:pPr>
            <w:r>
              <w:rPr>
                <w:rFonts w:ascii="Arial" w:cs="Arial" w:eastAsia="Arial" w:hAnsi="Arial"/>
                <w:sz w:val="11"/>
                <w:szCs w:val="11"/>
                <w:b w:val="1"/>
                <w:bCs w:val="1"/>
                <w:color w:val="auto"/>
                <w:w w:val="97"/>
              </w:rPr>
              <w:t>Hayward, CA</w:t>
            </w:r>
          </w:p>
        </w:tc>
        <w:tc>
          <w:tcPr>
            <w:tcW w:w="234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89"/>
              </w:rPr>
              <w:t>(Address of principal executive offices)</w:t>
            </w:r>
          </w:p>
        </w:tc>
        <w:tc>
          <w:tcPr>
            <w:tcW w:w="2340" w:type="dxa"/>
            <w:vAlign w:val="bottom"/>
            <w:vMerge w:val="restart"/>
          </w:tcPr>
          <w:p>
            <w:pPr>
              <w:jc w:val="center"/>
              <w:ind w:left="796"/>
              <w:spacing w:after="0"/>
              <w:rPr>
                <w:sz w:val="20"/>
                <w:szCs w:val="20"/>
                <w:color w:val="auto"/>
              </w:rPr>
            </w:pPr>
            <w:r>
              <w:rPr>
                <w:rFonts w:ascii="Arial" w:cs="Arial" w:eastAsia="Arial" w:hAnsi="Arial"/>
                <w:sz w:val="11"/>
                <w:szCs w:val="11"/>
                <w:b w:val="1"/>
                <w:bCs w:val="1"/>
                <w:color w:val="auto"/>
                <w:w w:val="90"/>
              </w:rPr>
              <w:t>(510) 906-4600</w:t>
            </w: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79"/>
        </w:trPr>
        <w:tc>
          <w:tcPr>
            <w:tcW w:w="30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3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1" w:lineRule="exact"/>
              <w:rPr>
                <w:sz w:val="20"/>
                <w:szCs w:val="20"/>
                <w:color w:val="auto"/>
              </w:rPr>
            </w:pPr>
            <w:r>
              <w:rPr>
                <w:rFonts w:ascii="Arial" w:cs="Arial" w:eastAsia="Arial" w:hAnsi="Arial"/>
                <w:sz w:val="11"/>
                <w:szCs w:val="11"/>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115"/>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5" w:lineRule="exact"/>
              <w:rPr>
                <w:sz w:val="20"/>
                <w:szCs w:val="20"/>
                <w:color w:val="auto"/>
              </w:rPr>
            </w:pPr>
            <w:r>
              <w:rPr>
                <w:rFonts w:ascii="Arial" w:cs="Arial" w:eastAsia="Arial" w:hAnsi="Arial"/>
                <w:sz w:val="11"/>
                <w:szCs w:val="11"/>
                <w:b w:val="1"/>
                <w:bCs w:val="1"/>
                <w:color w:val="auto"/>
                <w:w w:val="90"/>
              </w:rPr>
              <w:t>___________________________________</w:t>
            </w: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1"/>
                <w:szCs w:val="11"/>
                <w:color w:val="auto"/>
                <w:w w:val="91"/>
              </w:rPr>
              <w:t>Securities registered pursuant to Section 12(b) of the Act:</w:t>
            </w:r>
          </w:p>
        </w:tc>
        <w:tc>
          <w:tcPr>
            <w:tcW w:w="0" w:type="dxa"/>
            <w:vAlign w:val="bottom"/>
          </w:tcPr>
          <w:p>
            <w:pPr>
              <w:spacing w:after="0"/>
              <w:rPr>
                <w:sz w:val="1"/>
                <w:szCs w:val="1"/>
                <w:color w:val="auto"/>
              </w:rPr>
            </w:pPr>
          </w:p>
        </w:tc>
      </w:tr>
      <w:tr>
        <w:trPr>
          <w:trHeight w:val="231"/>
        </w:trPr>
        <w:tc>
          <w:tcPr>
            <w:tcW w:w="3000" w:type="dxa"/>
            <w:vAlign w:val="bottom"/>
          </w:tcPr>
          <w:p>
            <w:pPr>
              <w:jc w:val="center"/>
              <w:ind w:right="905"/>
              <w:spacing w:after="0"/>
              <w:rPr>
                <w:sz w:val="20"/>
                <w:szCs w:val="20"/>
                <w:color w:val="auto"/>
              </w:rPr>
            </w:pPr>
            <w:r>
              <w:rPr>
                <w:rFonts w:ascii="Arial" w:cs="Arial" w:eastAsia="Arial" w:hAnsi="Arial"/>
                <w:sz w:val="11"/>
                <w:szCs w:val="11"/>
                <w:color w:val="auto"/>
                <w:w w:val="90"/>
              </w:rPr>
              <w:t>Title of each class</w:t>
            </w:r>
          </w:p>
        </w:tc>
        <w:tc>
          <w:tcPr>
            <w:tcW w:w="2340" w:type="dxa"/>
            <w:vAlign w:val="bottom"/>
          </w:tcPr>
          <w:p>
            <w:pPr>
              <w:jc w:val="center"/>
              <w:ind w:left="476"/>
              <w:spacing w:after="0"/>
              <w:rPr>
                <w:sz w:val="20"/>
                <w:szCs w:val="20"/>
                <w:color w:val="auto"/>
              </w:rPr>
            </w:pPr>
            <w:r>
              <w:rPr>
                <w:rFonts w:ascii="Arial" w:cs="Arial" w:eastAsia="Arial" w:hAnsi="Arial"/>
                <w:sz w:val="11"/>
                <w:szCs w:val="11"/>
                <w:color w:val="auto"/>
                <w:w w:val="93"/>
              </w:rPr>
              <w:t>Trading Symbol(s)</w:t>
            </w:r>
          </w:p>
        </w:tc>
        <w:tc>
          <w:tcPr>
            <w:tcW w:w="3680" w:type="dxa"/>
            <w:vAlign w:val="bottom"/>
          </w:tcPr>
          <w:p>
            <w:pPr>
              <w:jc w:val="center"/>
              <w:ind w:left="1664"/>
              <w:spacing w:after="0"/>
              <w:rPr>
                <w:sz w:val="20"/>
                <w:szCs w:val="20"/>
                <w:color w:val="auto"/>
              </w:rPr>
            </w:pPr>
            <w:r>
              <w:rPr>
                <w:rFonts w:ascii="Arial" w:cs="Arial" w:eastAsia="Arial" w:hAnsi="Arial"/>
                <w:sz w:val="11"/>
                <w:szCs w:val="11"/>
                <w:color w:val="auto"/>
                <w:w w:val="90"/>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Arial" w:cs="Arial" w:eastAsia="Arial" w:hAnsi="Arial"/>
                <w:sz w:val="11"/>
                <w:szCs w:val="11"/>
                <w:b w:val="1"/>
                <w:bCs w:val="1"/>
                <w:color w:val="auto"/>
                <w:w w:val="90"/>
              </w:rPr>
              <w:t>Common Stock, par value $0.001 per share</w:t>
            </w:r>
          </w:p>
        </w:tc>
        <w:tc>
          <w:tcPr>
            <w:tcW w:w="2340" w:type="dxa"/>
            <w:vAlign w:val="bottom"/>
          </w:tcPr>
          <w:p>
            <w:pPr>
              <w:jc w:val="center"/>
              <w:ind w:left="476"/>
              <w:spacing w:after="0"/>
              <w:rPr>
                <w:sz w:val="20"/>
                <w:szCs w:val="20"/>
                <w:color w:val="auto"/>
              </w:rPr>
            </w:pPr>
            <w:r>
              <w:rPr>
                <w:rFonts w:ascii="Arial" w:cs="Arial" w:eastAsia="Arial" w:hAnsi="Arial"/>
                <w:sz w:val="11"/>
                <w:szCs w:val="11"/>
                <w:b w:val="1"/>
                <w:bCs w:val="1"/>
                <w:color w:val="auto"/>
                <w:w w:val="97"/>
              </w:rPr>
              <w:t>PLSE</w:t>
            </w:r>
          </w:p>
        </w:tc>
        <w:tc>
          <w:tcPr>
            <w:tcW w:w="3680" w:type="dxa"/>
            <w:vAlign w:val="bottom"/>
          </w:tcPr>
          <w:p>
            <w:pPr>
              <w:jc w:val="center"/>
              <w:ind w:left="1644"/>
              <w:spacing w:after="0"/>
              <w:rPr>
                <w:sz w:val="20"/>
                <w:szCs w:val="20"/>
                <w:color w:val="auto"/>
              </w:rPr>
            </w:pPr>
            <w:r>
              <w:rPr>
                <w:rFonts w:ascii="Arial" w:cs="Arial" w:eastAsia="Arial" w:hAnsi="Arial"/>
                <w:sz w:val="11"/>
                <w:szCs w:val="11"/>
                <w:b w:val="1"/>
                <w:bCs w:val="1"/>
                <w:color w:val="auto"/>
                <w:w w:val="94"/>
              </w:rPr>
              <w:t>The Nasdaq Stock Market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6" w:right="10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8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60" w:firstLine="301"/>
        <w:spacing w:after="0" w:line="23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6" w:type="dxa"/>
        <w:tblCellMar>
          <w:top w:w="0" w:type="dxa"/>
          <w:left w:w="0" w:type="dxa"/>
          <w:bottom w:w="0" w:type="dxa"/>
          <w:right w:w="0" w:type="dxa"/>
        </w:tblCellMar>
      </w:tblPr>
      <w:tr>
        <w:trPr>
          <w:trHeight w:val="133"/>
        </w:trPr>
        <w:tc>
          <w:tcPr>
            <w:tcW w:w="19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Arial" w:cs="Arial" w:eastAsia="Arial" w:hAnsi="Arial"/>
                <w:sz w:val="11"/>
                <w:szCs w:val="11"/>
                <w:color w:val="auto"/>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11"/>
        </w:trPr>
        <w:tc>
          <w:tcPr>
            <w:tcW w:w="1960" w:type="dxa"/>
            <w:vAlign w:val="bottom"/>
          </w:tcPr>
          <w:p>
            <w:pPr>
              <w:spacing w:after="0" w:line="111" w:lineRule="exact"/>
              <w:rPr>
                <w:sz w:val="20"/>
                <w:szCs w:val="20"/>
                <w:color w:val="auto"/>
              </w:rPr>
            </w:pPr>
            <w:r>
              <w:rPr>
                <w:rFonts w:ascii="Arial" w:cs="Arial" w:eastAsia="Arial" w:hAnsi="Arial"/>
                <w:sz w:val="11"/>
                <w:szCs w:val="11"/>
                <w:color w:val="auto"/>
              </w:rPr>
              <w:t>Non-accelerated filer</w:t>
            </w:r>
          </w:p>
        </w:tc>
        <w:tc>
          <w:tcPr>
            <w:tcW w:w="3500" w:type="dxa"/>
            <w:vAlign w:val="bottom"/>
          </w:tcPr>
          <w:p>
            <w:pPr>
              <w:ind w:left="980"/>
              <w:spacing w:after="0" w:line="111" w:lineRule="exact"/>
              <w:rPr>
                <w:sz w:val="20"/>
                <w:szCs w:val="20"/>
                <w:color w:val="auto"/>
              </w:rPr>
            </w:pPr>
            <w:r>
              <w:rPr>
                <w:rFonts w:ascii="Arial" w:cs="Arial" w:eastAsia="Arial" w:hAnsi="Arial"/>
                <w:sz w:val="11"/>
                <w:szCs w:val="11"/>
                <w:color w:val="auto"/>
              </w:rPr>
              <w:t>x</w:t>
            </w:r>
          </w:p>
        </w:tc>
        <w:tc>
          <w:tcPr>
            <w:tcW w:w="4600" w:type="dxa"/>
            <w:vAlign w:val="bottom"/>
          </w:tcPr>
          <w:p>
            <w:pPr>
              <w:ind w:left="2420"/>
              <w:spacing w:after="0" w:line="111" w:lineRule="exact"/>
              <w:rPr>
                <w:sz w:val="20"/>
                <w:szCs w:val="20"/>
                <w:color w:val="auto"/>
              </w:rPr>
            </w:pPr>
            <w:r>
              <w:rPr>
                <w:rFonts w:ascii="Arial" w:cs="Arial" w:eastAsia="Arial" w:hAnsi="Arial"/>
                <w:sz w:val="11"/>
                <w:szCs w:val="11"/>
                <w:color w:val="auto"/>
              </w:rPr>
              <w:t>Smaller reporting company</w:t>
            </w:r>
          </w:p>
        </w:tc>
        <w:tc>
          <w:tcPr>
            <w:tcW w:w="1080" w:type="dxa"/>
            <w:vAlign w:val="bottom"/>
          </w:tcPr>
          <w:p>
            <w:pPr>
              <w:ind w:left="980"/>
              <w:spacing w:after="0" w:line="111" w:lineRule="exact"/>
              <w:rPr>
                <w:sz w:val="20"/>
                <w:szCs w:val="20"/>
                <w:color w:val="auto"/>
              </w:rPr>
            </w:pPr>
            <w:r>
              <w:rPr>
                <w:rFonts w:ascii="Arial" w:cs="Arial" w:eastAsia="Arial" w:hAnsi="Arial"/>
                <w:sz w:val="11"/>
                <w:szCs w:val="11"/>
                <w:color w:val="auto"/>
              </w:rPr>
              <w:t>x</w:t>
            </w:r>
          </w:p>
        </w:tc>
      </w:tr>
      <w:tr>
        <w:trPr>
          <w:trHeight w:val="139"/>
        </w:trPr>
        <w:tc>
          <w:tcPr>
            <w:tcW w:w="19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0" w:type="dxa"/>
            <w:vAlign w:val="bottom"/>
          </w:tcPr>
          <w:p>
            <w:pPr>
              <w:ind w:left="2420"/>
              <w:spacing w:after="0"/>
              <w:rPr>
                <w:sz w:val="20"/>
                <w:szCs w:val="20"/>
                <w:color w:val="auto"/>
              </w:rPr>
            </w:pPr>
            <w:r>
              <w:rPr>
                <w:rFonts w:ascii="Arial" w:cs="Arial" w:eastAsia="Arial" w:hAnsi="Arial"/>
                <w:sz w:val="11"/>
                <w:szCs w:val="11"/>
                <w:color w:val="auto"/>
              </w:rPr>
              <w:t>Emerging growth company</w:t>
            </w:r>
          </w:p>
        </w:tc>
        <w:tc>
          <w:tcPr>
            <w:tcW w:w="1080" w:type="dxa"/>
            <w:vAlign w:val="bottom"/>
          </w:tcPr>
          <w:p>
            <w:pPr>
              <w:ind w:left="980"/>
              <w:spacing w:after="0"/>
              <w:rPr>
                <w:sz w:val="20"/>
                <w:szCs w:val="20"/>
                <w:color w:val="auto"/>
              </w:rPr>
            </w:pPr>
            <w:r>
              <w:rPr>
                <w:rFonts w:ascii="Arial" w:cs="Arial" w:eastAsia="Arial" w:hAnsi="Arial"/>
                <w:sz w:val="11"/>
                <w:szCs w:val="11"/>
                <w:color w:val="auto"/>
              </w:rPr>
              <w:t>x</w:t>
            </w:r>
          </w:p>
        </w:tc>
      </w:tr>
    </w:tbl>
    <w:p>
      <w:pPr>
        <w:spacing w:after="0" w:line="83" w:lineRule="exact"/>
        <w:rPr>
          <w:sz w:val="24"/>
          <w:szCs w:val="24"/>
          <w:color w:val="auto"/>
        </w:rPr>
      </w:pPr>
    </w:p>
    <w:p>
      <w:pPr>
        <w:ind w:left="306"/>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4" w:lineRule="exact"/>
        <w:rPr>
          <w:sz w:val="24"/>
          <w:szCs w:val="24"/>
          <w:color w:val="auto"/>
        </w:rPr>
      </w:pPr>
    </w:p>
    <w:p>
      <w:pPr>
        <w:ind w:left="6"/>
        <w:spacing w:after="0"/>
        <w:rPr>
          <w:sz w:val="20"/>
          <w:szCs w:val="20"/>
          <w:color w:val="auto"/>
        </w:rPr>
      </w:pPr>
      <w:r>
        <w:rPr>
          <w:rFonts w:ascii="Arial" w:cs="Arial" w:eastAsia="Arial" w:hAnsi="Arial"/>
          <w:sz w:val="11"/>
          <w:szCs w:val="11"/>
          <w:color w:val="auto"/>
        </w:rPr>
        <w:t>Act. x</w:t>
      </w:r>
    </w:p>
    <w:p>
      <w:pPr>
        <w:spacing w:after="0" w:line="65" w:lineRule="exact"/>
        <w:rPr>
          <w:sz w:val="24"/>
          <w:szCs w:val="24"/>
          <w:color w:val="auto"/>
        </w:rPr>
      </w:pPr>
    </w:p>
    <w:p>
      <w:pPr>
        <w:ind w:left="266" w:right="5220" w:firstLine="27"/>
        <w:spacing w:after="0" w:line="19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 The number of shares outstanding of the registrant’s common stock as of October 31, 2021: 29,631,283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248285</wp:posOffset>
            </wp:positionV>
            <wp:extent cx="720090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266"/>
          </w:cols>
          <w:pgMar w:left="294" w:top="4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700" w:type="dxa"/>
            <w:vAlign w:val="bottom"/>
            <w:gridSpan w:val="23"/>
          </w:tcPr>
          <w:p>
            <w:pPr>
              <w:spacing w:after="0"/>
              <w:rPr>
                <w:rFonts w:ascii="Arial" w:cs="Arial" w:eastAsia="Arial" w:hAnsi="Arial"/>
                <w:sz w:val="12"/>
                <w:szCs w:val="12"/>
                <w:b w:val="1"/>
                <w:bCs w:val="1"/>
                <w:color w:val="0563C1"/>
              </w:rPr>
            </w:pPr>
            <w:hyperlink w:anchor="page2">
              <w:r>
                <w:rPr>
                  <w:rFonts w:ascii="Arial" w:cs="Arial" w:eastAsia="Arial" w:hAnsi="Arial"/>
                  <w:sz w:val="12"/>
                  <w:szCs w:val="12"/>
                  <w:b w:val="1"/>
                  <w:bCs w:val="1"/>
                  <w:color w:val="0563C1"/>
                </w:rPr>
                <w:t>Table of Contents</w:t>
              </w:r>
            </w:hyperlink>
          </w:p>
        </w:tc>
        <w:tc>
          <w:tcPr>
            <w:tcW w:w="4600" w:type="dxa"/>
            <w:vAlign w:val="bottom"/>
          </w:tcPr>
          <w:p>
            <w:pPr>
              <w:spacing w:after="0"/>
              <w:rPr>
                <w:sz w:val="12"/>
                <w:szCs w:val="12"/>
                <w:color w:val="auto"/>
              </w:rPr>
            </w:pPr>
          </w:p>
        </w:tc>
      </w:tr>
      <w:tr>
        <w:trPr>
          <w:trHeight w:val="367"/>
        </w:trPr>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TABLE OF CONTENTS</w:t>
            </w:r>
          </w:p>
        </w:tc>
        <w:tc>
          <w:tcPr>
            <w:tcW w:w="4600" w:type="dxa"/>
            <w:vAlign w:val="bottom"/>
          </w:tcPr>
          <w:p>
            <w:pPr>
              <w:spacing w:after="0"/>
              <w:rPr>
                <w:sz w:val="24"/>
                <w:szCs w:val="24"/>
                <w:color w:val="auto"/>
              </w:rPr>
            </w:pPr>
          </w:p>
        </w:tc>
      </w:tr>
      <w:tr>
        <w:trPr>
          <w:trHeight w:val="237"/>
        </w:trPr>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51"/>
        </w:trPr>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tcPr>
          <w:p>
            <w:pPr>
              <w:jc w:val="right"/>
              <w:spacing w:after="0"/>
              <w:rPr>
                <w:sz w:val="20"/>
                <w:szCs w:val="20"/>
                <w:color w:val="auto"/>
              </w:rPr>
            </w:pPr>
            <w:r>
              <w:rPr>
                <w:rFonts w:ascii="Arial" w:cs="Arial" w:eastAsia="Arial" w:hAnsi="Arial"/>
                <w:sz w:val="12"/>
                <w:szCs w:val="12"/>
                <w:b w:val="1"/>
                <w:bCs w:val="1"/>
                <w:color w:val="auto"/>
              </w:rPr>
              <w:t>No.</w:t>
            </w:r>
          </w:p>
        </w:tc>
      </w:tr>
      <w:tr>
        <w:trPr>
          <w:trHeight w:val="188"/>
        </w:trPr>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0563C1"/>
            </w:tcBorders>
            <w:gridSpan w:val="5"/>
            <w:shd w:val="clear" w:color="auto" w:fill="CCEEFF"/>
          </w:tcPr>
          <w:p>
            <w:pPr>
              <w:jc w:val="center"/>
              <w:spacing w:after="0"/>
              <w:rPr>
                <w:rFonts w:ascii="Arial" w:cs="Arial" w:eastAsia="Arial" w:hAnsi="Arial"/>
                <w:sz w:val="12"/>
                <w:szCs w:val="12"/>
                <w:b w:val="1"/>
                <w:bCs w:val="1"/>
                <w:color w:val="0563C1"/>
              </w:rPr>
            </w:pPr>
            <w:hyperlink w:anchor="page3">
              <w:r>
                <w:rPr>
                  <w:rFonts w:ascii="Arial" w:cs="Arial" w:eastAsia="Arial" w:hAnsi="Arial"/>
                  <w:sz w:val="12"/>
                  <w:szCs w:val="12"/>
                  <w:b w:val="1"/>
                  <w:bCs w:val="1"/>
                  <w:color w:val="0563C1"/>
                </w:rPr>
                <w:t>PART I. FINANCIAL INFORMATION</w:t>
              </w:r>
            </w:hyperlink>
          </w:p>
        </w:tc>
        <w:tc>
          <w:tcPr>
            <w:tcW w:w="4600" w:type="dxa"/>
            <w:vAlign w:val="bottom"/>
            <w:tcBorders>
              <w:bottom w:val="single" w:sz="8" w:color="CCEEFF"/>
            </w:tcBorders>
            <w:shd w:val="clear" w:color="auto" w:fill="CCEEFF"/>
          </w:tcPr>
          <w:p>
            <w:pPr>
              <w:spacing w:after="0"/>
              <w:rPr>
                <w:sz w:val="15"/>
                <w:szCs w:val="15"/>
                <w:color w:val="auto"/>
              </w:rPr>
            </w:pPr>
          </w:p>
        </w:tc>
      </w:tr>
      <w:tr>
        <w:trPr>
          <w:trHeight w:val="111"/>
        </w:trPr>
        <w:tc>
          <w:tcPr>
            <w:tcW w:w="2040" w:type="dxa"/>
            <w:vAlign w:val="bottom"/>
            <w:tcBorders>
              <w:top w:val="single" w:sz="8" w:color="CCEEFF"/>
              <w:bottom w:val="single" w:sz="8" w:color="0563C1"/>
            </w:tcBorders>
            <w:gridSpan w:val="9"/>
          </w:tcPr>
          <w:p>
            <w:pPr>
              <w:spacing w:after="0" w:line="111" w:lineRule="exact"/>
              <w:rPr>
                <w:rFonts w:ascii="Arial" w:cs="Arial" w:eastAsia="Arial" w:hAnsi="Arial"/>
                <w:sz w:val="12"/>
                <w:szCs w:val="12"/>
                <w:color w:val="0563C1"/>
                <w:w w:val="92"/>
              </w:rPr>
            </w:pPr>
            <w:hyperlink w:anchor="page3">
              <w:r>
                <w:rPr>
                  <w:rFonts w:ascii="Arial" w:cs="Arial" w:eastAsia="Arial" w:hAnsi="Arial"/>
                  <w:sz w:val="12"/>
                  <w:szCs w:val="12"/>
                  <w:color w:val="0563C1"/>
                  <w:w w:val="92"/>
                </w:rPr>
                <w:t>Item 1. Financial Statements (unaudited):</w:t>
              </w:r>
            </w:hyperlink>
          </w:p>
        </w:tc>
        <w:tc>
          <w:tcPr>
            <w:tcW w:w="4660" w:type="dxa"/>
            <w:vAlign w:val="bottom"/>
            <w:tcBorders>
              <w:top w:val="single" w:sz="8" w:color="CCEEFF"/>
            </w:tcBorders>
            <w:gridSpan w:val="14"/>
          </w:tcPr>
          <w:p>
            <w:pPr>
              <w:spacing w:after="0"/>
              <w:rPr>
                <w:sz w:val="9"/>
                <w:szCs w:val="9"/>
                <w:color w:val="auto"/>
              </w:rPr>
            </w:pPr>
          </w:p>
        </w:tc>
        <w:tc>
          <w:tcPr>
            <w:tcW w:w="4600" w:type="dxa"/>
            <w:vAlign w:val="bottom"/>
            <w:tcBorders>
              <w:top w:val="single" w:sz="8" w:color="CCEEFF"/>
            </w:tcBorders>
          </w:tcPr>
          <w:p>
            <w:pPr>
              <w:jc w:val="right"/>
              <w:spacing w:after="0" w:line="111" w:lineRule="exact"/>
              <w:rPr>
                <w:sz w:val="20"/>
                <w:szCs w:val="20"/>
                <w:color w:val="auto"/>
              </w:rPr>
            </w:pPr>
            <w:r>
              <w:rPr>
                <w:rFonts w:ascii="Arial" w:cs="Arial" w:eastAsia="Arial" w:hAnsi="Arial"/>
                <w:sz w:val="12"/>
                <w:szCs w:val="12"/>
                <w:color w:val="auto"/>
              </w:rPr>
              <w:t>3</w:t>
            </w:r>
          </w:p>
        </w:tc>
      </w:tr>
      <w:tr>
        <w:trPr>
          <w:trHeight w:val="109"/>
        </w:trPr>
        <w:tc>
          <w:tcPr>
            <w:tcW w:w="120" w:type="dxa"/>
            <w:vAlign w:val="bottom"/>
            <w:tcBorders>
              <w:bottom w:val="single" w:sz="8" w:color="CCEEFF"/>
            </w:tcBorders>
            <w:shd w:val="clear" w:color="auto" w:fill="CCEEFF"/>
          </w:tcPr>
          <w:p>
            <w:pPr>
              <w:spacing w:after="0"/>
              <w:rPr>
                <w:sz w:val="9"/>
                <w:szCs w:val="9"/>
                <w:color w:val="auto"/>
              </w:rPr>
            </w:pPr>
          </w:p>
        </w:tc>
        <w:tc>
          <w:tcPr>
            <w:tcW w:w="4500" w:type="dxa"/>
            <w:vAlign w:val="bottom"/>
            <w:tcBorders>
              <w:bottom w:val="single" w:sz="8" w:color="0563C1"/>
            </w:tcBorders>
            <w:gridSpan w:val="18"/>
            <w:shd w:val="clear" w:color="auto" w:fill="CCEEFF"/>
          </w:tcPr>
          <w:p>
            <w:pPr>
              <w:spacing w:after="0" w:line="109" w:lineRule="exact"/>
              <w:rPr>
                <w:rFonts w:ascii="Arial" w:cs="Arial" w:eastAsia="Arial" w:hAnsi="Arial"/>
                <w:sz w:val="12"/>
                <w:szCs w:val="12"/>
                <w:color w:val="0563C1"/>
                <w:w w:val="90"/>
              </w:rPr>
            </w:pPr>
            <w:hyperlink w:anchor="page3">
              <w:r>
                <w:rPr>
                  <w:rFonts w:ascii="Arial" w:cs="Arial" w:eastAsia="Arial" w:hAnsi="Arial"/>
                  <w:sz w:val="12"/>
                  <w:szCs w:val="12"/>
                  <w:color w:val="0563C1"/>
                  <w:w w:val="90"/>
                </w:rPr>
                <w:t>Condensed Consolidated Balance Sheets as of September 30, 2021 and December 31, 2020</w:t>
              </w:r>
            </w:hyperlink>
          </w:p>
        </w:tc>
        <w:tc>
          <w:tcPr>
            <w:tcW w:w="2080" w:type="dxa"/>
            <w:vAlign w:val="bottom"/>
            <w:tcBorders>
              <w:bottom w:val="single" w:sz="8" w:color="CCEEFF"/>
            </w:tcBorders>
            <w:gridSpan w:val="4"/>
            <w:shd w:val="clear" w:color="auto" w:fill="CCEEFF"/>
          </w:tcPr>
          <w:p>
            <w:pPr>
              <w:spacing w:after="0"/>
              <w:rPr>
                <w:sz w:val="9"/>
                <w:szCs w:val="9"/>
                <w:color w:val="auto"/>
              </w:rPr>
            </w:pPr>
          </w:p>
        </w:tc>
        <w:tc>
          <w:tcPr>
            <w:tcW w:w="460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w:t>
            </w:r>
          </w:p>
        </w:tc>
      </w:tr>
      <w:tr>
        <w:trPr>
          <w:trHeight w:val="109"/>
        </w:trPr>
        <w:tc>
          <w:tcPr>
            <w:tcW w:w="120" w:type="dxa"/>
            <w:vAlign w:val="bottom"/>
          </w:tcPr>
          <w:p>
            <w:pPr>
              <w:spacing w:after="0"/>
              <w:rPr>
                <w:sz w:val="9"/>
                <w:szCs w:val="9"/>
                <w:color w:val="auto"/>
              </w:rPr>
            </w:pPr>
          </w:p>
        </w:tc>
        <w:tc>
          <w:tcPr>
            <w:tcW w:w="6580" w:type="dxa"/>
            <w:vAlign w:val="bottom"/>
            <w:gridSpan w:val="22"/>
          </w:tcPr>
          <w:p>
            <w:pPr>
              <w:spacing w:after="0" w:line="109" w:lineRule="exact"/>
              <w:rPr>
                <w:rFonts w:ascii="Arial" w:cs="Arial" w:eastAsia="Arial" w:hAnsi="Arial"/>
                <w:sz w:val="12"/>
                <w:szCs w:val="12"/>
                <w:color w:val="0563C1"/>
              </w:rPr>
            </w:pPr>
            <w:hyperlink w:anchor="page4">
              <w:r>
                <w:rPr>
                  <w:rFonts w:ascii="Arial" w:cs="Arial" w:eastAsia="Arial" w:hAnsi="Arial"/>
                  <w:sz w:val="12"/>
                  <w:szCs w:val="12"/>
                  <w:color w:val="0563C1"/>
                </w:rPr>
                <w:t>Condensed Consolidated Statements of Operations and Comprehensive Loss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4</w:t>
            </w:r>
          </w:p>
        </w:tc>
      </w:tr>
      <w:tr>
        <w:trPr>
          <w:trHeight w:val="109"/>
        </w:trPr>
        <w:tc>
          <w:tcPr>
            <w:tcW w:w="120" w:type="dxa"/>
            <w:vAlign w:val="bottom"/>
          </w:tcPr>
          <w:p>
            <w:pPr>
              <w:spacing w:after="0"/>
              <w:rPr>
                <w:sz w:val="9"/>
                <w:szCs w:val="9"/>
                <w:color w:val="auto"/>
              </w:rPr>
            </w:pPr>
          </w:p>
        </w:tc>
        <w:tc>
          <w:tcPr>
            <w:tcW w:w="3780" w:type="dxa"/>
            <w:vAlign w:val="bottom"/>
            <w:tcBorders>
              <w:top w:val="single" w:sz="8" w:color="0563C1"/>
              <w:bottom w:val="single" w:sz="8" w:color="0563C1"/>
            </w:tcBorders>
            <w:gridSpan w:val="15"/>
          </w:tcPr>
          <w:p>
            <w:pPr>
              <w:spacing w:after="0" w:line="109" w:lineRule="exact"/>
              <w:rPr>
                <w:rFonts w:ascii="Arial" w:cs="Arial" w:eastAsia="Arial" w:hAnsi="Arial"/>
                <w:sz w:val="12"/>
                <w:szCs w:val="12"/>
                <w:color w:val="0563C1"/>
                <w:w w:val="91"/>
              </w:rPr>
            </w:pPr>
            <w:hyperlink w:anchor="page4">
              <w:r>
                <w:rPr>
                  <w:rFonts w:ascii="Arial" w:cs="Arial" w:eastAsia="Arial" w:hAnsi="Arial"/>
                  <w:sz w:val="12"/>
                  <w:szCs w:val="12"/>
                  <w:color w:val="0563C1"/>
                  <w:w w:val="91"/>
                </w:rPr>
                <w:t>for the Three- and Nine-Month Periods Ended September 30, 2021 and 2020</w:t>
              </w:r>
            </w:hyperlink>
          </w:p>
        </w:tc>
        <w:tc>
          <w:tcPr>
            <w:tcW w:w="20" w:type="dxa"/>
            <w:vAlign w:val="bottom"/>
            <w:tcBorders>
              <w:bottom w:val="single" w:sz="8" w:color="0563C1"/>
            </w:tcBorders>
          </w:tcPr>
          <w:p>
            <w:pPr>
              <w:spacing w:after="0"/>
              <w:rPr>
                <w:sz w:val="9"/>
                <w:szCs w:val="9"/>
                <w:color w:val="auto"/>
              </w:rPr>
            </w:pPr>
          </w:p>
        </w:tc>
        <w:tc>
          <w:tcPr>
            <w:tcW w:w="78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0" w:type="dxa"/>
            <w:vAlign w:val="bottom"/>
          </w:tcPr>
          <w:p>
            <w:pPr>
              <w:spacing w:after="0"/>
              <w:rPr>
                <w:sz w:val="9"/>
                <w:szCs w:val="9"/>
                <w:color w:val="auto"/>
              </w:rPr>
            </w:pPr>
          </w:p>
        </w:tc>
      </w:tr>
      <w:tr>
        <w:trPr>
          <w:trHeight w:val="109"/>
        </w:trPr>
        <w:tc>
          <w:tcPr>
            <w:tcW w:w="120" w:type="dxa"/>
            <w:vAlign w:val="bottom"/>
            <w:shd w:val="clear" w:color="auto" w:fill="CCEEFF"/>
          </w:tcPr>
          <w:p>
            <w:pPr>
              <w:spacing w:after="0"/>
              <w:rPr>
                <w:sz w:val="9"/>
                <w:szCs w:val="9"/>
                <w:color w:val="auto"/>
              </w:rPr>
            </w:pPr>
          </w:p>
        </w:tc>
        <w:tc>
          <w:tcPr>
            <w:tcW w:w="6580" w:type="dxa"/>
            <w:vAlign w:val="bottom"/>
            <w:gridSpan w:val="22"/>
            <w:shd w:val="clear" w:color="auto" w:fill="CCEEFF"/>
          </w:tcPr>
          <w:p>
            <w:pPr>
              <w:spacing w:after="0" w:line="109" w:lineRule="exact"/>
              <w:rPr>
                <w:rFonts w:ascii="Arial" w:cs="Arial" w:eastAsia="Arial" w:hAnsi="Arial"/>
                <w:sz w:val="12"/>
                <w:szCs w:val="12"/>
                <w:color w:val="0563C1"/>
              </w:rPr>
            </w:pPr>
            <w:hyperlink w:anchor="page5">
              <w:r>
                <w:rPr>
                  <w:rFonts w:ascii="Arial" w:cs="Arial" w:eastAsia="Arial" w:hAnsi="Arial"/>
                  <w:sz w:val="12"/>
                  <w:szCs w:val="12"/>
                  <w:color w:val="0563C1"/>
                </w:rPr>
                <w:t>Condensed Consolidated Statements of Cash Flows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w:t>
            </w:r>
          </w:p>
        </w:tc>
      </w:tr>
      <w:tr>
        <w:trPr>
          <w:trHeight w:val="109"/>
        </w:trPr>
        <w:tc>
          <w:tcPr>
            <w:tcW w:w="120" w:type="dxa"/>
            <w:vAlign w:val="bottom"/>
            <w:tcBorders>
              <w:top w:val="single" w:sz="8" w:color="CCEEFF"/>
            </w:tcBorders>
            <w:shd w:val="clear" w:color="auto" w:fill="CCEEFF"/>
          </w:tcPr>
          <w:p>
            <w:pPr>
              <w:spacing w:after="0"/>
              <w:rPr>
                <w:sz w:val="9"/>
                <w:szCs w:val="9"/>
                <w:color w:val="auto"/>
              </w:rPr>
            </w:pPr>
          </w:p>
        </w:tc>
        <w:tc>
          <w:tcPr>
            <w:tcW w:w="2540" w:type="dxa"/>
            <w:vAlign w:val="bottom"/>
            <w:tcBorders>
              <w:top w:val="single" w:sz="8" w:color="0563C1"/>
            </w:tcBorders>
            <w:gridSpan w:val="9"/>
            <w:shd w:val="clear" w:color="auto" w:fill="CCEEFF"/>
          </w:tcPr>
          <w:p>
            <w:pPr>
              <w:spacing w:after="0" w:line="109" w:lineRule="exact"/>
              <w:rPr>
                <w:rFonts w:ascii="Arial" w:cs="Arial" w:eastAsia="Arial" w:hAnsi="Arial"/>
                <w:sz w:val="12"/>
                <w:szCs w:val="12"/>
                <w:color w:val="0563C1"/>
                <w:w w:val="95"/>
              </w:rPr>
            </w:pPr>
            <w:hyperlink w:anchor="page5">
              <w:r>
                <w:rPr>
                  <w:rFonts w:ascii="Arial" w:cs="Arial" w:eastAsia="Arial" w:hAnsi="Arial"/>
                  <w:sz w:val="12"/>
                  <w:szCs w:val="12"/>
                  <w:color w:val="0563C1"/>
                  <w:w w:val="95"/>
                </w:rPr>
                <w:t>for the Nine-Month Periods Ended September 30,</w:t>
              </w:r>
            </w:hyperlink>
          </w:p>
        </w:tc>
        <w:tc>
          <w:tcPr>
            <w:tcW w:w="4040" w:type="dxa"/>
            <w:vAlign w:val="bottom"/>
            <w:tcBorders>
              <w:top w:val="single" w:sz="8" w:color="CCEEFF"/>
            </w:tcBorders>
            <w:gridSpan w:val="13"/>
            <w:shd w:val="clear" w:color="auto" w:fill="CCEEFF"/>
          </w:tcPr>
          <w:p>
            <w:pPr>
              <w:spacing w:after="0" w:line="109" w:lineRule="exact"/>
              <w:rPr>
                <w:rFonts w:ascii="Arial" w:cs="Arial" w:eastAsia="Arial" w:hAnsi="Arial"/>
                <w:sz w:val="12"/>
                <w:szCs w:val="12"/>
                <w:color w:val="0563C1"/>
              </w:rPr>
            </w:pPr>
            <w:hyperlink w:anchor="page5">
              <w:r>
                <w:rPr>
                  <w:rFonts w:ascii="Arial" w:cs="Arial" w:eastAsia="Arial" w:hAnsi="Arial"/>
                  <w:sz w:val="12"/>
                  <w:szCs w:val="12"/>
                  <w:color w:val="0563C1"/>
                </w:rPr>
                <w:t xml:space="preserve">2021 and </w:t>
              </w:r>
            </w:hyperlink>
            <w:r>
              <w:rPr>
                <w:rFonts w:ascii="Arial" w:cs="Arial" w:eastAsia="Arial" w:hAnsi="Arial"/>
                <w:sz w:val="12"/>
                <w:szCs w:val="12"/>
                <w:color w:val="0563C1"/>
              </w:rPr>
              <w:t>2020</w:t>
            </w:r>
          </w:p>
        </w:tc>
        <w:tc>
          <w:tcPr>
            <w:tcW w:w="4600" w:type="dxa"/>
            <w:vAlign w:val="bottom"/>
            <w:tcBorders>
              <w:top w:val="single" w:sz="8" w:color="CCEEFF"/>
            </w:tcBorders>
            <w:shd w:val="clear" w:color="auto" w:fill="CCEEFF"/>
          </w:tcPr>
          <w:p>
            <w:pPr>
              <w:spacing w:after="0"/>
              <w:rPr>
                <w:sz w:val="9"/>
                <w:szCs w:val="9"/>
                <w:color w:val="auto"/>
              </w:rPr>
            </w:pPr>
          </w:p>
        </w:tc>
      </w:tr>
      <w:tr>
        <w:trPr>
          <w:trHeight w:val="109"/>
        </w:trPr>
        <w:tc>
          <w:tcPr>
            <w:tcW w:w="120" w:type="dxa"/>
            <w:vAlign w:val="bottom"/>
            <w:tcBorders>
              <w:top w:val="single" w:sz="8" w:color="CCEEFF"/>
            </w:tcBorders>
          </w:tcPr>
          <w:p>
            <w:pPr>
              <w:spacing w:after="0"/>
              <w:rPr>
                <w:sz w:val="9"/>
                <w:szCs w:val="9"/>
                <w:color w:val="auto"/>
              </w:rPr>
            </w:pPr>
          </w:p>
        </w:tc>
        <w:tc>
          <w:tcPr>
            <w:tcW w:w="3200" w:type="dxa"/>
            <w:vAlign w:val="bottom"/>
            <w:tcBorders>
              <w:top w:val="single" w:sz="8" w:color="0563C1"/>
            </w:tcBorders>
            <w:gridSpan w:val="12"/>
          </w:tcPr>
          <w:p>
            <w:pPr>
              <w:spacing w:after="0" w:line="109" w:lineRule="exact"/>
              <w:rPr>
                <w:rFonts w:ascii="Arial" w:cs="Arial" w:eastAsia="Arial" w:hAnsi="Arial"/>
                <w:sz w:val="12"/>
                <w:szCs w:val="12"/>
                <w:color w:val="0563C1"/>
                <w:w w:val="98"/>
              </w:rPr>
            </w:pPr>
            <w:hyperlink w:anchor="page6">
              <w:r>
                <w:rPr>
                  <w:rFonts w:ascii="Arial" w:cs="Arial" w:eastAsia="Arial" w:hAnsi="Arial"/>
                  <w:sz w:val="12"/>
                  <w:szCs w:val="12"/>
                  <w:color w:val="0563C1"/>
                  <w:w w:val="98"/>
                </w:rPr>
                <w:t>Condensed Consolidated Statements of Stockholders’ Equity</w:t>
              </w:r>
            </w:hyperlink>
          </w:p>
        </w:tc>
        <w:tc>
          <w:tcPr>
            <w:tcW w:w="3380" w:type="dxa"/>
            <w:vAlign w:val="bottom"/>
            <w:tcBorders>
              <w:top w:val="single" w:sz="8" w:color="CCEEFF"/>
            </w:tcBorders>
            <w:gridSpan w:val="10"/>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6</w:t>
            </w:r>
          </w:p>
        </w:tc>
      </w:tr>
      <w:tr>
        <w:trPr>
          <w:trHeight w:val="109"/>
        </w:trPr>
        <w:tc>
          <w:tcPr>
            <w:tcW w:w="120" w:type="dxa"/>
            <w:vAlign w:val="bottom"/>
          </w:tcPr>
          <w:p>
            <w:pPr>
              <w:spacing w:after="0"/>
              <w:rPr>
                <w:sz w:val="9"/>
                <w:szCs w:val="9"/>
                <w:color w:val="auto"/>
              </w:rPr>
            </w:pPr>
          </w:p>
        </w:tc>
        <w:tc>
          <w:tcPr>
            <w:tcW w:w="3000" w:type="dxa"/>
            <w:vAlign w:val="bottom"/>
            <w:tcBorders>
              <w:top w:val="single" w:sz="8" w:color="0563C1"/>
              <w:bottom w:val="single" w:sz="8" w:color="0563C1"/>
            </w:tcBorders>
            <w:gridSpan w:val="11"/>
          </w:tcPr>
          <w:p>
            <w:pPr>
              <w:spacing w:after="0" w:line="109" w:lineRule="exact"/>
              <w:rPr>
                <w:rFonts w:ascii="Arial" w:cs="Arial" w:eastAsia="Arial" w:hAnsi="Arial"/>
                <w:sz w:val="12"/>
                <w:szCs w:val="12"/>
                <w:color w:val="0563C1"/>
                <w:w w:val="91"/>
              </w:rPr>
            </w:pPr>
            <w:hyperlink w:anchor="page6">
              <w:r>
                <w:rPr>
                  <w:rFonts w:ascii="Arial" w:cs="Arial" w:eastAsia="Arial" w:hAnsi="Arial"/>
                  <w:sz w:val="12"/>
                  <w:szCs w:val="12"/>
                  <w:color w:val="0563C1"/>
                  <w:w w:val="91"/>
                </w:rPr>
                <w:t>for the Three- and Nine-Month Periods Ended September 30,</w:t>
              </w:r>
            </w:hyperlink>
          </w:p>
        </w:tc>
        <w:tc>
          <w:tcPr>
            <w:tcW w:w="800" w:type="dxa"/>
            <w:vAlign w:val="bottom"/>
            <w:tcBorders>
              <w:bottom w:val="single" w:sz="8" w:color="0563C1"/>
            </w:tcBorders>
            <w:gridSpan w:val="5"/>
          </w:tcPr>
          <w:p>
            <w:pPr>
              <w:ind w:left="40"/>
              <w:spacing w:after="0" w:line="109" w:lineRule="exact"/>
              <w:rPr>
                <w:rFonts w:ascii="Arial" w:cs="Arial" w:eastAsia="Arial" w:hAnsi="Arial"/>
                <w:sz w:val="12"/>
                <w:szCs w:val="12"/>
                <w:color w:val="0563C1"/>
                <w:w w:val="92"/>
              </w:rPr>
            </w:pPr>
            <w:hyperlink w:anchor="page6">
              <w:r>
                <w:rPr>
                  <w:rFonts w:ascii="Arial" w:cs="Arial" w:eastAsia="Arial" w:hAnsi="Arial"/>
                  <w:sz w:val="12"/>
                  <w:szCs w:val="12"/>
                  <w:color w:val="0563C1"/>
                  <w:w w:val="92"/>
                </w:rPr>
                <w:t xml:space="preserve">2021 and </w:t>
              </w:r>
            </w:hyperlink>
            <w:r>
              <w:rPr>
                <w:rFonts w:ascii="Arial" w:cs="Arial" w:eastAsia="Arial" w:hAnsi="Arial"/>
                <w:sz w:val="12"/>
                <w:szCs w:val="12"/>
                <w:color w:val="0563C1"/>
                <w:w w:val="92"/>
              </w:rPr>
              <w:t>2020</w:t>
            </w:r>
          </w:p>
        </w:tc>
        <w:tc>
          <w:tcPr>
            <w:tcW w:w="2780" w:type="dxa"/>
            <w:vAlign w:val="bottom"/>
            <w:gridSpan w:val="6"/>
          </w:tcPr>
          <w:p>
            <w:pPr>
              <w:spacing w:after="0"/>
              <w:rPr>
                <w:sz w:val="9"/>
                <w:szCs w:val="9"/>
                <w:color w:val="auto"/>
              </w:rPr>
            </w:pPr>
          </w:p>
        </w:tc>
        <w:tc>
          <w:tcPr>
            <w:tcW w:w="4600" w:type="dxa"/>
            <w:vAlign w:val="bottom"/>
          </w:tcPr>
          <w:p>
            <w:pPr>
              <w:spacing w:after="0"/>
              <w:rPr>
                <w:sz w:val="9"/>
                <w:szCs w:val="9"/>
                <w:color w:val="auto"/>
              </w:rPr>
            </w:pPr>
          </w:p>
        </w:tc>
      </w:tr>
      <w:tr>
        <w:trPr>
          <w:trHeight w:val="109"/>
        </w:trPr>
        <w:tc>
          <w:tcPr>
            <w:tcW w:w="120" w:type="dxa"/>
            <w:vAlign w:val="bottom"/>
            <w:shd w:val="clear" w:color="auto" w:fill="CCEEFF"/>
          </w:tcPr>
          <w:p>
            <w:pPr>
              <w:spacing w:after="0"/>
              <w:rPr>
                <w:sz w:val="9"/>
                <w:szCs w:val="9"/>
                <w:color w:val="auto"/>
              </w:rPr>
            </w:pPr>
          </w:p>
        </w:tc>
        <w:tc>
          <w:tcPr>
            <w:tcW w:w="6580" w:type="dxa"/>
            <w:vAlign w:val="bottom"/>
            <w:gridSpan w:val="22"/>
            <w:shd w:val="clear" w:color="auto" w:fill="CCEEFF"/>
          </w:tcPr>
          <w:p>
            <w:pPr>
              <w:spacing w:after="0" w:line="109" w:lineRule="exact"/>
              <w:rPr>
                <w:rFonts w:ascii="Arial" w:cs="Arial" w:eastAsia="Arial" w:hAnsi="Arial"/>
                <w:sz w:val="12"/>
                <w:szCs w:val="12"/>
                <w:color w:val="0563C1"/>
              </w:rPr>
            </w:pPr>
            <w:hyperlink w:anchor="page8">
              <w:r>
                <w:rPr>
                  <w:rFonts w:ascii="Arial" w:cs="Arial" w:eastAsia="Arial" w:hAnsi="Arial"/>
                  <w:sz w:val="12"/>
                  <w:szCs w:val="12"/>
                  <w:color w:val="0563C1"/>
                </w:rPr>
                <w:t>Notes to Condensed Consolidated Financial Statements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8</w:t>
            </w: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r>
      <w:tr>
        <w:trPr>
          <w:trHeight w:val="109"/>
        </w:trPr>
        <w:tc>
          <w:tcPr>
            <w:tcW w:w="6700" w:type="dxa"/>
            <w:vAlign w:val="bottom"/>
            <w:gridSpan w:val="23"/>
          </w:tcPr>
          <w:p>
            <w:pPr>
              <w:spacing w:after="0" w:line="109" w:lineRule="exact"/>
              <w:rPr>
                <w:rFonts w:ascii="Arial" w:cs="Arial" w:eastAsia="Arial" w:hAnsi="Arial"/>
                <w:sz w:val="12"/>
                <w:szCs w:val="12"/>
                <w:color w:val="0563C1"/>
              </w:rPr>
            </w:pPr>
            <w:hyperlink w:anchor="page22">
              <w:r>
                <w:rPr>
                  <w:rFonts w:ascii="Arial" w:cs="Arial" w:eastAsia="Arial" w:hAnsi="Arial"/>
                  <w:sz w:val="12"/>
                  <w:szCs w:val="12"/>
                  <w:color w:val="0563C1"/>
                </w:rPr>
                <w:t>Item 2. Management’s Discussion and Analysis of Financial Condition and Results of Operations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22</w:t>
            </w:r>
          </w:p>
        </w:tc>
      </w:tr>
      <w:tr>
        <w:trPr>
          <w:trHeight w:val="109"/>
        </w:trPr>
        <w:tc>
          <w:tcPr>
            <w:tcW w:w="3360" w:type="dxa"/>
            <w:vAlign w:val="bottom"/>
            <w:tcBorders>
              <w:top w:val="single" w:sz="8" w:color="0563C1"/>
              <w:bottom w:val="single" w:sz="8" w:color="0563C1"/>
            </w:tcBorders>
            <w:gridSpan w:val="15"/>
            <w:shd w:val="clear" w:color="auto" w:fill="CCEEFF"/>
          </w:tcPr>
          <w:p>
            <w:pPr>
              <w:spacing w:after="0" w:line="109" w:lineRule="exact"/>
              <w:rPr>
                <w:rFonts w:ascii="Arial" w:cs="Arial" w:eastAsia="Arial" w:hAnsi="Arial"/>
                <w:sz w:val="12"/>
                <w:szCs w:val="12"/>
                <w:color w:val="0563C1"/>
                <w:w w:val="94"/>
              </w:rPr>
            </w:pPr>
            <w:hyperlink w:anchor="page31">
              <w:r>
                <w:rPr>
                  <w:rFonts w:ascii="Arial" w:cs="Arial" w:eastAsia="Arial" w:hAnsi="Arial"/>
                  <w:sz w:val="12"/>
                  <w:szCs w:val="12"/>
                  <w:color w:val="0563C1"/>
                  <w:w w:val="94"/>
                </w:rPr>
                <w:t>Item 3. Quantitative and Qualitative Disclosures About Market Risk</w:t>
              </w:r>
            </w:hyperlink>
          </w:p>
        </w:tc>
        <w:tc>
          <w:tcPr>
            <w:tcW w:w="1420" w:type="dxa"/>
            <w:vAlign w:val="bottom"/>
            <w:tcBorders>
              <w:top w:val="single" w:sz="8" w:color="0563C1"/>
              <w:bottom w:val="single" w:sz="8" w:color="CCEEFF"/>
            </w:tcBorders>
            <w:gridSpan w:val="6"/>
            <w:shd w:val="clear" w:color="auto" w:fill="CCEEFF"/>
          </w:tcPr>
          <w:p>
            <w:pPr>
              <w:spacing w:after="0"/>
              <w:rPr>
                <w:sz w:val="9"/>
                <w:szCs w:val="9"/>
                <w:color w:val="auto"/>
              </w:rPr>
            </w:pPr>
          </w:p>
        </w:tc>
        <w:tc>
          <w:tcPr>
            <w:tcW w:w="1920" w:type="dxa"/>
            <w:vAlign w:val="bottom"/>
            <w:tcBorders>
              <w:bottom w:val="single" w:sz="8" w:color="CCEEFF"/>
            </w:tcBorders>
            <w:gridSpan w:val="2"/>
            <w:shd w:val="clear" w:color="auto" w:fill="CCEEFF"/>
          </w:tcPr>
          <w:p>
            <w:pPr>
              <w:spacing w:after="0"/>
              <w:rPr>
                <w:sz w:val="9"/>
                <w:szCs w:val="9"/>
                <w:color w:val="auto"/>
              </w:rPr>
            </w:pPr>
          </w:p>
        </w:tc>
        <w:tc>
          <w:tcPr>
            <w:tcW w:w="460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31</w:t>
            </w:r>
          </w:p>
        </w:tc>
      </w:tr>
      <w:tr>
        <w:trPr>
          <w:trHeight w:val="109"/>
        </w:trPr>
        <w:tc>
          <w:tcPr>
            <w:tcW w:w="6700" w:type="dxa"/>
            <w:vAlign w:val="bottom"/>
            <w:gridSpan w:val="23"/>
          </w:tcPr>
          <w:p>
            <w:pPr>
              <w:spacing w:after="0" w:line="109" w:lineRule="exact"/>
              <w:rPr>
                <w:rFonts w:ascii="Arial" w:cs="Arial" w:eastAsia="Arial" w:hAnsi="Arial"/>
                <w:sz w:val="12"/>
                <w:szCs w:val="12"/>
                <w:color w:val="0563C1"/>
              </w:rPr>
            </w:pPr>
            <w:hyperlink w:anchor="page31">
              <w:r>
                <w:rPr>
                  <w:rFonts w:ascii="Arial" w:cs="Arial" w:eastAsia="Arial" w:hAnsi="Arial"/>
                  <w:sz w:val="12"/>
                  <w:szCs w:val="12"/>
                  <w:color w:val="0563C1"/>
                </w:rPr>
                <w:t>Item 4. Controls and Procedures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31</w:t>
            </w:r>
          </w:p>
        </w:tc>
      </w:tr>
      <w:tr>
        <w:trPr>
          <w:trHeight w:val="128"/>
        </w:trPr>
        <w:tc>
          <w:tcPr>
            <w:tcW w:w="120" w:type="dxa"/>
            <w:vAlign w:val="bottom"/>
            <w:tcBorders>
              <w:top w:val="single" w:sz="8" w:color="0563C1"/>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20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0" w:type="dxa"/>
            <w:vAlign w:val="bottom"/>
            <w:shd w:val="clear" w:color="auto" w:fill="CCEEFF"/>
          </w:tcPr>
          <w:p>
            <w:pPr>
              <w:spacing w:after="0"/>
              <w:rPr>
                <w:sz w:val="11"/>
                <w:szCs w:val="11"/>
                <w:color w:val="auto"/>
              </w:rPr>
            </w:pPr>
          </w:p>
        </w:tc>
      </w:tr>
      <w:tr>
        <w:trPr>
          <w:trHeight w:val="111"/>
        </w:trPr>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gridSpan w:val="4"/>
          </w:tcPr>
          <w:p>
            <w:pPr>
              <w:jc w:val="center"/>
              <w:ind w:right="40"/>
              <w:spacing w:after="0" w:line="111" w:lineRule="exact"/>
              <w:rPr>
                <w:rFonts w:ascii="Arial" w:cs="Arial" w:eastAsia="Arial" w:hAnsi="Arial"/>
                <w:sz w:val="12"/>
                <w:szCs w:val="12"/>
                <w:b w:val="1"/>
                <w:bCs w:val="1"/>
                <w:color w:val="0563C1"/>
              </w:rPr>
            </w:pPr>
            <w:hyperlink w:anchor="page32">
              <w:r>
                <w:rPr>
                  <w:rFonts w:ascii="Arial" w:cs="Arial" w:eastAsia="Arial" w:hAnsi="Arial"/>
                  <w:sz w:val="12"/>
                  <w:szCs w:val="12"/>
                  <w:b w:val="1"/>
                  <w:bCs w:val="1"/>
                  <w:color w:val="0563C1"/>
                </w:rPr>
                <w:t>PART II. OTHER INFORMATION</w:t>
              </w:r>
            </w:hyperlink>
          </w:p>
        </w:tc>
        <w:tc>
          <w:tcPr>
            <w:tcW w:w="4600" w:type="dxa"/>
            <w:vAlign w:val="bottom"/>
          </w:tcPr>
          <w:p>
            <w:pPr>
              <w:spacing w:after="0"/>
              <w:rPr>
                <w:sz w:val="9"/>
                <w:szCs w:val="9"/>
                <w:color w:val="auto"/>
              </w:rPr>
            </w:pPr>
          </w:p>
        </w:tc>
      </w:tr>
      <w:tr>
        <w:trPr>
          <w:trHeight w:val="109"/>
        </w:trPr>
        <w:tc>
          <w:tcPr>
            <w:tcW w:w="4700" w:type="dxa"/>
            <w:vAlign w:val="bottom"/>
            <w:gridSpan w:val="20"/>
            <w:shd w:val="clear" w:color="auto" w:fill="CCEEFF"/>
          </w:tcPr>
          <w:p>
            <w:pPr>
              <w:spacing w:after="0" w:line="109" w:lineRule="exact"/>
              <w:rPr>
                <w:rFonts w:ascii="Arial" w:cs="Arial" w:eastAsia="Arial" w:hAnsi="Arial"/>
                <w:sz w:val="12"/>
                <w:szCs w:val="12"/>
                <w:color w:val="0563C1"/>
              </w:rPr>
            </w:pPr>
            <w:hyperlink w:anchor="page32">
              <w:r>
                <w:rPr>
                  <w:rFonts w:ascii="Arial" w:cs="Arial" w:eastAsia="Arial" w:hAnsi="Arial"/>
                  <w:sz w:val="12"/>
                  <w:szCs w:val="12"/>
                  <w:color w:val="0563C1"/>
                </w:rPr>
                <w:t>Item 1. Legal Proceedings</w:t>
              </w:r>
            </w:hyperlink>
          </w:p>
        </w:tc>
        <w:tc>
          <w:tcPr>
            <w:tcW w:w="1880" w:type="dxa"/>
            <w:vAlign w:val="bottom"/>
            <w:tcBorders>
              <w:top w:val="single" w:sz="8" w:color="0563C1"/>
            </w:tcBorders>
            <w:gridSpan w:val="2"/>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32</w:t>
            </w:r>
          </w:p>
        </w:tc>
      </w:tr>
      <w:tr>
        <w:trPr>
          <w:trHeight w:val="109"/>
        </w:trPr>
        <w:tc>
          <w:tcPr>
            <w:tcW w:w="1080" w:type="dxa"/>
            <w:vAlign w:val="bottom"/>
            <w:tcBorders>
              <w:top w:val="single" w:sz="8" w:color="0563C1"/>
              <w:bottom w:val="single" w:sz="8" w:color="0563C1"/>
            </w:tcBorders>
            <w:gridSpan w:val="5"/>
          </w:tcPr>
          <w:p>
            <w:pPr>
              <w:spacing w:after="0" w:line="109" w:lineRule="exact"/>
              <w:rPr>
                <w:rFonts w:ascii="Arial" w:cs="Arial" w:eastAsia="Arial" w:hAnsi="Arial"/>
                <w:sz w:val="12"/>
                <w:szCs w:val="12"/>
                <w:color w:val="0563C1"/>
                <w:w w:val="92"/>
              </w:rPr>
            </w:pPr>
            <w:hyperlink w:anchor="page32">
              <w:r>
                <w:rPr>
                  <w:rFonts w:ascii="Arial" w:cs="Arial" w:eastAsia="Arial" w:hAnsi="Arial"/>
                  <w:sz w:val="12"/>
                  <w:szCs w:val="12"/>
                  <w:color w:val="0563C1"/>
                  <w:w w:val="92"/>
                </w:rPr>
                <w:t>Item 1A. Risk Factors</w:t>
              </w:r>
            </w:hyperlink>
          </w:p>
        </w:tc>
        <w:tc>
          <w:tcPr>
            <w:tcW w:w="200" w:type="dxa"/>
            <w:vAlign w:val="bottom"/>
            <w:tcBorders>
              <w:top w:val="single" w:sz="8" w:color="0563C1"/>
            </w:tcBorders>
          </w:tcPr>
          <w:p>
            <w:pPr>
              <w:spacing w:after="0"/>
              <w:rPr>
                <w:sz w:val="9"/>
                <w:szCs w:val="9"/>
                <w:color w:val="auto"/>
              </w:rPr>
            </w:pPr>
          </w:p>
        </w:tc>
        <w:tc>
          <w:tcPr>
            <w:tcW w:w="5420" w:type="dxa"/>
            <w:vAlign w:val="bottom"/>
            <w:tcBorders>
              <w:top w:val="single" w:sz="8" w:color="CCEEFF"/>
            </w:tcBorders>
            <w:gridSpan w:val="17"/>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32</w:t>
            </w:r>
          </w:p>
        </w:tc>
      </w:tr>
      <w:tr>
        <w:trPr>
          <w:trHeight w:val="109"/>
        </w:trPr>
        <w:tc>
          <w:tcPr>
            <w:tcW w:w="6700" w:type="dxa"/>
            <w:vAlign w:val="bottom"/>
            <w:gridSpan w:val="23"/>
            <w:shd w:val="clear" w:color="auto" w:fill="CCEEFF"/>
          </w:tcPr>
          <w:p>
            <w:pPr>
              <w:spacing w:after="0" w:line="109" w:lineRule="exact"/>
              <w:rPr>
                <w:rFonts w:ascii="Arial" w:cs="Arial" w:eastAsia="Arial" w:hAnsi="Arial"/>
                <w:sz w:val="12"/>
                <w:szCs w:val="12"/>
                <w:color w:val="0563C1"/>
              </w:rPr>
            </w:pPr>
            <w:hyperlink w:anchor="page59">
              <w:r>
                <w:rPr>
                  <w:rFonts w:ascii="Arial" w:cs="Arial" w:eastAsia="Arial" w:hAnsi="Arial"/>
                  <w:sz w:val="12"/>
                  <w:szCs w:val="12"/>
                  <w:color w:val="0563C1"/>
                </w:rPr>
                <w:t>Item 2. Unregistered Sales of Equity Securities and Use of Proceeds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59</w:t>
            </w:r>
          </w:p>
        </w:tc>
      </w:tr>
      <w:tr>
        <w:trPr>
          <w:trHeight w:val="109"/>
        </w:trPr>
        <w:tc>
          <w:tcPr>
            <w:tcW w:w="1920" w:type="dxa"/>
            <w:vAlign w:val="bottom"/>
            <w:tcBorders>
              <w:top w:val="single" w:sz="8" w:color="0563C1"/>
              <w:bottom w:val="single" w:sz="8" w:color="0563C1"/>
            </w:tcBorders>
            <w:gridSpan w:val="8"/>
          </w:tcPr>
          <w:p>
            <w:pPr>
              <w:spacing w:after="0" w:line="109" w:lineRule="exact"/>
              <w:rPr>
                <w:rFonts w:ascii="Arial" w:cs="Arial" w:eastAsia="Arial" w:hAnsi="Arial"/>
                <w:sz w:val="12"/>
                <w:szCs w:val="12"/>
                <w:color w:val="0563C1"/>
                <w:w w:val="93"/>
              </w:rPr>
            </w:pPr>
            <w:hyperlink w:anchor="page59">
              <w:r>
                <w:rPr>
                  <w:rFonts w:ascii="Arial" w:cs="Arial" w:eastAsia="Arial" w:hAnsi="Arial"/>
                  <w:sz w:val="12"/>
                  <w:szCs w:val="12"/>
                  <w:color w:val="0563C1"/>
                  <w:w w:val="93"/>
                </w:rPr>
                <w:t>Item 3. Default Upon Senior Securities</w:t>
              </w:r>
            </w:hyperlink>
          </w:p>
        </w:tc>
        <w:tc>
          <w:tcPr>
            <w:tcW w:w="1420" w:type="dxa"/>
            <w:vAlign w:val="bottom"/>
            <w:tcBorders>
              <w:top w:val="single" w:sz="8" w:color="0563C1"/>
            </w:tcBorders>
            <w:gridSpan w:val="6"/>
          </w:tcPr>
          <w:p>
            <w:pPr>
              <w:spacing w:after="0"/>
              <w:rPr>
                <w:sz w:val="9"/>
                <w:szCs w:val="9"/>
                <w:color w:val="auto"/>
              </w:rPr>
            </w:pPr>
          </w:p>
        </w:tc>
        <w:tc>
          <w:tcPr>
            <w:tcW w:w="3360" w:type="dxa"/>
            <w:vAlign w:val="bottom"/>
            <w:tcBorders>
              <w:top w:val="single" w:sz="8" w:color="CCEEFF"/>
            </w:tcBorders>
            <w:gridSpan w:val="9"/>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59</w:t>
            </w:r>
          </w:p>
        </w:tc>
      </w:tr>
      <w:tr>
        <w:trPr>
          <w:trHeight w:val="109"/>
        </w:trPr>
        <w:tc>
          <w:tcPr>
            <w:tcW w:w="6700" w:type="dxa"/>
            <w:vAlign w:val="bottom"/>
            <w:gridSpan w:val="23"/>
            <w:shd w:val="clear" w:color="auto" w:fill="CCEEFF"/>
          </w:tcPr>
          <w:p>
            <w:pPr>
              <w:spacing w:after="0" w:line="109" w:lineRule="exact"/>
              <w:rPr>
                <w:rFonts w:ascii="Arial" w:cs="Arial" w:eastAsia="Arial" w:hAnsi="Arial"/>
                <w:sz w:val="12"/>
                <w:szCs w:val="12"/>
                <w:color w:val="0563C1"/>
              </w:rPr>
            </w:pPr>
            <w:hyperlink w:anchor="page59">
              <w:r>
                <w:rPr>
                  <w:rFonts w:ascii="Arial" w:cs="Arial" w:eastAsia="Arial" w:hAnsi="Arial"/>
                  <w:sz w:val="12"/>
                  <w:szCs w:val="12"/>
                  <w:color w:val="0563C1"/>
                </w:rPr>
                <w:t>Item 4. Mine Safety Disclosures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59</w:t>
            </w:r>
          </w:p>
        </w:tc>
      </w:tr>
      <w:tr>
        <w:trPr>
          <w:trHeight w:val="109"/>
        </w:trPr>
        <w:tc>
          <w:tcPr>
            <w:tcW w:w="1280" w:type="dxa"/>
            <w:vAlign w:val="bottom"/>
            <w:tcBorders>
              <w:top w:val="single" w:sz="8" w:color="0563C1"/>
              <w:bottom w:val="single" w:sz="8" w:color="0563C1"/>
            </w:tcBorders>
            <w:gridSpan w:val="6"/>
          </w:tcPr>
          <w:p>
            <w:pPr>
              <w:spacing w:after="0" w:line="109" w:lineRule="exact"/>
              <w:rPr>
                <w:rFonts w:ascii="Arial" w:cs="Arial" w:eastAsia="Arial" w:hAnsi="Arial"/>
                <w:sz w:val="12"/>
                <w:szCs w:val="12"/>
                <w:color w:val="0563C1"/>
                <w:w w:val="94"/>
              </w:rPr>
            </w:pPr>
            <w:hyperlink w:anchor="page59">
              <w:r>
                <w:rPr>
                  <w:rFonts w:ascii="Arial" w:cs="Arial" w:eastAsia="Arial" w:hAnsi="Arial"/>
                  <w:sz w:val="12"/>
                  <w:szCs w:val="12"/>
                  <w:color w:val="0563C1"/>
                  <w:w w:val="94"/>
                </w:rPr>
                <w:t>Item 5. Other Information</w:t>
              </w:r>
            </w:hyperlink>
          </w:p>
        </w:tc>
        <w:tc>
          <w:tcPr>
            <w:tcW w:w="300" w:type="dxa"/>
            <w:vAlign w:val="bottom"/>
            <w:tcBorders>
              <w:top w:val="single" w:sz="8" w:color="0563C1"/>
            </w:tcBorders>
          </w:tcPr>
          <w:p>
            <w:pPr>
              <w:spacing w:after="0"/>
              <w:rPr>
                <w:sz w:val="9"/>
                <w:szCs w:val="9"/>
                <w:color w:val="auto"/>
              </w:rPr>
            </w:pPr>
          </w:p>
        </w:tc>
        <w:tc>
          <w:tcPr>
            <w:tcW w:w="5120" w:type="dxa"/>
            <w:vAlign w:val="bottom"/>
            <w:tcBorders>
              <w:top w:val="single" w:sz="8" w:color="CCEEFF"/>
            </w:tcBorders>
            <w:gridSpan w:val="16"/>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59</w:t>
            </w:r>
          </w:p>
        </w:tc>
      </w:tr>
      <w:tr>
        <w:trPr>
          <w:trHeight w:val="109"/>
        </w:trPr>
        <w:tc>
          <w:tcPr>
            <w:tcW w:w="6700" w:type="dxa"/>
            <w:vAlign w:val="bottom"/>
            <w:gridSpan w:val="23"/>
            <w:shd w:val="clear" w:color="auto" w:fill="CCEEFF"/>
          </w:tcPr>
          <w:p>
            <w:pPr>
              <w:spacing w:after="0" w:line="109" w:lineRule="exact"/>
              <w:rPr>
                <w:rFonts w:ascii="Arial" w:cs="Arial" w:eastAsia="Arial" w:hAnsi="Arial"/>
                <w:sz w:val="12"/>
                <w:szCs w:val="12"/>
                <w:color w:val="0563C1"/>
              </w:rPr>
            </w:pPr>
            <w:hyperlink w:anchor="page59">
              <w:r>
                <w:rPr>
                  <w:rFonts w:ascii="Arial" w:cs="Arial" w:eastAsia="Arial" w:hAnsi="Arial"/>
                  <w:sz w:val="12"/>
                  <w:szCs w:val="12"/>
                  <w:color w:val="0563C1"/>
                </w:rPr>
                <w:t>Item 6. Exhibits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59</w:t>
            </w:r>
          </w:p>
        </w:tc>
      </w:tr>
      <w:tr>
        <w:trPr>
          <w:trHeight w:val="109"/>
        </w:trPr>
        <w:tc>
          <w:tcPr>
            <w:tcW w:w="520" w:type="dxa"/>
            <w:vAlign w:val="bottom"/>
            <w:tcBorders>
              <w:top w:val="single" w:sz="8" w:color="0563C1"/>
              <w:bottom w:val="single" w:sz="8" w:color="0563C1"/>
            </w:tcBorders>
            <w:gridSpan w:val="2"/>
          </w:tcPr>
          <w:p>
            <w:pPr>
              <w:spacing w:after="0" w:line="109" w:lineRule="exact"/>
              <w:rPr>
                <w:rFonts w:ascii="Arial" w:cs="Arial" w:eastAsia="Arial" w:hAnsi="Arial"/>
                <w:sz w:val="12"/>
                <w:szCs w:val="12"/>
                <w:color w:val="0563C1"/>
                <w:w w:val="87"/>
              </w:rPr>
            </w:pPr>
            <w:hyperlink w:anchor="page60">
              <w:r>
                <w:rPr>
                  <w:rFonts w:ascii="Arial" w:cs="Arial" w:eastAsia="Arial" w:hAnsi="Arial"/>
                  <w:sz w:val="12"/>
                  <w:szCs w:val="12"/>
                  <w:color w:val="0563C1"/>
                  <w:w w:val="87"/>
                </w:rPr>
                <w:t>Signatures</w:t>
              </w:r>
            </w:hyperlink>
          </w:p>
        </w:tc>
        <w:tc>
          <w:tcPr>
            <w:tcW w:w="260" w:type="dxa"/>
            <w:vAlign w:val="bottom"/>
            <w:tcBorders>
              <w:top w:val="single" w:sz="8" w:color="0563C1"/>
            </w:tcBorders>
          </w:tcPr>
          <w:p>
            <w:pPr>
              <w:spacing w:after="0"/>
              <w:rPr>
                <w:sz w:val="9"/>
                <w:szCs w:val="9"/>
                <w:color w:val="auto"/>
              </w:rPr>
            </w:pPr>
          </w:p>
        </w:tc>
        <w:tc>
          <w:tcPr>
            <w:tcW w:w="5920" w:type="dxa"/>
            <w:vAlign w:val="bottom"/>
            <w:tcBorders>
              <w:top w:val="single" w:sz="8" w:color="CCEEFF"/>
            </w:tcBorders>
            <w:gridSpan w:val="20"/>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60</w:t>
            </w:r>
          </w:p>
        </w:tc>
      </w:tr>
    </w:tbl>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 w:name="page3"/>
    <w:bookmarkEnd w:id="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ind w:left="4580"/>
        <w:spacing w:after="0" w:line="233" w:lineRule="auto"/>
        <w:rPr>
          <w:sz w:val="20"/>
          <w:szCs w:val="20"/>
          <w:color w:val="auto"/>
        </w:rPr>
      </w:pPr>
      <w:r>
        <w:rPr>
          <w:rFonts w:ascii="Arial" w:cs="Arial" w:eastAsia="Arial" w:hAnsi="Arial"/>
          <w:sz w:val="12"/>
          <w:szCs w:val="12"/>
          <w:b w:val="1"/>
          <w:bCs w:val="1"/>
          <w:color w:val="auto"/>
        </w:rPr>
        <w:t>Condensed Consolidated Balance Sheets</w:t>
      </w:r>
    </w:p>
    <w:p>
      <w:pPr>
        <w:ind w:left="456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399"/>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ASSETS</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41,991</w:t>
            </w: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19"/>
              <w:spacing w:after="0" w:line="129" w:lineRule="exact"/>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12,463</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Investments</w:t>
            </w:r>
          </w:p>
        </w:tc>
        <w:tc>
          <w:tcPr>
            <w:tcW w:w="260" w:type="dxa"/>
            <w:vAlign w:val="bottom"/>
          </w:tcPr>
          <w:p>
            <w:pPr>
              <w:spacing w:after="0"/>
              <w:rPr>
                <w:sz w:val="11"/>
                <w:szCs w:val="11"/>
                <w:color w:val="auto"/>
              </w:rPr>
            </w:pPr>
          </w:p>
        </w:tc>
        <w:tc>
          <w:tcPr>
            <w:tcW w:w="13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8,012</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Accounts receivable</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Inventory</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4,281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2,866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1,864</w:t>
            </w:r>
          </w:p>
        </w:tc>
      </w:tr>
      <w:tr>
        <w:trPr>
          <w:trHeight w:val="118"/>
        </w:trPr>
        <w:tc>
          <w:tcPr>
            <w:tcW w:w="8160" w:type="dxa"/>
            <w:vAlign w:val="bottom"/>
          </w:tcPr>
          <w:p>
            <w:pPr>
              <w:ind w:left="280"/>
              <w:spacing w:after="0" w:line="118" w:lineRule="exact"/>
              <w:rPr>
                <w:sz w:val="20"/>
                <w:szCs w:val="20"/>
                <w:color w:val="auto"/>
              </w:rPr>
            </w:pPr>
            <w:r>
              <w:rPr>
                <w:rFonts w:ascii="Arial" w:cs="Arial" w:eastAsia="Arial" w:hAnsi="Arial"/>
                <w:sz w:val="12"/>
                <w:szCs w:val="12"/>
                <w:color w:val="auto"/>
              </w:rPr>
              <w:t>Total current assets</w:t>
            </w:r>
          </w:p>
        </w:tc>
        <w:tc>
          <w:tcPr>
            <w:tcW w:w="260" w:type="dxa"/>
            <w:vAlign w:val="bottom"/>
          </w:tcPr>
          <w:p>
            <w:pPr>
              <w:spacing w:after="0"/>
              <w:rPr>
                <w:sz w:val="10"/>
                <w:szCs w:val="10"/>
                <w:color w:val="auto"/>
              </w:rPr>
            </w:pPr>
          </w:p>
        </w:tc>
        <w:tc>
          <w:tcPr>
            <w:tcW w:w="1220" w:type="dxa"/>
            <w:vAlign w:val="bottom"/>
          </w:tcPr>
          <w:p>
            <w:pPr>
              <w:jc w:val="right"/>
              <w:spacing w:after="0" w:line="118" w:lineRule="exact"/>
              <w:rPr>
                <w:sz w:val="20"/>
                <w:szCs w:val="20"/>
                <w:color w:val="auto"/>
              </w:rPr>
            </w:pPr>
            <w:r>
              <w:rPr>
                <w:rFonts w:ascii="Arial" w:cs="Arial" w:eastAsia="Arial" w:hAnsi="Arial"/>
                <w:sz w:val="12"/>
                <w:szCs w:val="12"/>
                <w:color w:val="auto"/>
              </w:rPr>
              <w:t>49,210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spacing w:after="0" w:line="118" w:lineRule="exact"/>
              <w:rPr>
                <w:sz w:val="20"/>
                <w:szCs w:val="20"/>
                <w:color w:val="auto"/>
              </w:rPr>
            </w:pPr>
            <w:r>
              <w:rPr>
                <w:rFonts w:ascii="Arial" w:cs="Arial" w:eastAsia="Arial" w:hAnsi="Arial"/>
                <w:sz w:val="12"/>
                <w:szCs w:val="12"/>
                <w:color w:val="auto"/>
              </w:rPr>
              <w:t>22,339</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Property and equipment, net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2,446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2,478</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Intangible assets, net</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3,382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3,882</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Goodwill</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2,791</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Right-of-use assets</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8,954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9,438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365</w:t>
            </w:r>
          </w:p>
        </w:tc>
      </w:tr>
      <w:tr>
        <w:trPr>
          <w:trHeight w:val="126"/>
        </w:trPr>
        <w:tc>
          <w:tcPr>
            <w:tcW w:w="8160" w:type="dxa"/>
            <w:vAlign w:val="bottom"/>
            <w:tcBorders>
              <w:bottom w:val="single" w:sz="8" w:color="CCEEFF"/>
            </w:tcBorders>
          </w:tcPr>
          <w:p>
            <w:pPr>
              <w:ind w:left="280"/>
              <w:spacing w:after="0" w:line="118" w:lineRule="exact"/>
              <w:rPr>
                <w:sz w:val="20"/>
                <w:szCs w:val="20"/>
                <w:color w:val="auto"/>
              </w:rPr>
            </w:pPr>
            <w:r>
              <w:rPr>
                <w:rFonts w:ascii="Arial" w:cs="Arial" w:eastAsia="Arial" w:hAnsi="Arial"/>
                <w:sz w:val="12"/>
                <w:szCs w:val="12"/>
                <w:color w:val="auto"/>
              </w:rPr>
              <w:t>Total assets</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67,148</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41,293</w:t>
            </w:r>
          </w:p>
        </w:tc>
      </w:tr>
      <w:tr>
        <w:trPr>
          <w:trHeight w:val="129"/>
        </w:trPr>
        <w:tc>
          <w:tcPr>
            <w:tcW w:w="8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Current liabilities:</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Accounts payable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2,706</w:t>
            </w:r>
          </w:p>
        </w:tc>
        <w:tc>
          <w:tcPr>
            <w:tcW w:w="80" w:type="dxa"/>
            <w:vAlign w:val="bottom"/>
          </w:tcPr>
          <w:p>
            <w:pPr>
              <w:spacing w:after="0"/>
              <w:rPr>
                <w:sz w:val="11"/>
                <w:szCs w:val="11"/>
                <w:color w:val="auto"/>
              </w:rPr>
            </w:pPr>
          </w:p>
        </w:tc>
        <w:tc>
          <w:tcPr>
            <w:tcW w:w="340" w:type="dxa"/>
            <w:vAlign w:val="bottom"/>
            <w:gridSpan w:val="2"/>
          </w:tcPr>
          <w:p>
            <w:pPr>
              <w:jc w:val="right"/>
              <w:ind w:right="119"/>
              <w:spacing w:after="0" w:line="129" w:lineRule="exact"/>
              <w:rPr>
                <w:sz w:val="20"/>
                <w:szCs w:val="20"/>
                <w:color w:val="auto"/>
              </w:rPr>
            </w:pPr>
            <w:r>
              <w:rPr>
                <w:rFonts w:ascii="Arial" w:cs="Arial" w:eastAsia="Arial" w:hAnsi="Arial"/>
                <w:sz w:val="12"/>
                <w:szCs w:val="12"/>
                <w:color w:val="auto"/>
              </w:rPr>
              <w:t>$</w:t>
            </w: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1,717</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Accrued expenses</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5,326</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Deferred revenue</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Lease liability, current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749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542</w:t>
            </w:r>
          </w:p>
        </w:tc>
      </w:tr>
      <w:tr>
        <w:trPr>
          <w:trHeight w:val="129"/>
        </w:trPr>
        <w:tc>
          <w:tcPr>
            <w:tcW w:w="8160" w:type="dxa"/>
            <w:vAlign w:val="bottom"/>
            <w:tcBorders>
              <w:bottom w:val="single" w:sz="8" w:color="CCEEFF"/>
            </w:tcBorders>
          </w:tcPr>
          <w:p>
            <w:pPr>
              <w:ind w:left="140"/>
              <w:spacing w:after="0" w:line="129" w:lineRule="exact"/>
              <w:rPr>
                <w:sz w:val="20"/>
                <w:szCs w:val="20"/>
                <w:color w:val="auto"/>
              </w:rPr>
            </w:pPr>
            <w:r>
              <w:rPr>
                <w:rFonts w:ascii="Arial" w:cs="Arial" w:eastAsia="Arial" w:hAnsi="Arial"/>
                <w:sz w:val="12"/>
                <w:szCs w:val="12"/>
                <w:color w:val="auto"/>
              </w:rPr>
              <w:t>Note payable, current</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1,086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current liabilities</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9,519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7,585</w:t>
            </w:r>
          </w:p>
        </w:tc>
      </w:tr>
      <w:tr>
        <w:trPr>
          <w:trHeight w:val="129"/>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Lease liability, less current</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10,242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10,814</w:t>
            </w:r>
          </w:p>
        </w:tc>
      </w:tr>
      <w:tr>
        <w:trPr>
          <w:trHeight w:val="118"/>
        </w:trPr>
        <w:tc>
          <w:tcPr>
            <w:tcW w:w="8160" w:type="dxa"/>
            <w:vAlign w:val="bottom"/>
            <w:tcBorders>
              <w:bottom w:val="single" w:sz="8" w:color="CCEEFF"/>
            </w:tcBorders>
          </w:tcPr>
          <w:p>
            <w:pPr>
              <w:ind w:left="280"/>
              <w:spacing w:after="0" w:line="118" w:lineRule="exact"/>
              <w:rPr>
                <w:sz w:val="20"/>
                <w:szCs w:val="20"/>
                <w:color w:val="auto"/>
              </w:rPr>
            </w:pPr>
            <w:r>
              <w:rPr>
                <w:rFonts w:ascii="Arial" w:cs="Arial" w:eastAsia="Arial" w:hAnsi="Arial"/>
                <w:sz w:val="12"/>
                <w:szCs w:val="12"/>
                <w:color w:val="auto"/>
              </w:rPr>
              <w:t>Total liabilities</w:t>
            </w: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19,761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18,399</w:t>
            </w:r>
          </w:p>
        </w:tc>
      </w:tr>
      <w:tr>
        <w:trPr>
          <w:trHeight w:val="118"/>
        </w:trPr>
        <w:tc>
          <w:tcPr>
            <w:tcW w:w="8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Commitments and contingencies (Note 8)</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Stockholders’ equity:</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11"/>
        </w:trPr>
        <w:tc>
          <w:tcPr>
            <w:tcW w:w="8160" w:type="dxa"/>
            <w:vAlign w:val="bottom"/>
            <w:shd w:val="clear" w:color="auto" w:fill="CCEEFF"/>
          </w:tcPr>
          <w:p>
            <w:pPr>
              <w:ind w:left="140"/>
              <w:spacing w:after="0" w:line="111" w:lineRule="exact"/>
              <w:rPr>
                <w:sz w:val="20"/>
                <w:szCs w:val="20"/>
                <w:color w:val="auto"/>
              </w:rPr>
            </w:pPr>
            <w:r>
              <w:rPr>
                <w:rFonts w:ascii="Arial" w:cs="Arial" w:eastAsia="Arial" w:hAnsi="Arial"/>
                <w:sz w:val="12"/>
                <w:szCs w:val="12"/>
                <w:color w:val="auto"/>
              </w:rPr>
              <w:t>Preferred stock, $0.001 par value;</w:t>
            </w: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47"/>
        </w:trPr>
        <w:tc>
          <w:tcPr>
            <w:tcW w:w="81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authorized – 50,000 shares; no shares issued and outstanding</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1"/>
        </w:trPr>
        <w:tc>
          <w:tcPr>
            <w:tcW w:w="8160" w:type="dxa"/>
            <w:vAlign w:val="bottom"/>
          </w:tcPr>
          <w:p>
            <w:pPr>
              <w:ind w:left="140"/>
              <w:spacing w:after="0" w:line="111" w:lineRule="exact"/>
              <w:rPr>
                <w:sz w:val="20"/>
                <w:szCs w:val="20"/>
                <w:color w:val="auto"/>
              </w:rPr>
            </w:pPr>
            <w:r>
              <w:rPr>
                <w:rFonts w:ascii="Arial" w:cs="Arial" w:eastAsia="Arial" w:hAnsi="Arial"/>
                <w:sz w:val="12"/>
                <w:szCs w:val="12"/>
                <w:color w:val="auto"/>
              </w:rPr>
              <w:t>Common stock, $0.001 par value:</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47"/>
        </w:trPr>
        <w:tc>
          <w:tcPr>
            <w:tcW w:w="8160" w:type="dxa"/>
            <w:vAlign w:val="bottom"/>
          </w:tcPr>
          <w:p>
            <w:pPr>
              <w:ind w:left="140"/>
              <w:spacing w:after="0"/>
              <w:rPr>
                <w:sz w:val="20"/>
                <w:szCs w:val="20"/>
                <w:color w:val="auto"/>
              </w:rPr>
            </w:pPr>
            <w:r>
              <w:rPr>
                <w:rFonts w:ascii="Arial" w:cs="Arial" w:eastAsia="Arial" w:hAnsi="Arial"/>
                <w:sz w:val="12"/>
                <w:szCs w:val="12"/>
                <w:color w:val="auto"/>
                <w:w w:val="99"/>
              </w:rPr>
              <w:t>authorized – 500,000 shares; issued and outstanding – 29,631 shares and 25,550 shares at September 30, 2021 and December 31, 2020, respectively</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Additional paid-in capital</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268,142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195,410</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Accumulated other comprehensive loss</w:t>
            </w:r>
          </w:p>
        </w:tc>
        <w:tc>
          <w:tcPr>
            <w:tcW w:w="260" w:type="dxa"/>
            <w:vAlign w:val="bottom"/>
          </w:tcPr>
          <w:p>
            <w:pPr>
              <w:spacing w:after="0"/>
              <w:rPr>
                <w:sz w:val="11"/>
                <w:szCs w:val="11"/>
                <w:color w:val="auto"/>
              </w:rPr>
            </w:pPr>
          </w:p>
        </w:tc>
        <w:tc>
          <w:tcPr>
            <w:tcW w:w="13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Accumulated deficit</w:t>
            </w:r>
          </w:p>
        </w:tc>
        <w:tc>
          <w:tcPr>
            <w:tcW w:w="2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(220,784)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(172,540)</w:t>
            </w:r>
          </w:p>
        </w:tc>
      </w:tr>
      <w:tr>
        <w:trPr>
          <w:trHeight w:val="118"/>
        </w:trPr>
        <w:tc>
          <w:tcPr>
            <w:tcW w:w="8160" w:type="dxa"/>
            <w:vAlign w:val="bottom"/>
            <w:tcBorders>
              <w:bottom w:val="single" w:sz="8" w:color="CCEEFF"/>
            </w:tcBorders>
          </w:tcPr>
          <w:p>
            <w:pPr>
              <w:ind w:left="280"/>
              <w:spacing w:after="0" w:line="118" w:lineRule="exact"/>
              <w:rPr>
                <w:sz w:val="20"/>
                <w:szCs w:val="20"/>
                <w:color w:val="auto"/>
              </w:rPr>
            </w:pPr>
            <w:r>
              <w:rPr>
                <w:rFonts w:ascii="Arial" w:cs="Arial" w:eastAsia="Arial" w:hAnsi="Arial"/>
                <w:sz w:val="12"/>
                <w:szCs w:val="12"/>
                <w:color w:val="auto"/>
              </w:rPr>
              <w:t>Total stockholders’ equity</w:t>
            </w:r>
          </w:p>
        </w:tc>
        <w:tc>
          <w:tcPr>
            <w:tcW w:w="26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47,387</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22,894</w:t>
            </w:r>
          </w:p>
        </w:tc>
      </w:tr>
      <w:tr>
        <w:trPr>
          <w:trHeight w:val="126"/>
        </w:trPr>
        <w:tc>
          <w:tcPr>
            <w:tcW w:w="8160" w:type="dxa"/>
            <w:vAlign w:val="bottom"/>
            <w:tcBorders>
              <w:bottom w:val="single" w:sz="8" w:color="CCEEFF"/>
            </w:tcBorders>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liabilities and stockholders’ equity</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67,148</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41,293</w:t>
            </w: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 w:name="page4"/>
    <w:bookmarkEnd w:id="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1"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PULSE BIOSCIENCES, INC.</w:t>
      </w:r>
    </w:p>
    <w:p>
      <w:pPr>
        <w:jc w:val="center"/>
        <w:ind w:left="440"/>
        <w:spacing w:after="0" w:line="233" w:lineRule="auto"/>
        <w:rPr>
          <w:sz w:val="20"/>
          <w:szCs w:val="20"/>
          <w:color w:val="auto"/>
        </w:rPr>
      </w:pPr>
      <w:r>
        <w:rPr>
          <w:rFonts w:ascii="Arial" w:cs="Arial" w:eastAsia="Arial" w:hAnsi="Arial"/>
          <w:sz w:val="12"/>
          <w:szCs w:val="12"/>
          <w:b w:val="1"/>
          <w:bCs w:val="1"/>
          <w:color w:val="auto"/>
        </w:rPr>
        <w:t>Condensed Consolidated Statements of Operations and Comprehensive Loss</w:t>
      </w:r>
    </w:p>
    <w:p>
      <w:pPr>
        <w:jc w:val="center"/>
        <w:ind w:left="44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ind w:left="440"/>
        <w:spacing w:after="0"/>
        <w:rPr>
          <w:sz w:val="20"/>
          <w:szCs w:val="20"/>
          <w:color w:val="auto"/>
        </w:rPr>
      </w:pPr>
      <w:r>
        <w:rPr>
          <w:rFonts w:ascii="Arial" w:cs="Arial" w:eastAsia="Arial" w:hAnsi="Arial"/>
          <w:sz w:val="12"/>
          <w:szCs w:val="12"/>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60" w:type="dxa"/>
            <w:vAlign w:val="bottom"/>
            <w:gridSpan w:val="5"/>
          </w:tcPr>
          <w:p>
            <w:pPr>
              <w:jc w:val="right"/>
              <w:ind w:right="109"/>
              <w:spacing w:after="0"/>
              <w:rPr>
                <w:sz w:val="20"/>
                <w:szCs w:val="20"/>
                <w:color w:val="auto"/>
              </w:rPr>
            </w:pPr>
            <w:r>
              <w:rPr>
                <w:rFonts w:ascii="Arial" w:cs="Arial" w:eastAsia="Arial" w:hAnsi="Arial"/>
                <w:sz w:val="10"/>
                <w:szCs w:val="10"/>
                <w:b w:val="1"/>
                <w:bCs w:val="1"/>
                <w:color w:val="auto"/>
              </w:rPr>
              <w:t>Three-Month Periods Ended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60" w:type="dxa"/>
            <w:vAlign w:val="bottom"/>
            <w:gridSpan w:val="5"/>
          </w:tcPr>
          <w:p>
            <w:pPr>
              <w:jc w:val="right"/>
              <w:ind w:right="579"/>
              <w:spacing w:after="0"/>
              <w:rPr>
                <w:sz w:val="20"/>
                <w:szCs w:val="20"/>
                <w:color w:val="auto"/>
              </w:rPr>
            </w:pPr>
            <w:r>
              <w:rPr>
                <w:rFonts w:ascii="Arial" w:cs="Arial" w:eastAsia="Arial" w:hAnsi="Arial"/>
                <w:sz w:val="10"/>
                <w:szCs w:val="10"/>
                <w:b w:val="1"/>
                <w:bCs w:val="1"/>
                <w:color w:val="auto"/>
              </w:rPr>
              <w:t>Nine-Month Periods Ended</w:t>
            </w:r>
          </w:p>
        </w:tc>
      </w:tr>
      <w:tr>
        <w:trPr>
          <w:trHeight w:val="116"/>
        </w:trPr>
        <w:tc>
          <w:tcPr>
            <w:tcW w:w="5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409"/>
              <w:spacing w:after="0"/>
              <w:rPr>
                <w:sz w:val="20"/>
                <w:szCs w:val="20"/>
                <w:color w:val="auto"/>
              </w:rPr>
            </w:pPr>
            <w:r>
              <w:rPr>
                <w:rFonts w:ascii="Arial" w:cs="Arial" w:eastAsia="Arial" w:hAnsi="Arial"/>
                <w:sz w:val="10"/>
                <w:szCs w:val="10"/>
                <w:b w:val="1"/>
                <w:bCs w:val="1"/>
                <w:color w:val="auto"/>
              </w:rPr>
              <w:t>September 30,</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0"/>
                <w:szCs w:val="10"/>
                <w:b w:val="1"/>
                <w:bCs w:val="1"/>
                <w:color w:val="auto"/>
              </w:rPr>
              <w:t>September 30,</w:t>
            </w:r>
          </w:p>
        </w:tc>
        <w:tc>
          <w:tcPr>
            <w:tcW w:w="800" w:type="dxa"/>
            <w:vAlign w:val="bottom"/>
            <w:tcBorders>
              <w:bottom w:val="single" w:sz="8" w:color="auto"/>
            </w:tcBorders>
          </w:tcPr>
          <w:p>
            <w:pPr>
              <w:spacing w:after="0"/>
              <w:rPr>
                <w:sz w:val="10"/>
                <w:szCs w:val="10"/>
                <w:color w:val="auto"/>
              </w:rPr>
            </w:pPr>
          </w:p>
        </w:tc>
      </w:tr>
      <w:tr>
        <w:trPr>
          <w:trHeight w:val="91"/>
        </w:trPr>
        <w:tc>
          <w:tcPr>
            <w:tcW w:w="5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2021</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tcPr>
          <w:p>
            <w:pPr>
              <w:jc w:val="right"/>
              <w:spacing w:after="0" w:line="91" w:lineRule="exact"/>
              <w:rPr>
                <w:sz w:val="20"/>
                <w:szCs w:val="20"/>
                <w:color w:val="auto"/>
              </w:rPr>
            </w:pPr>
            <w:r>
              <w:rPr>
                <w:rFonts w:ascii="Arial" w:cs="Arial" w:eastAsia="Arial" w:hAnsi="Arial"/>
                <w:sz w:val="10"/>
                <w:szCs w:val="10"/>
                <w:b w:val="1"/>
                <w:bCs w:val="1"/>
                <w:color w:val="auto"/>
              </w:rPr>
              <w:t>2020</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jc w:val="right"/>
              <w:ind w:right="421"/>
              <w:spacing w:after="0" w:line="91"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jc w:val="right"/>
              <w:ind w:right="419"/>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53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Revenues:</w:t>
            </w:r>
          </w:p>
        </w:tc>
        <w:tc>
          <w:tcPr>
            <w:tcW w:w="9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r>
      <w:tr>
        <w:trPr>
          <w:trHeight w:val="129"/>
        </w:trPr>
        <w:tc>
          <w:tcPr>
            <w:tcW w:w="5380" w:type="dxa"/>
            <w:vAlign w:val="bottom"/>
          </w:tcPr>
          <w:p>
            <w:pPr>
              <w:ind w:left="140"/>
              <w:spacing w:after="0" w:line="129" w:lineRule="exact"/>
              <w:rPr>
                <w:sz w:val="20"/>
                <w:szCs w:val="20"/>
                <w:color w:val="auto"/>
              </w:rPr>
            </w:pPr>
            <w:r>
              <w:rPr>
                <w:rFonts w:ascii="Arial" w:cs="Arial" w:eastAsia="Arial" w:hAnsi="Arial"/>
                <w:sz w:val="12"/>
                <w:szCs w:val="12"/>
                <w:color w:val="auto"/>
              </w:rPr>
              <w:t>Product revenues</w:t>
            </w:r>
          </w:p>
        </w:tc>
        <w:tc>
          <w:tcPr>
            <w:tcW w:w="1640" w:type="dxa"/>
            <w:vAlign w:val="bottom"/>
            <w:gridSpan w:val="2"/>
          </w:tcPr>
          <w:p>
            <w:pPr>
              <w:jc w:val="right"/>
              <w:ind w:right="570"/>
              <w:spacing w:after="0" w:line="129"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574</w:t>
            </w:r>
          </w:p>
        </w:tc>
        <w:tc>
          <w:tcPr>
            <w:tcW w:w="80" w:type="dxa"/>
            <w:vAlign w:val="bottom"/>
          </w:tcPr>
          <w:p>
            <w:pPr>
              <w:spacing w:after="0"/>
              <w:rPr>
                <w:sz w:val="11"/>
                <w:szCs w:val="11"/>
                <w:color w:val="auto"/>
              </w:rPr>
            </w:pPr>
          </w:p>
        </w:tc>
        <w:tc>
          <w:tcPr>
            <w:tcW w:w="760" w:type="dxa"/>
            <w:vAlign w:val="bottom"/>
            <w:gridSpan w:val="2"/>
          </w:tcPr>
          <w:p>
            <w:pPr>
              <w:jc w:val="right"/>
              <w:ind w:right="589"/>
              <w:spacing w:after="0" w:line="129"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169"/>
              <w:spacing w:after="0" w:line="12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
              <w:spacing w:after="0" w:line="129" w:lineRule="exact"/>
              <w:rPr>
                <w:sz w:val="20"/>
                <w:szCs w:val="20"/>
                <w:color w:val="auto"/>
              </w:rPr>
            </w:pPr>
            <w:r>
              <w:rPr>
                <w:rFonts w:ascii="Arial" w:cs="Arial" w:eastAsia="Arial" w:hAnsi="Arial"/>
                <w:sz w:val="12"/>
                <w:szCs w:val="12"/>
                <w:color w:val="auto"/>
              </w:rPr>
              <w:t>574</w:t>
            </w:r>
          </w:p>
        </w:tc>
        <w:tc>
          <w:tcPr>
            <w:tcW w:w="60" w:type="dxa"/>
            <w:vAlign w:val="bottom"/>
          </w:tcPr>
          <w:p>
            <w:pPr>
              <w:spacing w:after="0"/>
              <w:rPr>
                <w:sz w:val="11"/>
                <w:szCs w:val="11"/>
                <w:color w:val="auto"/>
              </w:rPr>
            </w:pPr>
          </w:p>
        </w:tc>
        <w:tc>
          <w:tcPr>
            <w:tcW w:w="420" w:type="dxa"/>
            <w:vAlign w:val="bottom"/>
            <w:gridSpan w:val="2"/>
          </w:tcPr>
          <w:p>
            <w:pPr>
              <w:jc w:val="right"/>
              <w:ind w:right="249"/>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53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Total revenues</w:t>
            </w:r>
          </w:p>
        </w:tc>
        <w:tc>
          <w:tcPr>
            <w:tcW w:w="9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574</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574</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r>
      <w:tr>
        <w:trPr>
          <w:trHeight w:val="118"/>
        </w:trPr>
        <w:tc>
          <w:tcPr>
            <w:tcW w:w="5380" w:type="dxa"/>
            <w:vAlign w:val="bottom"/>
          </w:tcPr>
          <w:p>
            <w:pPr>
              <w:spacing w:after="0" w:line="118" w:lineRule="exact"/>
              <w:rPr>
                <w:sz w:val="20"/>
                <w:szCs w:val="20"/>
                <w:color w:val="auto"/>
              </w:rPr>
            </w:pPr>
            <w:r>
              <w:rPr>
                <w:rFonts w:ascii="Arial" w:cs="Arial" w:eastAsia="Arial" w:hAnsi="Arial"/>
                <w:sz w:val="12"/>
                <w:szCs w:val="12"/>
                <w:color w:val="auto"/>
              </w:rPr>
              <w:t>Cost and expenses:</w:t>
            </w: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9"/>
        </w:trPr>
        <w:tc>
          <w:tcPr>
            <w:tcW w:w="538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Cost of revenues</w:t>
            </w: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727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5380" w:type="dxa"/>
            <w:vAlign w:val="bottom"/>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6,460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6,968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Arial" w:cs="Arial" w:eastAsia="Arial" w:hAnsi="Arial"/>
                <w:sz w:val="12"/>
                <w:szCs w:val="12"/>
                <w:color w:val="auto"/>
              </w:rPr>
              <w:t>22,982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19,019</w:t>
            </w:r>
          </w:p>
        </w:tc>
      </w:tr>
      <w:tr>
        <w:trPr>
          <w:trHeight w:val="129"/>
        </w:trPr>
        <w:tc>
          <w:tcPr>
            <w:tcW w:w="538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3,404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1,746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10,697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4,926</w:t>
            </w:r>
          </w:p>
        </w:tc>
      </w:tr>
      <w:tr>
        <w:trPr>
          <w:trHeight w:val="129"/>
        </w:trPr>
        <w:tc>
          <w:tcPr>
            <w:tcW w:w="5380" w:type="dxa"/>
            <w:vAlign w:val="bottom"/>
            <w:tcBorders>
              <w:bottom w:val="single" w:sz="8" w:color="CCEEFF"/>
            </w:tcBorders>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9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4,256</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4,191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Arial" w:cs="Arial" w:eastAsia="Arial" w:hAnsi="Arial"/>
                <w:sz w:val="12"/>
                <w:szCs w:val="12"/>
                <w:color w:val="auto"/>
              </w:rPr>
              <w:t>13,772</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12,264</w:t>
            </w:r>
          </w:p>
        </w:tc>
      </w:tr>
      <w:tr>
        <w:trPr>
          <w:trHeight w:val="118"/>
        </w:trPr>
        <w:tc>
          <w:tcPr>
            <w:tcW w:w="53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Total cost and expenses</w:t>
            </w:r>
          </w:p>
        </w:tc>
        <w:tc>
          <w:tcPr>
            <w:tcW w:w="96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14,847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12,905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48,178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36,209</w:t>
            </w:r>
          </w:p>
        </w:tc>
      </w:tr>
      <w:tr>
        <w:trPr>
          <w:trHeight w:val="118"/>
        </w:trPr>
        <w:tc>
          <w:tcPr>
            <w:tcW w:w="5380" w:type="dxa"/>
            <w:vAlign w:val="bottom"/>
          </w:tcPr>
          <w:p>
            <w:pPr>
              <w:spacing w:after="0" w:line="118" w:lineRule="exact"/>
              <w:rPr>
                <w:sz w:val="20"/>
                <w:szCs w:val="20"/>
                <w:color w:val="auto"/>
              </w:rPr>
            </w:pPr>
            <w:r>
              <w:rPr>
                <w:rFonts w:ascii="Arial" w:cs="Arial" w:eastAsia="Arial" w:hAnsi="Arial"/>
                <w:sz w:val="12"/>
                <w:szCs w:val="12"/>
                <w:color w:val="auto"/>
              </w:rPr>
              <w:t>Loss from operations</w:t>
            </w: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jc w:val="right"/>
              <w:spacing w:after="0" w:line="118" w:lineRule="exact"/>
              <w:rPr>
                <w:sz w:val="20"/>
                <w:szCs w:val="20"/>
                <w:color w:val="auto"/>
              </w:rPr>
            </w:pPr>
            <w:r>
              <w:rPr>
                <w:rFonts w:ascii="Arial" w:cs="Arial" w:eastAsia="Arial" w:hAnsi="Arial"/>
                <w:sz w:val="12"/>
                <w:szCs w:val="12"/>
                <w:color w:val="auto"/>
                <w:w w:val="93"/>
              </w:rPr>
              <w:t>(14,273)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jc w:val="right"/>
              <w:spacing w:after="0" w:line="118" w:lineRule="exact"/>
              <w:rPr>
                <w:sz w:val="20"/>
                <w:szCs w:val="20"/>
                <w:color w:val="auto"/>
              </w:rPr>
            </w:pPr>
            <w:r>
              <w:rPr>
                <w:rFonts w:ascii="Arial" w:cs="Arial" w:eastAsia="Arial" w:hAnsi="Arial"/>
                <w:sz w:val="12"/>
                <w:szCs w:val="12"/>
                <w:color w:val="auto"/>
                <w:w w:val="93"/>
              </w:rPr>
              <w:t>(12,905)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Arial" w:cs="Arial" w:eastAsia="Arial" w:hAnsi="Arial"/>
                <w:sz w:val="12"/>
                <w:szCs w:val="12"/>
                <w:color w:val="auto"/>
              </w:rPr>
              <w:t>(47,604)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Arial" w:cs="Arial" w:eastAsia="Arial" w:hAnsi="Arial"/>
                <w:sz w:val="12"/>
                <w:szCs w:val="12"/>
                <w:color w:val="auto"/>
              </w:rPr>
              <w:t>(36,209)</w:t>
            </w:r>
          </w:p>
        </w:tc>
      </w:tr>
      <w:tr>
        <w:trPr>
          <w:trHeight w:val="129"/>
        </w:trPr>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income (expense):</w:t>
            </w: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29"/>
        </w:trPr>
        <w:tc>
          <w:tcPr>
            <w:tcW w:w="5380" w:type="dxa"/>
            <w:vAlign w:val="bottom"/>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(9)</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(640)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108</w:t>
            </w:r>
          </w:p>
        </w:tc>
      </w:tr>
      <w:tr>
        <w:trPr>
          <w:trHeight w:val="118"/>
        </w:trPr>
        <w:tc>
          <w:tcPr>
            <w:tcW w:w="53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9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(9)</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9</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(640)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108</w:t>
            </w:r>
          </w:p>
        </w:tc>
      </w:tr>
      <w:tr>
        <w:trPr>
          <w:trHeight w:val="126"/>
        </w:trPr>
        <w:tc>
          <w:tcPr>
            <w:tcW w:w="538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Net loss</w:t>
            </w:r>
          </w:p>
        </w:tc>
        <w:tc>
          <w:tcPr>
            <w:tcW w:w="9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3"/>
              </w:rPr>
              <w:t>(14,282)</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3"/>
              </w:rPr>
              <w:t>(12,896)</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(48,244)</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(36,101)</w:t>
            </w:r>
          </w:p>
        </w:tc>
      </w:tr>
      <w:tr>
        <w:trPr>
          <w:trHeight w:val="129"/>
        </w:trPr>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comprehensive gain (loss):</w:t>
            </w: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29"/>
        </w:trPr>
        <w:tc>
          <w:tcPr>
            <w:tcW w:w="5380" w:type="dxa"/>
            <w:vAlign w:val="bottom"/>
          </w:tcPr>
          <w:p>
            <w:pPr>
              <w:ind w:left="60"/>
              <w:spacing w:after="0" w:line="129" w:lineRule="exact"/>
              <w:rPr>
                <w:sz w:val="20"/>
                <w:szCs w:val="20"/>
                <w:color w:val="auto"/>
              </w:rPr>
            </w:pPr>
            <w:r>
              <w:rPr>
                <w:rFonts w:ascii="Arial" w:cs="Arial" w:eastAsia="Arial" w:hAnsi="Arial"/>
                <w:sz w:val="12"/>
                <w:szCs w:val="12"/>
                <w:color w:val="auto"/>
              </w:rPr>
              <w:t>Unrealized gain (loss) on available-for-sale securities</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(3)</w:t>
            </w:r>
          </w:p>
        </w:tc>
      </w:tr>
      <w:tr>
        <w:trPr>
          <w:trHeight w:val="138"/>
        </w:trPr>
        <w:tc>
          <w:tcPr>
            <w:tcW w:w="5380" w:type="dxa"/>
            <w:vAlign w:val="bottom"/>
            <w:tcBorders>
              <w:top w:val="single" w:sz="8" w:color="CCEEFF"/>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Comprehensive loss</w:t>
            </w: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w w:val="93"/>
              </w:rPr>
              <w:t>(14,282)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w w:val="93"/>
              </w:rPr>
              <w:t>(12,895)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(48,243)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(36,104)</w:t>
            </w:r>
          </w:p>
        </w:tc>
      </w:tr>
      <w:tr>
        <w:trPr>
          <w:trHeight w:val="117"/>
        </w:trPr>
        <w:tc>
          <w:tcPr>
            <w:tcW w:w="5380" w:type="dxa"/>
            <w:vAlign w:val="bottom"/>
          </w:tcPr>
          <w:p>
            <w:pPr>
              <w:spacing w:after="0" w:line="117" w:lineRule="exact"/>
              <w:rPr>
                <w:sz w:val="20"/>
                <w:szCs w:val="20"/>
                <w:color w:val="auto"/>
              </w:rPr>
            </w:pPr>
            <w:r>
              <w:rPr>
                <w:rFonts w:ascii="Arial" w:cs="Arial" w:eastAsia="Arial" w:hAnsi="Arial"/>
                <w:sz w:val="12"/>
                <w:szCs w:val="12"/>
                <w:color w:val="auto"/>
              </w:rPr>
              <w:t>Net loss per share:</w:t>
            </w: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9"/>
        </w:trPr>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 net loss per share</w:t>
            </w:r>
          </w:p>
        </w:tc>
        <w:tc>
          <w:tcPr>
            <w:tcW w:w="1640" w:type="dxa"/>
            <w:vAlign w:val="bottom"/>
            <w:gridSpan w:val="2"/>
            <w:shd w:val="clear" w:color="auto" w:fill="CCEEFF"/>
          </w:tcPr>
          <w:p>
            <w:pPr>
              <w:jc w:val="right"/>
              <w:ind w:right="570"/>
              <w:spacing w:after="0" w:line="129"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(0.48)</w:t>
            </w:r>
          </w:p>
        </w:tc>
        <w:tc>
          <w:tcPr>
            <w:tcW w:w="760" w:type="dxa"/>
            <w:vAlign w:val="bottom"/>
            <w:gridSpan w:val="2"/>
            <w:shd w:val="clear" w:color="auto" w:fill="CCEEFF"/>
          </w:tcPr>
          <w:p>
            <w:pPr>
              <w:jc w:val="right"/>
              <w:ind w:right="589"/>
              <w:spacing w:after="0" w:line="12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(0.51)</w:t>
            </w:r>
          </w:p>
        </w:tc>
        <w:tc>
          <w:tcPr>
            <w:tcW w:w="340" w:type="dxa"/>
            <w:vAlign w:val="bottom"/>
            <w:gridSpan w:val="2"/>
            <w:shd w:val="clear" w:color="auto" w:fill="CCEEFF"/>
          </w:tcPr>
          <w:p>
            <w:pPr>
              <w:jc w:val="right"/>
              <w:ind w:right="169"/>
              <w:spacing w:after="0" w:line="129"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(1.76)</w:t>
            </w:r>
          </w:p>
        </w:tc>
        <w:tc>
          <w:tcPr>
            <w:tcW w:w="420" w:type="dxa"/>
            <w:vAlign w:val="bottom"/>
            <w:gridSpan w:val="2"/>
            <w:shd w:val="clear" w:color="auto" w:fill="CCEEFF"/>
          </w:tcPr>
          <w:p>
            <w:pPr>
              <w:jc w:val="right"/>
              <w:ind w:right="249"/>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(1.60)</w:t>
            </w:r>
          </w:p>
        </w:tc>
      </w:tr>
      <w:tr>
        <w:trPr>
          <w:trHeight w:val="124"/>
        </w:trPr>
        <w:tc>
          <w:tcPr>
            <w:tcW w:w="5380" w:type="dxa"/>
            <w:vAlign w:val="bottom"/>
            <w:tcBorders>
              <w:top w:val="single" w:sz="8" w:color="CCEEFF"/>
            </w:tcBorders>
          </w:tcPr>
          <w:p>
            <w:pPr>
              <w:spacing w:after="0" w:line="117" w:lineRule="exact"/>
              <w:rPr>
                <w:sz w:val="20"/>
                <w:szCs w:val="20"/>
                <w:color w:val="auto"/>
              </w:rPr>
            </w:pPr>
            <w:r>
              <w:rPr>
                <w:rFonts w:ascii="Arial" w:cs="Arial" w:eastAsia="Arial" w:hAnsi="Arial"/>
                <w:sz w:val="12"/>
                <w:szCs w:val="12"/>
                <w:color w:val="auto"/>
              </w:rPr>
              <w:t>Weighted average shares used to compute net loss per common share — basic and diluted</w:t>
            </w:r>
          </w:p>
        </w:tc>
        <w:tc>
          <w:tcPr>
            <w:tcW w:w="960" w:type="dxa"/>
            <w:vAlign w:val="bottom"/>
            <w:tcBorders>
              <w:top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29,612</w:t>
            </w: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25,223</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
              <w:spacing w:after="0" w:line="117" w:lineRule="exact"/>
              <w:rPr>
                <w:sz w:val="20"/>
                <w:szCs w:val="20"/>
                <w:color w:val="auto"/>
              </w:rPr>
            </w:pPr>
            <w:r>
              <w:rPr>
                <w:rFonts w:ascii="Arial" w:cs="Arial" w:eastAsia="Arial" w:hAnsi="Arial"/>
                <w:sz w:val="12"/>
                <w:szCs w:val="12"/>
                <w:color w:val="auto"/>
              </w:rPr>
              <w:t>27,400</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22,540</w:t>
            </w:r>
          </w:p>
        </w:tc>
      </w:tr>
    </w:tbl>
    <w:p>
      <w:pPr>
        <w:spacing w:after="0" w:line="111"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 w:name="page5"/>
    <w:bookmarkEnd w:id="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Condensed Consolidated Statements of Cash Flows</w:t>
      </w:r>
    </w:p>
    <w:p>
      <w:pPr>
        <w:jc w:val="center"/>
        <w:spacing w:after="0" w:line="225" w:lineRule="auto"/>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8" w:lineRule="exact"/>
        <w:rPr>
          <w:sz w:val="20"/>
          <w:szCs w:val="20"/>
          <w:color w:val="auto"/>
        </w:rPr>
      </w:pPr>
    </w:p>
    <w:p>
      <w:pPr>
        <w:jc w:val="center"/>
        <w:ind w:left="8160"/>
        <w:spacing w:after="0"/>
        <w:rPr>
          <w:sz w:val="20"/>
          <w:szCs w:val="20"/>
          <w:color w:val="auto"/>
        </w:rPr>
      </w:pPr>
      <w:r>
        <w:rPr>
          <w:rFonts w:ascii="Arial" w:cs="Arial" w:eastAsia="Arial" w:hAnsi="Arial"/>
          <w:sz w:val="10"/>
          <w:szCs w:val="10"/>
          <w:b w:val="1"/>
          <w:bCs w:val="1"/>
          <w:color w:val="auto"/>
        </w:rPr>
        <w:t>Nine-Month Periods Ended</w:t>
      </w:r>
    </w:p>
    <w:p>
      <w:pPr>
        <w:jc w:val="center"/>
        <w:ind w:left="8160"/>
        <w:spacing w:after="0" w:line="221"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1"/>
        </w:trPr>
        <w:tc>
          <w:tcPr>
            <w:tcW w:w="8160" w:type="dxa"/>
            <w:vAlign w:val="bottom"/>
            <w:tcBorders>
              <w:bottom w:val="single" w:sz="8" w:color="CCEEFF"/>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49"/>
              <w:spacing w:after="0" w:line="91" w:lineRule="exact"/>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jc w:val="right"/>
              <w:ind w:right="579"/>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Cash flows from operating activities:</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Net loss</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(48,244)</w:t>
            </w:r>
          </w:p>
        </w:tc>
        <w:tc>
          <w:tcPr>
            <w:tcW w:w="440" w:type="dxa"/>
            <w:vAlign w:val="bottom"/>
            <w:gridSpan w:val="2"/>
          </w:tcPr>
          <w:p>
            <w:pPr>
              <w:jc w:val="right"/>
              <w:ind w:right="219"/>
              <w:spacing w:after="0" w:line="129"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(36,101)</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Adjustments to reconcile net loss to net cash used in operating activities: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Depreciation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349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310</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Amortization of intangible assets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499</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Stock-based compensation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10,990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7,686</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Net premium amortization and discount on available-for-sale securities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Loss on disposal of fixed assets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119</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Gain on U.S. Treasury securities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Changes in operating assets and liabilities: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Accounts receivable</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Inventory</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(4,281)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(2,087)</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431</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Other receivables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32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Right-of-use assets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352</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Other long-term assets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129</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Accounts payable</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(595)</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Accrued expenses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(355)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1,352</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Deferred revenue</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Lease liabilities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(365)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(104)</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Accrued interest on note payable</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Other assets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(174)</w:t>
            </w:r>
          </w:p>
        </w:tc>
      </w:tr>
      <w:tr>
        <w:trPr>
          <w:trHeight w:val="118"/>
        </w:trPr>
        <w:tc>
          <w:tcPr>
            <w:tcW w:w="8160" w:type="dxa"/>
            <w:vAlign w:val="bottom"/>
            <w:tcBorders>
              <w:top w:val="single" w:sz="8" w:color="CCEEFF"/>
            </w:tcBorders>
            <w:shd w:val="clear" w:color="auto" w:fill="CCEEFF"/>
          </w:tcPr>
          <w:p>
            <w:pPr>
              <w:ind w:left="440"/>
              <w:spacing w:after="0" w:line="118" w:lineRule="exact"/>
              <w:rPr>
                <w:sz w:val="20"/>
                <w:szCs w:val="20"/>
                <w:color w:val="auto"/>
              </w:rPr>
            </w:pPr>
            <w:r>
              <w:rPr>
                <w:rFonts w:ascii="Arial" w:cs="Arial" w:eastAsia="Arial" w:hAnsi="Arial"/>
                <w:sz w:val="12"/>
                <w:szCs w:val="12"/>
                <w:color w:val="auto"/>
              </w:rPr>
              <w:t>Net cash used in operating activities</w:t>
            </w: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(41,403)</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(26,110)</w:t>
            </w:r>
          </w:p>
        </w:tc>
      </w:tr>
      <w:tr>
        <w:trPr>
          <w:trHeight w:val="118"/>
        </w:trPr>
        <w:tc>
          <w:tcPr>
            <w:tcW w:w="8160" w:type="dxa"/>
            <w:vAlign w:val="bottom"/>
          </w:tcPr>
          <w:p>
            <w:pPr>
              <w:spacing w:after="0" w:line="118" w:lineRule="exact"/>
              <w:rPr>
                <w:sz w:val="20"/>
                <w:szCs w:val="20"/>
                <w:color w:val="auto"/>
              </w:rPr>
            </w:pPr>
            <w:r>
              <w:rPr>
                <w:rFonts w:ascii="Arial" w:cs="Arial" w:eastAsia="Arial" w:hAnsi="Arial"/>
                <w:sz w:val="12"/>
                <w:szCs w:val="12"/>
                <w:b w:val="1"/>
                <w:bCs w:val="1"/>
                <w:color w:val="auto"/>
              </w:rPr>
              <w:t>Cash flows from investing activities: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Purchases of property and equipment</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(303)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(162)</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Purchases of investments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(25,516)</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Maturities of investments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4,510</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Sale of investments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17,000</w:t>
            </w:r>
          </w:p>
        </w:tc>
      </w:tr>
      <w:tr>
        <w:trPr>
          <w:trHeight w:val="118"/>
        </w:trPr>
        <w:tc>
          <w:tcPr>
            <w:tcW w:w="8160" w:type="dxa"/>
            <w:vAlign w:val="bottom"/>
            <w:tcBorders>
              <w:top w:val="single" w:sz="8" w:color="CCEEFF"/>
            </w:tcBorders>
            <w:shd w:val="clear" w:color="auto" w:fill="CCEEFF"/>
          </w:tcPr>
          <w:p>
            <w:pPr>
              <w:ind w:left="440"/>
              <w:spacing w:after="0" w:line="118" w:lineRule="exact"/>
              <w:rPr>
                <w:sz w:val="20"/>
                <w:szCs w:val="20"/>
                <w:color w:val="auto"/>
              </w:rPr>
            </w:pPr>
            <w:r>
              <w:rPr>
                <w:rFonts w:ascii="Arial" w:cs="Arial" w:eastAsia="Arial" w:hAnsi="Arial"/>
                <w:sz w:val="12"/>
                <w:szCs w:val="12"/>
                <w:color w:val="auto"/>
              </w:rPr>
              <w:t>Net cash provided by (used in) investing activities</w:t>
            </w: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7,697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(4,168)</w:t>
            </w:r>
          </w:p>
        </w:tc>
      </w:tr>
      <w:tr>
        <w:trPr>
          <w:trHeight w:val="118"/>
        </w:trPr>
        <w:tc>
          <w:tcPr>
            <w:tcW w:w="8160" w:type="dxa"/>
            <w:vAlign w:val="bottom"/>
          </w:tcPr>
          <w:p>
            <w:pPr>
              <w:spacing w:after="0" w:line="118" w:lineRule="exact"/>
              <w:rPr>
                <w:sz w:val="20"/>
                <w:szCs w:val="20"/>
                <w:color w:val="auto"/>
              </w:rPr>
            </w:pPr>
            <w:r>
              <w:rPr>
                <w:rFonts w:ascii="Arial" w:cs="Arial" w:eastAsia="Arial" w:hAnsi="Arial"/>
                <w:sz w:val="12"/>
                <w:szCs w:val="12"/>
                <w:b w:val="1"/>
                <w:bCs w:val="1"/>
                <w:color w:val="auto"/>
              </w:rPr>
              <w:t>Cash flows from financing activities: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issuance of common stock under employee stock purchase plan</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490</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Proceeds from exercises of warrants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4,217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112</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exercises of stock options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349</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Proceeds from issuance of common stock</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56,697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29,498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insurance loan agreement</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1,939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Payments made on insurance loan agreement</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(875)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Tax payments related to shares withheld for vested restricted stock units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(232)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Arial" w:cs="Arial" w:eastAsia="Arial" w:hAnsi="Arial"/>
                <w:sz w:val="12"/>
                <w:szCs w:val="12"/>
                <w:color w:val="auto"/>
              </w:rPr>
              <w:t>Net cash provided by financing activities</w:t>
            </w:r>
          </w:p>
        </w:tc>
        <w:tc>
          <w:tcPr>
            <w:tcW w:w="9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63,234</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30,449</w:t>
            </w:r>
          </w:p>
        </w:tc>
      </w:tr>
      <w:tr>
        <w:trPr>
          <w:trHeight w:val="118"/>
        </w:trPr>
        <w:tc>
          <w:tcPr>
            <w:tcW w:w="8160" w:type="dxa"/>
            <w:vAlign w:val="bottom"/>
            <w:shd w:val="clear" w:color="auto" w:fill="CCEEFF"/>
          </w:tcPr>
          <w:p>
            <w:pPr>
              <w:ind w:left="440"/>
              <w:spacing w:after="0" w:line="118" w:lineRule="exact"/>
              <w:rPr>
                <w:sz w:val="20"/>
                <w:szCs w:val="20"/>
                <w:color w:val="auto"/>
              </w:rPr>
            </w:pPr>
            <w:r>
              <w:rPr>
                <w:rFonts w:ascii="Arial" w:cs="Arial" w:eastAsia="Arial" w:hAnsi="Arial"/>
                <w:sz w:val="12"/>
                <w:szCs w:val="12"/>
                <w:color w:val="auto"/>
              </w:rPr>
              <w:t>Net increase in cash and cash equivalents</w:t>
            </w: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29,528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171</w:t>
            </w:r>
          </w:p>
        </w:tc>
      </w:tr>
      <w:tr>
        <w:trPr>
          <w:trHeight w:val="118"/>
        </w:trPr>
        <w:tc>
          <w:tcPr>
            <w:tcW w:w="816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Cash and cash equivalents at beginning of period</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12,463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6,899</w:t>
            </w:r>
          </w:p>
        </w:tc>
      </w:tr>
      <w:tr>
        <w:trPr>
          <w:trHeight w:val="126"/>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Cash and cash equivalents at end of period</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41,991</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19"/>
              <w:spacing w:after="0" w:line="118"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7,070</w:t>
            </w:r>
          </w:p>
        </w:tc>
      </w:tr>
      <w:tr>
        <w:trPr>
          <w:trHeight w:val="129"/>
        </w:trPr>
        <w:tc>
          <w:tcPr>
            <w:tcW w:w="8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Equipment purchases included in accounts payable and accrued expenses</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14</w:t>
            </w:r>
          </w:p>
        </w:tc>
        <w:tc>
          <w:tcPr>
            <w:tcW w:w="80" w:type="dxa"/>
            <w:vAlign w:val="bottom"/>
          </w:tcPr>
          <w:p>
            <w:pPr>
              <w:spacing w:after="0"/>
              <w:rPr>
                <w:sz w:val="11"/>
                <w:szCs w:val="11"/>
                <w:color w:val="auto"/>
              </w:rPr>
            </w:pPr>
          </w:p>
        </w:tc>
        <w:tc>
          <w:tcPr>
            <w:tcW w:w="440" w:type="dxa"/>
            <w:vAlign w:val="bottom"/>
            <w:gridSpan w:val="2"/>
          </w:tcPr>
          <w:p>
            <w:pPr>
              <w:jc w:val="right"/>
              <w:ind w:right="219"/>
              <w:spacing w:after="0" w:line="129"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263</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Change in unrealized gains on available-for-sale securities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Accrued interest settled via issuance of common stock from private placement equity offering from private placement equity offering</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629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Issuance costs for rights offering in accounts payable</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64</w:t>
            </w:r>
          </w:p>
        </w:tc>
      </w:tr>
    </w:tbl>
    <w:p>
      <w:pPr>
        <w:spacing w:after="0" w:line="11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 w:name="page6"/>
    <w:bookmarkEnd w:id="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ectPr>
          <w:pgSz w:w="11900" w:h="16838" w:orient="portrait"/>
          <w:cols w:equalWidth="0" w:num="1">
            <w:col w:w="11300"/>
          </w:cols>
          <w:pgMar w:left="300" w:top="118" w:right="299" w:bottom="1440" w:gutter="0" w:footer="0" w:header="0"/>
        </w:sect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June 30, 2021</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6"/>
        </w:trPr>
        <w:tc>
          <w:tcPr>
            <w:tcW w:w="3700" w:type="dxa"/>
            <w:vAlign w:val="bottom"/>
            <w:vMerge w:val="continue"/>
          </w:tcPr>
          <w:p>
            <w:pPr>
              <w:spacing w:after="0"/>
              <w:rPr>
                <w:sz w:val="7"/>
                <w:szCs w:val="7"/>
                <w:color w:val="auto"/>
              </w:rPr>
            </w:pPr>
          </w:p>
        </w:tc>
        <w:tc>
          <w:tcPr>
            <w:tcW w:w="9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29,606</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tcBorders>
          </w:tcPr>
          <w:p>
            <w:pPr>
              <w:ind w:left="560"/>
              <w:spacing w:after="0" w:line="86" w:lineRule="exact"/>
              <w:rPr>
                <w:sz w:val="20"/>
                <w:szCs w:val="20"/>
                <w:color w:val="auto"/>
              </w:rPr>
            </w:pPr>
            <w:r>
              <w:rPr>
                <w:rFonts w:ascii="Arial" w:cs="Arial" w:eastAsia="Arial" w:hAnsi="Arial"/>
                <w:sz w:val="9"/>
                <w:szCs w:val="9"/>
                <w:color w:val="auto"/>
              </w:rPr>
              <w:t>29</w:t>
            </w: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25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Debt extinguishment and private investment, additional issuance costs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600"/>
              <w:spacing w:after="0" w:line="125" w:lineRule="exact"/>
              <w:rPr>
                <w:sz w:val="20"/>
                <w:szCs w:val="20"/>
                <w:color w:val="auto"/>
              </w:rPr>
            </w:pPr>
            <w:r>
              <w:rPr>
                <w:rFonts w:ascii="Arial" w:cs="Arial" w:eastAsia="Arial" w:hAnsi="Arial"/>
                <w:sz w:val="11"/>
                <w:szCs w:val="1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September 30, 2021</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29,631</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Arial" w:cs="Arial" w:eastAsia="Arial" w:hAnsi="Arial"/>
                <w:sz w:val="11"/>
                <w:szCs w:val="11"/>
                <w:color w:val="auto"/>
                <w:w w:val="97"/>
              </w:rPr>
              <w:t>29</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175500"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175500"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175500" cy="76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7620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December 31, 2020</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6"/>
              <w:spacing w:after="0" w:line="100"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6"/>
        </w:trPr>
        <w:tc>
          <w:tcPr>
            <w:tcW w:w="3700" w:type="dxa"/>
            <w:vAlign w:val="bottom"/>
            <w:vMerge w:val="continue"/>
          </w:tcPr>
          <w:p>
            <w:pPr>
              <w:spacing w:after="0"/>
              <w:rPr>
                <w:sz w:val="7"/>
                <w:szCs w:val="7"/>
                <w:color w:val="auto"/>
              </w:rPr>
            </w:pPr>
          </w:p>
        </w:tc>
        <w:tc>
          <w:tcPr>
            <w:tcW w:w="9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25,550</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25</w:t>
            </w: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common stock as part of debt extinguishment and private</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3,049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investment, net of issuance cost of $100</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exercise of warrants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585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common stock as part of ATM offering</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289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common stock upon exercise of stock options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45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91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w w:val="96"/>
              </w:rPr>
              <w:t>Issuance of common stock upon vesting of restricted stock units, net of shares</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withheld for employee taxes</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September 30, 2021</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29,631</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20" w:type="dxa"/>
            <w:vAlign w:val="bottom"/>
            <w:tcBorders>
              <w:top w:val="single" w:sz="8" w:color="auto"/>
              <w:bottom w:val="single" w:sz="8" w:color="auto"/>
            </w:tcBorders>
            <w:gridSpan w:val="2"/>
          </w:tcPr>
          <w:p>
            <w:pPr>
              <w:jc w:val="right"/>
              <w:ind w:right="20"/>
              <w:spacing w:after="0" w:line="100" w:lineRule="exact"/>
              <w:rPr>
                <w:sz w:val="20"/>
                <w:szCs w:val="20"/>
                <w:color w:val="auto"/>
              </w:rPr>
            </w:pPr>
            <w:r>
              <w:rPr>
                <w:rFonts w:ascii="Arial" w:cs="Arial" w:eastAsia="Arial" w:hAnsi="Arial"/>
                <w:sz w:val="11"/>
                <w:szCs w:val="11"/>
                <w:color w:val="auto"/>
              </w:rPr>
              <w:t>29</w:t>
            </w: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175500"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175500"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-444500</wp:posOffset>
            </wp:positionV>
            <wp:extent cx="717550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140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-942340</wp:posOffset>
            </wp:positionV>
            <wp:extent cx="7175500" cy="76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76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6"/>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8"/>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6"/>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8"/>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6"/>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6"/>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8"/>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86"/>
        </w:trPr>
        <w:tc>
          <w:tcPr>
            <w:tcW w:w="980" w:type="dxa"/>
            <w:vAlign w:val="bottom"/>
          </w:tcPr>
          <w:p>
            <w:pPr>
              <w:jc w:val="right"/>
              <w:ind w:right="126"/>
              <w:spacing w:after="0" w:line="86" w:lineRule="exact"/>
              <w:rPr>
                <w:sz w:val="20"/>
                <w:szCs w:val="20"/>
                <w:color w:val="auto"/>
              </w:rPr>
            </w:pPr>
            <w:r>
              <w:rPr>
                <w:rFonts w:ascii="Arial" w:cs="Arial" w:eastAsia="Arial" w:hAnsi="Arial"/>
                <w:sz w:val="9"/>
                <w:szCs w:val="9"/>
                <w:color w:val="auto"/>
              </w:rPr>
              <w:t>266,223</w:t>
            </w:r>
          </w:p>
        </w:tc>
        <w:tc>
          <w:tcPr>
            <w:tcW w:w="1340" w:type="dxa"/>
            <w:vAlign w:val="bottom"/>
            <w:tcBorders>
              <w:top w:val="single" w:sz="8" w:color="auto"/>
            </w:tcBorders>
          </w:tcPr>
          <w:p>
            <w:pPr>
              <w:jc w:val="right"/>
              <w:ind w:right="1228"/>
              <w:spacing w:after="0" w:line="86" w:lineRule="exact"/>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tcBorders>
          </w:tcPr>
          <w:p>
            <w:pPr>
              <w:ind w:left="100"/>
              <w:spacing w:after="0" w:line="86" w:lineRule="exact"/>
              <w:rPr>
                <w:sz w:val="20"/>
                <w:szCs w:val="20"/>
                <w:color w:val="auto"/>
              </w:rPr>
            </w:pPr>
            <w:r>
              <w:rPr>
                <w:rFonts w:ascii="Arial" w:cs="Arial" w:eastAsia="Arial" w:hAnsi="Arial"/>
                <w:sz w:val="9"/>
                <w:szCs w:val="9"/>
                <w:color w:val="auto"/>
                <w:w w:val="88"/>
              </w:rPr>
              <w:t>—</w:t>
            </w:r>
          </w:p>
        </w:tc>
        <w:tc>
          <w:tcPr>
            <w:tcW w:w="160" w:type="dxa"/>
            <w:vAlign w:val="bottom"/>
          </w:tcPr>
          <w:p>
            <w:pPr>
              <w:spacing w:after="0"/>
              <w:rPr>
                <w:sz w:val="7"/>
                <w:szCs w:val="7"/>
                <w:color w:val="auto"/>
              </w:rPr>
            </w:pPr>
          </w:p>
        </w:tc>
        <w:tc>
          <w:tcPr>
            <w:tcW w:w="160" w:type="dxa"/>
            <w:vAlign w:val="bottom"/>
            <w:tcBorders>
              <w:top w:val="single" w:sz="8" w:color="auto"/>
            </w:tcBorders>
          </w:tcPr>
          <w:p>
            <w:pPr>
              <w:jc w:val="right"/>
              <w:ind w:right="53"/>
              <w:spacing w:after="0" w:line="86" w:lineRule="exact"/>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(206,502)</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59,750</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389</w:t>
            </w:r>
          </w:p>
        </w:tc>
        <w:tc>
          <w:tcPr>
            <w:tcW w:w="1340" w:type="dxa"/>
            <w:vAlign w:val="bottom"/>
          </w:tcPr>
          <w:p>
            <w:pPr>
              <w:spacing w:after="0"/>
              <w:rPr>
                <w:sz w:val="9"/>
                <w:szCs w:val="9"/>
                <w:color w:val="auto"/>
              </w:rPr>
            </w:pPr>
          </w:p>
        </w:tc>
        <w:tc>
          <w:tcPr>
            <w:tcW w:w="200" w:type="dxa"/>
            <w:vAlign w:val="bottom"/>
          </w:tcPr>
          <w:p>
            <w:pPr>
              <w:ind w:left="100"/>
              <w:spacing w:after="0" w:line="111"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111"/>
        </w:trPr>
        <w:tc>
          <w:tcPr>
            <w:tcW w:w="980" w:type="dxa"/>
            <w:vAlign w:val="bottom"/>
          </w:tcPr>
          <w:p>
            <w:pPr>
              <w:jc w:val="right"/>
              <w:ind w:right="106"/>
              <w:spacing w:after="0" w:line="111" w:lineRule="exact"/>
              <w:rPr>
                <w:sz w:val="20"/>
                <w:szCs w:val="20"/>
                <w:color w:val="auto"/>
              </w:rPr>
            </w:pPr>
            <w:r>
              <w:rPr>
                <w:rFonts w:ascii="Arial" w:cs="Arial" w:eastAsia="Arial" w:hAnsi="Arial"/>
                <w:sz w:val="11"/>
                <w:szCs w:val="11"/>
                <w:color w:val="auto"/>
              </w:rPr>
              <w:t>1,577</w:t>
            </w:r>
          </w:p>
        </w:tc>
        <w:tc>
          <w:tcPr>
            <w:tcW w:w="1340" w:type="dxa"/>
            <w:vAlign w:val="bottom"/>
          </w:tcPr>
          <w:p>
            <w:pPr>
              <w:spacing w:after="0"/>
              <w:rPr>
                <w:sz w:val="9"/>
                <w:szCs w:val="9"/>
                <w:color w:val="auto"/>
              </w:rPr>
            </w:pPr>
          </w:p>
        </w:tc>
        <w:tc>
          <w:tcPr>
            <w:tcW w:w="200" w:type="dxa"/>
            <w:vAlign w:val="bottom"/>
          </w:tcPr>
          <w:p>
            <w:pPr>
              <w:ind w:left="100"/>
              <w:spacing w:after="0" w:line="111"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11"/>
        </w:trPr>
        <w:tc>
          <w:tcPr>
            <w:tcW w:w="980" w:type="dxa"/>
            <w:vAlign w:val="bottom"/>
          </w:tcPr>
          <w:p>
            <w:pPr>
              <w:jc w:val="right"/>
              <w:ind w:right="106"/>
              <w:spacing w:after="0" w:line="111" w:lineRule="exact"/>
              <w:rPr>
                <w:sz w:val="20"/>
                <w:szCs w:val="20"/>
                <w:color w:val="auto"/>
              </w:rPr>
            </w:pPr>
            <w:r>
              <w:rPr>
                <w:rFonts w:ascii="Arial" w:cs="Arial" w:eastAsia="Arial" w:hAnsi="Arial"/>
                <w:sz w:val="11"/>
                <w:szCs w:val="11"/>
                <w:color w:val="auto"/>
              </w:rPr>
              <w:t>(47)</w:t>
            </w:r>
          </w:p>
        </w:tc>
        <w:tc>
          <w:tcPr>
            <w:tcW w:w="1340" w:type="dxa"/>
            <w:vAlign w:val="bottom"/>
          </w:tcPr>
          <w:p>
            <w:pPr>
              <w:spacing w:after="0"/>
              <w:rPr>
                <w:sz w:val="9"/>
                <w:szCs w:val="9"/>
                <w:color w:val="auto"/>
              </w:rPr>
            </w:pPr>
          </w:p>
        </w:tc>
        <w:tc>
          <w:tcPr>
            <w:tcW w:w="200" w:type="dxa"/>
            <w:vAlign w:val="bottom"/>
          </w:tcPr>
          <w:p>
            <w:pPr>
              <w:ind w:left="100"/>
              <w:spacing w:after="0" w:line="111"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25"/>
        </w:trPr>
        <w:tc>
          <w:tcPr>
            <w:tcW w:w="980" w:type="dxa"/>
            <w:vAlign w:val="bottom"/>
          </w:tcPr>
          <w:p>
            <w:pPr>
              <w:jc w:val="right"/>
              <w:ind w:right="106"/>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200" w:type="dxa"/>
            <w:vAlign w:val="bottom"/>
          </w:tcPr>
          <w:p>
            <w:pPr>
              <w:ind w:left="100"/>
              <w:spacing w:after="0" w:line="125"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(14,282)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(14,282)</w:t>
            </w:r>
          </w:p>
        </w:tc>
        <w:tc>
          <w:tcPr>
            <w:tcW w:w="0" w:type="dxa"/>
            <w:vAlign w:val="bottom"/>
          </w:tcPr>
          <w:p>
            <w:pPr>
              <w:spacing w:after="0"/>
              <w:rPr>
                <w:sz w:val="1"/>
                <w:szCs w:val="1"/>
                <w:color w:val="auto"/>
              </w:rPr>
            </w:pPr>
          </w:p>
        </w:tc>
      </w:tr>
      <w:tr>
        <w:trPr>
          <w:trHeight w:val="108"/>
        </w:trPr>
        <w:tc>
          <w:tcPr>
            <w:tcW w:w="980" w:type="dxa"/>
            <w:vAlign w:val="bottom"/>
          </w:tcPr>
          <w:p>
            <w:pPr>
              <w:jc w:val="right"/>
              <w:ind w:right="106"/>
              <w:spacing w:after="0" w:line="100" w:lineRule="exact"/>
              <w:rPr>
                <w:sz w:val="20"/>
                <w:szCs w:val="20"/>
                <w:color w:val="auto"/>
              </w:rPr>
            </w:pPr>
            <w:r>
              <w:rPr>
                <w:rFonts w:ascii="Arial" w:cs="Arial" w:eastAsia="Arial" w:hAnsi="Arial"/>
                <w:sz w:val="11"/>
                <w:szCs w:val="11"/>
                <w:color w:val="auto"/>
              </w:rPr>
              <w:t>268,142</w:t>
            </w:r>
          </w:p>
        </w:tc>
        <w:tc>
          <w:tcPr>
            <w:tcW w:w="1340" w:type="dxa"/>
            <w:vAlign w:val="bottom"/>
            <w:tcBorders>
              <w:top w:val="single" w:sz="8" w:color="auto"/>
              <w:bottom w:val="single" w:sz="8" w:color="auto"/>
            </w:tcBorders>
          </w:tcPr>
          <w:p>
            <w:pPr>
              <w:jc w:val="right"/>
              <w:ind w:right="1228"/>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100"/>
              <w:spacing w:after="0" w:line="100"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3"/>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(220,784)</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47,387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442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-93345</wp:posOffset>
            </wp:positionV>
            <wp:extent cx="7442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7"/>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5"/>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7"/>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5"/>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7"/>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8"/>
        </w:trPr>
        <w:tc>
          <w:tcPr>
            <w:tcW w:w="980" w:type="dxa"/>
            <w:vAlign w:val="bottom"/>
          </w:tcPr>
          <w:p>
            <w:pPr>
              <w:jc w:val="right"/>
              <w:ind w:right="125"/>
              <w:spacing w:after="0" w:line="119" w:lineRule="exact"/>
              <w:rPr>
                <w:sz w:val="20"/>
                <w:szCs w:val="20"/>
                <w:color w:val="auto"/>
              </w:rPr>
            </w:pPr>
            <w:r>
              <w:rPr>
                <w:rFonts w:ascii="Arial" w:cs="Arial" w:eastAsia="Arial" w:hAnsi="Arial"/>
                <w:sz w:val="11"/>
                <w:szCs w:val="11"/>
                <w:color w:val="auto"/>
              </w:rPr>
              <w:t>195,410</w:t>
            </w:r>
          </w:p>
        </w:tc>
        <w:tc>
          <w:tcPr>
            <w:tcW w:w="1340" w:type="dxa"/>
            <w:vAlign w:val="bottom"/>
            <w:tcBorders>
              <w:top w:val="single" w:sz="8" w:color="auto"/>
            </w:tcBorders>
          </w:tcPr>
          <w:p>
            <w:pPr>
              <w:jc w:val="right"/>
              <w:ind w:right="1227"/>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(172,540)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22,894</w:t>
            </w:r>
          </w:p>
        </w:tc>
        <w:tc>
          <w:tcPr>
            <w:tcW w:w="0" w:type="dxa"/>
            <w:vAlign w:val="bottom"/>
          </w:tcPr>
          <w:p>
            <w:pPr>
              <w:spacing w:after="0"/>
              <w:rPr>
                <w:sz w:val="1"/>
                <w:szCs w:val="1"/>
                <w:color w:val="auto"/>
              </w:rPr>
            </w:pPr>
          </w:p>
        </w:tc>
      </w:tr>
      <w:tr>
        <w:trPr>
          <w:trHeight w:val="179"/>
        </w:trPr>
        <w:tc>
          <w:tcPr>
            <w:tcW w:w="980" w:type="dxa"/>
            <w:vAlign w:val="bottom"/>
          </w:tcPr>
          <w:p>
            <w:pPr>
              <w:jc w:val="right"/>
              <w:ind w:right="105"/>
              <w:spacing w:after="0"/>
              <w:rPr>
                <w:sz w:val="20"/>
                <w:szCs w:val="20"/>
                <w:color w:val="auto"/>
              </w:rPr>
            </w:pPr>
            <w:r>
              <w:rPr>
                <w:rFonts w:ascii="Arial" w:cs="Arial" w:eastAsia="Arial" w:hAnsi="Arial"/>
                <w:sz w:val="11"/>
                <w:szCs w:val="11"/>
                <w:color w:val="auto"/>
              </w:rPr>
              <w:t>49,891</w:t>
            </w:r>
          </w:p>
        </w:tc>
        <w:tc>
          <w:tcPr>
            <w:tcW w:w="134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49,894</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3,333</w:t>
            </w:r>
          </w:p>
        </w:tc>
        <w:tc>
          <w:tcPr>
            <w:tcW w:w="1340" w:type="dxa"/>
            <w:vAlign w:val="bottom"/>
          </w:tcPr>
          <w:p>
            <w:pPr>
              <w:spacing w:after="0"/>
              <w:rPr>
                <w:sz w:val="9"/>
                <w:szCs w:val="9"/>
                <w:color w:val="auto"/>
              </w:rPr>
            </w:pPr>
          </w:p>
        </w:tc>
        <w:tc>
          <w:tcPr>
            <w:tcW w:w="360" w:type="dxa"/>
            <w:vAlign w:val="bottom"/>
            <w:gridSpan w:val="2"/>
          </w:tcPr>
          <w:p>
            <w:pPr>
              <w:ind w:left="100"/>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3,334</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7,432</w:t>
            </w:r>
          </w:p>
        </w:tc>
        <w:tc>
          <w:tcPr>
            <w:tcW w:w="1340" w:type="dxa"/>
            <w:vAlign w:val="bottom"/>
          </w:tcPr>
          <w:p>
            <w:pPr>
              <w:spacing w:after="0"/>
              <w:rPr>
                <w:sz w:val="9"/>
                <w:szCs w:val="9"/>
                <w:color w:val="auto"/>
              </w:rPr>
            </w:pPr>
          </w:p>
        </w:tc>
        <w:tc>
          <w:tcPr>
            <w:tcW w:w="360" w:type="dxa"/>
            <w:vAlign w:val="bottom"/>
            <w:gridSpan w:val="2"/>
          </w:tcPr>
          <w:p>
            <w:pPr>
              <w:ind w:left="100"/>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7,432</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508</w:t>
            </w:r>
          </w:p>
        </w:tc>
        <w:tc>
          <w:tcPr>
            <w:tcW w:w="1340" w:type="dxa"/>
            <w:vAlign w:val="bottom"/>
          </w:tcPr>
          <w:p>
            <w:pPr>
              <w:spacing w:after="0"/>
              <w:rPr>
                <w:sz w:val="9"/>
                <w:szCs w:val="9"/>
                <w:color w:val="auto"/>
              </w:rPr>
            </w:pPr>
          </w:p>
        </w:tc>
        <w:tc>
          <w:tcPr>
            <w:tcW w:w="360" w:type="dxa"/>
            <w:vAlign w:val="bottom"/>
            <w:gridSpan w:val="2"/>
          </w:tcPr>
          <w:p>
            <w:pPr>
              <w:ind w:left="100"/>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139"/>
        </w:trPr>
        <w:tc>
          <w:tcPr>
            <w:tcW w:w="980" w:type="dxa"/>
            <w:vAlign w:val="bottom"/>
          </w:tcPr>
          <w:p>
            <w:pPr>
              <w:jc w:val="right"/>
              <w:ind w:right="105"/>
              <w:spacing w:after="0"/>
              <w:rPr>
                <w:sz w:val="20"/>
                <w:szCs w:val="20"/>
                <w:color w:val="auto"/>
              </w:rPr>
            </w:pPr>
            <w:r>
              <w:rPr>
                <w:rFonts w:ascii="Arial" w:cs="Arial" w:eastAsia="Arial" w:hAnsi="Arial"/>
                <w:sz w:val="11"/>
                <w:szCs w:val="11"/>
                <w:color w:val="auto"/>
              </w:rPr>
              <w:t>810</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810</w:t>
            </w:r>
          </w:p>
        </w:tc>
        <w:tc>
          <w:tcPr>
            <w:tcW w:w="0" w:type="dxa"/>
            <w:vAlign w:val="bottom"/>
          </w:tcPr>
          <w:p>
            <w:pPr>
              <w:spacing w:after="0"/>
              <w:rPr>
                <w:sz w:val="1"/>
                <w:szCs w:val="1"/>
                <w:color w:val="auto"/>
              </w:rPr>
            </w:pPr>
          </w:p>
        </w:tc>
      </w:tr>
      <w:tr>
        <w:trPr>
          <w:trHeight w:val="193"/>
        </w:trPr>
        <w:tc>
          <w:tcPr>
            <w:tcW w:w="980" w:type="dxa"/>
            <w:vAlign w:val="bottom"/>
          </w:tcPr>
          <w:p>
            <w:pPr>
              <w:jc w:val="right"/>
              <w:ind w:right="105"/>
              <w:spacing w:after="0"/>
              <w:rPr>
                <w:sz w:val="20"/>
                <w:szCs w:val="20"/>
                <w:color w:val="auto"/>
              </w:rPr>
            </w:pPr>
            <w:r>
              <w:rPr>
                <w:rFonts w:ascii="Arial" w:cs="Arial" w:eastAsia="Arial" w:hAnsi="Arial"/>
                <w:sz w:val="11"/>
                <w:szCs w:val="11"/>
                <w:color w:val="auto"/>
              </w:rPr>
              <w:t>(232)</w:t>
            </w:r>
          </w:p>
        </w:tc>
        <w:tc>
          <w:tcPr>
            <w:tcW w:w="134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(232)</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10,990</w:t>
            </w:r>
          </w:p>
        </w:tc>
        <w:tc>
          <w:tcPr>
            <w:tcW w:w="1340" w:type="dxa"/>
            <w:vAlign w:val="bottom"/>
          </w:tcPr>
          <w:p>
            <w:pPr>
              <w:spacing w:after="0"/>
              <w:rPr>
                <w:sz w:val="9"/>
                <w:szCs w:val="9"/>
                <w:color w:val="auto"/>
              </w:rPr>
            </w:pPr>
          </w:p>
        </w:tc>
        <w:tc>
          <w:tcPr>
            <w:tcW w:w="360" w:type="dxa"/>
            <w:vAlign w:val="bottom"/>
            <w:gridSpan w:val="2"/>
          </w:tcPr>
          <w:p>
            <w:pPr>
              <w:ind w:left="100"/>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10,990</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9"/>
                <w:szCs w:val="9"/>
                <w:color w:val="auto"/>
              </w:rPr>
            </w:pPr>
          </w:p>
        </w:tc>
        <w:tc>
          <w:tcPr>
            <w:tcW w:w="200" w:type="dxa"/>
            <w:vAlign w:val="bottom"/>
          </w:tcPr>
          <w:p>
            <w:pPr>
              <w:jc w:val="right"/>
              <w:spacing w:after="0" w:line="111"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5"/>
        </w:trPr>
        <w:tc>
          <w:tcPr>
            <w:tcW w:w="98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360" w:type="dxa"/>
            <w:vAlign w:val="bottom"/>
            <w:gridSpan w:val="2"/>
          </w:tcPr>
          <w:p>
            <w:pPr>
              <w:ind w:left="10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(48,244)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(48,244)</w:t>
            </w:r>
          </w:p>
        </w:tc>
        <w:tc>
          <w:tcPr>
            <w:tcW w:w="0" w:type="dxa"/>
            <w:vAlign w:val="bottom"/>
          </w:tcPr>
          <w:p>
            <w:pPr>
              <w:spacing w:after="0"/>
              <w:rPr>
                <w:sz w:val="1"/>
                <w:szCs w:val="1"/>
                <w:color w:val="auto"/>
              </w:rPr>
            </w:pPr>
          </w:p>
        </w:tc>
      </w:tr>
      <w:tr>
        <w:trPr>
          <w:trHeight w:val="108"/>
        </w:trPr>
        <w:tc>
          <w:tcPr>
            <w:tcW w:w="980" w:type="dxa"/>
            <w:vAlign w:val="bottom"/>
          </w:tcPr>
          <w:p>
            <w:pPr>
              <w:jc w:val="right"/>
              <w:ind w:right="105"/>
              <w:spacing w:after="0" w:line="100" w:lineRule="exact"/>
              <w:rPr>
                <w:sz w:val="20"/>
                <w:szCs w:val="20"/>
                <w:color w:val="auto"/>
              </w:rPr>
            </w:pPr>
            <w:r>
              <w:rPr>
                <w:rFonts w:ascii="Arial" w:cs="Arial" w:eastAsia="Arial" w:hAnsi="Arial"/>
                <w:sz w:val="11"/>
                <w:szCs w:val="11"/>
                <w:color w:val="auto"/>
              </w:rPr>
              <w:t>268,142</w:t>
            </w:r>
          </w:p>
        </w:tc>
        <w:tc>
          <w:tcPr>
            <w:tcW w:w="1340" w:type="dxa"/>
            <w:vAlign w:val="bottom"/>
            <w:tcBorders>
              <w:top w:val="single" w:sz="8" w:color="auto"/>
              <w:bottom w:val="single" w:sz="8" w:color="auto"/>
            </w:tcBorders>
          </w:tcPr>
          <w:p>
            <w:pPr>
              <w:jc w:val="right"/>
              <w:ind w:right="1227"/>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100"/>
              <w:spacing w:after="0" w:line="100"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(220,784)</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47,387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8" w:right="299"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20090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6" w:name="page7"/>
    <w:bookmarkEnd w:id="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June 30, 2020</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6"/>
        </w:trPr>
        <w:tc>
          <w:tcPr>
            <w:tcW w:w="3700" w:type="dxa"/>
            <w:vAlign w:val="bottom"/>
            <w:vMerge w:val="continue"/>
          </w:tcPr>
          <w:p>
            <w:pPr>
              <w:spacing w:after="0"/>
              <w:rPr>
                <w:sz w:val="7"/>
                <w:szCs w:val="7"/>
                <w:color w:val="auto"/>
              </w:rPr>
            </w:pPr>
          </w:p>
        </w:tc>
        <w:tc>
          <w:tcPr>
            <w:tcW w:w="9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25,149</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tcBorders>
          </w:tcPr>
          <w:p>
            <w:pPr>
              <w:ind w:left="560"/>
              <w:spacing w:after="0" w:line="86" w:lineRule="exact"/>
              <w:rPr>
                <w:sz w:val="20"/>
                <w:szCs w:val="20"/>
                <w:color w:val="auto"/>
              </w:rPr>
            </w:pPr>
            <w:r>
              <w:rPr>
                <w:rFonts w:ascii="Arial" w:cs="Arial" w:eastAsia="Arial" w:hAnsi="Arial"/>
                <w:sz w:val="9"/>
                <w:szCs w:val="9"/>
                <w:color w:val="auto"/>
              </w:rPr>
              <w:t>25</w:t>
            </w: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exercise of stock options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85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40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exercise of warrants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16</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Rights offering, additional issuance costs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600"/>
              <w:spacing w:after="0" w:line="125" w:lineRule="exact"/>
              <w:rPr>
                <w:sz w:val="20"/>
                <w:szCs w:val="20"/>
                <w:color w:val="auto"/>
              </w:rPr>
            </w:pPr>
            <w:r>
              <w:rPr>
                <w:rFonts w:ascii="Arial" w:cs="Arial" w:eastAsia="Arial" w:hAnsi="Arial"/>
                <w:sz w:val="11"/>
                <w:szCs w:val="1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September 30, 2020</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25,290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Arial" w:cs="Arial" w:eastAsia="Arial" w:hAnsi="Arial"/>
                <w:sz w:val="11"/>
                <w:szCs w:val="11"/>
                <w:color w:val="auto"/>
                <w:w w:val="97"/>
              </w:rPr>
              <w:t>25</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-514985</wp:posOffset>
            </wp:positionV>
            <wp:extent cx="7175500" cy="70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175500" cy="70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-661035</wp:posOffset>
            </wp:positionV>
            <wp:extent cx="7175500" cy="76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7620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December 31, 2019</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6"/>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6"/>
        </w:trPr>
        <w:tc>
          <w:tcPr>
            <w:tcW w:w="3700" w:type="dxa"/>
            <w:vAlign w:val="bottom"/>
            <w:vMerge w:val="continue"/>
          </w:tcPr>
          <w:p>
            <w:pPr>
              <w:spacing w:after="0"/>
              <w:rPr>
                <w:sz w:val="7"/>
                <w:szCs w:val="7"/>
                <w:color w:val="auto"/>
              </w:rPr>
            </w:pPr>
          </w:p>
        </w:tc>
        <w:tc>
          <w:tcPr>
            <w:tcW w:w="9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20,825</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21</w:t>
            </w: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exercise of stock options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86</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6"/>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6"/>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w w:val="97"/>
              </w:rPr>
              <w:t>Issuance of common stock and warrants in connection with rights offering, net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4,280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ind w:left="546"/>
              <w:spacing w:after="0"/>
              <w:rPr>
                <w:sz w:val="20"/>
                <w:szCs w:val="20"/>
                <w:color w:val="auto"/>
              </w:rPr>
            </w:pPr>
            <w:r>
              <w:rPr>
                <w:rFonts w:ascii="Arial" w:cs="Arial" w:eastAsia="Arial" w:hAnsi="Arial"/>
                <w:sz w:val="11"/>
                <w:szCs w:val="11"/>
                <w:color w:val="auto"/>
                <w:w w:val="97"/>
              </w:rPr>
              <w:t>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of issuance cost of $565</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exercise of warrants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16</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6"/>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6"/>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6"/>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left="466"/>
              <w:spacing w:after="0" w:line="125" w:lineRule="exact"/>
              <w:rPr>
                <w:sz w:val="20"/>
                <w:szCs w:val="20"/>
                <w:color w:val="auto"/>
              </w:rPr>
            </w:pPr>
            <w:r>
              <w:rPr>
                <w:rFonts w:ascii="Arial" w:cs="Arial" w:eastAsia="Arial" w:hAnsi="Arial"/>
                <w:sz w:val="11"/>
                <w:szCs w:val="11"/>
                <w:color w:val="auto"/>
                <w:w w:val="90"/>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September 30, 2020</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25,290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-584835</wp:posOffset>
            </wp:positionV>
            <wp:extent cx="7175500" cy="70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175500" cy="70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-731520</wp:posOffset>
            </wp:positionV>
            <wp:extent cx="7175500" cy="76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76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6"/>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8"/>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6"/>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8"/>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6"/>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6"/>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8"/>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86"/>
        </w:trPr>
        <w:tc>
          <w:tcPr>
            <w:tcW w:w="980" w:type="dxa"/>
            <w:vAlign w:val="bottom"/>
          </w:tcPr>
          <w:p>
            <w:pPr>
              <w:jc w:val="right"/>
              <w:ind w:right="126"/>
              <w:spacing w:after="0" w:line="86" w:lineRule="exact"/>
              <w:rPr>
                <w:sz w:val="20"/>
                <w:szCs w:val="20"/>
                <w:color w:val="auto"/>
              </w:rPr>
            </w:pPr>
            <w:r>
              <w:rPr>
                <w:rFonts w:ascii="Arial" w:cs="Arial" w:eastAsia="Arial" w:hAnsi="Arial"/>
                <w:sz w:val="9"/>
                <w:szCs w:val="9"/>
                <w:color w:val="auto"/>
              </w:rPr>
              <w:t>188,197</w:t>
            </w:r>
          </w:p>
        </w:tc>
        <w:tc>
          <w:tcPr>
            <w:tcW w:w="1340" w:type="dxa"/>
            <w:vAlign w:val="bottom"/>
            <w:tcBorders>
              <w:top w:val="single" w:sz="8" w:color="auto"/>
            </w:tcBorders>
          </w:tcPr>
          <w:p>
            <w:pPr>
              <w:jc w:val="right"/>
              <w:ind w:right="1228"/>
              <w:spacing w:after="0" w:line="86" w:lineRule="exact"/>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tcBorders>
          </w:tcPr>
          <w:p>
            <w:pPr>
              <w:jc w:val="center"/>
              <w:ind w:left="46"/>
              <w:spacing w:after="0" w:line="86"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160" w:type="dxa"/>
            <w:vAlign w:val="bottom"/>
            <w:tcBorders>
              <w:top w:val="single" w:sz="8" w:color="auto"/>
            </w:tcBorders>
          </w:tcPr>
          <w:p>
            <w:pPr>
              <w:jc w:val="right"/>
              <w:ind w:right="53"/>
              <w:spacing w:after="0" w:line="86" w:lineRule="exact"/>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(145,894)</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42,328</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340</w:t>
            </w:r>
          </w:p>
        </w:tc>
        <w:tc>
          <w:tcPr>
            <w:tcW w:w="1340" w:type="dxa"/>
            <w:vAlign w:val="bottom"/>
          </w:tcPr>
          <w:p>
            <w:pPr>
              <w:spacing w:after="0"/>
              <w:rPr>
                <w:sz w:val="9"/>
                <w:szCs w:val="9"/>
                <w:color w:val="auto"/>
              </w:rPr>
            </w:pPr>
          </w:p>
        </w:tc>
        <w:tc>
          <w:tcPr>
            <w:tcW w:w="200" w:type="dxa"/>
            <w:vAlign w:val="bottom"/>
          </w:tcPr>
          <w:p>
            <w:pPr>
              <w:jc w:val="center"/>
              <w:ind w:left="46"/>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340</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235</w:t>
            </w:r>
          </w:p>
        </w:tc>
        <w:tc>
          <w:tcPr>
            <w:tcW w:w="1340" w:type="dxa"/>
            <w:vAlign w:val="bottom"/>
          </w:tcPr>
          <w:p>
            <w:pPr>
              <w:spacing w:after="0"/>
              <w:rPr>
                <w:sz w:val="9"/>
                <w:szCs w:val="9"/>
                <w:color w:val="auto"/>
              </w:rPr>
            </w:pPr>
          </w:p>
        </w:tc>
        <w:tc>
          <w:tcPr>
            <w:tcW w:w="200" w:type="dxa"/>
            <w:vAlign w:val="bottom"/>
          </w:tcPr>
          <w:p>
            <w:pPr>
              <w:jc w:val="center"/>
              <w:ind w:left="46"/>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112</w:t>
            </w:r>
          </w:p>
        </w:tc>
        <w:tc>
          <w:tcPr>
            <w:tcW w:w="1340" w:type="dxa"/>
            <w:vAlign w:val="bottom"/>
          </w:tcPr>
          <w:p>
            <w:pPr>
              <w:spacing w:after="0"/>
              <w:rPr>
                <w:sz w:val="9"/>
                <w:szCs w:val="9"/>
                <w:color w:val="auto"/>
              </w:rPr>
            </w:pPr>
          </w:p>
        </w:tc>
        <w:tc>
          <w:tcPr>
            <w:tcW w:w="200" w:type="dxa"/>
            <w:vAlign w:val="bottom"/>
          </w:tcPr>
          <w:p>
            <w:pPr>
              <w:jc w:val="center"/>
              <w:ind w:left="46"/>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2,648</w:t>
            </w:r>
          </w:p>
        </w:tc>
        <w:tc>
          <w:tcPr>
            <w:tcW w:w="1340" w:type="dxa"/>
            <w:vAlign w:val="bottom"/>
          </w:tcPr>
          <w:p>
            <w:pPr>
              <w:spacing w:after="0"/>
              <w:rPr>
                <w:sz w:val="9"/>
                <w:szCs w:val="9"/>
                <w:color w:val="auto"/>
              </w:rPr>
            </w:pPr>
          </w:p>
        </w:tc>
        <w:tc>
          <w:tcPr>
            <w:tcW w:w="200" w:type="dxa"/>
            <w:vAlign w:val="bottom"/>
          </w:tcPr>
          <w:p>
            <w:pPr>
              <w:jc w:val="center"/>
              <w:ind w:left="46"/>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2,648</w:t>
            </w:r>
          </w:p>
        </w:tc>
        <w:tc>
          <w:tcPr>
            <w:tcW w:w="0" w:type="dxa"/>
            <w:vAlign w:val="bottom"/>
          </w:tcPr>
          <w:p>
            <w:pPr>
              <w:spacing w:after="0"/>
              <w:rPr>
                <w:sz w:val="1"/>
                <w:szCs w:val="1"/>
                <w:color w:val="auto"/>
              </w:rPr>
            </w:pPr>
          </w:p>
        </w:tc>
      </w:tr>
      <w:tr>
        <w:trPr>
          <w:trHeight w:val="111"/>
        </w:trPr>
        <w:tc>
          <w:tcPr>
            <w:tcW w:w="980" w:type="dxa"/>
            <w:vAlign w:val="bottom"/>
          </w:tcPr>
          <w:p>
            <w:pPr>
              <w:jc w:val="right"/>
              <w:ind w:right="106"/>
              <w:spacing w:after="0" w:line="111" w:lineRule="exact"/>
              <w:rPr>
                <w:sz w:val="20"/>
                <w:szCs w:val="20"/>
                <w:color w:val="auto"/>
              </w:rPr>
            </w:pPr>
            <w:r>
              <w:rPr>
                <w:rFonts w:ascii="Arial" w:cs="Arial" w:eastAsia="Arial" w:hAnsi="Arial"/>
                <w:sz w:val="11"/>
                <w:szCs w:val="11"/>
                <w:color w:val="auto"/>
              </w:rPr>
              <w:t>(64)</w:t>
            </w:r>
          </w:p>
        </w:tc>
        <w:tc>
          <w:tcPr>
            <w:tcW w:w="1340" w:type="dxa"/>
            <w:vAlign w:val="bottom"/>
          </w:tcPr>
          <w:p>
            <w:pPr>
              <w:spacing w:after="0"/>
              <w:rPr>
                <w:sz w:val="9"/>
                <w:szCs w:val="9"/>
                <w:color w:val="auto"/>
              </w:rPr>
            </w:pPr>
          </w:p>
        </w:tc>
        <w:tc>
          <w:tcPr>
            <w:tcW w:w="200" w:type="dxa"/>
            <w:vAlign w:val="bottom"/>
          </w:tcPr>
          <w:p>
            <w:pPr>
              <w:jc w:val="center"/>
              <w:ind w:left="46"/>
              <w:spacing w:after="0" w:line="111"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11"/>
        </w:trPr>
        <w:tc>
          <w:tcPr>
            <w:tcW w:w="980" w:type="dxa"/>
            <w:vAlign w:val="bottom"/>
          </w:tcPr>
          <w:p>
            <w:pPr>
              <w:jc w:val="right"/>
              <w:ind w:right="106"/>
              <w:spacing w:after="0" w:line="111"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9"/>
                <w:szCs w:val="9"/>
                <w:color w:val="auto"/>
              </w:rPr>
            </w:pPr>
          </w:p>
        </w:tc>
        <w:tc>
          <w:tcPr>
            <w:tcW w:w="200" w:type="dxa"/>
            <w:vAlign w:val="bottom"/>
          </w:tcPr>
          <w:p>
            <w:pPr>
              <w:jc w:val="center"/>
              <w:ind w:left="46"/>
              <w:spacing w:after="0" w:line="111" w:lineRule="exact"/>
              <w:rPr>
                <w:sz w:val="20"/>
                <w:szCs w:val="20"/>
                <w:color w:val="auto"/>
              </w:rPr>
            </w:pPr>
            <w:r>
              <w:rPr>
                <w:rFonts w:ascii="Arial" w:cs="Arial" w:eastAsia="Arial" w:hAnsi="Arial"/>
                <w:sz w:val="11"/>
                <w:szCs w:val="11"/>
                <w:color w:val="auto"/>
                <w:w w:val="97"/>
              </w:rPr>
              <w:t>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5"/>
        </w:trPr>
        <w:tc>
          <w:tcPr>
            <w:tcW w:w="980" w:type="dxa"/>
            <w:vAlign w:val="bottom"/>
          </w:tcPr>
          <w:p>
            <w:pPr>
              <w:jc w:val="right"/>
              <w:ind w:right="106"/>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200" w:type="dxa"/>
            <w:vAlign w:val="bottom"/>
          </w:tcPr>
          <w:p>
            <w:pPr>
              <w:jc w:val="center"/>
              <w:ind w:left="46"/>
              <w:spacing w:after="0" w:line="125"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(12,896)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(12,896)</w:t>
            </w:r>
          </w:p>
        </w:tc>
        <w:tc>
          <w:tcPr>
            <w:tcW w:w="0" w:type="dxa"/>
            <w:vAlign w:val="bottom"/>
          </w:tcPr>
          <w:p>
            <w:pPr>
              <w:spacing w:after="0"/>
              <w:rPr>
                <w:sz w:val="1"/>
                <w:szCs w:val="1"/>
                <w:color w:val="auto"/>
              </w:rPr>
            </w:pPr>
          </w:p>
        </w:tc>
      </w:tr>
      <w:tr>
        <w:trPr>
          <w:trHeight w:val="108"/>
        </w:trPr>
        <w:tc>
          <w:tcPr>
            <w:tcW w:w="980" w:type="dxa"/>
            <w:vAlign w:val="bottom"/>
          </w:tcPr>
          <w:p>
            <w:pPr>
              <w:jc w:val="right"/>
              <w:ind w:right="126"/>
              <w:spacing w:after="0" w:line="100" w:lineRule="exact"/>
              <w:rPr>
                <w:sz w:val="20"/>
                <w:szCs w:val="20"/>
                <w:color w:val="auto"/>
              </w:rPr>
            </w:pPr>
            <w:r>
              <w:rPr>
                <w:rFonts w:ascii="Arial" w:cs="Arial" w:eastAsia="Arial" w:hAnsi="Arial"/>
                <w:sz w:val="11"/>
                <w:szCs w:val="11"/>
                <w:color w:val="auto"/>
              </w:rPr>
              <w:t>191,468</w:t>
            </w:r>
          </w:p>
        </w:tc>
        <w:tc>
          <w:tcPr>
            <w:tcW w:w="1340" w:type="dxa"/>
            <w:vAlign w:val="bottom"/>
            <w:tcBorders>
              <w:top w:val="single" w:sz="8" w:color="auto"/>
              <w:bottom w:val="single" w:sz="8" w:color="auto"/>
            </w:tcBorders>
          </w:tcPr>
          <w:p>
            <w:pPr>
              <w:jc w:val="right"/>
              <w:ind w:right="1228"/>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center"/>
              <w:ind w:left="46"/>
              <w:spacing w:after="0" w:line="100" w:lineRule="exact"/>
              <w:rPr>
                <w:sz w:val="20"/>
                <w:szCs w:val="20"/>
                <w:color w:val="auto"/>
              </w:rPr>
            </w:pPr>
            <w:r>
              <w:rPr>
                <w:rFonts w:ascii="Arial" w:cs="Arial" w:eastAsia="Arial" w:hAnsi="Arial"/>
                <w:sz w:val="11"/>
                <w:szCs w:val="11"/>
                <w:color w:val="auto"/>
                <w:w w:val="97"/>
              </w:rPr>
              <w:t>1</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3"/>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(158,790)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32,704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6"/>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8"/>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6"/>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8"/>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6"/>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6"/>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8"/>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86"/>
        </w:trPr>
        <w:tc>
          <w:tcPr>
            <w:tcW w:w="980" w:type="dxa"/>
            <w:vAlign w:val="bottom"/>
          </w:tcPr>
          <w:p>
            <w:pPr>
              <w:jc w:val="right"/>
              <w:ind w:right="126"/>
              <w:spacing w:after="0" w:line="86" w:lineRule="exact"/>
              <w:rPr>
                <w:sz w:val="20"/>
                <w:szCs w:val="20"/>
                <w:color w:val="auto"/>
              </w:rPr>
            </w:pPr>
            <w:r>
              <w:rPr>
                <w:rFonts w:ascii="Arial" w:cs="Arial" w:eastAsia="Arial" w:hAnsi="Arial"/>
                <w:sz w:val="9"/>
                <w:szCs w:val="9"/>
                <w:color w:val="auto"/>
              </w:rPr>
              <w:t>153,401</w:t>
            </w:r>
          </w:p>
        </w:tc>
        <w:tc>
          <w:tcPr>
            <w:tcW w:w="1340" w:type="dxa"/>
            <w:vAlign w:val="bottom"/>
            <w:tcBorders>
              <w:top w:val="single" w:sz="8" w:color="auto"/>
            </w:tcBorders>
          </w:tcPr>
          <w:p>
            <w:pPr>
              <w:jc w:val="right"/>
              <w:ind w:right="1228"/>
              <w:spacing w:after="0" w:line="86" w:lineRule="exact"/>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tcBorders>
          </w:tcPr>
          <w:p>
            <w:pPr>
              <w:jc w:val="center"/>
              <w:ind w:left="46"/>
              <w:spacing w:after="0" w:line="86"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top w:val="single" w:sz="8" w:color="auto"/>
            </w:tcBorders>
          </w:tcPr>
          <w:p>
            <w:pPr>
              <w:jc w:val="right"/>
              <w:ind w:right="53"/>
              <w:spacing w:after="0" w:line="86" w:lineRule="exact"/>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(122,689)</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30,737</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349</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349</w:t>
            </w:r>
          </w:p>
        </w:tc>
        <w:tc>
          <w:tcPr>
            <w:tcW w:w="0" w:type="dxa"/>
            <w:vAlign w:val="bottom"/>
          </w:tcPr>
          <w:p>
            <w:pPr>
              <w:spacing w:after="0"/>
              <w:rPr>
                <w:sz w:val="1"/>
                <w:szCs w:val="1"/>
                <w:color w:val="auto"/>
              </w:rPr>
            </w:pPr>
          </w:p>
        </w:tc>
      </w:tr>
      <w:tr>
        <w:trPr>
          <w:trHeight w:val="139"/>
        </w:trPr>
        <w:tc>
          <w:tcPr>
            <w:tcW w:w="980" w:type="dxa"/>
            <w:vAlign w:val="bottom"/>
          </w:tcPr>
          <w:p>
            <w:pPr>
              <w:jc w:val="right"/>
              <w:ind w:right="126"/>
              <w:spacing w:after="0"/>
              <w:rPr>
                <w:sz w:val="20"/>
                <w:szCs w:val="20"/>
                <w:color w:val="auto"/>
              </w:rPr>
            </w:pPr>
            <w:r>
              <w:rPr>
                <w:rFonts w:ascii="Arial" w:cs="Arial" w:eastAsia="Arial" w:hAnsi="Arial"/>
                <w:sz w:val="11"/>
                <w:szCs w:val="11"/>
                <w:color w:val="auto"/>
              </w:rPr>
              <w:t>490</w:t>
            </w:r>
          </w:p>
        </w:tc>
        <w:tc>
          <w:tcPr>
            <w:tcW w:w="1340" w:type="dxa"/>
            <w:vAlign w:val="bottom"/>
          </w:tcPr>
          <w:p>
            <w:pPr>
              <w:spacing w:after="0"/>
              <w:rPr>
                <w:sz w:val="12"/>
                <w:szCs w:val="12"/>
                <w:color w:val="auto"/>
              </w:rPr>
            </w:pPr>
          </w:p>
        </w:tc>
        <w:tc>
          <w:tcPr>
            <w:tcW w:w="280" w:type="dxa"/>
            <w:vAlign w:val="bottom"/>
            <w:gridSpan w:val="2"/>
          </w:tcPr>
          <w:p>
            <w:pPr>
              <w:jc w:val="center"/>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93"/>
        </w:trPr>
        <w:tc>
          <w:tcPr>
            <w:tcW w:w="980" w:type="dxa"/>
            <w:vAlign w:val="bottom"/>
          </w:tcPr>
          <w:p>
            <w:pPr>
              <w:jc w:val="right"/>
              <w:ind w:right="126"/>
              <w:spacing w:after="0"/>
              <w:rPr>
                <w:sz w:val="20"/>
                <w:szCs w:val="20"/>
                <w:color w:val="auto"/>
              </w:rPr>
            </w:pPr>
            <w:r>
              <w:rPr>
                <w:rFonts w:ascii="Arial" w:cs="Arial" w:eastAsia="Arial" w:hAnsi="Arial"/>
                <w:sz w:val="11"/>
                <w:szCs w:val="11"/>
                <w:color w:val="auto"/>
              </w:rPr>
              <w:t>29,430</w:t>
            </w:r>
          </w:p>
        </w:tc>
        <w:tc>
          <w:tcPr>
            <w:tcW w:w="1340" w:type="dxa"/>
            <w:vAlign w:val="bottom"/>
          </w:tcPr>
          <w:p>
            <w:pPr>
              <w:spacing w:after="0"/>
              <w:rPr>
                <w:sz w:val="16"/>
                <w:szCs w:val="16"/>
                <w:color w:val="auto"/>
              </w:rPr>
            </w:pPr>
          </w:p>
        </w:tc>
        <w:tc>
          <w:tcPr>
            <w:tcW w:w="280" w:type="dxa"/>
            <w:vAlign w:val="bottom"/>
            <w:gridSpan w:val="2"/>
          </w:tcPr>
          <w:p>
            <w:pPr>
              <w:jc w:val="center"/>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29,434</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112</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11"/>
        </w:trPr>
        <w:tc>
          <w:tcPr>
            <w:tcW w:w="98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7,686</w:t>
            </w:r>
          </w:p>
        </w:tc>
        <w:tc>
          <w:tcPr>
            <w:tcW w:w="1340" w:type="dxa"/>
            <w:vAlign w:val="bottom"/>
          </w:tcPr>
          <w:p>
            <w:pPr>
              <w:spacing w:after="0"/>
              <w:rPr>
                <w:sz w:val="9"/>
                <w:szCs w:val="9"/>
                <w:color w:val="auto"/>
              </w:rPr>
            </w:pPr>
          </w:p>
        </w:tc>
        <w:tc>
          <w:tcPr>
            <w:tcW w:w="280" w:type="dxa"/>
            <w:vAlign w:val="bottom"/>
            <w:gridSpan w:val="2"/>
          </w:tcPr>
          <w:p>
            <w:pPr>
              <w:jc w:val="center"/>
              <w:spacing w:after="0" w:line="111"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7,686</w:t>
            </w:r>
          </w:p>
        </w:tc>
        <w:tc>
          <w:tcPr>
            <w:tcW w:w="0" w:type="dxa"/>
            <w:vAlign w:val="bottom"/>
          </w:tcPr>
          <w:p>
            <w:pPr>
              <w:spacing w:after="0"/>
              <w:rPr>
                <w:sz w:val="1"/>
                <w:szCs w:val="1"/>
                <w:color w:val="auto"/>
              </w:rPr>
            </w:pPr>
          </w:p>
        </w:tc>
      </w:tr>
      <w:tr>
        <w:trPr>
          <w:trHeight w:val="111"/>
        </w:trPr>
        <w:tc>
          <w:tcPr>
            <w:tcW w:w="980" w:type="dxa"/>
            <w:vAlign w:val="bottom"/>
          </w:tcPr>
          <w:p>
            <w:pPr>
              <w:jc w:val="right"/>
              <w:ind w:right="106"/>
              <w:spacing w:after="0" w:line="111"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9"/>
                <w:szCs w:val="9"/>
                <w:color w:val="auto"/>
              </w:rPr>
            </w:pPr>
          </w:p>
        </w:tc>
        <w:tc>
          <w:tcPr>
            <w:tcW w:w="2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5"/>
        </w:trPr>
        <w:tc>
          <w:tcPr>
            <w:tcW w:w="980" w:type="dxa"/>
            <w:vAlign w:val="bottom"/>
          </w:tcPr>
          <w:p>
            <w:pPr>
              <w:jc w:val="right"/>
              <w:ind w:right="106"/>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280" w:type="dxa"/>
            <w:vAlign w:val="bottom"/>
            <w:gridSpan w:val="2"/>
          </w:tcPr>
          <w:p>
            <w:pPr>
              <w:jc w:val="center"/>
              <w:spacing w:after="0" w:line="125"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(36,101)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(36,101)</w:t>
            </w:r>
          </w:p>
        </w:tc>
        <w:tc>
          <w:tcPr>
            <w:tcW w:w="0" w:type="dxa"/>
            <w:vAlign w:val="bottom"/>
          </w:tcPr>
          <w:p>
            <w:pPr>
              <w:spacing w:after="0"/>
              <w:rPr>
                <w:sz w:val="1"/>
                <w:szCs w:val="1"/>
                <w:color w:val="auto"/>
              </w:rPr>
            </w:pPr>
          </w:p>
        </w:tc>
      </w:tr>
      <w:tr>
        <w:trPr>
          <w:trHeight w:val="108"/>
        </w:trPr>
        <w:tc>
          <w:tcPr>
            <w:tcW w:w="980" w:type="dxa"/>
            <w:vAlign w:val="bottom"/>
          </w:tcPr>
          <w:p>
            <w:pPr>
              <w:jc w:val="right"/>
              <w:ind w:right="126"/>
              <w:spacing w:after="0" w:line="100" w:lineRule="exact"/>
              <w:rPr>
                <w:sz w:val="20"/>
                <w:szCs w:val="20"/>
                <w:color w:val="auto"/>
              </w:rPr>
            </w:pPr>
            <w:r>
              <w:rPr>
                <w:rFonts w:ascii="Arial" w:cs="Arial" w:eastAsia="Arial" w:hAnsi="Arial"/>
                <w:sz w:val="11"/>
                <w:szCs w:val="11"/>
                <w:color w:val="auto"/>
              </w:rPr>
              <w:t>191,468</w:t>
            </w:r>
          </w:p>
        </w:tc>
        <w:tc>
          <w:tcPr>
            <w:tcW w:w="1340" w:type="dxa"/>
            <w:vAlign w:val="bottom"/>
            <w:tcBorders>
              <w:top w:val="single" w:sz="8" w:color="auto"/>
              <w:bottom w:val="single" w:sz="8" w:color="auto"/>
            </w:tcBorders>
          </w:tcPr>
          <w:p>
            <w:pPr>
              <w:jc w:val="right"/>
              <w:ind w:right="1228"/>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center"/>
              <w:ind w:left="46"/>
              <w:spacing w:after="0" w:line="100" w:lineRule="exact"/>
              <w:rPr>
                <w:sz w:val="20"/>
                <w:szCs w:val="20"/>
                <w:color w:val="auto"/>
              </w:rPr>
            </w:pPr>
            <w:r>
              <w:rPr>
                <w:rFonts w:ascii="Arial" w:cs="Arial" w:eastAsia="Arial" w:hAnsi="Arial"/>
                <w:sz w:val="11"/>
                <w:szCs w:val="11"/>
                <w:color w:val="auto"/>
                <w:w w:val="97"/>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3"/>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(158,790)</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32,704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8" w:right="299" w:bottom="1440" w:gutter="0" w:footer="0" w:header="0"/>
        </w:sectPr>
      </w:pP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See accompanying notes to the condensed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7" w:name="page8"/>
    <w:bookmarkEnd w:id="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the Business</w:t>
      </w:r>
    </w:p>
    <w:p>
      <w:pPr>
        <w:spacing w:after="0" w:line="135" w:lineRule="exact"/>
        <w:rPr>
          <w:sz w:val="20"/>
          <w:szCs w:val="20"/>
          <w:color w:val="auto"/>
        </w:rPr>
      </w:pPr>
    </w:p>
    <w:p>
      <w:pPr>
        <w:jc w:val="both"/>
        <w:ind w:firstLine="301"/>
        <w:spacing w:after="0" w:line="208" w:lineRule="auto"/>
        <w:rPr>
          <w:sz w:val="20"/>
          <w:szCs w:val="20"/>
          <w:color w:val="auto"/>
        </w:rPr>
      </w:pPr>
      <w:r>
        <w:rPr>
          <w:rFonts w:ascii="Arial" w:cs="Arial" w:eastAsia="Arial" w:hAnsi="Arial"/>
          <w:sz w:val="12"/>
          <w:szCs w:val="12"/>
          <w:color w:val="auto"/>
        </w:rPr>
        <w:t>Pulse Biosciences, Inc. is a novel bioelectric medicine company committed to health innovation using an entirely new and proprietary energy modality. The Company’s CellFX</w:t>
      </w:r>
      <w:r>
        <w:rPr>
          <w:rFonts w:ascii="Arial" w:cs="Arial" w:eastAsia="Arial" w:hAnsi="Arial"/>
          <w:sz w:val="20"/>
          <w:szCs w:val="20"/>
          <w:color w:val="auto"/>
          <w:vertAlign w:val="superscript"/>
        </w:rPr>
        <w:t>®</w:t>
      </w:r>
      <w:r>
        <w:rPr>
          <w:rFonts w:ascii="Arial" w:cs="Arial" w:eastAsia="Arial" w:hAnsi="Arial"/>
          <w:sz w:val="12"/>
          <w:szCs w:val="12"/>
          <w:color w:val="auto"/>
        </w:rPr>
        <w:t xml:space="preserve"> System is the first commercial product to harness the distinctive advantages of the Company’s proprietary Nano-Pulse Stimulation™ (“NPS”)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In February 2021, the Company received 510(k) clearance from the U.S. Food and Drug Administration (the “FDA”) for the CellFX System with initial clearance for a general indication for dermatologic procedures requiring ablation and resurfacing of the skin. In January 2021, the Company received Conformité Européene (“CE”) marking approval for the CellFX System, which allows for marketing of the system in the European Union (“EU”) and, in June 2021, the Company received Health Canada approval for the CellFX System, which allows for marketing of the system in Canada. The CE mark and Health Canada approvals allow for use of the CellFX System in dermatological procedures requiring ablation and resurfacing of the skin for the reduction, removal, and/or clearance of cellular-based benign lesions, including Sebaceous Hyperplasia (“SH”), Seborrheic Keratosis (“SK”), and cutaneous non-genital warts. The Company commenced a controlled launch of the CellFX System in February 2021 with key opinion leaders in dermatology (Note 9) and, in August 2021, the Company began to convert some of these key opinion leaders from the controlled launch program onto sales agreements, thereby triggering revenue recognition.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The Company was incorporated in Nevada on May 19, 2014. On June 18, 2018, the Company reincorporated from the State of Nevada to the State of Delaware. The Company is located in Hayward, California.</w:t>
      </w:r>
    </w:p>
    <w:p>
      <w:pPr>
        <w:spacing w:after="0" w:line="132"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Company’s activities are subject to significant risks and uncertainties, including the need for additional capital. The Company does not currently have any cash flows from operations. It has recently commenced revenue-generating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Going Concern</w:t>
      </w:r>
    </w:p>
    <w:p>
      <w:pPr>
        <w:spacing w:after="0" w:line="120" w:lineRule="exact"/>
        <w:rPr>
          <w:sz w:val="20"/>
          <w:szCs w:val="20"/>
          <w:color w:val="auto"/>
        </w:rPr>
      </w:pPr>
    </w:p>
    <w:p>
      <w:pPr>
        <w:jc w:val="both"/>
        <w:ind w:firstLine="301"/>
        <w:spacing w:after="0" w:line="250" w:lineRule="auto"/>
        <w:rPr>
          <w:sz w:val="20"/>
          <w:szCs w:val="20"/>
          <w:color w:val="auto"/>
        </w:rPr>
      </w:pPr>
      <w:r>
        <w:rPr>
          <w:rFonts w:ascii="Arial" w:cs="Arial" w:eastAsia="Arial" w:hAnsi="Arial"/>
          <w:sz w:val="11"/>
          <w:szCs w:val="11"/>
          <w:color w:val="auto"/>
        </w:rPr>
        <w:t xml:space="preserve">As of September 30, 2021, the Company had an accumulated deficit of $220.8 million, cash outflows from operations of $41.4 million for the nine months then ended, cash and cash equivalents of $42.0 million and a net loss of $14.3 million. The Company has recently begun to generate revenue from product sales, but anticipates net losses for the next several years or until it can generate substantial product revenue and achieve profitability. Based on the Company’s current operating plan, the Company has determined that, with its current financial resources, the Company would be able to operate into the third quarter of 2022. As the Company’s operating plan does not allow the Company to operate for a period of twelve months from the date the condensed consolidated financial statements are issued without additional financing, based on the Accounting Standards Codification (“ASC”) 205-40, </w:t>
      </w:r>
      <w:r>
        <w:rPr>
          <w:rFonts w:ascii="Arial" w:cs="Arial" w:eastAsia="Arial" w:hAnsi="Arial"/>
          <w:sz w:val="11"/>
          <w:szCs w:val="11"/>
          <w:i w:val="1"/>
          <w:iCs w:val="1"/>
          <w:color w:val="auto"/>
        </w:rPr>
        <w:t>Presentation of Financial Statements – Going Concern</w:t>
      </w:r>
      <w:r>
        <w:rPr>
          <w:rFonts w:ascii="Arial" w:cs="Arial" w:eastAsia="Arial" w:hAnsi="Arial"/>
          <w:sz w:val="11"/>
          <w:szCs w:val="11"/>
          <w:color w:val="auto"/>
        </w:rPr>
        <w:t>, the Company is required to disclose that substantial doubt regarding the Company’s ability to continue as a going concern exists. This evaluation initially cannot take into consideration the potential mitigating effects of plans that have not been fully implemented as of the date the financial statements are issued. To continue to fund the operations of the Company beyond this time period, management has developed plans, which primarily consist of raising additional capital through some combination of public or private equity offerings, debt financings, the Company’s at-the-market equity offering program, and/or potential new collaborations. There is no assurance, however, that any additional financing or any revenue-generating collaboration will be available when needed or that management of the Company will be able to obtain financing or enter into a collaboration on terms acceptable to the Company.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8" w:name="page9"/>
    <w:bookmarkEnd w:id="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The accompanying unaudited condensed consolidated financial statements have been prepared on a basis consistent with the Company’s December 31, 2020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2020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2020. The results of operations for the three-month and nine-month periods ended September 30, 2021, are not necessarily indicative of the results to be expected for the entire year or any future periods.</w:t>
      </w:r>
    </w:p>
    <w:p>
      <w:pPr>
        <w:spacing w:after="0" w:line="9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Certain prior period balances have been reclassified to conform to the current period presentation in the consolidated financial statements and the accompanying notes. Sales and marketing expenses are reclassified out of general and administrative expenses, both of which are presented as separate line items. Amortization of intangible assets are reclassified to general and administrative expenses.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and investments, the valuation and recognition of share-based compensation, inventory valuation, warranty obligations,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Accounting Policies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Company’s significant accounting policies are described in the Company’s Annual Report on Form 10-K for the year ended December 31, 2020. The Company continually evaluates the accounting policies and estimates used in preparing the consolidated financial statements. During the nine-month period ended September 30, 2021, the Company received 510(k) clearance, CE marking approval, and Health Canada clearance for their proprietary CellFX System and began to capitalize inventory in preparation for commercialization. Additionally, during the three-month period ended September 30, 2021, the Company entered into sales contracts with customers and began to recognize revenue. See Note 10 for additional details.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Valuation of Inventory</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September 30, 2021, there is no reduction to the balance of inventory for excessive and obsolete inventory.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9" w:name="page10"/>
    <w:bookmarkEnd w:id="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Revenue from Contracts with Customers</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the Company sells these products on a stand-alone basis at their respective stand-alone selling prices (“SSP”), initial customer contracts will likely involve the bundling of products which will be delivered concurrently to the customer and have the same pattern of transfer. In such instances, the full consideration of the contract will be recognized upon delivery of the products. The Company generally requires receipt of full payment prior to shipment, however, from time to time, payment terms may be extended to customers upon which the Company will perform a necessary credit evaluation to ensure future collectability of the outstanding balance. The Company does not believe any portion of the outstanding accounts receivable balance to be uncollectible, and has therefore not recorded an allowance against the accounts receivable balance. Refer to Note 10 for further details.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Product Warranty</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accrues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The warranty reserve is included within Accrued expenses on the consolidated balance sheets. Warranty expense is recorded as a component of Cost of Revenues in the consolidated statements of operations.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Warranty accrual activity consisted of the following for the three- and nine-month periods ended September 30, 2021 and 2020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gridSpan w:val="3"/>
          </w:tcPr>
          <w:p>
            <w:pPr>
              <w:jc w:val="center"/>
              <w:ind w:left="504"/>
              <w:spacing w:after="0"/>
              <w:rPr>
                <w:sz w:val="20"/>
                <w:szCs w:val="20"/>
                <w:color w:val="auto"/>
              </w:rPr>
            </w:pPr>
            <w:r>
              <w:rPr>
                <w:rFonts w:ascii="Arial" w:cs="Arial" w:eastAsia="Arial" w:hAnsi="Arial"/>
                <w:sz w:val="10"/>
                <w:szCs w:val="10"/>
                <w:b w:val="1"/>
                <w:bCs w:val="1"/>
                <w:color w:val="auto"/>
                <w:w w:val="89"/>
              </w:rPr>
              <w:t>Three-Month Periods Ended</w:t>
            </w: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3"/>
          </w:tcPr>
          <w:p>
            <w:pPr>
              <w:jc w:val="center"/>
              <w:ind w:left="484"/>
              <w:spacing w:after="0"/>
              <w:rPr>
                <w:sz w:val="20"/>
                <w:szCs w:val="20"/>
                <w:color w:val="auto"/>
              </w:rPr>
            </w:pPr>
            <w:r>
              <w:rPr>
                <w:rFonts w:ascii="Arial" w:cs="Arial" w:eastAsia="Arial" w:hAnsi="Arial"/>
                <w:sz w:val="10"/>
                <w:szCs w:val="10"/>
                <w:b w:val="1"/>
                <w:bCs w:val="1"/>
                <w:color w:val="auto"/>
                <w:w w:val="89"/>
              </w:rPr>
              <w:t>Nine-Month Periods Ended</w:t>
            </w:r>
          </w:p>
        </w:tc>
        <w:tc>
          <w:tcPr>
            <w:tcW w:w="900" w:type="dxa"/>
            <w:vAlign w:val="bottom"/>
          </w:tcPr>
          <w:p>
            <w:pPr>
              <w:spacing w:after="0"/>
              <w:rPr>
                <w:sz w:val="10"/>
                <w:szCs w:val="10"/>
                <w:color w:val="auto"/>
              </w:rPr>
            </w:pPr>
          </w:p>
        </w:tc>
      </w:tr>
      <w:tr>
        <w:trPr>
          <w:trHeight w:val="116"/>
        </w:trPr>
        <w:tc>
          <w:tcPr>
            <w:tcW w:w="49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0"/>
                <w:szCs w:val="10"/>
                <w:b w:val="1"/>
                <w:bCs w:val="1"/>
                <w:color w:val="auto"/>
                <w:w w:val="87"/>
              </w:rPr>
              <w:t>September 30,</w:t>
            </w:r>
          </w:p>
        </w:tc>
        <w:tc>
          <w:tcPr>
            <w:tcW w:w="9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0"/>
                <w:szCs w:val="10"/>
                <w:b w:val="1"/>
                <w:bCs w:val="1"/>
                <w:color w:val="auto"/>
                <w:w w:val="87"/>
              </w:rPr>
              <w:t>September 30,</w:t>
            </w:r>
          </w:p>
        </w:tc>
        <w:tc>
          <w:tcPr>
            <w:tcW w:w="900" w:type="dxa"/>
            <w:vAlign w:val="bottom"/>
            <w:tcBorders>
              <w:bottom w:val="single" w:sz="8" w:color="auto"/>
            </w:tcBorders>
          </w:tcPr>
          <w:p>
            <w:pPr>
              <w:spacing w:after="0"/>
              <w:rPr>
                <w:sz w:val="10"/>
                <w:szCs w:val="10"/>
                <w:color w:val="auto"/>
              </w:rPr>
            </w:pPr>
          </w:p>
        </w:tc>
      </w:tr>
      <w:tr>
        <w:trPr>
          <w:trHeight w:val="91"/>
        </w:trPr>
        <w:tc>
          <w:tcPr>
            <w:tcW w:w="49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ind w:left="300"/>
              <w:spacing w:after="0" w:line="91"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ind w:left="280"/>
              <w:spacing w:after="0" w:line="91"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49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Beginning balance</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ind w:left="960"/>
              <w:spacing w:after="0" w:line="118"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ind w:left="740"/>
              <w:spacing w:after="0" w:line="118"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ind w:left="940"/>
              <w:spacing w:after="0" w:line="11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ind w:left="720"/>
              <w:spacing w:after="0" w:line="118" w:lineRule="exact"/>
              <w:rPr>
                <w:sz w:val="20"/>
                <w:szCs w:val="20"/>
                <w:color w:val="auto"/>
              </w:rPr>
            </w:pPr>
            <w:r>
              <w:rPr>
                <w:rFonts w:ascii="Arial" w:cs="Arial" w:eastAsia="Arial" w:hAnsi="Arial"/>
                <w:sz w:val="12"/>
                <w:szCs w:val="12"/>
                <w:color w:val="auto"/>
              </w:rPr>
              <w:t>—</w:t>
            </w:r>
          </w:p>
        </w:tc>
      </w:tr>
      <w:tr>
        <w:trPr>
          <w:trHeight w:val="129"/>
        </w:trPr>
        <w:tc>
          <w:tcPr>
            <w:tcW w:w="4900" w:type="dxa"/>
            <w:vAlign w:val="bottom"/>
          </w:tcPr>
          <w:p>
            <w:pPr>
              <w:ind w:left="140"/>
              <w:spacing w:after="0" w:line="129" w:lineRule="exact"/>
              <w:rPr>
                <w:sz w:val="20"/>
                <w:szCs w:val="20"/>
                <w:color w:val="auto"/>
              </w:rPr>
            </w:pPr>
            <w:r>
              <w:rPr>
                <w:rFonts w:ascii="Arial" w:cs="Arial" w:eastAsia="Arial" w:hAnsi="Arial"/>
                <w:sz w:val="12"/>
                <w:szCs w:val="12"/>
                <w:color w:val="auto"/>
              </w:rPr>
              <w:t>Add: Accruals for warranties issued during the period</w:t>
            </w:r>
          </w:p>
        </w:tc>
        <w:tc>
          <w:tcPr>
            <w:tcW w:w="340" w:type="dxa"/>
            <w:vAlign w:val="bottom"/>
          </w:tcPr>
          <w:p>
            <w:pPr>
              <w:spacing w:after="0"/>
              <w:rPr>
                <w:sz w:val="11"/>
                <w:szCs w:val="11"/>
                <w:color w:val="auto"/>
              </w:rPr>
            </w:pPr>
          </w:p>
        </w:tc>
        <w:tc>
          <w:tcPr>
            <w:tcW w:w="1120" w:type="dxa"/>
            <w:vAlign w:val="bottom"/>
          </w:tcPr>
          <w:p>
            <w:pPr>
              <w:ind w:left="960"/>
              <w:spacing w:after="0" w:line="129" w:lineRule="exact"/>
              <w:rPr>
                <w:sz w:val="20"/>
                <w:szCs w:val="20"/>
                <w:color w:val="auto"/>
              </w:rPr>
            </w:pPr>
            <w:r>
              <w:rPr>
                <w:rFonts w:ascii="Arial" w:cs="Arial" w:eastAsia="Arial" w:hAnsi="Arial"/>
                <w:sz w:val="12"/>
                <w:szCs w:val="12"/>
                <w:color w:val="auto"/>
              </w:rPr>
              <w:t>27</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74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1120" w:type="dxa"/>
            <w:vAlign w:val="bottom"/>
          </w:tcPr>
          <w:p>
            <w:pPr>
              <w:ind w:left="940"/>
              <w:spacing w:after="0" w:line="129" w:lineRule="exact"/>
              <w:rPr>
                <w:sz w:val="20"/>
                <w:szCs w:val="20"/>
                <w:color w:val="auto"/>
              </w:rPr>
            </w:pPr>
            <w:r>
              <w:rPr>
                <w:rFonts w:ascii="Arial" w:cs="Arial" w:eastAsia="Arial" w:hAnsi="Arial"/>
                <w:sz w:val="12"/>
                <w:szCs w:val="12"/>
                <w:color w:val="auto"/>
              </w:rPr>
              <w:t>27</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r>
      <w:tr>
        <w:trPr>
          <w:trHeight w:val="129"/>
        </w:trPr>
        <w:tc>
          <w:tcPr>
            <w:tcW w:w="490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Less: Settlements made during the period</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ind w:left="960"/>
              <w:spacing w:after="0" w:line="129"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74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940"/>
              <w:spacing w:after="0" w:line="129"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r>
      <w:tr>
        <w:trPr>
          <w:trHeight w:val="126"/>
        </w:trPr>
        <w:tc>
          <w:tcPr>
            <w:tcW w:w="4900" w:type="dxa"/>
            <w:vAlign w:val="bottom"/>
          </w:tcPr>
          <w:p>
            <w:pPr>
              <w:spacing w:after="0" w:line="118" w:lineRule="exact"/>
              <w:rPr>
                <w:sz w:val="20"/>
                <w:szCs w:val="20"/>
                <w:color w:val="auto"/>
              </w:rPr>
            </w:pPr>
            <w:r>
              <w:rPr>
                <w:rFonts w:ascii="Arial" w:cs="Arial" w:eastAsia="Arial" w:hAnsi="Arial"/>
                <w:sz w:val="12"/>
                <w:szCs w:val="12"/>
                <w:color w:val="auto"/>
              </w:rPr>
              <w:t>Ending balance</w:t>
            </w: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ind w:left="960"/>
              <w:spacing w:after="0" w:line="118" w:lineRule="exact"/>
              <w:rPr>
                <w:sz w:val="20"/>
                <w:szCs w:val="20"/>
                <w:color w:val="auto"/>
              </w:rPr>
            </w:pPr>
            <w:r>
              <w:rPr>
                <w:rFonts w:ascii="Arial" w:cs="Arial" w:eastAsia="Arial" w:hAnsi="Arial"/>
                <w:sz w:val="12"/>
                <w:szCs w:val="12"/>
                <w:color w:val="auto"/>
              </w:rPr>
              <w:t>27</w:t>
            </w:r>
          </w:p>
        </w:tc>
        <w:tc>
          <w:tcPr>
            <w:tcW w:w="20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ind w:left="740"/>
              <w:spacing w:after="0" w:line="11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ind w:left="940"/>
              <w:spacing w:after="0" w:line="118" w:lineRule="exact"/>
              <w:rPr>
                <w:sz w:val="20"/>
                <w:szCs w:val="20"/>
                <w:color w:val="auto"/>
              </w:rPr>
            </w:pPr>
            <w:r>
              <w:rPr>
                <w:rFonts w:ascii="Arial" w:cs="Arial" w:eastAsia="Arial" w:hAnsi="Arial"/>
                <w:sz w:val="12"/>
                <w:szCs w:val="12"/>
                <w:color w:val="auto"/>
              </w:rPr>
              <w:t>27</w:t>
            </w:r>
          </w:p>
        </w:tc>
        <w:tc>
          <w:tcPr>
            <w:tcW w:w="1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ind w:left="720"/>
              <w:spacing w:after="0" w:line="118" w:lineRule="exact"/>
              <w:rPr>
                <w:sz w:val="20"/>
                <w:szCs w:val="20"/>
                <w:color w:val="auto"/>
              </w:rPr>
            </w:pPr>
            <w:r>
              <w:rPr>
                <w:rFonts w:ascii="Arial" w:cs="Arial" w:eastAsia="Arial" w:hAnsi="Arial"/>
                <w:sz w:val="12"/>
                <w:szCs w:val="12"/>
                <w:color w:val="auto"/>
              </w:rPr>
              <w:t>—</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22"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Nine-Month Periods Ended</w:t>
      </w:r>
    </w:p>
    <w:p>
      <w:pPr>
        <w:jc w:val="center"/>
        <w:ind w:left="8180"/>
        <w:spacing w:after="0" w:line="221"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1"/>
        </w:trPr>
        <w:tc>
          <w:tcPr>
            <w:tcW w:w="8180" w:type="dxa"/>
            <w:vAlign w:val="bottom"/>
            <w:tcBorders>
              <w:bottom w:val="single" w:sz="8" w:color="CCEEFF"/>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1"/>
              <w:spacing w:after="0" w:line="91" w:lineRule="exact"/>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CCEEFF"/>
            </w:tcBorders>
          </w:tcPr>
          <w:p>
            <w:pPr>
              <w:spacing w:after="0"/>
              <w:rPr>
                <w:sz w:val="7"/>
                <w:szCs w:val="7"/>
                <w:color w:val="auto"/>
              </w:rPr>
            </w:pPr>
          </w:p>
        </w:tc>
        <w:tc>
          <w:tcPr>
            <w:tcW w:w="1480" w:type="dxa"/>
            <w:vAlign w:val="bottom"/>
            <w:tcBorders>
              <w:top w:val="single" w:sz="8" w:color="auto"/>
              <w:bottom w:val="single" w:sz="8" w:color="auto"/>
            </w:tcBorders>
          </w:tcPr>
          <w:p>
            <w:pPr>
              <w:jc w:val="right"/>
              <w:ind w:right="581"/>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Common stock warrants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600</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793,464</w:t>
            </w:r>
          </w:p>
        </w:tc>
      </w:tr>
      <w:tr>
        <w:trPr>
          <w:trHeight w:val="129"/>
        </w:trPr>
        <w:tc>
          <w:tcPr>
            <w:tcW w:w="9060" w:type="dxa"/>
            <w:vAlign w:val="bottom"/>
            <w:gridSpan w:val="2"/>
          </w:tcPr>
          <w:p>
            <w:pPr>
              <w:spacing w:after="0" w:line="129" w:lineRule="exact"/>
              <w:rPr>
                <w:sz w:val="20"/>
                <w:szCs w:val="20"/>
                <w:color w:val="auto"/>
              </w:rPr>
            </w:pPr>
            <w:r>
              <w:rPr>
                <w:rFonts w:ascii="Arial" w:cs="Arial" w:eastAsia="Arial" w:hAnsi="Arial"/>
                <w:sz w:val="12"/>
                <w:szCs w:val="12"/>
                <w:color w:val="auto"/>
              </w:rPr>
              <w:t>Common stock options</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w w:val="97"/>
              </w:rPr>
              <w:t>5,946,009</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2"/>
                <w:szCs w:val="12"/>
                <w:color w:val="auto"/>
              </w:rPr>
              <w:t>5,207,326</w:t>
            </w:r>
          </w:p>
        </w:tc>
      </w:tr>
      <w:tr>
        <w:trPr>
          <w:trHeight w:val="129"/>
        </w:trPr>
        <w:tc>
          <w:tcPr>
            <w:tcW w:w="9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Restricted stock units</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76,903</w:t>
            </w: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34,402</w:t>
            </w:r>
          </w:p>
        </w:tc>
      </w:tr>
      <w:tr>
        <w:trPr>
          <w:trHeight w:val="126"/>
        </w:trPr>
        <w:tc>
          <w:tcPr>
            <w:tcW w:w="8180" w:type="dxa"/>
            <w:vAlign w:val="bottom"/>
          </w:tcPr>
          <w:p>
            <w:pPr>
              <w:ind w:left="140"/>
              <w:spacing w:after="0" w:line="118" w:lineRule="exact"/>
              <w:rPr>
                <w:sz w:val="20"/>
                <w:szCs w:val="20"/>
                <w:color w:val="auto"/>
              </w:rPr>
            </w:pPr>
            <w:r>
              <w:rPr>
                <w:rFonts w:ascii="Arial" w:cs="Arial" w:eastAsia="Arial" w:hAnsi="Arial"/>
                <w:sz w:val="12"/>
                <w:szCs w:val="12"/>
                <w:color w:val="auto"/>
              </w:rPr>
              <w:t>Total</w:t>
            </w:r>
          </w:p>
        </w:tc>
        <w:tc>
          <w:tcPr>
            <w:tcW w:w="8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7"/>
              </w:rPr>
              <w:t>6,023,512</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6,035,192</w:t>
            </w:r>
          </w:p>
        </w:tc>
      </w:tr>
      <w:tr>
        <w:trPr>
          <w:trHeight w:val="525"/>
        </w:trPr>
        <w:tc>
          <w:tcPr>
            <w:tcW w:w="8180" w:type="dxa"/>
            <w:vAlign w:val="bottom"/>
          </w:tcPr>
          <w:p>
            <w:pPr>
              <w:ind w:left="5580"/>
              <w:spacing w:after="0"/>
              <w:rPr>
                <w:sz w:val="20"/>
                <w:szCs w:val="20"/>
                <w:color w:val="auto"/>
              </w:rPr>
            </w:pPr>
            <w:r>
              <w:rPr>
                <w:rFonts w:ascii="Arial" w:cs="Arial" w:eastAsia="Arial" w:hAnsi="Arial"/>
                <w:sz w:val="12"/>
                <w:szCs w:val="12"/>
                <w:color w:val="auto"/>
              </w:rPr>
              <w:t>10</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3"/>
        </w:trPr>
        <w:tc>
          <w:tcPr>
            <w:tcW w:w="8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0" w:name="page11"/>
    <w:bookmarkEnd w:id="1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Recent Accounting Pronouncement</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 xml:space="preserve">In December 2019, the Financial Accounting Standards Board (“FASB”) issued Accounting Standards Update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eliminates certain exceptions related to the general principles in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adopted the Topic 740 effective January 1, 2021. The adoption did not have a material impact on the Company’s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15" w:lineRule="exact"/>
        <w:rPr>
          <w:sz w:val="20"/>
          <w:szCs w:val="20"/>
          <w:color w:val="auto"/>
        </w:rPr>
      </w:pPr>
    </w:p>
    <w:p>
      <w:pPr>
        <w:jc w:val="both"/>
        <w:ind w:right="20" w:firstLine="274"/>
        <w:spacing w:after="0" w:line="255" w:lineRule="auto"/>
        <w:rPr>
          <w:sz w:val="20"/>
          <w:szCs w:val="20"/>
          <w:color w:val="auto"/>
        </w:rPr>
      </w:pPr>
      <w:r>
        <w:rPr>
          <w:rFonts w:ascii="Arial" w:cs="Arial" w:eastAsia="Arial" w:hAnsi="Arial"/>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8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U.S. Treasury Securities, and asset-backed securities.</w:t>
      </w:r>
    </w:p>
    <w:p>
      <w:pPr>
        <w:spacing w:after="0" w:line="8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sets forth the fair value of the Company’s financial assets measured on a recurring basis as of September 30, 2021 and December 31, 2020, respectively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Assets</w:t>
            </w: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Classification</w:t>
            </w: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ind w:left="380"/>
              <w:spacing w:after="0"/>
              <w:rPr>
                <w:sz w:val="20"/>
                <w:szCs w:val="20"/>
                <w:color w:val="auto"/>
              </w:rPr>
            </w:pPr>
            <w:r>
              <w:rPr>
                <w:rFonts w:ascii="Arial" w:cs="Arial" w:eastAsia="Arial" w:hAnsi="Arial"/>
                <w:sz w:val="10"/>
                <w:szCs w:val="10"/>
                <w:b w:val="1"/>
                <w:bCs w:val="1"/>
                <w:color w:val="auto"/>
              </w:rPr>
              <w:t>September 30, 2021</w:t>
            </w: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0"/>
                <w:szCs w:val="10"/>
                <w:b w:val="1"/>
                <w:bCs w:val="1"/>
                <w:color w:val="auto"/>
              </w:rPr>
              <w:t>December 31, 2020</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gridSpan w:val="2"/>
          </w:tcPr>
          <w:p>
            <w:pPr>
              <w:ind w:left="180"/>
              <w:spacing w:after="0" w:line="91" w:lineRule="exact"/>
              <w:rPr>
                <w:sz w:val="20"/>
                <w:szCs w:val="20"/>
                <w:color w:val="auto"/>
              </w:rPr>
            </w:pPr>
            <w:r>
              <w:rPr>
                <w:rFonts w:ascii="Arial" w:cs="Arial" w:eastAsia="Arial" w:hAnsi="Arial"/>
                <w:sz w:val="10"/>
                <w:szCs w:val="10"/>
                <w:b w:val="1"/>
                <w:bCs w:val="1"/>
                <w:color w:val="auto"/>
              </w:rPr>
              <w:t>Level 1</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ind w:left="240"/>
              <w:spacing w:after="0" w:line="91" w:lineRule="exact"/>
              <w:rPr>
                <w:sz w:val="20"/>
                <w:szCs w:val="20"/>
                <w:color w:val="auto"/>
              </w:rPr>
            </w:pPr>
            <w:r>
              <w:rPr>
                <w:rFonts w:ascii="Arial" w:cs="Arial" w:eastAsia="Arial" w:hAnsi="Arial"/>
                <w:sz w:val="10"/>
                <w:szCs w:val="10"/>
                <w:b w:val="1"/>
                <w:bCs w:val="1"/>
                <w:color w:val="auto"/>
              </w:rPr>
              <w:t>Level 2</w:t>
            </w:r>
          </w:p>
        </w:tc>
        <w:tc>
          <w:tcPr>
            <w:tcW w:w="200" w:type="dxa"/>
            <w:vAlign w:val="bottom"/>
          </w:tcPr>
          <w:p>
            <w:pPr>
              <w:spacing w:after="0"/>
              <w:rPr>
                <w:sz w:val="7"/>
                <w:szCs w:val="7"/>
                <w:color w:val="auto"/>
              </w:rPr>
            </w:pPr>
          </w:p>
        </w:tc>
        <w:tc>
          <w:tcPr>
            <w:tcW w:w="660" w:type="dxa"/>
            <w:vAlign w:val="bottom"/>
          </w:tcPr>
          <w:p>
            <w:pPr>
              <w:ind w:left="140"/>
              <w:spacing w:after="0" w:line="91" w:lineRule="exact"/>
              <w:rPr>
                <w:sz w:val="20"/>
                <w:szCs w:val="20"/>
                <w:color w:val="auto"/>
              </w:rPr>
            </w:pPr>
            <w:r>
              <w:rPr>
                <w:rFonts w:ascii="Arial" w:cs="Arial" w:eastAsia="Arial" w:hAnsi="Arial"/>
                <w:sz w:val="10"/>
                <w:szCs w:val="10"/>
                <w:b w:val="1"/>
                <w:bCs w:val="1"/>
                <w:color w:val="auto"/>
              </w:rPr>
              <w:t>Level 3</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ind w:left="200"/>
              <w:spacing w:after="0" w:line="91" w:lineRule="exact"/>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7"/>
                <w:szCs w:val="7"/>
                <w:color w:val="auto"/>
              </w:rPr>
            </w:pPr>
          </w:p>
        </w:tc>
        <w:tc>
          <w:tcPr>
            <w:tcW w:w="720" w:type="dxa"/>
            <w:vAlign w:val="bottom"/>
          </w:tcPr>
          <w:p>
            <w:pPr>
              <w:jc w:val="right"/>
              <w:ind w:right="191"/>
              <w:spacing w:after="0" w:line="91" w:lineRule="exact"/>
              <w:rPr>
                <w:sz w:val="20"/>
                <w:szCs w:val="20"/>
                <w:color w:val="auto"/>
              </w:rPr>
            </w:pPr>
            <w:r>
              <w:rPr>
                <w:rFonts w:ascii="Arial" w:cs="Arial" w:eastAsia="Arial" w:hAnsi="Arial"/>
                <w:sz w:val="10"/>
                <w:szCs w:val="10"/>
                <w:b w:val="1"/>
                <w:bCs w:val="1"/>
                <w:color w:val="auto"/>
              </w:rPr>
              <w:t>Level 2</w:t>
            </w:r>
          </w:p>
        </w:tc>
        <w:tc>
          <w:tcPr>
            <w:tcW w:w="60" w:type="dxa"/>
            <w:vAlign w:val="bottom"/>
          </w:tcPr>
          <w:p>
            <w:pPr>
              <w:spacing w:after="0"/>
              <w:rPr>
                <w:sz w:val="7"/>
                <w:szCs w:val="7"/>
                <w:color w:val="auto"/>
              </w:rPr>
            </w:pPr>
          </w:p>
        </w:tc>
        <w:tc>
          <w:tcPr>
            <w:tcW w:w="780" w:type="dxa"/>
            <w:vAlign w:val="bottom"/>
          </w:tcPr>
          <w:p>
            <w:pPr>
              <w:jc w:val="right"/>
              <w:ind w:right="11"/>
              <w:spacing w:after="0" w:line="91" w:lineRule="exact"/>
              <w:rPr>
                <w:sz w:val="20"/>
                <w:szCs w:val="20"/>
                <w:color w:val="auto"/>
              </w:rPr>
            </w:pPr>
            <w:r>
              <w:rPr>
                <w:rFonts w:ascii="Arial" w:cs="Arial" w:eastAsia="Arial" w:hAnsi="Arial"/>
                <w:sz w:val="10"/>
                <w:szCs w:val="10"/>
                <w:b w:val="1"/>
                <w:bCs w:val="1"/>
                <w:color w:val="auto"/>
              </w:rPr>
              <w:t>Level 3</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jc w:val="right"/>
              <w:ind w:right="251"/>
              <w:spacing w:after="0" w:line="91"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1"/>
        </w:trPr>
        <w:tc>
          <w:tcPr>
            <w:tcW w:w="2020" w:type="dxa"/>
            <w:vAlign w:val="bottom"/>
            <w:tcBorders>
              <w:top w:val="single" w:sz="8" w:color="auto"/>
            </w:tcBorders>
            <w:shd w:val="clear" w:color="auto" w:fill="CCEEFF"/>
          </w:tcPr>
          <w:p>
            <w:pPr>
              <w:spacing w:after="0" w:line="91" w:lineRule="exact"/>
              <w:rPr>
                <w:sz w:val="20"/>
                <w:szCs w:val="20"/>
                <w:color w:val="auto"/>
              </w:rPr>
            </w:pPr>
            <w:r>
              <w:rPr>
                <w:rFonts w:ascii="Arial" w:cs="Arial" w:eastAsia="Arial" w:hAnsi="Arial"/>
                <w:sz w:val="10"/>
                <w:szCs w:val="10"/>
                <w:color w:val="auto"/>
              </w:rPr>
              <w:t>Money market funds</w:t>
            </w:r>
          </w:p>
        </w:tc>
        <w:tc>
          <w:tcPr>
            <w:tcW w:w="6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6"/>
              </w:rPr>
              <w:t>Cash and cash equivalents</w:t>
            </w: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31"/>
              <w:spacing w:after="0" w:line="91"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28,675</w:t>
            </w: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gridSpan w:val="2"/>
            <w:shd w:val="clear" w:color="auto" w:fill="CCEEFF"/>
          </w:tcPr>
          <w:p>
            <w:pPr>
              <w:jc w:val="right"/>
              <w:ind w:right="55"/>
              <w:spacing w:after="0" w:line="91"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CCEEFF"/>
          </w:tcPr>
          <w:p>
            <w:pPr>
              <w:ind w:left="56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ind w:left="420"/>
              <w:spacing w:after="0" w:line="91" w:lineRule="exact"/>
              <w:rPr>
                <w:sz w:val="20"/>
                <w:szCs w:val="20"/>
                <w:color w:val="auto"/>
              </w:rPr>
            </w:pPr>
            <w:r>
              <w:rPr>
                <w:rFonts w:ascii="Arial" w:cs="Arial" w:eastAsia="Arial" w:hAnsi="Arial"/>
                <w:sz w:val="10"/>
                <w:szCs w:val="10"/>
                <w:color w:val="auto"/>
                <w:w w:val="78"/>
              </w:rPr>
              <w:t>28,675</w:t>
            </w: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7,176</w:t>
            </w:r>
          </w:p>
        </w:tc>
        <w:tc>
          <w:tcPr>
            <w:tcW w:w="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jc w:val="right"/>
              <w:ind w:right="671"/>
              <w:spacing w:after="0" w:line="9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ind w:left="4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7,176</w:t>
            </w:r>
          </w:p>
        </w:tc>
        <w:tc>
          <w:tcPr>
            <w:tcW w:w="0" w:type="dxa"/>
            <w:vAlign w:val="bottom"/>
          </w:tcPr>
          <w:p>
            <w:pPr>
              <w:spacing w:after="0"/>
              <w:rPr>
                <w:sz w:val="1"/>
                <w:szCs w:val="1"/>
                <w:color w:val="auto"/>
              </w:rPr>
            </w:pPr>
          </w:p>
        </w:tc>
      </w:tr>
      <w:tr>
        <w:trPr>
          <w:trHeight w:val="101"/>
        </w:trPr>
        <w:tc>
          <w:tcPr>
            <w:tcW w:w="2080" w:type="dxa"/>
            <w:vAlign w:val="bottom"/>
            <w:gridSpan w:val="2"/>
          </w:tcPr>
          <w:p>
            <w:pPr>
              <w:spacing w:after="0" w:line="102" w:lineRule="exact"/>
              <w:rPr>
                <w:sz w:val="20"/>
                <w:szCs w:val="20"/>
                <w:color w:val="auto"/>
              </w:rPr>
            </w:pPr>
            <w:r>
              <w:rPr>
                <w:rFonts w:ascii="Arial" w:cs="Arial" w:eastAsia="Arial" w:hAnsi="Arial"/>
                <w:sz w:val="10"/>
                <w:szCs w:val="10"/>
                <w:color w:val="auto"/>
              </w:rPr>
              <w:t>U.S. Treasury Securities</w:t>
            </w:r>
          </w:p>
        </w:tc>
        <w:tc>
          <w:tcPr>
            <w:tcW w:w="1480" w:type="dxa"/>
            <w:vAlign w:val="bottom"/>
            <w:gridSpan w:val="3"/>
          </w:tcPr>
          <w:p>
            <w:pPr>
              <w:jc w:val="center"/>
              <w:ind w:right="231"/>
              <w:spacing w:after="0" w:line="102" w:lineRule="exact"/>
              <w:rPr>
                <w:sz w:val="20"/>
                <w:szCs w:val="20"/>
                <w:color w:val="auto"/>
              </w:rPr>
            </w:pPr>
            <w:r>
              <w:rPr>
                <w:rFonts w:ascii="Arial" w:cs="Arial" w:eastAsia="Arial" w:hAnsi="Arial"/>
                <w:sz w:val="10"/>
                <w:szCs w:val="10"/>
                <w:color w:val="auto"/>
                <w:w w:val="86"/>
              </w:rPr>
              <w:t>Cash and cash equivalents</w:t>
            </w:r>
          </w:p>
        </w:tc>
        <w:tc>
          <w:tcPr>
            <w:tcW w:w="740" w:type="dxa"/>
            <w:vAlign w:val="bottom"/>
            <w:gridSpan w:val="2"/>
          </w:tcPr>
          <w:p>
            <w:pPr>
              <w:jc w:val="right"/>
              <w:ind w:right="20"/>
              <w:spacing w:after="0" w:line="102"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60"/>
              <w:spacing w:after="0" w:line="102" w:lineRule="exact"/>
              <w:rPr>
                <w:sz w:val="20"/>
                <w:szCs w:val="20"/>
                <w:color w:val="auto"/>
              </w:rPr>
            </w:pPr>
            <w:r>
              <w:rPr>
                <w:rFonts w:ascii="Arial" w:cs="Arial" w:eastAsia="Arial" w:hAnsi="Arial"/>
                <w:sz w:val="10"/>
                <w:szCs w:val="10"/>
                <w:color w:val="auto"/>
              </w:rPr>
              <w:t>10,000</w:t>
            </w:r>
          </w:p>
        </w:tc>
        <w:tc>
          <w:tcPr>
            <w:tcW w:w="200" w:type="dxa"/>
            <w:vAlign w:val="bottom"/>
          </w:tcPr>
          <w:p>
            <w:pPr>
              <w:spacing w:after="0"/>
              <w:rPr>
                <w:sz w:val="8"/>
                <w:szCs w:val="8"/>
                <w:color w:val="auto"/>
              </w:rPr>
            </w:pPr>
          </w:p>
        </w:tc>
        <w:tc>
          <w:tcPr>
            <w:tcW w:w="660" w:type="dxa"/>
            <w:vAlign w:val="bottom"/>
          </w:tcPr>
          <w:p>
            <w:pPr>
              <w:ind w:left="560"/>
              <w:spacing w:after="0" w:line="102"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ind w:left="420"/>
              <w:spacing w:after="0" w:line="102" w:lineRule="exact"/>
              <w:rPr>
                <w:sz w:val="20"/>
                <w:szCs w:val="20"/>
                <w:color w:val="auto"/>
              </w:rPr>
            </w:pPr>
            <w:r>
              <w:rPr>
                <w:rFonts w:ascii="Arial" w:cs="Arial" w:eastAsia="Arial" w:hAnsi="Arial"/>
                <w:sz w:val="10"/>
                <w:szCs w:val="10"/>
                <w:color w:val="auto"/>
                <w:w w:val="97"/>
              </w:rPr>
              <w:t>10,000</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tcPr>
          <w:p>
            <w:pPr>
              <w:ind w:left="640"/>
              <w:spacing w:after="0" w:line="10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0"/>
                <w:szCs w:val="10"/>
                <w:color w:val="auto"/>
              </w:rPr>
              <w:t>2,004</w:t>
            </w: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gridSpan w:val="2"/>
          </w:tcPr>
          <w:p>
            <w:pPr>
              <w:ind w:left="40"/>
              <w:spacing w:after="0" w:line="10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2,004</w:t>
            </w:r>
          </w:p>
        </w:tc>
        <w:tc>
          <w:tcPr>
            <w:tcW w:w="0" w:type="dxa"/>
            <w:vAlign w:val="bottom"/>
          </w:tcPr>
          <w:p>
            <w:pPr>
              <w:spacing w:after="0"/>
              <w:rPr>
                <w:sz w:val="1"/>
                <w:szCs w:val="1"/>
                <w:color w:val="auto"/>
              </w:rPr>
            </w:pPr>
          </w:p>
        </w:tc>
      </w:tr>
      <w:tr>
        <w:trPr>
          <w:trHeight w:val="101"/>
        </w:trPr>
        <w:tc>
          <w:tcPr>
            <w:tcW w:w="208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color w:val="auto"/>
              </w:rPr>
              <w:t>U.S. Treasury Securities</w:t>
            </w:r>
          </w:p>
        </w:tc>
        <w:tc>
          <w:tcPr>
            <w:tcW w:w="1480" w:type="dxa"/>
            <w:vAlign w:val="bottom"/>
            <w:gridSpan w:val="3"/>
            <w:shd w:val="clear" w:color="auto" w:fill="CCEEFF"/>
          </w:tcPr>
          <w:p>
            <w:pPr>
              <w:jc w:val="center"/>
              <w:ind w:right="231"/>
              <w:spacing w:after="0" w:line="102" w:lineRule="exact"/>
              <w:rPr>
                <w:sz w:val="20"/>
                <w:szCs w:val="20"/>
                <w:color w:val="auto"/>
              </w:rPr>
            </w:pPr>
            <w:r>
              <w:rPr>
                <w:rFonts w:ascii="Arial" w:cs="Arial" w:eastAsia="Arial" w:hAnsi="Arial"/>
                <w:sz w:val="10"/>
                <w:szCs w:val="10"/>
                <w:color w:val="auto"/>
                <w:w w:val="88"/>
              </w:rPr>
              <w:t>Investments</w:t>
            </w:r>
          </w:p>
        </w:tc>
        <w:tc>
          <w:tcPr>
            <w:tcW w:w="740" w:type="dxa"/>
            <w:vAlign w:val="bottom"/>
            <w:gridSpan w:val="2"/>
            <w:shd w:val="clear" w:color="auto" w:fill="CCEEFF"/>
          </w:tcPr>
          <w:p>
            <w:pPr>
              <w:jc w:val="right"/>
              <w:ind w:right="20"/>
              <w:spacing w:after="0" w:line="102"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60"/>
              <w:spacing w:after="0" w:line="102"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ind w:left="560"/>
              <w:spacing w:after="0" w:line="102" w:lineRule="exact"/>
              <w:rPr>
                <w:sz w:val="20"/>
                <w:szCs w:val="20"/>
                <w:color w:val="auto"/>
              </w:rPr>
            </w:pPr>
            <w:r>
              <w:rPr>
                <w:rFonts w:ascii="Arial" w:cs="Arial" w:eastAsia="Arial" w:hAnsi="Arial"/>
                <w:sz w:val="10"/>
                <w:szCs w:val="10"/>
                <w:color w:val="auto"/>
                <w:w w:val="79"/>
              </w:rPr>
              <w:t>—</w:t>
            </w: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gridSpan w:val="2"/>
            <w:shd w:val="clear" w:color="auto" w:fill="CCEEFF"/>
          </w:tcPr>
          <w:p>
            <w:pPr>
              <w:ind w:left="600"/>
              <w:spacing w:after="0" w:line="10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640"/>
              <w:spacing w:after="0" w:line="102"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8,012</w:t>
            </w: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40"/>
              <w:spacing w:after="0" w:line="102"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8,012</w:t>
            </w:r>
          </w:p>
        </w:tc>
        <w:tc>
          <w:tcPr>
            <w:tcW w:w="0" w:type="dxa"/>
            <w:vAlign w:val="bottom"/>
          </w:tcPr>
          <w:p>
            <w:pPr>
              <w:spacing w:after="0"/>
              <w:rPr>
                <w:sz w:val="1"/>
                <w:szCs w:val="1"/>
                <w:color w:val="auto"/>
              </w:rPr>
            </w:pPr>
          </w:p>
        </w:tc>
      </w:tr>
      <w:tr>
        <w:trPr>
          <w:trHeight w:val="98"/>
        </w:trPr>
        <w:tc>
          <w:tcPr>
            <w:tcW w:w="2080" w:type="dxa"/>
            <w:vAlign w:val="bottom"/>
            <w:gridSpan w:val="2"/>
          </w:tcPr>
          <w:p>
            <w:pPr>
              <w:spacing w:after="0" w:line="91" w:lineRule="exact"/>
              <w:rPr>
                <w:sz w:val="20"/>
                <w:szCs w:val="20"/>
                <w:color w:val="auto"/>
              </w:rPr>
            </w:pPr>
            <w:r>
              <w:rPr>
                <w:rFonts w:ascii="Arial" w:cs="Arial" w:eastAsia="Arial" w:hAnsi="Arial"/>
                <w:sz w:val="10"/>
                <w:szCs w:val="10"/>
                <w:color w:val="auto"/>
              </w:rPr>
              <w:t>Total assets measured at fair value</w:t>
            </w: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31"/>
              <w:spacing w:after="0" w:line="91"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28,675</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10,000</w:t>
            </w:r>
          </w:p>
        </w:tc>
        <w:tc>
          <w:tcPr>
            <w:tcW w:w="60" w:type="dxa"/>
            <w:vAlign w:val="bottom"/>
          </w:tcPr>
          <w:p>
            <w:pPr>
              <w:spacing w:after="0"/>
              <w:rPr>
                <w:sz w:val="8"/>
                <w:szCs w:val="8"/>
                <w:color w:val="auto"/>
              </w:rPr>
            </w:pPr>
          </w:p>
        </w:tc>
        <w:tc>
          <w:tcPr>
            <w:tcW w:w="2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ind w:left="56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60" w:type="dxa"/>
            <w:vAlign w:val="bottom"/>
            <w:tcBorders>
              <w:top w:val="single" w:sz="8" w:color="auto"/>
              <w:bottom w:val="single" w:sz="8" w:color="auto"/>
            </w:tcBorders>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420"/>
              <w:spacing w:after="0" w:line="91" w:lineRule="exact"/>
              <w:rPr>
                <w:sz w:val="20"/>
                <w:szCs w:val="20"/>
                <w:color w:val="auto"/>
              </w:rPr>
            </w:pPr>
            <w:r>
              <w:rPr>
                <w:rFonts w:ascii="Arial" w:cs="Arial" w:eastAsia="Arial" w:hAnsi="Arial"/>
                <w:sz w:val="10"/>
                <w:szCs w:val="10"/>
                <w:color w:val="auto"/>
                <w:w w:val="78"/>
              </w:rPr>
              <w:t>38,675</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7,176</w:t>
            </w:r>
          </w:p>
        </w:tc>
        <w:tc>
          <w:tcPr>
            <w:tcW w:w="80" w:type="dxa"/>
            <w:vAlign w:val="bottom"/>
          </w:tcPr>
          <w:p>
            <w:pPr>
              <w:spacing w:after="0"/>
              <w:rPr>
                <w:sz w:val="8"/>
                <w:szCs w:val="8"/>
                <w:color w:val="auto"/>
              </w:rPr>
            </w:pPr>
          </w:p>
        </w:tc>
        <w:tc>
          <w:tcPr>
            <w:tcW w:w="2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10,016</w:t>
            </w:r>
          </w:p>
        </w:tc>
        <w:tc>
          <w:tcPr>
            <w:tcW w:w="6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ind w:right="671"/>
              <w:spacing w:after="0" w:line="9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ind w:left="4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17,192</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 did not have any financial liabilities measured on a recurring basis as of September 30, 2021 or December 31, 2020.</w:t>
      </w:r>
    </w:p>
    <w:p>
      <w:pPr>
        <w:spacing w:after="0" w:line="120" w:lineRule="exact"/>
        <w:rPr>
          <w:sz w:val="20"/>
          <w:szCs w:val="20"/>
          <w:color w:val="auto"/>
        </w:rPr>
      </w:pPr>
    </w:p>
    <w:p>
      <w:pPr>
        <w:ind w:right="140" w:firstLine="301"/>
        <w:spacing w:after="0" w:line="255" w:lineRule="auto"/>
        <w:rPr>
          <w:sz w:val="20"/>
          <w:szCs w:val="20"/>
          <w:color w:val="auto"/>
        </w:rPr>
      </w:pPr>
      <w:r>
        <w:rPr>
          <w:rFonts w:ascii="Arial" w:cs="Arial" w:eastAsia="Arial" w:hAnsi="Arial"/>
          <w:sz w:val="12"/>
          <w:szCs w:val="12"/>
          <w:color w:val="auto"/>
        </w:rPr>
        <w:t>During the nine-month period ended September 30, 2021, there were no transfers between Level 1, Level 2 or Level 3 assets or liabilities reported at fair value on a recurring basis and the valuation techniques used did not change compared to the Company’s established practice.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1" w:name="page12"/>
    <w:bookmarkEnd w:id="1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Balance Sheet Components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Inventory</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Inventory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7"/>
              </w:rPr>
              <w:t>September 30,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Arial" w:cs="Arial" w:eastAsia="Arial" w:hAnsi="Arial"/>
                <w:sz w:val="10"/>
                <w:szCs w:val="10"/>
                <w:b w:val="1"/>
                <w:bCs w:val="1"/>
                <w:color w:val="auto"/>
                <w:w w:val="89"/>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9"/>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Raw materials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2"/>
              <w:spacing w:after="0" w:line="118" w:lineRule="exact"/>
              <w:rPr>
                <w:sz w:val="20"/>
                <w:szCs w:val="20"/>
                <w:color w:val="auto"/>
              </w:rPr>
            </w:pPr>
            <w:r>
              <w:rPr>
                <w:rFonts w:ascii="Arial" w:cs="Arial" w:eastAsia="Arial" w:hAnsi="Arial"/>
                <w:sz w:val="12"/>
                <w:szCs w:val="12"/>
                <w:color w:val="auto"/>
              </w:rPr>
              <w:t>1,362</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Work in process</w:t>
            </w:r>
          </w:p>
        </w:tc>
        <w:tc>
          <w:tcPr>
            <w:tcW w:w="260" w:type="dxa"/>
            <w:vAlign w:val="bottom"/>
          </w:tcPr>
          <w:p>
            <w:pPr>
              <w:spacing w:after="0"/>
              <w:rPr>
                <w:sz w:val="11"/>
                <w:szCs w:val="11"/>
                <w:color w:val="auto"/>
              </w:rPr>
            </w:pPr>
          </w:p>
        </w:tc>
        <w:tc>
          <w:tcPr>
            <w:tcW w:w="1220" w:type="dxa"/>
            <w:vAlign w:val="bottom"/>
          </w:tcPr>
          <w:p>
            <w:pPr>
              <w:jc w:val="right"/>
              <w:ind w:right="2"/>
              <w:spacing w:after="0" w:line="129" w:lineRule="exact"/>
              <w:rPr>
                <w:sz w:val="20"/>
                <w:szCs w:val="20"/>
                <w:color w:val="auto"/>
              </w:rPr>
            </w:pPr>
            <w:r>
              <w:rPr>
                <w:rFonts w:ascii="Arial" w:cs="Arial" w:eastAsia="Arial" w:hAnsi="Arial"/>
                <w:sz w:val="12"/>
                <w:szCs w:val="12"/>
                <w:color w:val="auto"/>
              </w:rPr>
              <w:t>1,218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Finished goods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1,701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6"/>
        </w:trPr>
        <w:tc>
          <w:tcPr>
            <w:tcW w:w="8160" w:type="dxa"/>
            <w:vAlign w:val="bottom"/>
          </w:tcPr>
          <w:p>
            <w:pPr>
              <w:ind w:left="140"/>
              <w:spacing w:after="0" w:line="118" w:lineRule="exact"/>
              <w:rPr>
                <w:sz w:val="20"/>
                <w:szCs w:val="20"/>
                <w:color w:val="auto"/>
              </w:rPr>
            </w:pPr>
            <w:r>
              <w:rPr>
                <w:rFonts w:ascii="Arial" w:cs="Arial" w:eastAsia="Arial" w:hAnsi="Arial"/>
                <w:sz w:val="12"/>
                <w:szCs w:val="12"/>
                <w:color w:val="auto"/>
              </w:rPr>
              <w:t>Total inventory</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2"/>
              <w:spacing w:after="0" w:line="118" w:lineRule="exact"/>
              <w:rPr>
                <w:sz w:val="20"/>
                <w:szCs w:val="20"/>
                <w:color w:val="auto"/>
              </w:rPr>
            </w:pPr>
            <w:r>
              <w:rPr>
                <w:rFonts w:ascii="Arial" w:cs="Arial" w:eastAsia="Arial" w:hAnsi="Arial"/>
                <w:sz w:val="12"/>
                <w:szCs w:val="12"/>
                <w:color w:val="auto"/>
              </w:rPr>
              <w:t>4,281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w:t>
            </w:r>
          </w:p>
        </w:tc>
      </w:tr>
      <w:tr>
        <w:trPr>
          <w:trHeight w:val="267"/>
        </w:trPr>
        <w:tc>
          <w:tcPr>
            <w:tcW w:w="8160" w:type="dxa"/>
            <w:vAlign w:val="bottom"/>
          </w:tcPr>
          <w:p>
            <w:pPr>
              <w:ind w:left="300"/>
              <w:spacing w:after="0"/>
              <w:rPr>
                <w:sz w:val="20"/>
                <w:szCs w:val="20"/>
                <w:color w:val="auto"/>
              </w:rPr>
            </w:pPr>
            <w:r>
              <w:rPr>
                <w:rFonts w:ascii="Arial" w:cs="Arial" w:eastAsia="Arial" w:hAnsi="Arial"/>
                <w:sz w:val="12"/>
                <w:szCs w:val="12"/>
                <w:b w:val="1"/>
                <w:bCs w:val="1"/>
                <w:color w:val="auto"/>
              </w:rPr>
              <w:t>Property and Equipment, Net</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8"/>
        </w:trPr>
        <w:tc>
          <w:tcPr>
            <w:tcW w:w="8160" w:type="dxa"/>
            <w:vAlign w:val="bottom"/>
          </w:tcPr>
          <w:p>
            <w:pPr>
              <w:ind w:left="300"/>
              <w:spacing w:after="0"/>
              <w:rPr>
                <w:sz w:val="20"/>
                <w:szCs w:val="20"/>
                <w:color w:val="auto"/>
              </w:rPr>
            </w:pPr>
            <w:r>
              <w:rPr>
                <w:rFonts w:ascii="Arial" w:cs="Arial" w:eastAsia="Arial" w:hAnsi="Arial"/>
                <w:sz w:val="12"/>
                <w:szCs w:val="12"/>
                <w:color w:val="auto"/>
              </w:rPr>
              <w:t>Property and equipment, net consisted of the following (in thousands):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06"/>
        </w:trPr>
        <w:tc>
          <w:tcPr>
            <w:tcW w:w="8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2"/>
          </w:tcPr>
          <w:p>
            <w:pPr>
              <w:jc w:val="center"/>
              <w:ind w:right="420"/>
              <w:spacing w:after="0" w:line="106" w:lineRule="exact"/>
              <w:rPr>
                <w:sz w:val="20"/>
                <w:szCs w:val="20"/>
                <w:color w:val="auto"/>
              </w:rPr>
            </w:pPr>
            <w:r>
              <w:rPr>
                <w:rFonts w:ascii="Arial" w:cs="Arial" w:eastAsia="Arial" w:hAnsi="Arial"/>
                <w:sz w:val="10"/>
                <w:szCs w:val="10"/>
                <w:b w:val="1"/>
                <w:bCs w:val="1"/>
                <w:color w:val="auto"/>
                <w:w w:val="87"/>
              </w:rPr>
              <w:t>September 30,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202"/>
              <w:spacing w:after="0" w:line="106" w:lineRule="exact"/>
              <w:rPr>
                <w:sz w:val="20"/>
                <w:szCs w:val="20"/>
                <w:color w:val="auto"/>
              </w:rPr>
            </w:pPr>
            <w:r>
              <w:rPr>
                <w:rFonts w:ascii="Arial" w:cs="Arial" w:eastAsia="Arial" w:hAnsi="Arial"/>
                <w:sz w:val="10"/>
                <w:szCs w:val="10"/>
                <w:b w:val="1"/>
                <w:bCs w:val="1"/>
                <w:color w:val="auto"/>
                <w:w w:val="89"/>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9"/>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Leasehold improvements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2"/>
              <w:spacing w:after="0" w:line="118" w:lineRule="exact"/>
              <w:rPr>
                <w:sz w:val="20"/>
                <w:szCs w:val="20"/>
                <w:color w:val="auto"/>
              </w:rPr>
            </w:pPr>
            <w:r>
              <w:rPr>
                <w:rFonts w:ascii="Arial" w:cs="Arial" w:eastAsia="Arial" w:hAnsi="Arial"/>
                <w:sz w:val="12"/>
                <w:szCs w:val="12"/>
                <w:color w:val="auto"/>
              </w:rPr>
              <w:t>2,827</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2,805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Laboratory equipment</w:t>
            </w:r>
          </w:p>
        </w:tc>
        <w:tc>
          <w:tcPr>
            <w:tcW w:w="260" w:type="dxa"/>
            <w:vAlign w:val="bottom"/>
          </w:tcPr>
          <w:p>
            <w:pPr>
              <w:spacing w:after="0"/>
              <w:rPr>
                <w:sz w:val="11"/>
                <w:szCs w:val="11"/>
                <w:color w:val="auto"/>
              </w:rPr>
            </w:pPr>
          </w:p>
        </w:tc>
        <w:tc>
          <w:tcPr>
            <w:tcW w:w="1220" w:type="dxa"/>
            <w:vAlign w:val="bottom"/>
          </w:tcPr>
          <w:p>
            <w:pPr>
              <w:jc w:val="right"/>
              <w:ind w:right="2"/>
              <w:spacing w:after="0" w:line="129" w:lineRule="exact"/>
              <w:rPr>
                <w:sz w:val="20"/>
                <w:szCs w:val="20"/>
                <w:color w:val="auto"/>
              </w:rPr>
            </w:pPr>
            <w:r>
              <w:rPr>
                <w:rFonts w:ascii="Arial" w:cs="Arial" w:eastAsia="Arial" w:hAnsi="Arial"/>
                <w:sz w:val="12"/>
                <w:szCs w:val="12"/>
                <w:color w:val="auto"/>
              </w:rPr>
              <w:t>986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878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Furniture, fixtures, and equipment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578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517</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Software</w:t>
            </w:r>
          </w:p>
        </w:tc>
        <w:tc>
          <w:tcPr>
            <w:tcW w:w="260" w:type="dxa"/>
            <w:vAlign w:val="bottom"/>
          </w:tcPr>
          <w:p>
            <w:pPr>
              <w:spacing w:after="0"/>
              <w:rPr>
                <w:sz w:val="11"/>
                <w:szCs w:val="11"/>
                <w:color w:val="auto"/>
              </w:rPr>
            </w:pPr>
          </w:p>
        </w:tc>
        <w:tc>
          <w:tcPr>
            <w:tcW w:w="1220" w:type="dxa"/>
            <w:vAlign w:val="bottom"/>
          </w:tcPr>
          <w:p>
            <w:pPr>
              <w:jc w:val="right"/>
              <w:ind w:right="2"/>
              <w:spacing w:after="0" w:line="129" w:lineRule="exact"/>
              <w:rPr>
                <w:sz w:val="20"/>
                <w:szCs w:val="20"/>
                <w:color w:val="auto"/>
              </w:rPr>
            </w:pPr>
            <w:r>
              <w:rPr>
                <w:rFonts w:ascii="Arial" w:cs="Arial" w:eastAsia="Arial" w:hAnsi="Arial"/>
                <w:sz w:val="12"/>
                <w:szCs w:val="12"/>
                <w:color w:val="auto"/>
              </w:rPr>
              <w:t>202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128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Construction in progress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118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66</w:t>
            </w:r>
          </w:p>
        </w:tc>
      </w:tr>
      <w:tr>
        <w:trPr>
          <w:trHeight w:val="118"/>
        </w:trPr>
        <w:tc>
          <w:tcPr>
            <w:tcW w:w="8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
              <w:spacing w:after="0" w:line="118" w:lineRule="exact"/>
              <w:rPr>
                <w:sz w:val="20"/>
                <w:szCs w:val="20"/>
                <w:color w:val="auto"/>
              </w:rPr>
            </w:pPr>
            <w:r>
              <w:rPr>
                <w:rFonts w:ascii="Arial" w:cs="Arial" w:eastAsia="Arial" w:hAnsi="Arial"/>
                <w:sz w:val="12"/>
                <w:szCs w:val="12"/>
                <w:color w:val="auto"/>
              </w:rPr>
              <w:t>4,711</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4,394</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Less: Accumulated depreciation</w:t>
            </w: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(2,265)</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(1,916)</w:t>
            </w:r>
          </w:p>
        </w:tc>
      </w:tr>
      <w:tr>
        <w:trPr>
          <w:trHeight w:val="126"/>
        </w:trPr>
        <w:tc>
          <w:tcPr>
            <w:tcW w:w="8160" w:type="dxa"/>
            <w:vAlign w:val="bottom"/>
          </w:tcPr>
          <w:p>
            <w:pPr>
              <w:ind w:left="140"/>
              <w:spacing w:after="0" w:line="118" w:lineRule="exact"/>
              <w:rPr>
                <w:sz w:val="20"/>
                <w:szCs w:val="20"/>
                <w:color w:val="auto"/>
              </w:rPr>
            </w:pPr>
            <w:r>
              <w:rPr>
                <w:rFonts w:ascii="Arial" w:cs="Arial" w:eastAsia="Arial" w:hAnsi="Arial"/>
                <w:sz w:val="12"/>
                <w:szCs w:val="12"/>
                <w:color w:val="auto"/>
              </w:rPr>
              <w:t>Property and equipment, net</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2"/>
              <w:spacing w:after="0" w:line="118" w:lineRule="exact"/>
              <w:rPr>
                <w:sz w:val="20"/>
                <w:szCs w:val="20"/>
                <w:color w:val="auto"/>
              </w:rPr>
            </w:pPr>
            <w:r>
              <w:rPr>
                <w:rFonts w:ascii="Arial" w:cs="Arial" w:eastAsia="Arial" w:hAnsi="Arial"/>
                <w:sz w:val="12"/>
                <w:szCs w:val="12"/>
                <w:color w:val="auto"/>
              </w:rPr>
              <w:t>2,446</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2,478</w:t>
            </w:r>
          </w:p>
        </w:tc>
      </w:tr>
    </w:tbl>
    <w:p>
      <w:pPr>
        <w:spacing w:after="0" w:line="111" w:lineRule="exact"/>
        <w:rPr>
          <w:sz w:val="20"/>
          <w:szCs w:val="20"/>
          <w:color w:val="auto"/>
        </w:rPr>
      </w:pPr>
    </w:p>
    <w:p>
      <w:pPr>
        <w:ind w:left="300" w:right="840"/>
        <w:spacing w:after="0" w:line="441" w:lineRule="auto"/>
        <w:rPr>
          <w:sz w:val="20"/>
          <w:szCs w:val="20"/>
          <w:color w:val="auto"/>
        </w:rPr>
      </w:pPr>
      <w:r>
        <w:rPr>
          <w:rFonts w:ascii="Arial" w:cs="Arial" w:eastAsia="Arial" w:hAnsi="Arial"/>
          <w:sz w:val="12"/>
          <w:szCs w:val="12"/>
          <w:color w:val="auto"/>
        </w:rPr>
        <w:t xml:space="preserve">Depreciation expense was $0.1 million for each of the three-month periods ended September 30, 2021 and 2020 and was $0.3 million for each of the nine-month periods ended September 30, 2021 and 2020. </w:t>
      </w:r>
      <w:r>
        <w:rPr>
          <w:rFonts w:ascii="Arial" w:cs="Arial" w:eastAsia="Arial" w:hAnsi="Arial"/>
          <w:sz w:val="12"/>
          <w:szCs w:val="12"/>
          <w:b w:val="1"/>
          <w:bCs w:val="1"/>
          <w:color w:val="auto"/>
        </w:rPr>
        <w:t>Intangible Assets, Net</w:t>
      </w:r>
    </w:p>
    <w:p>
      <w:pPr>
        <w:jc w:val="both"/>
        <w:ind w:firstLine="301"/>
        <w:spacing w:after="0" w:line="272" w:lineRule="auto"/>
        <w:rPr>
          <w:sz w:val="20"/>
          <w:szCs w:val="20"/>
          <w:color w:val="auto"/>
        </w:rPr>
      </w:pPr>
      <w:r>
        <w:rPr>
          <w:rFonts w:ascii="Arial" w:cs="Arial" w:eastAsia="Arial" w:hAnsi="Arial"/>
          <w:sz w:val="11"/>
          <w:szCs w:val="11"/>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Intangible assets, net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3"/>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Acquired patents and licenses</w:t>
            </w:r>
          </w:p>
        </w:tc>
        <w:tc>
          <w:tcPr>
            <w:tcW w:w="1080" w:type="dxa"/>
            <w:vAlign w:val="bottom"/>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7,985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7,985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Less: Accumulated amortization</w:t>
            </w:r>
          </w:p>
        </w:tc>
        <w:tc>
          <w:tcPr>
            <w:tcW w:w="1080" w:type="dxa"/>
            <w:vAlign w:val="bottom"/>
          </w:tcPr>
          <w:p>
            <w:pPr>
              <w:spacing w:after="0"/>
              <w:rPr>
                <w:sz w:val="11"/>
                <w:szCs w:val="11"/>
                <w:color w:val="auto"/>
              </w:rPr>
            </w:pPr>
          </w:p>
        </w:tc>
        <w:tc>
          <w:tcPr>
            <w:tcW w:w="4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9"/>
              </w:rPr>
              <w:t>(4,603)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(4,103)</w:t>
            </w:r>
          </w:p>
        </w:tc>
      </w:tr>
      <w:tr>
        <w:trPr>
          <w:trHeight w:val="126"/>
        </w:trPr>
        <w:tc>
          <w:tcPr>
            <w:tcW w:w="816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Intangible assets, net</w:t>
            </w:r>
          </w:p>
        </w:tc>
        <w:tc>
          <w:tcPr>
            <w:tcW w:w="108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3,382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3,882</w:t>
            </w:r>
          </w:p>
        </w:tc>
      </w:tr>
    </w:tbl>
    <w:p>
      <w:pPr>
        <w:spacing w:after="0" w:line="11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 schedule of the amortization of intangible assets for the remainder of 2021 and the succeeding five fiscal years is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60" w:type="dxa"/>
            <w:vAlign w:val="bottom"/>
          </w:tcPr>
          <w:p>
            <w:pPr>
              <w:spacing w:after="0"/>
              <w:rPr>
                <w:sz w:val="20"/>
                <w:szCs w:val="20"/>
                <w:color w:val="auto"/>
              </w:rPr>
            </w:pPr>
            <w:r>
              <w:rPr>
                <w:rFonts w:ascii="Arial" w:cs="Arial" w:eastAsia="Arial" w:hAnsi="Arial"/>
                <w:sz w:val="12"/>
                <w:szCs w:val="12"/>
                <w:color w:val="auto"/>
              </w:rPr>
              <w:t>Year Ending December 31:</w:t>
            </w:r>
          </w:p>
        </w:tc>
        <w:tc>
          <w:tcPr>
            <w:tcW w:w="5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2021 (remaining 3 months)</w:t>
            </w:r>
          </w:p>
        </w:tc>
        <w:tc>
          <w:tcPr>
            <w:tcW w:w="6660" w:type="dxa"/>
            <w:vAlign w:val="bottom"/>
            <w:gridSpan w:val="2"/>
            <w:shd w:val="clear" w:color="auto" w:fill="CCEEFF"/>
          </w:tcPr>
          <w:p>
            <w:pPr>
              <w:jc w:val="right"/>
              <w:ind w:right="809"/>
              <w:spacing w:after="0" w:line="129" w:lineRule="exact"/>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166</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2022</w:t>
            </w:r>
          </w:p>
        </w:tc>
        <w:tc>
          <w:tcPr>
            <w:tcW w:w="5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5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2024</w:t>
            </w:r>
          </w:p>
        </w:tc>
        <w:tc>
          <w:tcPr>
            <w:tcW w:w="5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2025</w:t>
            </w:r>
          </w:p>
        </w:tc>
        <w:tc>
          <w:tcPr>
            <w:tcW w:w="5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34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2026</w:t>
            </w:r>
          </w:p>
        </w:tc>
        <w:tc>
          <w:tcPr>
            <w:tcW w:w="57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556</w:t>
            </w:r>
          </w:p>
        </w:tc>
      </w:tr>
      <w:tr>
        <w:trPr>
          <w:trHeight w:val="138"/>
        </w:trPr>
        <w:tc>
          <w:tcPr>
            <w:tcW w:w="3460" w:type="dxa"/>
            <w:vAlign w:val="bottom"/>
            <w:tcBorders>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Total</w:t>
            </w:r>
          </w:p>
        </w:tc>
        <w:tc>
          <w:tcPr>
            <w:tcW w:w="57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3,382</w:t>
            </w:r>
          </w:p>
        </w:tc>
      </w:tr>
      <w:tr>
        <w:trPr>
          <w:trHeight w:val="383"/>
        </w:trPr>
        <w:tc>
          <w:tcPr>
            <w:tcW w:w="3460" w:type="dxa"/>
            <w:vAlign w:val="bottom"/>
          </w:tcPr>
          <w:p>
            <w:pPr>
              <w:spacing w:after="0"/>
              <w:rPr>
                <w:sz w:val="24"/>
                <w:szCs w:val="24"/>
                <w:color w:val="auto"/>
              </w:rPr>
            </w:pPr>
          </w:p>
        </w:tc>
        <w:tc>
          <w:tcPr>
            <w:tcW w:w="5740" w:type="dxa"/>
            <w:vAlign w:val="bottom"/>
          </w:tcPr>
          <w:p>
            <w:pPr>
              <w:jc w:val="right"/>
              <w:ind w:right="3439"/>
              <w:spacing w:after="0"/>
              <w:rPr>
                <w:sz w:val="20"/>
                <w:szCs w:val="20"/>
                <w:color w:val="auto"/>
              </w:rPr>
            </w:pPr>
            <w:r>
              <w:rPr>
                <w:rFonts w:ascii="Arial" w:cs="Arial" w:eastAsia="Arial" w:hAnsi="Arial"/>
                <w:sz w:val="12"/>
                <w:szCs w:val="12"/>
                <w:color w:val="auto"/>
              </w:rPr>
              <w:t>12</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3"/>
        </w:trPr>
        <w:tc>
          <w:tcPr>
            <w:tcW w:w="3460" w:type="dxa"/>
            <w:vAlign w:val="bottom"/>
            <w:tcBorders>
              <w:bottom w:val="single" w:sz="8" w:color="9A9A9A"/>
            </w:tcBorders>
          </w:tcPr>
          <w:p>
            <w:pPr>
              <w:spacing w:after="0"/>
              <w:rPr>
                <w:sz w:val="18"/>
                <w:szCs w:val="18"/>
                <w:color w:val="auto"/>
              </w:rPr>
            </w:pPr>
          </w:p>
        </w:tc>
        <w:tc>
          <w:tcPr>
            <w:tcW w:w="57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2" w:name="page13"/>
    <w:bookmarkEnd w:id="1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Accrued Expenses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Accrued expenses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100" w:type="dxa"/>
            <w:vAlign w:val="bottom"/>
          </w:tcPr>
          <w:p>
            <w:pPr>
              <w:jc w:val="right"/>
              <w:ind w:right="1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03"/>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Compensation</w:t>
            </w:r>
          </w:p>
        </w:tc>
        <w:tc>
          <w:tcPr>
            <w:tcW w:w="1100" w:type="dxa"/>
            <w:vAlign w:val="bottom"/>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w w:val="99"/>
              </w:rPr>
              <w:t>3,549</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3,324</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Director and officer liability insurance (Note 12)</w:t>
            </w:r>
          </w:p>
        </w:tc>
        <w:tc>
          <w:tcPr>
            <w:tcW w:w="1100" w:type="dxa"/>
            <w:vAlign w:val="bottom"/>
          </w:tcPr>
          <w:p>
            <w:pPr>
              <w:spacing w:after="0"/>
              <w:rPr>
                <w:sz w:val="11"/>
                <w:szCs w:val="11"/>
                <w:color w:val="auto"/>
              </w:rPr>
            </w:pPr>
          </w:p>
        </w:tc>
        <w:tc>
          <w:tcPr>
            <w:tcW w:w="54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1,563</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Controlled launch (Note 9)</w:t>
            </w:r>
          </w:p>
        </w:tc>
        <w:tc>
          <w:tcPr>
            <w:tcW w:w="1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632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Clinical trial costs and fees</w:t>
            </w:r>
          </w:p>
        </w:tc>
        <w:tc>
          <w:tcPr>
            <w:tcW w:w="1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367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188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Professional fees</w:t>
            </w:r>
          </w:p>
        </w:tc>
        <w:tc>
          <w:tcPr>
            <w:tcW w:w="1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87</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Warranty</w:t>
            </w:r>
          </w:p>
        </w:tc>
        <w:tc>
          <w:tcPr>
            <w:tcW w:w="1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27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w:t>
            </w:r>
          </w:p>
        </w:tc>
        <w:tc>
          <w:tcPr>
            <w:tcW w:w="1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319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164</w:t>
            </w:r>
          </w:p>
        </w:tc>
      </w:tr>
      <w:tr>
        <w:trPr>
          <w:trHeight w:val="126"/>
        </w:trPr>
        <w:tc>
          <w:tcPr>
            <w:tcW w:w="8160" w:type="dxa"/>
            <w:vAlign w:val="bottom"/>
          </w:tcPr>
          <w:p>
            <w:pPr>
              <w:ind w:left="140"/>
              <w:spacing w:after="0" w:line="118" w:lineRule="exact"/>
              <w:rPr>
                <w:sz w:val="20"/>
                <w:szCs w:val="20"/>
                <w:color w:val="auto"/>
              </w:rPr>
            </w:pPr>
            <w:r>
              <w:rPr>
                <w:rFonts w:ascii="Arial" w:cs="Arial" w:eastAsia="Arial" w:hAnsi="Arial"/>
                <w:sz w:val="12"/>
                <w:szCs w:val="12"/>
                <w:color w:val="auto"/>
              </w:rPr>
              <w:t>Total accrued expenses</w:t>
            </w: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9"/>
              </w:rPr>
              <w:t>4,971</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5,326</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Goodwill</w:t>
      </w:r>
    </w:p>
    <w:p>
      <w:pPr>
        <w:spacing w:after="0" w:line="124"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 xml:space="preserve">In 2014, the Company acquired three companies, ThelioPulse, Inc., BioElectroMed Corp. and NanoBlate Corp. (the “Acquisitions”), for aggregate consideration of $5.5 million. In accordance with ASC Topic 805, </w:t>
      </w:r>
      <w:r>
        <w:rPr>
          <w:rFonts w:ascii="Arial" w:cs="Arial" w:eastAsia="Arial" w:hAnsi="Arial"/>
          <w:sz w:val="11"/>
          <w:szCs w:val="11"/>
          <w:i w:val="1"/>
          <w:iCs w:val="1"/>
          <w:color w:val="auto"/>
        </w:rPr>
        <w:t>Business</w:t>
      </w:r>
      <w:r>
        <w:rPr>
          <w:rFonts w:ascii="Arial" w:cs="Arial" w:eastAsia="Arial" w:hAnsi="Arial"/>
          <w:sz w:val="11"/>
          <w:szCs w:val="11"/>
          <w:color w:val="auto"/>
        </w:rPr>
        <w:t xml:space="preserve"> </w:t>
      </w:r>
      <w:r>
        <w:rPr>
          <w:rFonts w:ascii="Arial" w:cs="Arial" w:eastAsia="Arial" w:hAnsi="Arial"/>
          <w:sz w:val="11"/>
          <w:szCs w:val="11"/>
          <w:i w:val="1"/>
          <w:iCs w:val="1"/>
          <w:color w:val="auto"/>
        </w:rPr>
        <w:t>Combinations</w:t>
      </w:r>
      <w:r>
        <w:rPr>
          <w:rFonts w:ascii="Arial" w:cs="Arial" w:eastAsia="Arial" w:hAnsi="Arial"/>
          <w:sz w:val="11"/>
          <w:szCs w:val="11"/>
          <w:color w:val="auto"/>
        </w:rPr>
        <w:t>, the Company recorded goodwill of $2.8 million in connection with the Acquisitions as the consideration paid exceeded the fair value of the net tangible assets and the intangible assets acquired.</w:t>
      </w:r>
    </w:p>
    <w:p>
      <w:pPr>
        <w:spacing w:after="0" w:line="62"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 reviews goodwill for impairment at least annually or whenever changes in circumstances indicate that the carrying amount of goodwill may not be recoverable. Based on the Company’s annual impairment test as of December 31, 2020 the Company determined that no impairment of goodwill existed and was not aware of any indicators of impairment at such date. In addition, there were no indicators of impairment at September 30, 2021.</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Stockholders’ Equity and Stock-Based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Private Placement Securities Purchase Agreement</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On June 30, 2021, the Company entered into a Securities Purchase Agreement with Robert W. Duggan, the Company’s largest stockholder and Board Chairman, pursuant to which the Company issued and sold to Mr. Duggan 3,048,780 shares of the Company’s common stock, par value $0.001 per share, in a private placement (the “Private Placement”), at a price per share of $16.40, which was the market closing price on the date of the transaction. These shares were paid for through (i) the conversion of $41 million aggregate principal amount,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 The cash proceeds of approximately $8.4 million were received by the Company in July 2021.</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At-the-Market Equity Offering</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On February 4, 2021, the Company entered into a sales agreement (the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During the three-month period ended September 30, 2021, the Company did not issue or sell any shares of common stock under the Sales Agreement. During the nine-month period ended September 30, 2021, the Company issued and sold 288,490 shares of common stock under the Sales Agreement. The shares were sold at a weighted average price of $27.73 per share for aggregate net proceeds of approximately $7.4 million, after deducting sales commissions and offering costs payable by the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3" w:name="page14"/>
    <w:bookmarkEnd w:id="1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Rights Offering</w:t>
      </w:r>
    </w:p>
    <w:p>
      <w:pPr>
        <w:spacing w:after="0" w:line="120" w:lineRule="exact"/>
        <w:rPr>
          <w:sz w:val="20"/>
          <w:szCs w:val="20"/>
          <w:color w:val="auto"/>
        </w:rPr>
      </w:pPr>
    </w:p>
    <w:p>
      <w:pPr>
        <w:jc w:val="both"/>
        <w:ind w:right="20" w:firstLine="336"/>
        <w:spacing w:after="0" w:line="300" w:lineRule="auto"/>
        <w:rPr>
          <w:sz w:val="20"/>
          <w:szCs w:val="20"/>
          <w:color w:val="auto"/>
        </w:rPr>
      </w:pPr>
      <w:r>
        <w:rPr>
          <w:rFonts w:ascii="Arial" w:cs="Arial" w:eastAsia="Arial" w:hAnsi="Arial"/>
          <w:sz w:val="11"/>
          <w:szCs w:val="11"/>
          <w:color w:val="auto"/>
        </w:rPr>
        <w:t>In June 2020, the Company completed a rights offering to purchase up to $30 million of units, each unit consisting of one share of the Company’s common stock, par value $0.001 per share, and 0.15 warrants to purchase shares of common stock (the “Units”) at a price of $7.01 per Unit (the “Rights Offering”). The common stock and warrants comprising the Units separated upon the closing of the Rights Offering and were issued separately.</w:t>
      </w:r>
    </w:p>
    <w:p>
      <w:pPr>
        <w:spacing w:after="0" w:line="62" w:lineRule="exact"/>
        <w:rPr>
          <w:sz w:val="20"/>
          <w:szCs w:val="20"/>
          <w:color w:val="auto"/>
        </w:rPr>
      </w:pPr>
    </w:p>
    <w:p>
      <w:pPr>
        <w:jc w:val="both"/>
        <w:ind w:firstLine="336"/>
        <w:spacing w:after="0" w:line="233" w:lineRule="auto"/>
        <w:rPr>
          <w:sz w:val="20"/>
          <w:szCs w:val="20"/>
          <w:color w:val="auto"/>
        </w:rPr>
      </w:pPr>
      <w:r>
        <w:rPr>
          <w:rFonts w:ascii="Arial" w:cs="Arial" w:eastAsia="Arial" w:hAnsi="Arial"/>
          <w:sz w:val="12"/>
          <w:szCs w:val="12"/>
          <w:color w:val="auto"/>
        </w:rPr>
        <w:t>A total of 4,279,600 shares of common stock and 641,571 warrants (the “Rights Offering Warrants”) were issued and sold in the Rights Offering for net proceeds of approximately $29.4 million. Each Rights Offering Warrant was exercisable for one share of the Company’s common stock at an exercise price equal to $7.01, the subscription price for the Units. The Rights Offering Warrants were exercisable immediately and expired on the fifth anniversary of the completion of the Rights Offering, or June 16, 2025, subject to certain redemption rights by the Company. The Rights Offering Warrants were subject to redemption by the Company, on or after December 16, 2020, six months after the issue date, for $0.01 per warrant, with not less than 30 days written notice, if the volume weighted average price of our common stock equaled or exceeded 200% of the exercise price for the Rights Offering Warrants for 10 consecutive trading days.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Warrants</w:t>
      </w:r>
    </w:p>
    <w:p>
      <w:pPr>
        <w:spacing w:after="0" w:line="130" w:lineRule="exact"/>
        <w:rPr>
          <w:sz w:val="20"/>
          <w:szCs w:val="20"/>
          <w:color w:val="auto"/>
        </w:rPr>
      </w:pPr>
    </w:p>
    <w:p>
      <w:pPr>
        <w:jc w:val="both"/>
        <w:ind w:firstLine="336"/>
        <w:spacing w:after="0" w:line="236" w:lineRule="auto"/>
        <w:rPr>
          <w:sz w:val="20"/>
          <w:szCs w:val="20"/>
          <w:color w:val="auto"/>
        </w:rPr>
      </w:pPr>
      <w:r>
        <w:rPr>
          <w:rFonts w:ascii="Arial" w:cs="Arial" w:eastAsia="Arial" w:hAnsi="Arial"/>
          <w:sz w:val="12"/>
          <w:szCs w:val="12"/>
          <w:color w:val="auto"/>
        </w:rPr>
        <w:t>In connection with a private placement in November 2014 of the Company’s common stock, par value $0.001 per share, the Company issued warrants as compensation to the placement agent to purchase a total of 299,625 shares of its common stock at an exercise price of $2.67 per share (the “Private Placement Warrants”). The Private Placement Warrants are exercisable for period of seven years from issuance. In March 2021, warrants to purchase 45,638 shares of common stock were net exercised, resulting in the issuance of 40,563 shares of common stock. As of September 30, 2021, there were Private Placement Warrants to purchase up to 600 shares of common stock still outstanding.</w:t>
      </w:r>
    </w:p>
    <w:p>
      <w:pPr>
        <w:spacing w:after="0" w:line="112" w:lineRule="exact"/>
        <w:rPr>
          <w:sz w:val="20"/>
          <w:szCs w:val="20"/>
          <w:color w:val="auto"/>
        </w:rPr>
      </w:pPr>
    </w:p>
    <w:p>
      <w:pPr>
        <w:jc w:val="both"/>
        <w:ind w:firstLine="336"/>
        <w:spacing w:after="0" w:line="239" w:lineRule="auto"/>
        <w:rPr>
          <w:sz w:val="20"/>
          <w:szCs w:val="20"/>
          <w:color w:val="auto"/>
        </w:rPr>
      </w:pPr>
      <w:r>
        <w:rPr>
          <w:rFonts w:ascii="Arial" w:cs="Arial" w:eastAsia="Arial" w:hAnsi="Arial"/>
          <w:sz w:val="12"/>
          <w:szCs w:val="12"/>
          <w:color w:val="auto"/>
        </w:rPr>
        <w:t>In connection with the closing of the Company’s initial public offering in May 2016, the Company issued warrants as compensation to its underwriters, to purchase a total of 574,985 shares of its common stock at an exercise price of $5.00 per share (the “IPO Warrants”). The IPO Warrants were exercisable for a period of five years from issuance. In March 2021, warrants to purchase 85,385 shares of common stock were net exercised, resulting in the issuance of 68,958 shares of common stock. As of September 30, 2021, there were no IPO Warrants outstanding.</w:t>
      </w:r>
    </w:p>
    <w:p>
      <w:pPr>
        <w:spacing w:after="0" w:line="104" w:lineRule="exact"/>
        <w:rPr>
          <w:sz w:val="20"/>
          <w:szCs w:val="20"/>
          <w:color w:val="auto"/>
        </w:rPr>
      </w:pPr>
    </w:p>
    <w:p>
      <w:pPr>
        <w:jc w:val="both"/>
        <w:ind w:firstLine="336"/>
        <w:spacing w:after="0" w:line="236" w:lineRule="auto"/>
        <w:rPr>
          <w:sz w:val="20"/>
          <w:szCs w:val="20"/>
          <w:color w:val="auto"/>
        </w:rPr>
      </w:pPr>
      <w:r>
        <w:rPr>
          <w:rFonts w:ascii="Arial" w:cs="Arial" w:eastAsia="Arial" w:hAnsi="Arial"/>
          <w:sz w:val="12"/>
          <w:szCs w:val="12"/>
          <w:color w:val="auto"/>
        </w:rPr>
        <w:t>In connection with the Rights Offering, the Company issued warrants to purchase a total of 641,571 shares of its common stock at an exercise price of $7.01. On December 31, 2020, the Company met the requirements for redemption of these warrants and delivered a notice of redemption to redeem all of the outstanding warrants that remained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As of September 30, 2021, there were no Rights Offering Warrants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Equity Incentive Plan and 2017 Inducement Equity Incentive Plan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Board of Directors of the Company (the “Board”) previously adopted, and the Company’s stockholders approved, the Company’s 2017 Equity Incentive Plan (the “2017 Plan”).</w:t>
      </w:r>
    </w:p>
    <w:p>
      <w:pPr>
        <w:spacing w:after="0" w:line="130" w:lineRule="exact"/>
        <w:rPr>
          <w:sz w:val="20"/>
          <w:szCs w:val="20"/>
          <w:color w:val="auto"/>
        </w:rPr>
      </w:pPr>
    </w:p>
    <w:p>
      <w:pPr>
        <w:jc w:val="both"/>
        <w:ind w:firstLine="336"/>
        <w:spacing w:after="0" w:line="252" w:lineRule="auto"/>
        <w:rPr>
          <w:sz w:val="20"/>
          <w:szCs w:val="20"/>
          <w:color w:val="auto"/>
        </w:rPr>
      </w:pPr>
      <w:r>
        <w:rPr>
          <w:rFonts w:ascii="Arial" w:cs="Arial" w:eastAsia="Arial" w:hAnsi="Arial"/>
          <w:sz w:val="11"/>
          <w:szCs w:val="11"/>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2021, the Company’s Board authorized an increase in the number of shares of common stock available under the 2017 Plan by 1,022,002 shares pursuant to the evergreen provision of the 2017 Plan. Pursuant to the 2017 Plan, the 2021 share increase is determined based on the least of (i) 1,200,000 shares, (ii) 4% of the Company’s common stock outstanding at December 31 of the immediately preceding year, or (iii) such number of shares as determined by the Board. As of September 30, 2021, 506,917 shares of common stock remained available for issuance under the 2017 Plan.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4" w:name="page15"/>
    <w:bookmarkEnd w:id="1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4" w:lineRule="exact"/>
        <w:rPr>
          <w:sz w:val="20"/>
          <w:szCs w:val="20"/>
          <w:color w:val="auto"/>
        </w:rPr>
      </w:pPr>
    </w:p>
    <w:p>
      <w:pPr>
        <w:jc w:val="both"/>
        <w:ind w:firstLine="336"/>
        <w:spacing w:after="0" w:line="254" w:lineRule="auto"/>
        <w:rPr>
          <w:sz w:val="20"/>
          <w:szCs w:val="20"/>
          <w:color w:val="auto"/>
        </w:rPr>
      </w:pPr>
      <w:r>
        <w:rPr>
          <w:rFonts w:ascii="Arial" w:cs="Arial" w:eastAsia="Arial" w:hAnsi="Arial"/>
          <w:sz w:val="11"/>
          <w:szCs w:val="11"/>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 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as non-employee directors of the Company prior to the Inducement Plan’s adoption date. In May 2021, the Board approved an amendment to the Inducement Plan to reserve an additional 1,000,000 shares of the Company’s common stock for issuance pursuant to the Inducement Plan. As of September 30, 2021, 1,040,346 shares of common stock remained available for issuance under the Inducement Plan.</w:t>
      </w:r>
    </w:p>
    <w:p>
      <w:pPr>
        <w:spacing w:after="0" w:line="96" w:lineRule="exact"/>
        <w:rPr>
          <w:sz w:val="20"/>
          <w:szCs w:val="20"/>
          <w:color w:val="auto"/>
        </w:rPr>
      </w:pPr>
    </w:p>
    <w:p>
      <w:pPr>
        <w:jc w:val="both"/>
        <w:ind w:firstLine="336"/>
        <w:spacing w:after="0" w:line="300" w:lineRule="auto"/>
        <w:rPr>
          <w:sz w:val="20"/>
          <w:szCs w:val="20"/>
          <w:color w:val="auto"/>
        </w:rPr>
      </w:pPr>
      <w:r>
        <w:rPr>
          <w:rFonts w:ascii="Arial" w:cs="Arial" w:eastAsia="Arial" w:hAnsi="Arial"/>
          <w:sz w:val="11"/>
          <w:szCs w:val="11"/>
          <w:color w:val="auto"/>
        </w:rPr>
        <w:t>Certain stock options awarded to the Company’s executives and other key employees contain performance conditions related to certain financial measures and achievements of strategic/operational milestones (the “Performance Options”). As of September 30, 2021, not all of the performance conditions are probable to be achieved. Compensation expense has only been recognized for those conditions that are assumed to be probable.</w:t>
      </w:r>
    </w:p>
    <w:p>
      <w:pPr>
        <w:spacing w:after="0" w:line="80" w:lineRule="exact"/>
        <w:rPr>
          <w:sz w:val="20"/>
          <w:szCs w:val="20"/>
          <w:color w:val="auto"/>
        </w:rPr>
      </w:pPr>
    </w:p>
    <w:p>
      <w:pPr>
        <w:jc w:val="both"/>
        <w:ind w:firstLine="336"/>
        <w:spacing w:after="0" w:line="272" w:lineRule="auto"/>
        <w:rPr>
          <w:sz w:val="20"/>
          <w:szCs w:val="20"/>
          <w:color w:val="auto"/>
        </w:rPr>
      </w:pPr>
      <w:r>
        <w:rPr>
          <w:rFonts w:ascii="Arial" w:cs="Arial" w:eastAsia="Arial" w:hAnsi="Arial"/>
          <w:sz w:val="11"/>
          <w:szCs w:val="11"/>
          <w:color w:val="auto"/>
        </w:rPr>
        <w:t>During February 2021, the Compensation Committee approved of a modification to certain vesting conditions of outstanding Performance Options. The Company had not recognized any compensation expense in relation to these Performance Options as the performance condition was previously deemed to be improbable. However, upon modification those specific performance conditions are now deemed probable and fully vested. As such, during the nine-month period ended September 30, 2021, the full expense in relation to the amended performance conditions was recognized resulting in $4.2 million of additional stock-compensation expense.</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 summary of stock option activity under the 2015 Plan, 2017 Plan and Inducement Plan for the nine-months ended September 30, 2021 is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340" w:type="dxa"/>
            <w:vAlign w:val="bottom"/>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0"/>
                <w:szCs w:val="10"/>
                <w:b w:val="1"/>
                <w:bCs w:val="1"/>
                <w:color w:val="auto"/>
              </w:rPr>
              <w:t>Stock Options Outstanding</w:t>
            </w:r>
          </w:p>
        </w:tc>
        <w:tc>
          <w:tcPr>
            <w:tcW w:w="1940" w:type="dxa"/>
            <w:vAlign w:val="bottom"/>
            <w:tcBorders>
              <w:bottom w:val="single" w:sz="8" w:color="auto"/>
            </w:tcBorders>
          </w:tcPr>
          <w:p>
            <w:pPr>
              <w:spacing w:after="0"/>
              <w:rPr>
                <w:sz w:val="10"/>
                <w:szCs w:val="10"/>
                <w:color w:val="auto"/>
              </w:rPr>
            </w:pPr>
          </w:p>
        </w:tc>
      </w:tr>
      <w:tr>
        <w:trPr>
          <w:trHeight w:val="76"/>
        </w:trPr>
        <w:tc>
          <w:tcPr>
            <w:tcW w:w="53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40" w:type="dxa"/>
            <w:vAlign w:val="bottom"/>
          </w:tcPr>
          <w:p>
            <w:pPr>
              <w:jc w:val="center"/>
              <w:ind w:right="367"/>
              <w:spacing w:after="0" w:line="76" w:lineRule="exact"/>
              <w:rPr>
                <w:sz w:val="20"/>
                <w:szCs w:val="20"/>
                <w:color w:val="auto"/>
              </w:rPr>
            </w:pPr>
            <w:r>
              <w:rPr>
                <w:rFonts w:ascii="Arial" w:cs="Arial" w:eastAsia="Arial" w:hAnsi="Arial"/>
                <w:sz w:val="7"/>
                <w:szCs w:val="7"/>
                <w:b w:val="1"/>
                <w:bCs w:val="1"/>
                <w:color w:val="auto"/>
              </w:rPr>
              <w:t>Weighted</w:t>
            </w:r>
          </w:p>
        </w:tc>
      </w:tr>
      <w:tr>
        <w:trPr>
          <w:trHeight w:val="101"/>
        </w:trPr>
        <w:tc>
          <w:tcPr>
            <w:tcW w:w="5340" w:type="dxa"/>
            <w:vAlign w:val="bottom"/>
          </w:tcPr>
          <w:p>
            <w:pPr>
              <w:spacing w:after="0"/>
              <w:rPr>
                <w:sz w:val="8"/>
                <w:szCs w:val="8"/>
                <w:color w:val="auto"/>
              </w:rPr>
            </w:pPr>
          </w:p>
        </w:tc>
        <w:tc>
          <w:tcPr>
            <w:tcW w:w="2080" w:type="dxa"/>
            <w:vAlign w:val="bottom"/>
          </w:tcPr>
          <w:p>
            <w:pPr>
              <w:ind w:left="1360"/>
              <w:spacing w:after="0" w:line="102" w:lineRule="exact"/>
              <w:rPr>
                <w:sz w:val="20"/>
                <w:szCs w:val="20"/>
                <w:color w:val="auto"/>
              </w:rPr>
            </w:pPr>
            <w:r>
              <w:rPr>
                <w:rFonts w:ascii="Arial" w:cs="Arial" w:eastAsia="Arial" w:hAnsi="Arial"/>
                <w:sz w:val="10"/>
                <w:szCs w:val="10"/>
                <w:b w:val="1"/>
                <w:bCs w:val="1"/>
                <w:color w:val="auto"/>
              </w:rPr>
              <w:t>Number</w:t>
            </w: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40" w:type="dxa"/>
            <w:vAlign w:val="bottom"/>
          </w:tcPr>
          <w:p>
            <w:pPr>
              <w:jc w:val="center"/>
              <w:ind w:right="347"/>
              <w:spacing w:after="0" w:line="102" w:lineRule="exact"/>
              <w:rPr>
                <w:sz w:val="20"/>
                <w:szCs w:val="20"/>
                <w:color w:val="auto"/>
              </w:rPr>
            </w:pPr>
            <w:r>
              <w:rPr>
                <w:rFonts w:ascii="Arial" w:cs="Arial" w:eastAsia="Arial" w:hAnsi="Arial"/>
                <w:sz w:val="10"/>
                <w:szCs w:val="10"/>
                <w:b w:val="1"/>
                <w:bCs w:val="1"/>
                <w:color w:val="auto"/>
                <w:w w:val="89"/>
              </w:rPr>
              <w:t>average</w:t>
            </w:r>
          </w:p>
        </w:tc>
      </w:tr>
      <w:tr>
        <w:trPr>
          <w:trHeight w:val="116"/>
        </w:trPr>
        <w:tc>
          <w:tcPr>
            <w:tcW w:w="5340" w:type="dxa"/>
            <w:vAlign w:val="bottom"/>
            <w:tcBorders>
              <w:bottom w:val="single" w:sz="8" w:color="CCEEFF"/>
            </w:tcBorders>
          </w:tcPr>
          <w:p>
            <w:pPr>
              <w:spacing w:after="0"/>
              <w:rPr>
                <w:sz w:val="10"/>
                <w:szCs w:val="10"/>
                <w:color w:val="auto"/>
              </w:rPr>
            </w:pPr>
          </w:p>
        </w:tc>
        <w:tc>
          <w:tcPr>
            <w:tcW w:w="2080" w:type="dxa"/>
            <w:vAlign w:val="bottom"/>
            <w:tcBorders>
              <w:bottom w:val="single" w:sz="8" w:color="auto"/>
            </w:tcBorders>
          </w:tcPr>
          <w:p>
            <w:pPr>
              <w:ind w:left="1360"/>
              <w:spacing w:after="0"/>
              <w:rPr>
                <w:sz w:val="20"/>
                <w:szCs w:val="20"/>
                <w:color w:val="auto"/>
              </w:rPr>
            </w:pPr>
            <w:r>
              <w:rPr>
                <w:rFonts w:ascii="Arial" w:cs="Arial" w:eastAsia="Arial" w:hAnsi="Arial"/>
                <w:sz w:val="10"/>
                <w:szCs w:val="10"/>
                <w:b w:val="1"/>
                <w:bCs w:val="1"/>
                <w:color w:val="auto"/>
              </w:rPr>
              <w:t>of shares</w:t>
            </w: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jc w:val="center"/>
              <w:ind w:right="347"/>
              <w:spacing w:after="0"/>
              <w:rPr>
                <w:sz w:val="20"/>
                <w:szCs w:val="20"/>
                <w:color w:val="auto"/>
              </w:rPr>
            </w:pPr>
            <w:r>
              <w:rPr>
                <w:rFonts w:ascii="Arial" w:cs="Arial" w:eastAsia="Arial" w:hAnsi="Arial"/>
                <w:sz w:val="10"/>
                <w:szCs w:val="10"/>
                <w:b w:val="1"/>
                <w:bCs w:val="1"/>
                <w:color w:val="auto"/>
                <w:w w:val="86"/>
              </w:rPr>
              <w:t>exercise price</w:t>
            </w:r>
          </w:p>
        </w:tc>
      </w:tr>
      <w:tr>
        <w:trPr>
          <w:trHeight w:val="118"/>
        </w:trPr>
        <w:tc>
          <w:tcPr>
            <w:tcW w:w="53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Balances — December 31, 2020</w:t>
            </w:r>
          </w:p>
        </w:tc>
        <w:tc>
          <w:tcPr>
            <w:tcW w:w="20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5,039,194</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14.26</w:t>
            </w:r>
          </w:p>
        </w:tc>
      </w:tr>
      <w:tr>
        <w:trPr>
          <w:trHeight w:val="129"/>
        </w:trPr>
        <w:tc>
          <w:tcPr>
            <w:tcW w:w="7420" w:type="dxa"/>
            <w:vAlign w:val="bottom"/>
            <w:gridSpan w:val="2"/>
          </w:tcPr>
          <w:p>
            <w:pPr>
              <w:spacing w:after="0" w:line="129" w:lineRule="exact"/>
              <w:rPr>
                <w:sz w:val="20"/>
                <w:szCs w:val="20"/>
                <w:color w:val="auto"/>
              </w:rPr>
            </w:pPr>
            <w:r>
              <w:rPr>
                <w:rFonts w:ascii="Arial" w:cs="Arial" w:eastAsia="Arial" w:hAnsi="Arial"/>
                <w:sz w:val="12"/>
                <w:szCs w:val="12"/>
                <w:color w:val="auto"/>
              </w:rPr>
              <w:t>Options granted</w:t>
            </w:r>
          </w:p>
        </w:tc>
        <w:tc>
          <w:tcPr>
            <w:tcW w:w="1020" w:type="dxa"/>
            <w:vAlign w:val="bottom"/>
          </w:tcPr>
          <w:p>
            <w:pPr>
              <w:jc w:val="right"/>
              <w:spacing w:after="0" w:line="129" w:lineRule="exact"/>
              <w:rPr>
                <w:sz w:val="20"/>
                <w:szCs w:val="20"/>
                <w:color w:val="auto"/>
              </w:rPr>
            </w:pPr>
            <w:r>
              <w:rPr>
                <w:rFonts w:ascii="Arial" w:cs="Arial" w:eastAsia="Arial" w:hAnsi="Arial"/>
                <w:sz w:val="12"/>
                <w:szCs w:val="12"/>
                <w:color w:val="auto"/>
              </w:rPr>
              <w:t>1,128,338</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Options exercised</w:t>
            </w:r>
          </w:p>
        </w:tc>
        <w:tc>
          <w:tcPr>
            <w:tcW w:w="11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(44,981)</w:t>
            </w: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9"/>
        </w:trPr>
        <w:tc>
          <w:tcPr>
            <w:tcW w:w="7420" w:type="dxa"/>
            <w:vAlign w:val="bottom"/>
            <w:gridSpan w:val="2"/>
          </w:tcPr>
          <w:p>
            <w:pPr>
              <w:spacing w:after="0" w:line="129" w:lineRule="exact"/>
              <w:rPr>
                <w:sz w:val="20"/>
                <w:szCs w:val="20"/>
                <w:color w:val="auto"/>
              </w:rPr>
            </w:pPr>
            <w:r>
              <w:rPr>
                <w:rFonts w:ascii="Arial" w:cs="Arial" w:eastAsia="Arial" w:hAnsi="Arial"/>
                <w:sz w:val="12"/>
                <w:szCs w:val="12"/>
                <w:color w:val="auto"/>
              </w:rPr>
              <w:t>Options canceled</w:t>
            </w:r>
          </w:p>
        </w:tc>
        <w:tc>
          <w:tcPr>
            <w:tcW w:w="118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(111,279)</w:t>
            </w: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Options expired</w:t>
            </w:r>
          </w:p>
        </w:tc>
        <w:tc>
          <w:tcPr>
            <w:tcW w:w="11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(65,263)</w:t>
            </w: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6"/>
        </w:trPr>
        <w:tc>
          <w:tcPr>
            <w:tcW w:w="534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Balances — September 30, 2021</w:t>
            </w:r>
          </w:p>
        </w:tc>
        <w:tc>
          <w:tcPr>
            <w:tcW w:w="208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5,946,009</w:t>
            </w: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CCEEFF"/>
            </w:tcBorders>
          </w:tcPr>
          <w:p>
            <w:pPr>
              <w:jc w:val="right"/>
              <w:spacing w:after="0" w:line="118" w:lineRule="exact"/>
              <w:rPr>
                <w:sz w:val="20"/>
                <w:szCs w:val="20"/>
                <w:color w:val="auto"/>
              </w:rPr>
            </w:pPr>
            <w:r>
              <w:rPr>
                <w:rFonts w:ascii="Arial" w:cs="Arial" w:eastAsia="Arial" w:hAnsi="Arial"/>
                <w:sz w:val="12"/>
                <w:szCs w:val="12"/>
                <w:color w:val="auto"/>
              </w:rPr>
              <w:t>15.73</w:t>
            </w:r>
          </w:p>
        </w:tc>
      </w:tr>
      <w:tr>
        <w:trPr>
          <w:trHeight w:val="137"/>
        </w:trPr>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Exercisable — September 30, 2021</w:t>
            </w:r>
          </w:p>
        </w:tc>
        <w:tc>
          <w:tcPr>
            <w:tcW w:w="20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3,150,036</w:t>
            </w:r>
          </w:p>
        </w:tc>
        <w:tc>
          <w:tcPr>
            <w:tcW w:w="1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16.00</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Employee Stock Purchase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Board previously adopted and the stockholders approved the Company’s 2017 Employee Stock Purchase Plan (the “2017 ESPP”).</w:t>
      </w:r>
    </w:p>
    <w:p>
      <w:pPr>
        <w:spacing w:after="0" w:line="130" w:lineRule="exact"/>
        <w:rPr>
          <w:sz w:val="20"/>
          <w:szCs w:val="20"/>
          <w:color w:val="auto"/>
        </w:rPr>
      </w:pPr>
    </w:p>
    <w:p>
      <w:pPr>
        <w:jc w:val="both"/>
        <w:ind w:firstLine="336"/>
        <w:spacing w:after="0" w:line="232" w:lineRule="auto"/>
        <w:rPr>
          <w:sz w:val="20"/>
          <w:szCs w:val="20"/>
          <w:color w:val="auto"/>
        </w:rPr>
      </w:pPr>
      <w:r>
        <w:rPr>
          <w:rFonts w:ascii="Arial" w:cs="Arial" w:eastAsia="Arial" w:hAnsi="Arial"/>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Effective January 1, 2021, pursuant to the evergreen provision of the 2017 ESPP, the number of shares of common stock available under the 2017 ESPP was increased by 383,250 shares. During the nine-month period ended September 30, 2021, the Company issued 91,378 shares of common stock under the 2017 ESPP. As of September 30, 2021, 649,096 shares of common stock remained available for issuance under the 2017 ESPP.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5" w:name="page16"/>
    <w:bookmarkEnd w:id="1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Total stock-based compensation expense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20" w:type="dxa"/>
            <w:vAlign w:val="bottom"/>
            <w:gridSpan w:val="4"/>
          </w:tcPr>
          <w:p>
            <w:pPr>
              <w:jc w:val="right"/>
              <w:ind w:right="149"/>
              <w:spacing w:after="0"/>
              <w:rPr>
                <w:sz w:val="20"/>
                <w:szCs w:val="20"/>
                <w:color w:val="auto"/>
              </w:rPr>
            </w:pPr>
            <w:r>
              <w:rPr>
                <w:rFonts w:ascii="Arial" w:cs="Arial" w:eastAsia="Arial" w:hAnsi="Arial"/>
                <w:sz w:val="10"/>
                <w:szCs w:val="10"/>
                <w:b w:val="1"/>
                <w:bCs w:val="1"/>
                <w:color w:val="auto"/>
              </w:rPr>
              <w:t>Three-Month Periods Ended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60" w:type="dxa"/>
            <w:vAlign w:val="bottom"/>
            <w:gridSpan w:val="4"/>
          </w:tcPr>
          <w:p>
            <w:pPr>
              <w:jc w:val="right"/>
              <w:ind w:right="581"/>
              <w:spacing w:after="0"/>
              <w:rPr>
                <w:sz w:val="20"/>
                <w:szCs w:val="20"/>
                <w:color w:val="auto"/>
              </w:rPr>
            </w:pPr>
            <w:r>
              <w:rPr>
                <w:rFonts w:ascii="Arial" w:cs="Arial" w:eastAsia="Arial" w:hAnsi="Arial"/>
                <w:sz w:val="10"/>
                <w:szCs w:val="10"/>
                <w:b w:val="1"/>
                <w:bCs w:val="1"/>
                <w:color w:val="auto"/>
              </w:rPr>
              <w:t>Nine-Month Periods Ended</w:t>
            </w:r>
          </w:p>
        </w:tc>
      </w:tr>
      <w:tr>
        <w:trPr>
          <w:trHeight w:val="116"/>
        </w:trPr>
        <w:tc>
          <w:tcPr>
            <w:tcW w:w="4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449"/>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0"/>
                <w:szCs w:val="10"/>
                <w:b w:val="1"/>
                <w:bCs w:val="1"/>
                <w:color w:val="auto"/>
              </w:rPr>
              <w:t>September 30,</w:t>
            </w:r>
          </w:p>
        </w:tc>
        <w:tc>
          <w:tcPr>
            <w:tcW w:w="800" w:type="dxa"/>
            <w:vAlign w:val="bottom"/>
            <w:tcBorders>
              <w:bottom w:val="single" w:sz="8" w:color="auto"/>
            </w:tcBorders>
          </w:tcPr>
          <w:p>
            <w:pPr>
              <w:spacing w:after="0"/>
              <w:rPr>
                <w:sz w:val="10"/>
                <w:szCs w:val="10"/>
                <w:color w:val="auto"/>
              </w:rPr>
            </w:pPr>
          </w:p>
        </w:tc>
      </w:tr>
      <w:tr>
        <w:trPr>
          <w:trHeight w:val="91"/>
        </w:trPr>
        <w:tc>
          <w:tcPr>
            <w:tcW w:w="4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740" w:type="dxa"/>
            <w:vAlign w:val="bottom"/>
          </w:tcPr>
          <w:p>
            <w:pPr>
              <w:jc w:val="right"/>
              <w:ind w:right="10"/>
              <w:spacing w:after="0" w:line="91" w:lineRule="exact"/>
              <w:rPr>
                <w:sz w:val="20"/>
                <w:szCs w:val="20"/>
                <w:color w:val="auto"/>
              </w:rPr>
            </w:pPr>
            <w:r>
              <w:rPr>
                <w:rFonts w:ascii="Arial" w:cs="Arial" w:eastAsia="Arial" w:hAnsi="Arial"/>
                <w:sz w:val="10"/>
                <w:szCs w:val="10"/>
                <w:b w:val="1"/>
                <w:bCs w:val="1"/>
                <w:color w:val="auto"/>
              </w:rPr>
              <w:t>2021</w:t>
            </w:r>
          </w:p>
        </w:tc>
        <w:tc>
          <w:tcPr>
            <w:tcW w:w="400" w:type="dxa"/>
            <w:vAlign w:val="bottom"/>
          </w:tcPr>
          <w:p>
            <w:pPr>
              <w:spacing w:after="0"/>
              <w:rPr>
                <w:sz w:val="7"/>
                <w:szCs w:val="7"/>
                <w:color w:val="auto"/>
              </w:rPr>
            </w:pPr>
          </w:p>
        </w:tc>
        <w:tc>
          <w:tcPr>
            <w:tcW w:w="880" w:type="dxa"/>
            <w:vAlign w:val="bottom"/>
            <w:gridSpan w:val="2"/>
          </w:tcPr>
          <w:p>
            <w:pPr>
              <w:jc w:val="right"/>
              <w:ind w:right="29"/>
              <w:spacing w:after="0" w:line="91" w:lineRule="exact"/>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jc w:val="right"/>
              <w:ind w:right="423"/>
              <w:spacing w:after="0" w:line="91" w:lineRule="exact"/>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jc w:val="right"/>
              <w:ind w:right="421"/>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42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Cost of revenue</w:t>
            </w:r>
          </w:p>
        </w:tc>
        <w:tc>
          <w:tcPr>
            <w:tcW w:w="20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37</w:t>
            </w: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37</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r>
      <w:tr>
        <w:trPr>
          <w:trHeight w:val="129"/>
        </w:trPr>
        <w:tc>
          <w:tcPr>
            <w:tcW w:w="4240" w:type="dxa"/>
            <w:vAlign w:val="bottom"/>
          </w:tcPr>
          <w:p>
            <w:pPr>
              <w:spacing w:after="0" w:line="129" w:lineRule="exact"/>
              <w:rPr>
                <w:sz w:val="20"/>
                <w:szCs w:val="20"/>
                <w:color w:val="auto"/>
              </w:rPr>
            </w:pPr>
            <w:r>
              <w:rPr>
                <w:rFonts w:ascii="Arial" w:cs="Arial" w:eastAsia="Arial" w:hAnsi="Arial"/>
                <w:sz w:val="12"/>
                <w:szCs w:val="12"/>
                <w:color w:val="auto"/>
              </w:rPr>
              <w:t>Research and development</w:t>
            </w: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2"/>
                <w:szCs w:val="12"/>
                <w:color w:val="auto"/>
              </w:rPr>
              <w:t>418</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2"/>
                <w:szCs w:val="12"/>
                <w:color w:val="auto"/>
              </w:rPr>
              <w:t>1,183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3"/>
              <w:spacing w:after="0" w:line="129" w:lineRule="exact"/>
              <w:rPr>
                <w:sz w:val="20"/>
                <w:szCs w:val="20"/>
                <w:color w:val="auto"/>
              </w:rPr>
            </w:pPr>
            <w:r>
              <w:rPr>
                <w:rFonts w:ascii="Arial" w:cs="Arial" w:eastAsia="Arial" w:hAnsi="Arial"/>
                <w:sz w:val="12"/>
                <w:szCs w:val="12"/>
                <w:color w:val="auto"/>
              </w:rPr>
              <w:t>4,586</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2,957</w:t>
            </w:r>
          </w:p>
        </w:tc>
      </w:tr>
      <w:tr>
        <w:trPr>
          <w:trHeight w:val="129"/>
        </w:trPr>
        <w:tc>
          <w:tcPr>
            <w:tcW w:w="4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Sales and marketing</w:t>
            </w:r>
          </w:p>
        </w:tc>
        <w:tc>
          <w:tcPr>
            <w:tcW w:w="20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65</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312</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3"/>
              <w:spacing w:after="0" w:line="129" w:lineRule="exact"/>
              <w:rPr>
                <w:sz w:val="20"/>
                <w:szCs w:val="20"/>
                <w:color w:val="auto"/>
              </w:rPr>
            </w:pPr>
            <w:r>
              <w:rPr>
                <w:rFonts w:ascii="Arial" w:cs="Arial" w:eastAsia="Arial" w:hAnsi="Arial"/>
                <w:sz w:val="12"/>
                <w:szCs w:val="12"/>
                <w:color w:val="auto"/>
              </w:rPr>
              <w:t>2,326</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903</w:t>
            </w:r>
          </w:p>
        </w:tc>
      </w:tr>
      <w:tr>
        <w:trPr>
          <w:trHeight w:val="129"/>
        </w:trPr>
        <w:tc>
          <w:tcPr>
            <w:tcW w:w="424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General and administrative</w:t>
            </w:r>
          </w:p>
        </w:tc>
        <w:tc>
          <w:tcPr>
            <w:tcW w:w="20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1,057</w:t>
            </w: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1,154</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
              <w:spacing w:after="0" w:line="129" w:lineRule="exact"/>
              <w:rPr>
                <w:sz w:val="20"/>
                <w:szCs w:val="20"/>
                <w:color w:val="auto"/>
              </w:rPr>
            </w:pPr>
            <w:r>
              <w:rPr>
                <w:rFonts w:ascii="Arial" w:cs="Arial" w:eastAsia="Arial" w:hAnsi="Arial"/>
                <w:sz w:val="12"/>
                <w:szCs w:val="12"/>
                <w:color w:val="auto"/>
              </w:rPr>
              <w:t>4,041</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3,826</w:t>
            </w:r>
          </w:p>
        </w:tc>
      </w:tr>
      <w:tr>
        <w:trPr>
          <w:trHeight w:val="126"/>
        </w:trPr>
        <w:tc>
          <w:tcPr>
            <w:tcW w:w="4240" w:type="dxa"/>
            <w:vAlign w:val="bottom"/>
            <w:tcBorders>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Total stock-based compensation expense</w:t>
            </w:r>
          </w:p>
        </w:tc>
        <w:tc>
          <w:tcPr>
            <w:tcW w:w="20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1,577</w:t>
            </w: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2,649</w:t>
            </w: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10,990</w:t>
            </w:r>
          </w:p>
        </w:tc>
        <w:tc>
          <w:tcPr>
            <w:tcW w:w="1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7,686</w:t>
            </w:r>
          </w:p>
        </w:tc>
      </w:tr>
    </w:tbl>
    <w:p>
      <w:pPr>
        <w:spacing w:after="0" w:line="111" w:lineRule="exact"/>
        <w:rPr>
          <w:sz w:val="20"/>
          <w:szCs w:val="20"/>
          <w:color w:val="auto"/>
        </w:rPr>
      </w:pPr>
    </w:p>
    <w:p>
      <w:pPr>
        <w:jc w:val="both"/>
        <w:ind w:firstLine="336"/>
        <w:spacing w:after="0" w:line="272" w:lineRule="auto"/>
        <w:rPr>
          <w:sz w:val="20"/>
          <w:szCs w:val="20"/>
          <w:color w:val="auto"/>
        </w:rPr>
      </w:pPr>
      <w:r>
        <w:rPr>
          <w:rFonts w:ascii="Arial" w:cs="Arial" w:eastAsia="Arial" w:hAnsi="Arial"/>
          <w:sz w:val="11"/>
          <w:szCs w:val="11"/>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780" w:type="dxa"/>
            <w:vAlign w:val="bottom"/>
          </w:tcPr>
          <w:p>
            <w:pPr>
              <w:spacing w:after="0"/>
              <w:rPr>
                <w:sz w:val="10"/>
                <w:szCs w:val="10"/>
                <w:color w:val="auto"/>
              </w:rPr>
            </w:pPr>
          </w:p>
        </w:tc>
        <w:tc>
          <w:tcPr>
            <w:tcW w:w="3100" w:type="dxa"/>
            <w:vAlign w:val="bottom"/>
            <w:tcBorders>
              <w:bottom w:val="single" w:sz="8" w:color="auto"/>
            </w:tcBorders>
            <w:gridSpan w:val="3"/>
          </w:tcPr>
          <w:p>
            <w:pPr>
              <w:ind w:left="1200"/>
              <w:spacing w:after="0"/>
              <w:rPr>
                <w:sz w:val="20"/>
                <w:szCs w:val="20"/>
                <w:color w:val="auto"/>
              </w:rPr>
            </w:pPr>
            <w:r>
              <w:rPr>
                <w:rFonts w:ascii="Arial" w:cs="Arial" w:eastAsia="Arial" w:hAnsi="Arial"/>
                <w:sz w:val="10"/>
                <w:szCs w:val="10"/>
                <w:b w:val="1"/>
                <w:bCs w:val="1"/>
                <w:color w:val="auto"/>
                <w:w w:val="91"/>
              </w:rPr>
              <w:t>Three-Month Periods Ended September 30,</w:t>
            </w:r>
          </w:p>
        </w:tc>
        <w:tc>
          <w:tcPr>
            <w:tcW w:w="11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Borders>
              <w:bottom w:val="single" w:sz="8" w:color="auto"/>
            </w:tcBorders>
            <w:gridSpan w:val="3"/>
          </w:tcPr>
          <w:p>
            <w:pPr>
              <w:ind w:left="640"/>
              <w:spacing w:after="0"/>
              <w:rPr>
                <w:sz w:val="20"/>
                <w:szCs w:val="20"/>
                <w:color w:val="auto"/>
              </w:rPr>
            </w:pPr>
            <w:r>
              <w:rPr>
                <w:rFonts w:ascii="Arial" w:cs="Arial" w:eastAsia="Arial" w:hAnsi="Arial"/>
                <w:sz w:val="10"/>
                <w:szCs w:val="10"/>
                <w:b w:val="1"/>
                <w:bCs w:val="1"/>
                <w:color w:val="auto"/>
              </w:rPr>
              <w:t>Nine-Month Periods Ended September 30,</w:t>
            </w:r>
          </w:p>
        </w:tc>
      </w:tr>
      <w:tr>
        <w:trPr>
          <w:trHeight w:val="91"/>
        </w:trPr>
        <w:tc>
          <w:tcPr>
            <w:tcW w:w="3780" w:type="dxa"/>
            <w:vAlign w:val="bottom"/>
            <w:tcBorders>
              <w:bottom w:val="single" w:sz="8" w:color="CCEEFF"/>
            </w:tcBorders>
          </w:tcPr>
          <w:p>
            <w:pPr>
              <w:spacing w:after="0"/>
              <w:rPr>
                <w:sz w:val="7"/>
                <w:szCs w:val="7"/>
                <w:color w:val="auto"/>
              </w:rPr>
            </w:pPr>
          </w:p>
        </w:tc>
        <w:tc>
          <w:tcPr>
            <w:tcW w:w="218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0"/>
              </w:rPr>
              <w:t>2021</w:t>
            </w:r>
          </w:p>
        </w:tc>
        <w:tc>
          <w:tcPr>
            <w:tcW w:w="4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jc w:val="center"/>
              <w:ind w:right="461"/>
              <w:spacing w:after="0" w:line="91" w:lineRule="exact"/>
              <w:rPr>
                <w:sz w:val="20"/>
                <w:szCs w:val="20"/>
                <w:color w:val="auto"/>
              </w:rPr>
            </w:pPr>
            <w:r>
              <w:rPr>
                <w:rFonts w:ascii="Arial" w:cs="Arial" w:eastAsia="Arial" w:hAnsi="Arial"/>
                <w:sz w:val="10"/>
                <w:szCs w:val="10"/>
                <w:b w:val="1"/>
                <w:bCs w:val="1"/>
                <w:color w:val="auto"/>
                <w:w w:val="80"/>
              </w:rPr>
              <w:t>2020</w:t>
            </w:r>
          </w:p>
        </w:tc>
        <w:tc>
          <w:tcPr>
            <w:tcW w:w="2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2021</w:t>
            </w:r>
          </w:p>
        </w:tc>
        <w:tc>
          <w:tcPr>
            <w:tcW w:w="4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2020</w:t>
            </w:r>
          </w:p>
        </w:tc>
      </w:tr>
      <w:tr>
        <w:trPr>
          <w:trHeight w:val="118"/>
        </w:trPr>
        <w:tc>
          <w:tcPr>
            <w:tcW w:w="37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218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83"/>
              </w:rPr>
              <w:t>6.1</w:t>
            </w: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40" w:type="dxa"/>
            <w:vAlign w:val="bottom"/>
            <w:shd w:val="clear" w:color="auto" w:fill="CCEEFF"/>
          </w:tcPr>
          <w:p>
            <w:pPr>
              <w:jc w:val="center"/>
              <w:ind w:right="461"/>
              <w:spacing w:after="0" w:line="118" w:lineRule="exact"/>
              <w:rPr>
                <w:sz w:val="20"/>
                <w:szCs w:val="20"/>
                <w:color w:val="auto"/>
              </w:rPr>
            </w:pPr>
            <w:r>
              <w:rPr>
                <w:rFonts w:ascii="Arial" w:cs="Arial" w:eastAsia="Arial" w:hAnsi="Arial"/>
                <w:sz w:val="12"/>
                <w:szCs w:val="12"/>
                <w:color w:val="auto"/>
                <w:w w:val="95"/>
              </w:rPr>
              <w:t>5.8 - 6.1</w:t>
            </w: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0"/>
              </w:rPr>
              <w:t>5.3 - 6.1</w:t>
            </w: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5.3 - 6.1</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2180" w:type="dxa"/>
            <w:vAlign w:val="bottom"/>
          </w:tcPr>
          <w:p>
            <w:pPr>
              <w:jc w:val="center"/>
              <w:spacing w:after="0" w:line="129" w:lineRule="exact"/>
              <w:rPr>
                <w:sz w:val="20"/>
                <w:szCs w:val="20"/>
                <w:color w:val="auto"/>
              </w:rPr>
            </w:pPr>
            <w:r>
              <w:rPr>
                <w:rFonts w:ascii="Arial" w:cs="Arial" w:eastAsia="Arial" w:hAnsi="Arial"/>
                <w:sz w:val="12"/>
                <w:szCs w:val="12"/>
                <w:color w:val="auto"/>
                <w:w w:val="91"/>
              </w:rPr>
              <w:t>78%</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jc w:val="center"/>
              <w:ind w:right="461"/>
              <w:spacing w:after="0" w:line="129" w:lineRule="exact"/>
              <w:rPr>
                <w:sz w:val="20"/>
                <w:szCs w:val="20"/>
                <w:color w:val="auto"/>
              </w:rPr>
            </w:pPr>
            <w:r>
              <w:rPr>
                <w:rFonts w:ascii="Arial" w:cs="Arial" w:eastAsia="Arial" w:hAnsi="Arial"/>
                <w:sz w:val="12"/>
                <w:szCs w:val="12"/>
                <w:color w:val="auto"/>
                <w:w w:val="91"/>
              </w:rPr>
              <w:t>70%</w:t>
            </w:r>
          </w:p>
        </w:tc>
        <w:tc>
          <w:tcPr>
            <w:tcW w:w="2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9"/>
              </w:rPr>
              <w:t>78%</w:t>
            </w:r>
          </w:p>
        </w:tc>
        <w:tc>
          <w:tcPr>
            <w:tcW w:w="4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21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4"/>
              </w:rPr>
              <w:t>0.9%</w:t>
            </w: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40" w:type="dxa"/>
            <w:vAlign w:val="bottom"/>
            <w:shd w:val="clear" w:color="auto" w:fill="CCEEFF"/>
          </w:tcPr>
          <w:p>
            <w:pPr>
              <w:jc w:val="center"/>
              <w:ind w:right="461"/>
              <w:spacing w:after="0" w:line="129" w:lineRule="exact"/>
              <w:rPr>
                <w:sz w:val="20"/>
                <w:szCs w:val="20"/>
                <w:color w:val="auto"/>
              </w:rPr>
            </w:pPr>
            <w:r>
              <w:rPr>
                <w:rFonts w:ascii="Arial" w:cs="Arial" w:eastAsia="Arial" w:hAnsi="Arial"/>
                <w:sz w:val="12"/>
                <w:szCs w:val="12"/>
                <w:color w:val="auto"/>
                <w:w w:val="91"/>
              </w:rPr>
              <w:t>0.3 - 0.4%</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4"/>
              </w:rPr>
              <w:t>0.9 - 1.1%</w:t>
            </w: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4"/>
              </w:rPr>
              <w:t>0.4 - 0.5%</w:t>
            </w:r>
          </w:p>
        </w:tc>
      </w:tr>
      <w:tr>
        <w:trPr>
          <w:trHeight w:val="156"/>
        </w:trPr>
        <w:tc>
          <w:tcPr>
            <w:tcW w:w="3780" w:type="dxa"/>
            <w:vAlign w:val="bottom"/>
          </w:tcPr>
          <w:p>
            <w:pPr>
              <w:spacing w:after="0"/>
              <w:rPr>
                <w:sz w:val="20"/>
                <w:szCs w:val="20"/>
                <w:color w:val="auto"/>
              </w:rPr>
            </w:pPr>
            <w:r>
              <w:rPr>
                <w:rFonts w:ascii="Arial" w:cs="Arial" w:eastAsia="Arial" w:hAnsi="Arial"/>
                <w:sz w:val="12"/>
                <w:szCs w:val="12"/>
                <w:color w:val="auto"/>
              </w:rPr>
              <w:t>Dividend yield</w:t>
            </w:r>
          </w:p>
        </w:tc>
        <w:tc>
          <w:tcPr>
            <w:tcW w:w="3100" w:type="dxa"/>
            <w:vAlign w:val="bottom"/>
            <w:gridSpan w:val="3"/>
          </w:tcPr>
          <w:p>
            <w:pPr>
              <w:jc w:val="center"/>
              <w:ind w:right="9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center"/>
              <w:ind w:right="7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jc w:val="center"/>
              <w:ind w:right="420"/>
              <w:spacing w:after="0"/>
              <w:rPr>
                <w:sz w:val="20"/>
                <w:szCs w:val="20"/>
                <w:color w:val="auto"/>
              </w:rPr>
            </w:pPr>
            <w:r>
              <w:rPr>
                <w:rFonts w:ascii="Arial" w:cs="Arial" w:eastAsia="Arial" w:hAnsi="Arial"/>
                <w:sz w:val="12"/>
                <w:szCs w:val="12"/>
                <w:color w:val="auto"/>
                <w:w w:val="99"/>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85" w:lineRule="exact"/>
        <w:rPr>
          <w:sz w:val="20"/>
          <w:szCs w:val="20"/>
          <w:color w:val="auto"/>
        </w:rPr>
      </w:pPr>
    </w:p>
    <w:p>
      <w:pPr>
        <w:jc w:val="both"/>
        <w:ind w:firstLine="336"/>
        <w:spacing w:after="0" w:line="239" w:lineRule="auto"/>
        <w:rPr>
          <w:sz w:val="20"/>
          <w:szCs w:val="20"/>
          <w:color w:val="auto"/>
        </w:rPr>
      </w:pPr>
      <w:r>
        <w:rPr>
          <w:rFonts w:ascii="Arial" w:cs="Arial" w:eastAsia="Arial" w:hAnsi="Arial"/>
          <w:sz w:val="12"/>
          <w:szCs w:val="12"/>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780" w:type="dxa"/>
            <w:vAlign w:val="bottom"/>
          </w:tcPr>
          <w:p>
            <w:pPr>
              <w:spacing w:after="0"/>
              <w:rPr>
                <w:sz w:val="10"/>
                <w:szCs w:val="10"/>
                <w:color w:val="auto"/>
              </w:rPr>
            </w:pPr>
          </w:p>
        </w:tc>
        <w:tc>
          <w:tcPr>
            <w:tcW w:w="3120" w:type="dxa"/>
            <w:vAlign w:val="bottom"/>
            <w:tcBorders>
              <w:bottom w:val="single" w:sz="8" w:color="auto"/>
            </w:tcBorders>
            <w:gridSpan w:val="3"/>
          </w:tcPr>
          <w:p>
            <w:pPr>
              <w:ind w:left="1200"/>
              <w:spacing w:after="0"/>
              <w:rPr>
                <w:sz w:val="20"/>
                <w:szCs w:val="20"/>
                <w:color w:val="auto"/>
              </w:rPr>
            </w:pPr>
            <w:r>
              <w:rPr>
                <w:rFonts w:ascii="Arial" w:cs="Arial" w:eastAsia="Arial" w:hAnsi="Arial"/>
                <w:sz w:val="10"/>
                <w:szCs w:val="10"/>
                <w:b w:val="1"/>
                <w:bCs w:val="1"/>
                <w:color w:val="auto"/>
                <w:w w:val="92"/>
              </w:rPr>
              <w:t>Three-Month Periods Ended September 30,</w:t>
            </w:r>
          </w:p>
        </w:tc>
        <w:tc>
          <w:tcPr>
            <w:tcW w:w="11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Borders>
              <w:bottom w:val="single" w:sz="8" w:color="auto"/>
            </w:tcBorders>
            <w:gridSpan w:val="3"/>
          </w:tcPr>
          <w:p>
            <w:pPr>
              <w:ind w:left="640"/>
              <w:spacing w:after="0"/>
              <w:rPr>
                <w:sz w:val="20"/>
                <w:szCs w:val="20"/>
                <w:color w:val="auto"/>
              </w:rPr>
            </w:pPr>
            <w:r>
              <w:rPr>
                <w:rFonts w:ascii="Arial" w:cs="Arial" w:eastAsia="Arial" w:hAnsi="Arial"/>
                <w:sz w:val="10"/>
                <w:szCs w:val="10"/>
                <w:b w:val="1"/>
                <w:bCs w:val="1"/>
                <w:color w:val="auto"/>
              </w:rPr>
              <w:t>Nine-Month Periods Ended September 30,</w:t>
            </w:r>
          </w:p>
        </w:tc>
      </w:tr>
      <w:tr>
        <w:trPr>
          <w:trHeight w:val="91"/>
        </w:trPr>
        <w:tc>
          <w:tcPr>
            <w:tcW w:w="3780" w:type="dxa"/>
            <w:vAlign w:val="bottom"/>
            <w:tcBorders>
              <w:bottom w:val="single" w:sz="8" w:color="CCEEFF"/>
            </w:tcBorders>
          </w:tcPr>
          <w:p>
            <w:pPr>
              <w:spacing w:after="0"/>
              <w:rPr>
                <w:sz w:val="7"/>
                <w:szCs w:val="7"/>
                <w:color w:val="auto"/>
              </w:rPr>
            </w:pPr>
          </w:p>
        </w:tc>
        <w:tc>
          <w:tcPr>
            <w:tcW w:w="218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0"/>
              </w:rPr>
              <w:t>2021</w:t>
            </w:r>
          </w:p>
        </w:tc>
        <w:tc>
          <w:tcPr>
            <w:tcW w:w="4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jc w:val="center"/>
              <w:ind w:right="481"/>
              <w:spacing w:after="0" w:line="91" w:lineRule="exact"/>
              <w:rPr>
                <w:sz w:val="20"/>
                <w:szCs w:val="20"/>
                <w:color w:val="auto"/>
              </w:rPr>
            </w:pPr>
            <w:r>
              <w:rPr>
                <w:rFonts w:ascii="Arial" w:cs="Arial" w:eastAsia="Arial" w:hAnsi="Arial"/>
                <w:sz w:val="10"/>
                <w:szCs w:val="10"/>
                <w:b w:val="1"/>
                <w:bCs w:val="1"/>
                <w:color w:val="auto"/>
                <w:w w:val="80"/>
              </w:rPr>
              <w:t>2020</w:t>
            </w:r>
          </w:p>
        </w:tc>
        <w:tc>
          <w:tcPr>
            <w:tcW w:w="2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2021</w:t>
            </w:r>
          </w:p>
        </w:tc>
        <w:tc>
          <w:tcPr>
            <w:tcW w:w="4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2020</w:t>
            </w:r>
          </w:p>
        </w:tc>
      </w:tr>
      <w:tr>
        <w:trPr>
          <w:trHeight w:val="118"/>
        </w:trPr>
        <w:tc>
          <w:tcPr>
            <w:tcW w:w="37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218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0.5 - 1.0</w:t>
            </w: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jc w:val="center"/>
              <w:ind w:right="481"/>
              <w:spacing w:after="0" w:line="118" w:lineRule="exact"/>
              <w:rPr>
                <w:sz w:val="20"/>
                <w:szCs w:val="20"/>
                <w:color w:val="auto"/>
              </w:rPr>
            </w:pPr>
            <w:r>
              <w:rPr>
                <w:rFonts w:ascii="Arial" w:cs="Arial" w:eastAsia="Arial" w:hAnsi="Arial"/>
                <w:sz w:val="12"/>
                <w:szCs w:val="12"/>
                <w:color w:val="auto"/>
                <w:w w:val="95"/>
              </w:rPr>
              <w:t>0.5 - 1.0</w:t>
            </w: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0"/>
              </w:rPr>
              <w:t>0.5 - 1.0</w:t>
            </w: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0.5 - 1.0</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2180" w:type="dxa"/>
            <w:vAlign w:val="bottom"/>
          </w:tcPr>
          <w:p>
            <w:pPr>
              <w:jc w:val="center"/>
              <w:spacing w:after="0" w:line="129" w:lineRule="exact"/>
              <w:rPr>
                <w:sz w:val="20"/>
                <w:szCs w:val="20"/>
                <w:color w:val="auto"/>
              </w:rPr>
            </w:pPr>
            <w:r>
              <w:rPr>
                <w:rFonts w:ascii="Arial" w:cs="Arial" w:eastAsia="Arial" w:hAnsi="Arial"/>
                <w:sz w:val="12"/>
                <w:szCs w:val="12"/>
                <w:color w:val="auto"/>
                <w:w w:val="91"/>
              </w:rPr>
              <w:t>78%</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jc w:val="center"/>
              <w:ind w:right="481"/>
              <w:spacing w:after="0" w:line="129" w:lineRule="exact"/>
              <w:rPr>
                <w:sz w:val="20"/>
                <w:szCs w:val="20"/>
                <w:color w:val="auto"/>
              </w:rPr>
            </w:pPr>
            <w:r>
              <w:rPr>
                <w:rFonts w:ascii="Arial" w:cs="Arial" w:eastAsia="Arial" w:hAnsi="Arial"/>
                <w:sz w:val="12"/>
                <w:szCs w:val="12"/>
                <w:color w:val="auto"/>
                <w:w w:val="91"/>
              </w:rPr>
              <w:t>70%</w:t>
            </w:r>
          </w:p>
        </w:tc>
        <w:tc>
          <w:tcPr>
            <w:tcW w:w="2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9"/>
              </w:rPr>
              <w:t>78%</w:t>
            </w:r>
          </w:p>
        </w:tc>
        <w:tc>
          <w:tcPr>
            <w:tcW w:w="4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21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0.06 - 0.07%</w:t>
            </w: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jc w:val="center"/>
              <w:ind w:right="481"/>
              <w:spacing w:after="0" w:line="129" w:lineRule="exact"/>
              <w:rPr>
                <w:sz w:val="20"/>
                <w:szCs w:val="20"/>
                <w:color w:val="auto"/>
              </w:rPr>
            </w:pPr>
            <w:r>
              <w:rPr>
                <w:rFonts w:ascii="Arial" w:cs="Arial" w:eastAsia="Arial" w:hAnsi="Arial"/>
                <w:sz w:val="12"/>
                <w:szCs w:val="12"/>
                <w:color w:val="auto"/>
                <w:w w:val="94"/>
              </w:rPr>
              <w:t>0.1%</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0.06 - 0.1%</w:t>
            </w: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4"/>
              </w:rPr>
              <w:t>0.1 - 1.0%</w:t>
            </w:r>
          </w:p>
        </w:tc>
      </w:tr>
      <w:tr>
        <w:trPr>
          <w:trHeight w:val="156"/>
        </w:trPr>
        <w:tc>
          <w:tcPr>
            <w:tcW w:w="3780" w:type="dxa"/>
            <w:vAlign w:val="bottom"/>
          </w:tcPr>
          <w:p>
            <w:pPr>
              <w:spacing w:after="0"/>
              <w:rPr>
                <w:sz w:val="20"/>
                <w:szCs w:val="20"/>
                <w:color w:val="auto"/>
              </w:rPr>
            </w:pPr>
            <w:r>
              <w:rPr>
                <w:rFonts w:ascii="Arial" w:cs="Arial" w:eastAsia="Arial" w:hAnsi="Arial"/>
                <w:sz w:val="12"/>
                <w:szCs w:val="12"/>
                <w:color w:val="auto"/>
              </w:rPr>
              <w:t>Dividend yield</w:t>
            </w:r>
          </w:p>
        </w:tc>
        <w:tc>
          <w:tcPr>
            <w:tcW w:w="3120" w:type="dxa"/>
            <w:vAlign w:val="bottom"/>
            <w:gridSpan w:val="3"/>
          </w:tcPr>
          <w:p>
            <w:pPr>
              <w:jc w:val="center"/>
              <w:ind w:right="94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center"/>
              <w:ind w:right="740"/>
              <w:spacing w:after="0"/>
              <w:rPr>
                <w:sz w:val="20"/>
                <w:szCs w:val="20"/>
                <w:color w:val="auto"/>
              </w:rPr>
            </w:pPr>
            <w:r>
              <w:rPr>
                <w:rFonts w:ascii="Arial" w:cs="Arial" w:eastAsia="Arial" w:hAnsi="Arial"/>
                <w:sz w:val="12"/>
                <w:szCs w:val="12"/>
                <w:color w:val="auto"/>
              </w:rPr>
              <w:t>—</w:t>
            </w:r>
          </w:p>
        </w:tc>
        <w:tc>
          <w:tcPr>
            <w:tcW w:w="1740" w:type="dxa"/>
            <w:vAlign w:val="bottom"/>
            <w:gridSpan w:val="2"/>
          </w:tcPr>
          <w:p>
            <w:pPr>
              <w:jc w:val="center"/>
              <w:ind w:right="420"/>
              <w:spacing w:after="0"/>
              <w:rPr>
                <w:sz w:val="20"/>
                <w:szCs w:val="20"/>
                <w:color w:val="auto"/>
              </w:rPr>
            </w:pPr>
            <w:r>
              <w:rPr>
                <w:rFonts w:ascii="Arial" w:cs="Arial" w:eastAsia="Arial" w:hAnsi="Arial"/>
                <w:sz w:val="12"/>
                <w:szCs w:val="12"/>
                <w:color w:val="auto"/>
                <w:w w:val="99"/>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Research Grants and Agreements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Agreement</w:t>
      </w:r>
    </w:p>
    <w:p>
      <w:pPr>
        <w:spacing w:after="0" w:line="130" w:lineRule="exact"/>
        <w:rPr>
          <w:sz w:val="20"/>
          <w:szCs w:val="20"/>
          <w:color w:val="auto"/>
        </w:rPr>
      </w:pPr>
    </w:p>
    <w:p>
      <w:pPr>
        <w:jc w:val="both"/>
        <w:ind w:right="20" w:firstLine="336"/>
        <w:spacing w:after="0" w:line="255" w:lineRule="auto"/>
        <w:rPr>
          <w:sz w:val="20"/>
          <w:szCs w:val="20"/>
          <w:color w:val="auto"/>
        </w:rPr>
      </w:pPr>
      <w:r>
        <w:rPr>
          <w:rFonts w:ascii="Arial" w:cs="Arial" w:eastAsia="Arial" w:hAnsi="Arial"/>
          <w:sz w:val="12"/>
          <w:szCs w:val="12"/>
          <w:color w:val="auto"/>
        </w:rPr>
        <w:t>The Company may sponsor research activities (“SRAs”) performed by ODURF. ODURF is compensated by the Company for its conduct of each study in accordance with the budget and payment terms set forth in the applicable task order.</w:t>
      </w:r>
    </w:p>
    <w:p>
      <w:pPr>
        <w:spacing w:after="0" w:line="103" w:lineRule="exact"/>
        <w:rPr>
          <w:sz w:val="20"/>
          <w:szCs w:val="20"/>
          <w:color w:val="auto"/>
        </w:rPr>
      </w:pPr>
    </w:p>
    <w:p>
      <w:pPr>
        <w:jc w:val="both"/>
        <w:ind w:right="20" w:firstLine="336"/>
        <w:spacing w:after="0" w:line="236" w:lineRule="auto"/>
        <w:rPr>
          <w:sz w:val="20"/>
          <w:szCs w:val="20"/>
          <w:color w:val="auto"/>
        </w:rPr>
      </w:pPr>
      <w:r>
        <w:rPr>
          <w:rFonts w:ascii="Arial" w:cs="Arial" w:eastAsia="Arial" w:hAnsi="Arial"/>
          <w:sz w:val="12"/>
          <w:szCs w:val="12"/>
          <w:color w:val="auto"/>
        </w:rPr>
        <w:t>In March 2021, the Company agreed to sponsor a task order in the amount of $0.3 million for research performed during the subsequent 12-month period to be funded through monthly payments to ODURF. In May 2021, the Company agreed to sponsor an additional task order in the amount of $0.3 million for research performed during the subsequent 12-month period to be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6" w:name="page17"/>
    <w:bookmarkEnd w:id="16"/>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4" w:lineRule="exact"/>
        <w:rPr>
          <w:sz w:val="20"/>
          <w:szCs w:val="20"/>
          <w:color w:val="auto"/>
        </w:rPr>
      </w:pPr>
    </w:p>
    <w:p>
      <w:pPr>
        <w:ind w:left="6" w:firstLine="336"/>
        <w:spacing w:after="0" w:line="255" w:lineRule="auto"/>
        <w:rPr>
          <w:sz w:val="20"/>
          <w:szCs w:val="20"/>
          <w:color w:val="auto"/>
        </w:rPr>
      </w:pPr>
      <w:r>
        <w:rPr>
          <w:rFonts w:ascii="Arial" w:cs="Arial" w:eastAsia="Arial" w:hAnsi="Arial"/>
          <w:sz w:val="12"/>
          <w:szCs w:val="12"/>
          <w:color w:val="auto"/>
        </w:rPr>
        <w:t>During the three-month periods ended September 30, 2021 and 2020, the Company incurred costs relating to the SRAs equal to $0.1 million and $0.2 million, respectively; and during the nine-month periods ended September 30, 2021 and 2020, incurred costs equal to $0.2 million and $0.6 million, respectively.</w:t>
      </w:r>
    </w:p>
    <w:p>
      <w:pPr>
        <w:spacing w:after="0" w:line="90" w:lineRule="exact"/>
        <w:rPr>
          <w:sz w:val="20"/>
          <w:szCs w:val="20"/>
          <w:color w:val="auto"/>
        </w:rPr>
      </w:pPr>
    </w:p>
    <w:p>
      <w:pPr>
        <w:ind w:left="306" w:right="9420" w:hanging="306"/>
        <w:spacing w:after="0" w:line="552" w:lineRule="auto"/>
        <w:tabs>
          <w:tab w:leader="none" w:pos="159" w:val="left"/>
        </w:tabs>
        <w:numPr>
          <w:ilvl w:val="0"/>
          <w:numId w:val="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Commitments and Contingencies </w:t>
      </w:r>
      <w:r>
        <w:rPr>
          <w:rFonts w:ascii="Arial" w:cs="Arial" w:eastAsia="Arial" w:hAnsi="Arial"/>
          <w:sz w:val="10"/>
          <w:szCs w:val="10"/>
          <w:b w:val="1"/>
          <w:bCs w:val="1"/>
          <w:i w:val="1"/>
          <w:iCs w:val="1"/>
          <w:color w:val="auto"/>
        </w:rPr>
        <w:t>Loan Agreement</w:t>
      </w:r>
    </w:p>
    <w:p>
      <w:pPr>
        <w:spacing w:after="0" w:line="1" w:lineRule="exact"/>
        <w:rPr>
          <w:sz w:val="20"/>
          <w:szCs w:val="20"/>
          <w:color w:val="auto"/>
        </w:rPr>
      </w:pPr>
    </w:p>
    <w:p>
      <w:pPr>
        <w:jc w:val="both"/>
        <w:ind w:left="6" w:firstLine="301"/>
        <w:spacing w:after="0" w:line="236" w:lineRule="auto"/>
        <w:rPr>
          <w:sz w:val="20"/>
          <w:szCs w:val="20"/>
          <w:color w:val="auto"/>
        </w:rPr>
      </w:pPr>
      <w:r>
        <w:rPr>
          <w:rFonts w:ascii="Arial" w:cs="Arial" w:eastAsia="Arial" w:hAnsi="Arial"/>
          <w:sz w:val="12"/>
          <w:szCs w:val="12"/>
          <w:color w:val="auto"/>
        </w:rPr>
        <w:t>On March 11, 2021, the Company and Robert W. Duggan, the Board Chairman, entered into a Loan Agreement in connection with Mr. Duggan lending the principal sum of $41.0 million to the Company. The Loan Agreement bore interest at a rate per annum equal to 5.0%, payable quarterly commencing on July 1, 2021. During the nine-month periods ended September 30, 2021, the Company recorded $0.6 million of interest expense in relation to this Loan Agreement. In June 2021, the Loan Agreement was terminated and $41.0 million principal, together with approximately $0.6 million of accrued and unpaid interest, was fully settled via issuance of the Company’s common stock at a price per share of $16.40. Refer to Note 6 for additional details of the private placement sale.</w:t>
      </w:r>
    </w:p>
    <w:p>
      <w:pPr>
        <w:spacing w:after="0" w:line="94" w:lineRule="exact"/>
        <w:rPr>
          <w:sz w:val="20"/>
          <w:szCs w:val="20"/>
          <w:color w:val="auto"/>
        </w:rPr>
      </w:pPr>
    </w:p>
    <w:p>
      <w:pPr>
        <w:ind w:left="306"/>
        <w:spacing w:after="0"/>
        <w:rPr>
          <w:sz w:val="20"/>
          <w:szCs w:val="20"/>
          <w:color w:val="auto"/>
        </w:rPr>
      </w:pPr>
      <w:r>
        <w:rPr>
          <w:rFonts w:ascii="Arial" w:cs="Arial" w:eastAsia="Arial" w:hAnsi="Arial"/>
          <w:sz w:val="12"/>
          <w:szCs w:val="12"/>
          <w:b w:val="1"/>
          <w:bCs w:val="1"/>
          <w:i w:val="1"/>
          <w:iCs w:val="1"/>
          <w:color w:val="auto"/>
        </w:rPr>
        <w:t>Insurance Loan Agreement</w:t>
      </w:r>
    </w:p>
    <w:p>
      <w:pPr>
        <w:spacing w:after="0" w:line="139" w:lineRule="exact"/>
        <w:rPr>
          <w:sz w:val="20"/>
          <w:szCs w:val="20"/>
          <w:color w:val="auto"/>
        </w:rPr>
      </w:pPr>
    </w:p>
    <w:p>
      <w:pPr>
        <w:jc w:val="both"/>
        <w:ind w:left="6" w:firstLine="301"/>
        <w:spacing w:after="0" w:line="272" w:lineRule="auto"/>
        <w:rPr>
          <w:sz w:val="20"/>
          <w:szCs w:val="20"/>
          <w:color w:val="auto"/>
        </w:rPr>
      </w:pPr>
      <w:r>
        <w:rPr>
          <w:rFonts w:ascii="Arial" w:cs="Arial" w:eastAsia="Arial" w:hAnsi="Arial"/>
          <w:sz w:val="11"/>
          <w:szCs w:val="11"/>
          <w:color w:val="auto"/>
        </w:rPr>
        <w:t>On May 13, 2021, the Company secured its annual director and officer liability insurance policy. The total premiums for the policy are approximately $2.6 million, of which the Company made a down payment of $0.7 million and financed the balance of $1.9 million via an Insurance Loan Agreement. The Insurance Loan Agreement has an annual interest rate of 3.69% and requires monthly payments through February 2022, upon which the Insurance Loan Agreement will be paid in full. The outstanding principal portion of the Insurance Loan Agreement, together with any accrued and unpaid interest, is recorded as a note payable in the balance sheet.</w:t>
      </w:r>
    </w:p>
    <w:p>
      <w:pPr>
        <w:spacing w:after="0" w:line="87" w:lineRule="exact"/>
        <w:rPr>
          <w:sz w:val="20"/>
          <w:szCs w:val="20"/>
          <w:color w:val="auto"/>
        </w:rPr>
      </w:pPr>
    </w:p>
    <w:p>
      <w:pPr>
        <w:ind w:left="266"/>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20" w:lineRule="exact"/>
        <w:rPr>
          <w:sz w:val="20"/>
          <w:szCs w:val="20"/>
          <w:color w:val="auto"/>
        </w:rPr>
      </w:pPr>
    </w:p>
    <w:p>
      <w:pPr>
        <w:ind w:left="306"/>
        <w:spacing w:after="0"/>
        <w:rPr>
          <w:sz w:val="20"/>
          <w:szCs w:val="20"/>
          <w:color w:val="auto"/>
        </w:rPr>
      </w:pPr>
      <w:r>
        <w:rPr>
          <w:rFonts w:ascii="Arial" w:cs="Arial" w:eastAsia="Arial" w:hAnsi="Arial"/>
          <w:sz w:val="11"/>
          <w:szCs w:val="11"/>
          <w:color w:val="auto"/>
        </w:rPr>
        <w:t>In January 2017, the Company entered into a five-year lease (the “Existing Lease”) for approximately 15,700 square feet for its corporate headquarters located in Hayward, California. The lease commenced in July 2017.</w:t>
      </w:r>
    </w:p>
    <w:p>
      <w:pPr>
        <w:spacing w:after="0" w:line="132" w:lineRule="exact"/>
        <w:rPr>
          <w:sz w:val="20"/>
          <w:szCs w:val="20"/>
          <w:color w:val="auto"/>
        </w:rPr>
      </w:pPr>
    </w:p>
    <w:p>
      <w:pPr>
        <w:jc w:val="both"/>
        <w:ind w:left="6" w:right="20" w:firstLine="301"/>
        <w:spacing w:after="0" w:line="300" w:lineRule="auto"/>
        <w:rPr>
          <w:sz w:val="20"/>
          <w:szCs w:val="20"/>
          <w:color w:val="auto"/>
        </w:rPr>
      </w:pPr>
      <w:r>
        <w:rPr>
          <w:rFonts w:ascii="Arial" w:cs="Arial" w:eastAsia="Arial" w:hAnsi="Arial"/>
          <w:sz w:val="11"/>
          <w:szCs w:val="11"/>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71" w:lineRule="exact"/>
        <w:rPr>
          <w:sz w:val="20"/>
          <w:szCs w:val="20"/>
          <w:color w:val="auto"/>
        </w:rPr>
      </w:pPr>
    </w:p>
    <w:p>
      <w:pPr>
        <w:jc w:val="both"/>
        <w:ind w:left="6" w:right="20" w:firstLine="301"/>
        <w:spacing w:after="0" w:line="236" w:lineRule="auto"/>
        <w:rPr>
          <w:sz w:val="20"/>
          <w:szCs w:val="20"/>
          <w:color w:val="auto"/>
        </w:rPr>
      </w:pPr>
      <w:r>
        <w:rPr>
          <w:rFonts w:ascii="Arial" w:cs="Arial" w:eastAsia="Arial" w:hAnsi="Arial"/>
          <w:sz w:val="12"/>
          <w:szCs w:val="12"/>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94" w:lineRule="exact"/>
        <w:rPr>
          <w:sz w:val="20"/>
          <w:szCs w:val="20"/>
          <w:color w:val="auto"/>
        </w:rPr>
      </w:pPr>
    </w:p>
    <w:p>
      <w:pPr>
        <w:ind w:left="306"/>
        <w:spacing w:after="0"/>
        <w:rPr>
          <w:sz w:val="20"/>
          <w:szCs w:val="20"/>
          <w:color w:val="auto"/>
        </w:rPr>
      </w:pPr>
      <w:r>
        <w:rPr>
          <w:rFonts w:ascii="Arial" w:cs="Arial" w:eastAsia="Arial" w:hAnsi="Arial"/>
          <w:sz w:val="12"/>
          <w:szCs w:val="12"/>
          <w:color w:val="auto"/>
        </w:rPr>
        <w:t>Information related to the Company’s right-of-use assets and related lease liabilities are as follows (in thousands, except for remaining lease term and discount rate):</w:t>
      </w:r>
    </w:p>
    <w:p>
      <w:pPr>
        <w:spacing w:after="0" w:line="139" w:lineRule="exact"/>
        <w:rPr>
          <w:sz w:val="20"/>
          <w:szCs w:val="20"/>
          <w:color w:val="auto"/>
        </w:rPr>
      </w:pPr>
    </w:p>
    <w:tbl>
      <w:tblPr>
        <w:tblLayout w:type="fixed"/>
        <w:tblInd w:w="6" w:type="dxa"/>
        <w:tblCellMar>
          <w:top w:w="0" w:type="dxa"/>
          <w:left w:w="0" w:type="dxa"/>
          <w:bottom w:w="0" w:type="dxa"/>
          <w:right w:w="0" w:type="dxa"/>
        </w:tblCellMar>
      </w:tblPr>
      <w:tr>
        <w:trPr>
          <w:trHeight w:val="147"/>
        </w:trPr>
        <w:tc>
          <w:tcPr>
            <w:tcW w:w="3460" w:type="dxa"/>
            <w:vAlign w:val="bottom"/>
          </w:tcPr>
          <w:p>
            <w:pPr>
              <w:spacing w:after="0"/>
              <w:rPr>
                <w:sz w:val="20"/>
                <w:szCs w:val="20"/>
                <w:color w:val="auto"/>
              </w:rPr>
            </w:pPr>
            <w:r>
              <w:rPr>
                <w:rFonts w:ascii="Arial" w:cs="Arial" w:eastAsia="Arial" w:hAnsi="Arial"/>
                <w:sz w:val="12"/>
                <w:szCs w:val="12"/>
                <w:color w:val="auto"/>
              </w:rPr>
              <w:t>Year Ending December 31:</w:t>
            </w:r>
          </w:p>
        </w:tc>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2021 (remaining 3 months)</w:t>
            </w:r>
          </w:p>
        </w:tc>
        <w:tc>
          <w:tcPr>
            <w:tcW w:w="6700" w:type="dxa"/>
            <w:vAlign w:val="bottom"/>
            <w:gridSpan w:val="2"/>
            <w:shd w:val="clear" w:color="auto" w:fill="CCEEFF"/>
          </w:tcPr>
          <w:p>
            <w:pPr>
              <w:ind w:left="59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447</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2022</w:t>
            </w:r>
          </w:p>
        </w:tc>
        <w:tc>
          <w:tcPr>
            <w:tcW w:w="5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1,806</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5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1,845</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2024</w:t>
            </w:r>
          </w:p>
        </w:tc>
        <w:tc>
          <w:tcPr>
            <w:tcW w:w="5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1,910</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2025</w:t>
            </w:r>
          </w:p>
        </w:tc>
        <w:tc>
          <w:tcPr>
            <w:tcW w:w="5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1,976</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2026</w:t>
            </w:r>
          </w:p>
        </w:tc>
        <w:tc>
          <w:tcPr>
            <w:tcW w:w="5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2,046</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Thereafter</w:t>
            </w:r>
          </w:p>
        </w:tc>
        <w:tc>
          <w:tcPr>
            <w:tcW w:w="59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6,191</w:t>
            </w:r>
          </w:p>
        </w:tc>
      </w:tr>
      <w:tr>
        <w:trPr>
          <w:trHeight w:val="118"/>
        </w:trPr>
        <w:tc>
          <w:tcPr>
            <w:tcW w:w="3460" w:type="dxa"/>
            <w:vAlign w:val="bottom"/>
          </w:tcPr>
          <w:p>
            <w:pPr>
              <w:spacing w:after="0" w:line="118" w:lineRule="exact"/>
              <w:rPr>
                <w:sz w:val="20"/>
                <w:szCs w:val="20"/>
                <w:color w:val="auto"/>
              </w:rPr>
            </w:pPr>
            <w:r>
              <w:rPr>
                <w:rFonts w:ascii="Arial" w:cs="Arial" w:eastAsia="Arial" w:hAnsi="Arial"/>
                <w:sz w:val="12"/>
                <w:szCs w:val="12"/>
                <w:color w:val="auto"/>
              </w:rPr>
              <w:t>Total lease payments</w:t>
            </w:r>
          </w:p>
        </w:tc>
        <w:tc>
          <w:tcPr>
            <w:tcW w:w="5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jc w:val="right"/>
              <w:spacing w:after="0" w:line="118" w:lineRule="exact"/>
              <w:rPr>
                <w:sz w:val="20"/>
                <w:szCs w:val="20"/>
                <w:color w:val="auto"/>
              </w:rPr>
            </w:pPr>
            <w:r>
              <w:rPr>
                <w:rFonts w:ascii="Arial" w:cs="Arial" w:eastAsia="Arial" w:hAnsi="Arial"/>
                <w:sz w:val="12"/>
                <w:szCs w:val="12"/>
                <w:color w:val="auto"/>
              </w:rPr>
              <w:t>16,221</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Less imputed interest</w:t>
            </w:r>
          </w:p>
        </w:tc>
        <w:tc>
          <w:tcPr>
            <w:tcW w:w="59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(5,230)</w:t>
            </w:r>
          </w:p>
        </w:tc>
      </w:tr>
      <w:tr>
        <w:trPr>
          <w:trHeight w:val="126"/>
        </w:trPr>
        <w:tc>
          <w:tcPr>
            <w:tcW w:w="3460" w:type="dxa"/>
            <w:vAlign w:val="bottom"/>
          </w:tcPr>
          <w:p>
            <w:pPr>
              <w:ind w:left="140"/>
              <w:spacing w:after="0" w:line="118" w:lineRule="exact"/>
              <w:rPr>
                <w:sz w:val="20"/>
                <w:szCs w:val="20"/>
                <w:color w:val="auto"/>
              </w:rPr>
            </w:pPr>
            <w:r>
              <w:rPr>
                <w:rFonts w:ascii="Arial" w:cs="Arial" w:eastAsia="Arial" w:hAnsi="Arial"/>
                <w:sz w:val="12"/>
                <w:szCs w:val="12"/>
                <w:color w:val="auto"/>
              </w:rPr>
              <w:t>Total lease liabilities</w:t>
            </w:r>
          </w:p>
        </w:tc>
        <w:tc>
          <w:tcPr>
            <w:tcW w:w="5900" w:type="dxa"/>
            <w:vAlign w:val="bottom"/>
          </w:tcPr>
          <w:p>
            <w:pPr>
              <w:spacing w:after="0"/>
              <w:rPr>
                <w:sz w:val="10"/>
                <w:szCs w:val="10"/>
                <w:color w:val="auto"/>
              </w:rPr>
            </w:pPr>
          </w:p>
        </w:tc>
        <w:tc>
          <w:tcPr>
            <w:tcW w:w="80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10,991</w:t>
            </w:r>
          </w:p>
        </w:tc>
      </w:tr>
      <w:tr>
        <w:trPr>
          <w:trHeight w:val="414"/>
        </w:trPr>
        <w:tc>
          <w:tcPr>
            <w:tcW w:w="3460" w:type="dxa"/>
            <w:vAlign w:val="bottom"/>
          </w:tcPr>
          <w:p>
            <w:pPr>
              <w:spacing w:after="0"/>
              <w:rPr>
                <w:sz w:val="24"/>
                <w:szCs w:val="24"/>
                <w:color w:val="auto"/>
              </w:rPr>
            </w:pPr>
          </w:p>
        </w:tc>
        <w:tc>
          <w:tcPr>
            <w:tcW w:w="5900" w:type="dxa"/>
            <w:vAlign w:val="bottom"/>
          </w:tcPr>
          <w:p>
            <w:pPr>
              <w:jc w:val="right"/>
              <w:ind w:right="3605"/>
              <w:spacing w:after="0"/>
              <w:rPr>
                <w:sz w:val="20"/>
                <w:szCs w:val="20"/>
                <w:color w:val="auto"/>
              </w:rPr>
            </w:pPr>
            <w:r>
              <w:rPr>
                <w:rFonts w:ascii="Arial" w:cs="Arial" w:eastAsia="Arial" w:hAnsi="Arial"/>
                <w:sz w:val="12"/>
                <w:szCs w:val="12"/>
                <w:color w:val="auto"/>
              </w:rPr>
              <w:t>17</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3460" w:type="dxa"/>
            <w:vAlign w:val="bottom"/>
            <w:tcBorders>
              <w:bottom w:val="single" w:sz="8" w:color="9A9A9A"/>
            </w:tcBorders>
          </w:tcPr>
          <w:p>
            <w:pPr>
              <w:spacing w:after="0"/>
              <w:rPr>
                <w:sz w:val="18"/>
                <w:szCs w:val="18"/>
                <w:color w:val="auto"/>
              </w:rPr>
            </w:pPr>
          </w:p>
        </w:tc>
        <w:tc>
          <w:tcPr>
            <w:tcW w:w="59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17" w:name="page18"/>
    <w:bookmarkEnd w:id="1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supplemental information:</w:t>
      </w:r>
    </w:p>
    <w:p>
      <w:pPr>
        <w:spacing w:after="0" w:line="233" w:lineRule="auto"/>
        <w:rPr>
          <w:sz w:val="20"/>
          <w:szCs w:val="20"/>
          <w:color w:val="auto"/>
        </w:rPr>
      </w:pPr>
      <w:r>
        <w:rPr>
          <w:rFonts w:ascii="Arial" w:cs="Arial" w:eastAsia="Arial" w:hAnsi="Arial"/>
          <w:sz w:val="12"/>
          <w:szCs w:val="12"/>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5500" cy="81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7550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9398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2"/>
          <w:szCs w:val="12"/>
          <w:color w:val="auto"/>
        </w:rPr>
        <w:t>Total lease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75500" cy="81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175500" cy="81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discount rate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0" w:type="dxa"/>
            <w:vAlign w:val="bottom"/>
            <w:gridSpan w:val="2"/>
          </w:tcPr>
          <w:p>
            <w:pPr>
              <w:jc w:val="right"/>
              <w:ind w:right="7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749</w:t>
            </w:r>
          </w:p>
        </w:tc>
      </w:tr>
      <w:tr>
        <w:trPr>
          <w:trHeight w:val="147"/>
        </w:trPr>
        <w:tc>
          <w:tcPr>
            <w:tcW w:w="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10,242</w:t>
            </w:r>
          </w:p>
        </w:tc>
      </w:tr>
      <w:tr>
        <w:trPr>
          <w:trHeight w:val="126"/>
        </w:trPr>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714"/>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10,991</w:t>
            </w:r>
          </w:p>
        </w:tc>
      </w:tr>
      <w:tr>
        <w:trPr>
          <w:trHeight w:val="267"/>
        </w:trPr>
        <w:tc>
          <w:tcPr>
            <w:tcW w:w="800" w:type="dxa"/>
            <w:vAlign w:val="bottom"/>
            <w:gridSpan w:val="2"/>
          </w:tcPr>
          <w:p>
            <w:pPr>
              <w:jc w:val="right"/>
              <w:ind w:right="7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1,196</w:t>
            </w:r>
          </w:p>
        </w:tc>
      </w:tr>
      <w:tr>
        <w:trPr>
          <w:trHeight w:val="232"/>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8.08</w:t>
            </w:r>
          </w:p>
        </w:tc>
      </w:tr>
      <w:tr>
        <w:trPr>
          <w:trHeight w:val="156"/>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w:t>
            </w:r>
          </w:p>
        </w:tc>
      </w:tr>
    </w:tbl>
    <w:p>
      <w:pPr>
        <w:spacing w:after="0" w:line="94" w:lineRule="exact"/>
        <w:rPr>
          <w:sz w:val="20"/>
          <w:szCs w:val="20"/>
          <w:color w:val="auto"/>
        </w:rPr>
      </w:pPr>
    </w:p>
    <w:p>
      <w:pPr>
        <w:sectPr>
          <w:pgSz w:w="11900" w:h="16838" w:orient="portrait"/>
          <w:cols w:equalWidth="0" w:num="2">
            <w:col w:w="8640" w:space="720"/>
            <w:col w:w="1940"/>
          </w:cols>
          <w:pgMar w:left="300" w:top="118" w:right="299" w:bottom="1440" w:gutter="0" w:footer="0" w:header="0"/>
        </w:sectPr>
      </w:pPr>
    </w:p>
    <w:p>
      <w:pPr>
        <w:jc w:val="both"/>
        <w:ind w:right="20" w:firstLine="301"/>
        <w:spacing w:after="0" w:line="255" w:lineRule="auto"/>
        <w:rPr>
          <w:sz w:val="20"/>
          <w:szCs w:val="20"/>
          <w:color w:val="auto"/>
        </w:rPr>
      </w:pPr>
      <w:r>
        <w:rPr>
          <w:rFonts w:ascii="Arial" w:cs="Arial" w:eastAsia="Arial" w:hAnsi="Arial"/>
          <w:sz w:val="12"/>
          <w:szCs w:val="12"/>
          <w:color w:val="auto"/>
        </w:rPr>
        <w:t>Rent expense, including common area maintenance charges, was $0.5 million for each of the three-month periods ended September 30, 2021 and 2020; and was approximately $1.5 million and $1.2 million during the nine-month periods ended September 30, 2021 and 2020, respectively.</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From time to time, the Company may be involved in a variety of claims, lawsuits, investigations, and proceedings relating to securities laws, corporate governance, product liability and promotion, patent infringement, contract disputes, employment disputes, and other matters relating to various claims that arise in the normal course of the Company’s business, such as demands to inspect Company records and correspondence from the SEC and other government officials. The Company currently believes that these ordinary course matters are not material to the condensed consolidated financial statements of the business; however, the results of litigation and claims are inherently unpredictable.</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Controlled Launch</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In February 2021, the Company received 510(k) clearance from the U.S. FDA for its proprietary CellFX System with initial clearance for a general dermatologic indication. In January 2021, the Company received CE marking approval for the CellFX System, which allows for marketing of the system in the EU for treatment of general dermatologic conditions, including SH, SK, and cutaneous non-genital warts. Additionally, in June 2021 the Company received Health Canada approval for the CellFX System, which allows for marketing of the system in Canada for use in dermatological procedures requiring ablation and resurfacing of the skin for the reduction, removal, and/or clearance of cellular-based benign lesions. The Company commenced a controlled launch of the CellFX System in February 2021 with key opinion leaders in dermatology via its CellFX Expectations Excelled Program (the “Program”).</w:t>
      </w:r>
    </w:p>
    <w:p>
      <w:pPr>
        <w:spacing w:after="0" w:line="105" w:lineRule="exact"/>
        <w:rPr>
          <w:sz w:val="20"/>
          <w:szCs w:val="20"/>
          <w:color w:val="auto"/>
        </w:rPr>
      </w:pPr>
    </w:p>
    <w:p>
      <w:pPr>
        <w:jc w:val="both"/>
        <w:ind w:firstLine="301"/>
        <w:spacing w:after="0" w:line="229" w:lineRule="auto"/>
        <w:rPr>
          <w:sz w:val="20"/>
          <w:szCs w:val="20"/>
          <w:color w:val="auto"/>
        </w:rPr>
      </w:pPr>
      <w:r>
        <w:rPr>
          <w:rFonts w:ascii="Arial" w:cs="Arial" w:eastAsia="Arial" w:hAnsi="Arial"/>
          <w:sz w:val="12"/>
          <w:szCs w:val="12"/>
          <w:color w:val="auto"/>
        </w:rPr>
        <w:t>As part of the Program, the Company will select up to a total of approximately 80 key opinion leaders in dermatology across the United States, EU and Canada to be the first physician consultants to launch the CellFX System and the associated CellFX commercial procedures into their respective markets and geographies. The Company has already executed consulting agreements to retain most of these key opinion leaders to participate in the Program. According to the Program plan, the Company provides and sets up a CellFX System at each consultant’s site and provides the consultant with the necessary related products and components, free of charge, to complete the requirements of the Program. Each CellFX System and any unused component products remain the property of the Company throughout the Program. Each consultant identifies and recruits up to 40 or 50 patients, depending on the contract, for participation in the Program, performing a CellFX procedure on each of the appropriately selected patients. Under the Program, the consultants and their patients complete evaluation surveys about their experiences with the CellFX System and provide other information helpful to the Company. Upon completion of the procedures and the survey feedback, the consultants earn either credits which can be used towards the future purchase of the CellFX System or, in some jurisdictions, fair payment for their time and effort completing the paperwork required under the Program. Credits earned and, if applicable, any other payments earned are limited to a maximum amount dependent on number of surveys received by the Company. Upon completion of the maximum number of patient procedures, each consultant may choose to either enter into a purchase agreement with the Company, under which the consultant may use the credits earned (or other payments earned, as applicable) towards the purchase of the already-delivered CellFX System, or the consultant must return the CellFX System to 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18" w:name="page19"/>
    <w:bookmarkEnd w:id="1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As patient procedures and surveys are completed under the Program, the Company accrues the value of the credits earned, which are recorded in accrued expenses, with a corresponding charge to sales and marketing expense. During the three-month and nine-month periods ended September 30, 2021, the Company recorded $0.6 million and $1.2 million, respectively, of sales and marketing expense in relation to the Program.</w:t>
      </w:r>
    </w:p>
    <w:p>
      <w:pPr>
        <w:spacing w:after="0" w:line="71"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During the three-month period ended September 30, 2021, certain consultants completed the Program and entered into purchase agreements with the Company, whereby they used their credits or other earned payments towards the purchase of a CellFX System. Approximately $0.5 million of accrued liability was recognized as revenue as a result of the purchase. See Note 10 for additional detail of revenue transactions.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Revenue</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Sales contracts often involve the sale and delivery of multiple performance obligations in the contract.</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Performance Obligations</w:t>
      </w:r>
    </w:p>
    <w:p>
      <w:pPr>
        <w:spacing w:after="0" w:line="120"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Systems consist of the CellFX console and its embedded software, handpieces, and disposable tips. The console is a physical piece of hardware used by the customer to perform patient procedures. Individually the console and software are not distinct, therefore the Company combines the console and embedded software to form one distinct system performance obligation. Payment for systems is generally due prior to shipment, and the system performance obligation is satisfied upon delivery of the system to the customer.</w:t>
      </w:r>
    </w:p>
    <w:p>
      <w:pPr>
        <w:spacing w:after="0" w:line="95" w:lineRule="exact"/>
        <w:rPr>
          <w:sz w:val="20"/>
          <w:szCs w:val="20"/>
          <w:color w:val="auto"/>
        </w:rPr>
      </w:pPr>
    </w:p>
    <w:p>
      <w:pPr>
        <w:jc w:val="both"/>
        <w:ind w:right="20" w:firstLine="301"/>
        <w:spacing w:after="0" w:line="272" w:lineRule="auto"/>
        <w:rPr>
          <w:sz w:val="20"/>
          <w:szCs w:val="20"/>
          <w:color w:val="auto"/>
        </w:rPr>
      </w:pPr>
      <w:r>
        <w:rPr>
          <w:rFonts w:ascii="Arial" w:cs="Arial" w:eastAsia="Arial" w:hAnsi="Arial"/>
          <w:sz w:val="11"/>
          <w:szCs w:val="11"/>
          <w:color w:val="auto"/>
        </w:rPr>
        <w:t>Handpieces are attached to the console and used in conjunction with tips to perform patient procedures. Generally, upon initial sale of a system to a customer, the Company will include two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spacing w:after="0" w:line="77"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are available for sale on a stand-alone basis and payment is generally due prior to shipment. Tips represent a distinct performance obligation which is satisfied either upon shipment, or upon delivery of the tips to the customer, depending on the specific contract.</w:t>
      </w:r>
    </w:p>
    <w:p>
      <w:pPr>
        <w:spacing w:after="0" w:line="104"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Cycle units (“CUs”)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no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upon delivery of the CUs to CellFX CloudConnect.</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Transaction Price</w:t>
      </w:r>
    </w:p>
    <w:p>
      <w:pPr>
        <w:spacing w:after="0" w:line="111"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no impact to revenue recognition timing, and the Company has determined allocations are not necessary. Should the customer purchase additional CUs, handpieces, or tips at a later time, those purchases will be made under separate purchase agreements, generally containing only one performance obligation each, therefore no price allocation is necessary in that scenario either.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9" w:name="page20"/>
    <w:bookmarkEnd w:id="1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 Company evaluates the possible impact of variable consideration in determining the transaction price, in particular the possibility of future returns or credits.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Controlled Launch Agreements</w:t>
      </w:r>
    </w:p>
    <w:p>
      <w:pPr>
        <w:spacing w:after="0" w:line="111"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In August 2021 the Company began to recognize revenue in relation to the conversion of consultants from the Program to sales agreements (Note 9). These customers were already in possession of the system, handpiece, and tips. As such, upon execution of these purchase agreements, the Company recognized revenue for the full transaction price listed on the agreements because control of all performance obligations were transferred at that time. These customers have separately purchased CUs in order to operate the systems and the revenue for these CUs was recognized upon delivery of the CUs to CellFX CloudConnect.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Segment Reporting</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 operates and manages the business as one reportable and operating segment. The Company’s Chief Executive Officer and Chief Financial Officer act as the chief operating decision makers (“CODM”) of the Company. The CODM reviews the results of the Company on a consolidated basis, however in making certain operating decisions and assessing performance, the CODM will additionally review the disaggregated revenue results by product and geography. All of the Company’s long-lived assets are based in the United States.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Revenue by product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gridSpan w:val="3"/>
          </w:tcPr>
          <w:p>
            <w:pPr>
              <w:jc w:val="center"/>
              <w:ind w:right="449"/>
              <w:spacing w:after="0"/>
              <w:rPr>
                <w:sz w:val="20"/>
                <w:szCs w:val="20"/>
                <w:color w:val="auto"/>
              </w:rPr>
            </w:pPr>
            <w:r>
              <w:rPr>
                <w:rFonts w:ascii="Arial" w:cs="Arial" w:eastAsia="Arial" w:hAnsi="Arial"/>
                <w:sz w:val="10"/>
                <w:szCs w:val="10"/>
                <w:b w:val="1"/>
                <w:bCs w:val="1"/>
                <w:color w:val="auto"/>
                <w:w w:val="89"/>
              </w:rPr>
              <w:t>Three-Month Periods Ended</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gridSpan w:val="3"/>
          </w:tcPr>
          <w:p>
            <w:pPr>
              <w:jc w:val="center"/>
              <w:spacing w:after="0"/>
              <w:rPr>
                <w:sz w:val="20"/>
                <w:szCs w:val="20"/>
                <w:color w:val="auto"/>
              </w:rPr>
            </w:pPr>
            <w:r>
              <w:rPr>
                <w:rFonts w:ascii="Arial" w:cs="Arial" w:eastAsia="Arial" w:hAnsi="Arial"/>
                <w:sz w:val="10"/>
                <w:szCs w:val="10"/>
                <w:b w:val="1"/>
                <w:bCs w:val="1"/>
                <w:color w:val="auto"/>
                <w:w w:val="89"/>
              </w:rPr>
              <w:t>Nine-Month Periods Ended</w:t>
            </w:r>
          </w:p>
        </w:tc>
        <w:tc>
          <w:tcPr>
            <w:tcW w:w="900" w:type="dxa"/>
            <w:vAlign w:val="bottom"/>
          </w:tcPr>
          <w:p>
            <w:pPr>
              <w:spacing w:after="0"/>
              <w:rPr>
                <w:sz w:val="10"/>
                <w:szCs w:val="10"/>
                <w:color w:val="auto"/>
              </w:rPr>
            </w:pPr>
          </w:p>
        </w:tc>
      </w:tr>
      <w:tr>
        <w:trPr>
          <w:trHeight w:val="116"/>
        </w:trPr>
        <w:tc>
          <w:tcPr>
            <w:tcW w:w="49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tcPr>
          <w:p>
            <w:pPr>
              <w:jc w:val="center"/>
              <w:ind w:right="449"/>
              <w:spacing w:after="0"/>
              <w:rPr>
                <w:sz w:val="20"/>
                <w:szCs w:val="20"/>
                <w:color w:val="auto"/>
              </w:rPr>
            </w:pPr>
            <w:r>
              <w:rPr>
                <w:rFonts w:ascii="Arial" w:cs="Arial" w:eastAsia="Arial" w:hAnsi="Arial"/>
                <w:sz w:val="10"/>
                <w:szCs w:val="10"/>
                <w:b w:val="1"/>
                <w:bCs w:val="1"/>
                <w:color w:val="auto"/>
                <w:w w:val="87"/>
              </w:rPr>
              <w:t>September 30,</w:t>
            </w: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September 30,</w:t>
            </w:r>
          </w:p>
        </w:tc>
        <w:tc>
          <w:tcPr>
            <w:tcW w:w="900" w:type="dxa"/>
            <w:vAlign w:val="bottom"/>
            <w:tcBorders>
              <w:bottom w:val="single" w:sz="8" w:color="auto"/>
            </w:tcBorders>
          </w:tcPr>
          <w:p>
            <w:pPr>
              <w:spacing w:after="0"/>
              <w:rPr>
                <w:sz w:val="10"/>
                <w:szCs w:val="10"/>
                <w:color w:val="auto"/>
              </w:rPr>
            </w:pPr>
          </w:p>
        </w:tc>
      </w:tr>
      <w:tr>
        <w:trPr>
          <w:trHeight w:val="91"/>
        </w:trPr>
        <w:tc>
          <w:tcPr>
            <w:tcW w:w="4900" w:type="dxa"/>
            <w:vAlign w:val="bottom"/>
          </w:tcPr>
          <w:p>
            <w:pPr>
              <w:spacing w:after="0"/>
              <w:rPr>
                <w:sz w:val="7"/>
                <w:szCs w:val="7"/>
                <w:color w:val="auto"/>
              </w:rPr>
            </w:pPr>
          </w:p>
        </w:tc>
        <w:tc>
          <w:tcPr>
            <w:tcW w:w="900" w:type="dxa"/>
            <w:vAlign w:val="bottom"/>
          </w:tcPr>
          <w:p>
            <w:pPr>
              <w:jc w:val="center"/>
              <w:ind w:left="508"/>
              <w:spacing w:after="0" w:line="91" w:lineRule="exact"/>
              <w:rPr>
                <w:sz w:val="20"/>
                <w:szCs w:val="20"/>
                <w:color w:val="auto"/>
              </w:rPr>
            </w:pPr>
            <w:r>
              <w:rPr>
                <w:rFonts w:ascii="Arial" w:cs="Arial" w:eastAsia="Arial" w:hAnsi="Arial"/>
                <w:sz w:val="10"/>
                <w:szCs w:val="10"/>
                <w:b w:val="1"/>
                <w:bCs w:val="1"/>
                <w:color w:val="auto"/>
                <w:w w:val="80"/>
              </w:rPr>
              <w:t>2021</w:t>
            </w:r>
          </w:p>
        </w:tc>
        <w:tc>
          <w:tcPr>
            <w:tcW w:w="560" w:type="dxa"/>
            <w:vAlign w:val="bottom"/>
          </w:tcPr>
          <w:p>
            <w:pPr>
              <w:spacing w:after="0"/>
              <w:rPr>
                <w:sz w:val="7"/>
                <w:szCs w:val="7"/>
                <w:color w:val="auto"/>
              </w:rPr>
            </w:pPr>
          </w:p>
        </w:tc>
        <w:tc>
          <w:tcPr>
            <w:tcW w:w="1260" w:type="dxa"/>
            <w:vAlign w:val="bottom"/>
            <w:gridSpan w:val="2"/>
          </w:tcPr>
          <w:p>
            <w:pPr>
              <w:jc w:val="right"/>
              <w:ind w:right="189"/>
              <w:spacing w:after="0" w:line="91" w:lineRule="exact"/>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jc w:val="right"/>
              <w:ind w:right="9"/>
              <w:spacing w:after="0" w:line="91" w:lineRule="exact"/>
              <w:rPr>
                <w:sz w:val="20"/>
                <w:szCs w:val="20"/>
                <w:color w:val="auto"/>
              </w:rPr>
            </w:pPr>
            <w:r>
              <w:rPr>
                <w:rFonts w:ascii="Arial" w:cs="Arial" w:eastAsia="Arial" w:hAnsi="Arial"/>
                <w:sz w:val="10"/>
                <w:szCs w:val="10"/>
                <w:b w:val="1"/>
                <w:bCs w:val="1"/>
                <w:color w:val="auto"/>
              </w:rPr>
              <w:t>2021</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490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Systems</w:t>
            </w:r>
          </w:p>
        </w:tc>
        <w:tc>
          <w:tcPr>
            <w:tcW w:w="90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490</w:t>
            </w:r>
          </w:p>
        </w:tc>
        <w:tc>
          <w:tcPr>
            <w:tcW w:w="2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ind w:left="240"/>
              <w:spacing w:after="0" w:line="118"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490</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ind w:left="720"/>
              <w:spacing w:after="0" w:line="118" w:lineRule="exact"/>
              <w:rPr>
                <w:sz w:val="20"/>
                <w:szCs w:val="20"/>
                <w:color w:val="auto"/>
              </w:rPr>
            </w:pPr>
            <w:r>
              <w:rPr>
                <w:rFonts w:ascii="Arial" w:cs="Arial" w:eastAsia="Arial" w:hAnsi="Arial"/>
                <w:sz w:val="12"/>
                <w:szCs w:val="12"/>
                <w:color w:val="auto"/>
              </w:rPr>
              <w:t>—</w:t>
            </w:r>
          </w:p>
        </w:tc>
      </w:tr>
      <w:tr>
        <w:trPr>
          <w:trHeight w:val="129"/>
        </w:trPr>
        <w:tc>
          <w:tcPr>
            <w:tcW w:w="4900" w:type="dxa"/>
            <w:vAlign w:val="bottom"/>
          </w:tcPr>
          <w:p>
            <w:pPr>
              <w:spacing w:after="0" w:line="129" w:lineRule="exact"/>
              <w:rPr>
                <w:sz w:val="20"/>
                <w:szCs w:val="20"/>
                <w:color w:val="auto"/>
              </w:rPr>
            </w:pPr>
            <w:r>
              <w:rPr>
                <w:rFonts w:ascii="Arial" w:cs="Arial" w:eastAsia="Arial" w:hAnsi="Arial"/>
                <w:sz w:val="12"/>
                <w:szCs w:val="12"/>
                <w:color w:val="auto"/>
              </w:rPr>
              <w:t>Cycle units</w:t>
            </w:r>
          </w:p>
        </w:tc>
        <w:tc>
          <w:tcPr>
            <w:tcW w:w="9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84</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80" w:type="dxa"/>
            <w:vAlign w:val="bottom"/>
          </w:tcPr>
          <w:p>
            <w:pPr>
              <w:spacing w:after="0"/>
              <w:rPr>
                <w:sz w:val="11"/>
                <w:szCs w:val="11"/>
                <w:color w:val="auto"/>
              </w:rPr>
            </w:pPr>
          </w:p>
        </w:tc>
        <w:tc>
          <w:tcPr>
            <w:tcW w:w="580" w:type="dxa"/>
            <w:vAlign w:val="bottom"/>
          </w:tcPr>
          <w:p>
            <w:pPr>
              <w:jc w:val="right"/>
              <w:ind w:right="3"/>
              <w:spacing w:after="0" w:line="129" w:lineRule="exact"/>
              <w:rPr>
                <w:sz w:val="20"/>
                <w:szCs w:val="20"/>
                <w:color w:val="auto"/>
              </w:rPr>
            </w:pPr>
            <w:r>
              <w:rPr>
                <w:rFonts w:ascii="Arial" w:cs="Arial" w:eastAsia="Arial" w:hAnsi="Arial"/>
                <w:sz w:val="12"/>
                <w:szCs w:val="12"/>
                <w:color w:val="auto"/>
              </w:rPr>
              <w:t>84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r>
      <w:tr>
        <w:trPr>
          <w:trHeight w:val="138"/>
        </w:trPr>
        <w:tc>
          <w:tcPr>
            <w:tcW w:w="490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Total consolidated revenue</w:t>
            </w:r>
          </w:p>
        </w:tc>
        <w:tc>
          <w:tcPr>
            <w:tcW w:w="90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574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ind w:left="240"/>
              <w:spacing w:after="0" w:line="118"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574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ind w:left="720"/>
              <w:spacing w:after="0" w:line="118" w:lineRule="exact"/>
              <w:rPr>
                <w:sz w:val="20"/>
                <w:szCs w:val="20"/>
                <w:color w:val="auto"/>
              </w:rPr>
            </w:pPr>
            <w:r>
              <w:rPr>
                <w:rFonts w:ascii="Arial" w:cs="Arial" w:eastAsia="Arial" w:hAnsi="Arial"/>
                <w:sz w:val="12"/>
                <w:szCs w:val="12"/>
                <w:color w:val="auto"/>
              </w:rPr>
              <w:t>—</w:t>
            </w:r>
          </w:p>
        </w:tc>
      </w:tr>
      <w:tr>
        <w:trPr>
          <w:trHeight w:val="245"/>
        </w:trPr>
        <w:tc>
          <w:tcPr>
            <w:tcW w:w="4900" w:type="dxa"/>
            <w:vAlign w:val="bottom"/>
          </w:tcPr>
          <w:p>
            <w:pPr>
              <w:ind w:left="300"/>
              <w:spacing w:after="0"/>
              <w:rPr>
                <w:sz w:val="20"/>
                <w:szCs w:val="20"/>
                <w:color w:val="auto"/>
              </w:rPr>
            </w:pPr>
            <w:r>
              <w:rPr>
                <w:rFonts w:ascii="Arial" w:cs="Arial" w:eastAsia="Arial" w:hAnsi="Arial"/>
                <w:sz w:val="12"/>
                <w:szCs w:val="12"/>
                <w:color w:val="auto"/>
              </w:rPr>
              <w:t>Revenue by geography consisted of the following (in thousands):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06"/>
        </w:trPr>
        <w:tc>
          <w:tcPr>
            <w:tcW w:w="4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20" w:type="dxa"/>
            <w:vAlign w:val="bottom"/>
            <w:gridSpan w:val="3"/>
          </w:tcPr>
          <w:p>
            <w:pPr>
              <w:jc w:val="center"/>
              <w:ind w:right="449"/>
              <w:spacing w:after="0" w:line="106" w:lineRule="exact"/>
              <w:rPr>
                <w:sz w:val="20"/>
                <w:szCs w:val="20"/>
                <w:color w:val="auto"/>
              </w:rPr>
            </w:pPr>
            <w:r>
              <w:rPr>
                <w:rFonts w:ascii="Arial" w:cs="Arial" w:eastAsia="Arial" w:hAnsi="Arial"/>
                <w:sz w:val="10"/>
                <w:szCs w:val="10"/>
                <w:b w:val="1"/>
                <w:bCs w:val="1"/>
                <w:color w:val="auto"/>
                <w:w w:val="89"/>
              </w:rPr>
              <w:t>Three-Month Periods Ended</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00" w:type="dxa"/>
            <w:vAlign w:val="bottom"/>
            <w:gridSpan w:val="3"/>
          </w:tcPr>
          <w:p>
            <w:pPr>
              <w:jc w:val="center"/>
              <w:spacing w:after="0" w:line="106" w:lineRule="exact"/>
              <w:rPr>
                <w:sz w:val="20"/>
                <w:szCs w:val="20"/>
                <w:color w:val="auto"/>
              </w:rPr>
            </w:pPr>
            <w:r>
              <w:rPr>
                <w:rFonts w:ascii="Arial" w:cs="Arial" w:eastAsia="Arial" w:hAnsi="Arial"/>
                <w:sz w:val="10"/>
                <w:szCs w:val="10"/>
                <w:b w:val="1"/>
                <w:bCs w:val="1"/>
                <w:color w:val="auto"/>
                <w:w w:val="89"/>
              </w:rPr>
              <w:t>Nine-Month Periods Ended</w:t>
            </w:r>
          </w:p>
        </w:tc>
        <w:tc>
          <w:tcPr>
            <w:tcW w:w="900" w:type="dxa"/>
            <w:vAlign w:val="bottom"/>
          </w:tcPr>
          <w:p>
            <w:pPr>
              <w:spacing w:after="0"/>
              <w:rPr>
                <w:sz w:val="9"/>
                <w:szCs w:val="9"/>
                <w:color w:val="auto"/>
              </w:rPr>
            </w:pPr>
          </w:p>
        </w:tc>
      </w:tr>
      <w:tr>
        <w:trPr>
          <w:trHeight w:val="116"/>
        </w:trPr>
        <w:tc>
          <w:tcPr>
            <w:tcW w:w="49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tcPr>
          <w:p>
            <w:pPr>
              <w:jc w:val="center"/>
              <w:ind w:right="449"/>
              <w:spacing w:after="0"/>
              <w:rPr>
                <w:sz w:val="20"/>
                <w:szCs w:val="20"/>
                <w:color w:val="auto"/>
              </w:rPr>
            </w:pPr>
            <w:r>
              <w:rPr>
                <w:rFonts w:ascii="Arial" w:cs="Arial" w:eastAsia="Arial" w:hAnsi="Arial"/>
                <w:sz w:val="10"/>
                <w:szCs w:val="10"/>
                <w:b w:val="1"/>
                <w:bCs w:val="1"/>
                <w:color w:val="auto"/>
                <w:w w:val="87"/>
              </w:rPr>
              <w:t>September 30,</w:t>
            </w: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September 30,</w:t>
            </w:r>
          </w:p>
        </w:tc>
        <w:tc>
          <w:tcPr>
            <w:tcW w:w="900" w:type="dxa"/>
            <w:vAlign w:val="bottom"/>
            <w:tcBorders>
              <w:bottom w:val="single" w:sz="8" w:color="auto"/>
            </w:tcBorders>
          </w:tcPr>
          <w:p>
            <w:pPr>
              <w:spacing w:after="0"/>
              <w:rPr>
                <w:sz w:val="10"/>
                <w:szCs w:val="10"/>
                <w:color w:val="auto"/>
              </w:rPr>
            </w:pPr>
          </w:p>
        </w:tc>
      </w:tr>
      <w:tr>
        <w:trPr>
          <w:trHeight w:val="91"/>
        </w:trPr>
        <w:tc>
          <w:tcPr>
            <w:tcW w:w="4900" w:type="dxa"/>
            <w:vAlign w:val="bottom"/>
          </w:tcPr>
          <w:p>
            <w:pPr>
              <w:spacing w:after="0"/>
              <w:rPr>
                <w:sz w:val="7"/>
                <w:szCs w:val="7"/>
                <w:color w:val="auto"/>
              </w:rPr>
            </w:pPr>
          </w:p>
        </w:tc>
        <w:tc>
          <w:tcPr>
            <w:tcW w:w="900" w:type="dxa"/>
            <w:vAlign w:val="bottom"/>
          </w:tcPr>
          <w:p>
            <w:pPr>
              <w:jc w:val="center"/>
              <w:ind w:left="508"/>
              <w:spacing w:after="0" w:line="91" w:lineRule="exact"/>
              <w:rPr>
                <w:sz w:val="20"/>
                <w:szCs w:val="20"/>
                <w:color w:val="auto"/>
              </w:rPr>
            </w:pPr>
            <w:r>
              <w:rPr>
                <w:rFonts w:ascii="Arial" w:cs="Arial" w:eastAsia="Arial" w:hAnsi="Arial"/>
                <w:sz w:val="10"/>
                <w:szCs w:val="10"/>
                <w:b w:val="1"/>
                <w:bCs w:val="1"/>
                <w:color w:val="auto"/>
                <w:w w:val="80"/>
              </w:rPr>
              <w:t>2021</w:t>
            </w:r>
          </w:p>
        </w:tc>
        <w:tc>
          <w:tcPr>
            <w:tcW w:w="560" w:type="dxa"/>
            <w:vAlign w:val="bottom"/>
          </w:tcPr>
          <w:p>
            <w:pPr>
              <w:spacing w:after="0"/>
              <w:rPr>
                <w:sz w:val="7"/>
                <w:szCs w:val="7"/>
                <w:color w:val="auto"/>
              </w:rPr>
            </w:pPr>
          </w:p>
        </w:tc>
        <w:tc>
          <w:tcPr>
            <w:tcW w:w="1260" w:type="dxa"/>
            <w:vAlign w:val="bottom"/>
            <w:gridSpan w:val="2"/>
          </w:tcPr>
          <w:p>
            <w:pPr>
              <w:jc w:val="right"/>
              <w:ind w:right="189"/>
              <w:spacing w:after="0" w:line="91" w:lineRule="exact"/>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jc w:val="right"/>
              <w:ind w:right="9"/>
              <w:spacing w:after="0" w:line="91" w:lineRule="exact"/>
              <w:rPr>
                <w:sz w:val="20"/>
                <w:szCs w:val="20"/>
                <w:color w:val="auto"/>
              </w:rPr>
            </w:pPr>
            <w:r>
              <w:rPr>
                <w:rFonts w:ascii="Arial" w:cs="Arial" w:eastAsia="Arial" w:hAnsi="Arial"/>
                <w:sz w:val="10"/>
                <w:szCs w:val="10"/>
                <w:b w:val="1"/>
                <w:bCs w:val="1"/>
                <w:color w:val="auto"/>
              </w:rPr>
              <w:t>2021</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490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North America</w:t>
            </w:r>
          </w:p>
        </w:tc>
        <w:tc>
          <w:tcPr>
            <w:tcW w:w="90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405</w:t>
            </w:r>
          </w:p>
        </w:tc>
        <w:tc>
          <w:tcPr>
            <w:tcW w:w="2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ind w:left="240"/>
              <w:spacing w:after="0" w:line="118"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405</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ind w:left="720"/>
              <w:spacing w:after="0" w:line="118" w:lineRule="exact"/>
              <w:rPr>
                <w:sz w:val="20"/>
                <w:szCs w:val="20"/>
                <w:color w:val="auto"/>
              </w:rPr>
            </w:pPr>
            <w:r>
              <w:rPr>
                <w:rFonts w:ascii="Arial" w:cs="Arial" w:eastAsia="Arial" w:hAnsi="Arial"/>
                <w:sz w:val="12"/>
                <w:szCs w:val="12"/>
                <w:color w:val="auto"/>
              </w:rPr>
              <w:t>—</w:t>
            </w:r>
          </w:p>
        </w:tc>
      </w:tr>
      <w:tr>
        <w:trPr>
          <w:trHeight w:val="129"/>
        </w:trPr>
        <w:tc>
          <w:tcPr>
            <w:tcW w:w="4900" w:type="dxa"/>
            <w:vAlign w:val="bottom"/>
          </w:tcPr>
          <w:p>
            <w:pPr>
              <w:spacing w:after="0" w:line="129" w:lineRule="exact"/>
              <w:rPr>
                <w:sz w:val="20"/>
                <w:szCs w:val="20"/>
                <w:color w:val="auto"/>
              </w:rPr>
            </w:pPr>
            <w:r>
              <w:rPr>
                <w:rFonts w:ascii="Arial" w:cs="Arial" w:eastAsia="Arial" w:hAnsi="Arial"/>
                <w:sz w:val="12"/>
                <w:szCs w:val="12"/>
                <w:color w:val="auto"/>
              </w:rPr>
              <w:t>Rest of World</w:t>
            </w:r>
          </w:p>
        </w:tc>
        <w:tc>
          <w:tcPr>
            <w:tcW w:w="9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169</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80" w:type="dxa"/>
            <w:vAlign w:val="bottom"/>
          </w:tcPr>
          <w:p>
            <w:pPr>
              <w:spacing w:after="0"/>
              <w:rPr>
                <w:sz w:val="11"/>
                <w:szCs w:val="11"/>
                <w:color w:val="auto"/>
              </w:rPr>
            </w:pPr>
          </w:p>
        </w:tc>
        <w:tc>
          <w:tcPr>
            <w:tcW w:w="580" w:type="dxa"/>
            <w:vAlign w:val="bottom"/>
          </w:tcPr>
          <w:p>
            <w:pPr>
              <w:jc w:val="right"/>
              <w:ind w:right="3"/>
              <w:spacing w:after="0" w:line="129" w:lineRule="exact"/>
              <w:rPr>
                <w:sz w:val="20"/>
                <w:szCs w:val="20"/>
                <w:color w:val="auto"/>
              </w:rPr>
            </w:pPr>
            <w:r>
              <w:rPr>
                <w:rFonts w:ascii="Arial" w:cs="Arial" w:eastAsia="Arial" w:hAnsi="Arial"/>
                <w:sz w:val="12"/>
                <w:szCs w:val="12"/>
                <w:color w:val="auto"/>
              </w:rPr>
              <w:t>169</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r>
      <w:tr>
        <w:trPr>
          <w:trHeight w:val="126"/>
        </w:trPr>
        <w:tc>
          <w:tcPr>
            <w:tcW w:w="490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Total consolidated revenue</w:t>
            </w:r>
          </w:p>
        </w:tc>
        <w:tc>
          <w:tcPr>
            <w:tcW w:w="90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574</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06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ind w:left="240"/>
              <w:spacing w:after="0" w:line="118"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574</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ind w:left="720"/>
              <w:spacing w:after="0" w:line="118" w:lineRule="exact"/>
              <w:rPr>
                <w:sz w:val="20"/>
                <w:szCs w:val="20"/>
                <w:color w:val="auto"/>
              </w:rPr>
            </w:pPr>
            <w:r>
              <w:rPr>
                <w:rFonts w:ascii="Arial" w:cs="Arial" w:eastAsia="Arial" w:hAnsi="Arial"/>
                <w:sz w:val="12"/>
                <w:szCs w:val="12"/>
                <w:color w:val="auto"/>
              </w:rPr>
              <w:t>—</w:t>
            </w:r>
          </w:p>
        </w:tc>
      </w:tr>
      <w:tr>
        <w:trPr>
          <w:trHeight w:val="267"/>
        </w:trPr>
        <w:tc>
          <w:tcPr>
            <w:tcW w:w="4900" w:type="dxa"/>
            <w:vAlign w:val="bottom"/>
          </w:tcPr>
          <w:p>
            <w:pPr>
              <w:spacing w:after="0"/>
              <w:rPr>
                <w:sz w:val="23"/>
                <w:szCs w:val="23"/>
                <w:color w:val="auto"/>
              </w:rPr>
            </w:pPr>
          </w:p>
        </w:tc>
        <w:tc>
          <w:tcPr>
            <w:tcW w:w="900" w:type="dxa"/>
            <w:vAlign w:val="bottom"/>
          </w:tcPr>
          <w:p>
            <w:pPr>
              <w:jc w:val="center"/>
              <w:ind w:left="528"/>
              <w:spacing w:after="0"/>
              <w:rPr>
                <w:sz w:val="20"/>
                <w:szCs w:val="20"/>
                <w:color w:val="auto"/>
              </w:rPr>
            </w:pPr>
            <w:r>
              <w:rPr>
                <w:rFonts w:ascii="Arial" w:cs="Arial" w:eastAsia="Arial" w:hAnsi="Arial"/>
                <w:sz w:val="12"/>
                <w:szCs w:val="12"/>
                <w:color w:val="auto"/>
                <w:w w:val="89"/>
              </w:rPr>
              <w:t>20</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3"/>
        </w:trPr>
        <w:tc>
          <w:tcPr>
            <w:tcW w:w="49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0" w:name="page21"/>
    <w:bookmarkEnd w:id="2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Related Party Transactions</w:t>
      </w:r>
    </w:p>
    <w:p>
      <w:pPr>
        <w:spacing w:after="0" w:line="12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Kenneth A. Clark, a director of the Company since November 2017, is a member of the law firm of Wilson Sonsini Goodrich and Rosati (“WSGR”), which also serves as the outside corporate counsel to the Company. During the three- and nine-month periods ended September 30, 2021, the Company incurred expenses reported in general and administrative in the consolidated statement of operations for legal services rendered by WSGR totaling approximately $0.2 million and $0.6 million, respectively. In June 2020, the Company incurred approximately $0.4 million of legal expenses in connection with the rights offering which was offset against the gross proceeds. During the three-month period ended September 30, 2021, there were no additional offsetting amounts incurred. During the nine-month period ended September 30, 2021, the Company incurred $0.2 million of legal expenses in connection with the at-the-market equity offering which was offset against the gross proceeds (Note 6). In October 2021, Mr. Clark resigned from the Company’s Board as disclosed on Form 8-K filed on October 6, 2021.</w:t>
      </w:r>
    </w:p>
    <w:p>
      <w:pPr>
        <w:spacing w:after="0" w:line="94"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In May 2020, the Company determined not to renew its director and officer liability insurance policies due to disproportionately high premiums quoted by insurance companies. Instead, Robert W. Duggan, majority stockholder and Board Chairman, and the Company entered into a letter agreement, dated May 12, 2020 (the “Letter Agreement”), pursuant to which Mr. Duggan agreed with the Company to personally provide indemnity coverage on substantially the same terms as the Company’s prior coverage program for a one-year period, and deposited security for such obligations. On May 13, 2021, in accordance with terms of the Letter Agreement, the Company paid Mr. Duggan the amount of $2.5 million. The Company did not enter into a new Letter Agreement with Mr. Duggan for the subsequent policy period, and in May 2021 secured its director and officer liability insurance through third-party insurance carriers.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 June 2020, the Company completed the Rights Offering (Note 6). Mr. Duggan participated in the Rights Offering and purchased an aggregate of 2,561,873 Units.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On March 11, 2021, the Company and Mr. Duggan entered into a Loan Agreement in connection with Mr. Duggan lending the principal sum of $41.0 million to the Company (Note 8).</w:t>
      </w:r>
    </w:p>
    <w:p>
      <w:pPr>
        <w:spacing w:after="0" w:line="111"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On June 30, 2021, the Company and Mr. Duggan entered into a Securities Purchase Agreement (Note 6), pursuant to which the Company issued and sold to Mr. Duggan 3,048,780 shares of the Company’s common stock, par value $0.001 per share, in a Private Placement, at a price per share of $16.40, for an aggregate investment in the amount of $50.0 million. The shares were paid for through (i) the conversion of the $41 million aggregate principal amount under the Loan Agreement,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1" w:name="page22"/>
    <w:bookmarkEnd w:id="2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43"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1"/>
          <w:szCs w:val="11"/>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00" w:lineRule="exact"/>
        <w:rPr>
          <w:sz w:val="20"/>
          <w:szCs w:val="20"/>
          <w:color w:val="auto"/>
        </w:rPr>
      </w:pPr>
    </w:p>
    <w:p>
      <w:pPr>
        <w:jc w:val="both"/>
        <w:spacing w:after="0" w:line="232" w:lineRule="auto"/>
        <w:rPr>
          <w:sz w:val="20"/>
          <w:szCs w:val="20"/>
          <w:color w:val="auto"/>
        </w:rPr>
      </w:pPr>
      <w:r>
        <w:rPr>
          <w:rFonts w:ascii="Arial" w:cs="Arial" w:eastAsia="Arial" w:hAnsi="Arial"/>
          <w:sz w:val="12"/>
          <w:szCs w:val="12"/>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Quarterly Report, actual results may differ from the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are a novel bioelectric medicine company committed to health innovation using an entirely new and proprietary energy modality. Our CellFX System is the first commercial product to harness the distinctive advantages of our proprietary Nano-Pulse Stimulation technology. The CellFX System delivers nano 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February 2021, we received 510(k) clearance from the FDA for our proprietary CellFX System with initial clearance for a general indication for dermatologic procedures requiring ablation and resurfacing of the skin. With FDA clearance, in February 2021 we commenced a controlled launch of the CellFX System in the United States with key opinion leaders in dermatology.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January 2021, we received CE marking approval for the CellFX System, which allows us to market the system in the European Union and, in June 2021, we received Health Canada approval for the CellFX System, which allows for marketing of the system in Canada. We have initiated a controlled launch of the CellFX System to medical practices within these two regions for use in dermatological procedures requiring ablation and resurfacing of the skin for the reduction, removal, and/or clearance of cellular-based benign lesions, including SH, SK, and cutaneous non-genital warts.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2" w:name="page23"/>
    <w:bookmarkEnd w:id="2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 August 2021, we began to convert key opinion leaders from our controlled launch program onto sales agreements, thereby triggering revenue recognition.</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have incurred substantial operating losses and have used cash in our operating activities since inception. Based on our current operating plan, we believe we do not have sufficient cash and cash equivalents on hand to support current operations for the twelve months following the filing of this Quarterly Report. Therefore, to finance our ongoing operations, we will need to raise additional capital or enter into a revenue-generating collaboration, which cannot be assured. We plan to seek to raise capital from time to time through public or private equity offerings, debt financings, our at-the-market equity offering program, or to enter into collaborations with third parties, to fund our future operations. Meanwhile, over the past few years, Mr. Duggan, our majority stockholder, has repeatedly made significant investments in our Company to fund its operations. Mr. Duggan may elect to participate in any number of our future fundraisings, as described above, and he may choose to invest more than his current pro rata share in any of these fundraisings, or alternatively he may offer to provide debt financing as may be needed in order to maintain the Company as a going concern.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of Operation</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plan to establish ourselves as a medical therapy company with a local, nonthermal, and drug-free treatment platform that initiates cell death in targeted tissue by a process of cell signaling and which also induces an adaptive immune response to the targeted tissue. In order to accomplish this, we plan to:</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Improve our technology by continuing our research and product development efforts. We expect to develop interchangeable tissue applicators to target different tissue types that will leverage the novel characteristics of our NPS technology platform.</w:t>
      </w:r>
    </w:p>
    <w:p>
      <w:pPr>
        <w:spacing w:after="0" w:line="9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Further explore and understand the benefits of our NPS technology platform with the objectives of broadening the currently planned cosmetic and therapeutic applications, while also identifying new applications. We anticipate that results of our clinical studies will enable us to recognize certain unmet medical needs that may be addressed by our technology.</w:t>
      </w:r>
    </w:p>
    <w:p>
      <w:pPr>
        <w:spacing w:after="0" w:line="9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Partner with medical or biomedical device companies for certain applications which we anticipate may accelerate product development and acceptance into target market areas and allow us to gain the sales and marketing advantages of one or more established distribution infrastructures.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24"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adversely affected global economies and financial markets and will likely continue to do so,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3" w:name="page24"/>
    <w:bookmarkEnd w:id="2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Our significant accounting policies and estimates are described in our Annual Report on Form 10-K for the year ended December 31, 2020. We continually evaluate the accounting policies and estimates used in preparing our consolidated financial statements. During the nine-month period ended September 30, 2021, the Company received 510(k) clearance, CE marking approval, and Health Canada clearance for the CellFX System and began to capitalize inventory in preparation of commercialization. Additionally, during the three-month period ended September 30, 2021, the Company entered into sales contracts with customers and began to recognize revenue.</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Valuation of Inventory</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Inventory is stated at lower of cost or net realizable value. We established the inventory basis by determining the cost based on standard costs approximating the purchase costs on a first-in, first-out basis. Net realizable value is the estimated selling price in the ordinary course of our business, less reasonably predictable costs of completion, disposal, and transportation. The cost basis of our inventory will be reduced for any products that are considered excessive or obsolete based upon assumptions about future demand and market conditions. At September 30, 2021, there is no reduction to the balance of inventory for excessive and obsolete inventory.</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Revenue from Contracts with Customers</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recognize revenue at a point in time as we satisfy performance obligations by transferring control of promised goods to our customers. The amount of revenue recognized is equal to the consideration which we are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we sell these products on a stand-alone basis at a particular SSP, initial customer contracts will likely involve the bundling of products which will be delivered concurrently to the customer and have the same pattern of transfer. In such instances, the full consideration of the contract will be recognized upon delivery of the products. We include a standard warranty on our products which provides assurances that the products comply with agreed-upon specifications.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Refer to “Recent Accounting Pronouncements” in Note 2 of Notes to Condensed Consolidated Financial Statements of this Quarterly Report.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and Geographical Information</w:t>
      </w:r>
    </w:p>
    <w:p>
      <w:pPr>
        <w:spacing w:after="0" w:line="115" w:lineRule="exact"/>
        <w:rPr>
          <w:sz w:val="20"/>
          <w:szCs w:val="20"/>
          <w:color w:val="auto"/>
        </w:rPr>
      </w:pPr>
    </w:p>
    <w:p>
      <w:pPr>
        <w:ind w:right="80" w:firstLine="301"/>
        <w:spacing w:after="0" w:line="255" w:lineRule="auto"/>
        <w:rPr>
          <w:sz w:val="20"/>
          <w:szCs w:val="20"/>
          <w:color w:val="auto"/>
        </w:rPr>
      </w:pPr>
      <w:r>
        <w:rPr>
          <w:rFonts w:ascii="Arial" w:cs="Arial" w:eastAsia="Arial" w:hAnsi="Arial"/>
          <w:sz w:val="12"/>
          <w:szCs w:val="12"/>
          <w:color w:val="auto"/>
        </w:rPr>
        <w:t>We operate and manage our business as one reportable and operating segment. Our CODM reviews financial information on an aggregate basis for purposes of allocating resources and evaluating financial performance. All of our long-lived assets are based in the United States. Refer to Note 11 of Notes to Condensed Consolidated Financial Statements of this Quarterly Report for disaggregated revenue results.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4" w:name="page25"/>
    <w:bookmarkEnd w:id="24"/>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Results of Operations</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Comparison of the three-month periods ended September 30, 2021 and 2020</w:t>
      </w:r>
    </w:p>
    <w:p>
      <w:pPr>
        <w:spacing w:after="0" w:line="120" w:lineRule="exact"/>
        <w:rPr>
          <w:sz w:val="20"/>
          <w:szCs w:val="20"/>
          <w:color w:val="auto"/>
        </w:rPr>
      </w:pPr>
    </w:p>
    <w:p>
      <w:pPr>
        <w:ind w:left="306"/>
        <w:spacing w:after="0"/>
        <w:rPr>
          <w:sz w:val="20"/>
          <w:szCs w:val="20"/>
          <w:color w:val="auto"/>
        </w:rPr>
      </w:pPr>
      <w:r>
        <w:rPr>
          <w:rFonts w:ascii="Arial" w:cs="Arial" w:eastAsia="Arial" w:hAnsi="Arial"/>
          <w:sz w:val="12"/>
          <w:szCs w:val="12"/>
          <w:color w:val="auto"/>
        </w:rPr>
        <w:t>Our condensed consolidated statements of operations as discussed herein are presented below:</w:t>
      </w:r>
    </w:p>
    <w:p>
      <w:pPr>
        <w:spacing w:after="0" w:line="147"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gridSpan w:val="4"/>
          </w:tcPr>
          <w:p>
            <w:pPr>
              <w:jc w:val="right"/>
              <w:spacing w:after="0"/>
              <w:rPr>
                <w:sz w:val="20"/>
                <w:szCs w:val="20"/>
                <w:color w:val="auto"/>
              </w:rPr>
            </w:pPr>
            <w:r>
              <w:rPr>
                <w:rFonts w:ascii="Arial" w:cs="Arial" w:eastAsia="Arial" w:hAnsi="Arial"/>
                <w:sz w:val="10"/>
                <w:szCs w:val="10"/>
                <w:b w:val="1"/>
                <w:bCs w:val="1"/>
                <w:color w:val="auto"/>
              </w:rPr>
              <w:t>Three-Month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5940" w:type="dxa"/>
            <w:vAlign w:val="bottom"/>
            <w:vMerge w:val="restart"/>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0"/>
                <w:szCs w:val="10"/>
                <w:b w:val="1"/>
                <w:bCs w:val="1"/>
                <w:color w:val="auto"/>
              </w:rPr>
              <w:t>September 30,</w:t>
            </w:r>
          </w:p>
        </w:tc>
        <w:tc>
          <w:tcPr>
            <w:tcW w:w="9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2021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jc w:val="right"/>
              <w:ind w:right="540"/>
              <w:spacing w:after="0" w:line="82" w:lineRule="exact"/>
              <w:rPr>
                <w:sz w:val="20"/>
                <w:szCs w:val="20"/>
                <w:color w:val="auto"/>
              </w:rPr>
            </w:pPr>
            <w:r>
              <w:rPr>
                <w:rFonts w:ascii="Arial" w:cs="Arial" w:eastAsia="Arial" w:hAnsi="Arial"/>
                <w:sz w:val="9"/>
                <w:szCs w:val="9"/>
                <w:b w:val="1"/>
                <w:bCs w:val="1"/>
                <w:color w:val="auto"/>
              </w:rPr>
              <w:t>2020*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4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Revenues:</w:t>
            </w:r>
          </w:p>
        </w:tc>
        <w:tc>
          <w:tcPr>
            <w:tcW w:w="34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Product revenues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574</w:t>
            </w:r>
          </w:p>
        </w:tc>
        <w:tc>
          <w:tcPr>
            <w:tcW w:w="80" w:type="dxa"/>
            <w:vAlign w:val="bottom"/>
          </w:tcPr>
          <w:p>
            <w:pPr>
              <w:spacing w:after="0"/>
              <w:rPr>
                <w:sz w:val="11"/>
                <w:szCs w:val="11"/>
                <w:color w:val="auto"/>
              </w:rPr>
            </w:pPr>
          </w:p>
        </w:tc>
        <w:tc>
          <w:tcPr>
            <w:tcW w:w="660" w:type="dxa"/>
            <w:vAlign w:val="bottom"/>
            <w:gridSpan w:val="2"/>
          </w:tcPr>
          <w:p>
            <w:pPr>
              <w:jc w:val="right"/>
              <w:ind w:right="449"/>
              <w:spacing w:after="0" w:line="129"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18"/>
        </w:trPr>
        <w:tc>
          <w:tcPr>
            <w:tcW w:w="654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revenues</w:t>
            </w: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574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28"/>
        </w:trPr>
        <w:tc>
          <w:tcPr>
            <w:tcW w:w="6540" w:type="dxa"/>
            <w:vAlign w:val="bottom"/>
            <w:gridSpan w:val="2"/>
          </w:tcPr>
          <w:p>
            <w:pPr>
              <w:spacing w:after="0" w:line="128" w:lineRule="exact"/>
              <w:rPr>
                <w:sz w:val="20"/>
                <w:szCs w:val="20"/>
                <w:color w:val="auto"/>
              </w:rPr>
            </w:pPr>
            <w:r>
              <w:rPr>
                <w:rFonts w:ascii="Arial" w:cs="Arial" w:eastAsia="Arial" w:hAnsi="Arial"/>
                <w:sz w:val="12"/>
                <w:szCs w:val="12"/>
                <w:color w:val="auto"/>
              </w:rPr>
              <w:t>Cost and expenses: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5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Cost of revenues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w:t>
            </w:r>
          </w:p>
        </w:tc>
        <w:tc>
          <w:tcPr>
            <w:tcW w:w="0" w:type="dxa"/>
            <w:vAlign w:val="bottom"/>
          </w:tcPr>
          <w:p>
            <w:pPr>
              <w:spacing w:after="0"/>
              <w:rPr>
                <w:sz w:val="1"/>
                <w:szCs w:val="1"/>
                <w:color w:val="auto"/>
              </w:rPr>
            </w:pPr>
          </w:p>
        </w:tc>
      </w:tr>
      <w:tr>
        <w:trPr>
          <w:trHeight w:val="129"/>
        </w:trPr>
        <w:tc>
          <w:tcPr>
            <w:tcW w:w="654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6,460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6,968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(508)</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1,746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1,658</w:t>
            </w:r>
          </w:p>
        </w:tc>
        <w:tc>
          <w:tcPr>
            <w:tcW w:w="0" w:type="dxa"/>
            <w:vAlign w:val="bottom"/>
          </w:tcPr>
          <w:p>
            <w:pPr>
              <w:spacing w:after="0"/>
              <w:rPr>
                <w:sz w:val="1"/>
                <w:szCs w:val="1"/>
                <w:color w:val="auto"/>
              </w:rPr>
            </w:pPr>
          </w:p>
        </w:tc>
      </w:tr>
      <w:tr>
        <w:trPr>
          <w:trHeight w:val="129"/>
        </w:trPr>
        <w:tc>
          <w:tcPr>
            <w:tcW w:w="6540" w:type="dxa"/>
            <w:vAlign w:val="bottom"/>
            <w:tcBorders>
              <w:bottom w:val="single" w:sz="8" w:color="CCEEFF"/>
            </w:tcBorders>
            <w:gridSpan w:val="2"/>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4,256</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4,191</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18"/>
        </w:trPr>
        <w:tc>
          <w:tcPr>
            <w:tcW w:w="654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cost and expenses</w:t>
            </w:r>
          </w:p>
        </w:tc>
        <w:tc>
          <w:tcPr>
            <w:tcW w:w="3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14,847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12,905</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1,942</w:t>
            </w:r>
          </w:p>
        </w:tc>
        <w:tc>
          <w:tcPr>
            <w:tcW w:w="0" w:type="dxa"/>
            <w:vAlign w:val="bottom"/>
          </w:tcPr>
          <w:p>
            <w:pPr>
              <w:spacing w:after="0"/>
              <w:rPr>
                <w:sz w:val="1"/>
                <w:szCs w:val="1"/>
                <w:color w:val="auto"/>
              </w:rPr>
            </w:pPr>
          </w:p>
        </w:tc>
      </w:tr>
      <w:tr>
        <w:trPr>
          <w:trHeight w:val="118"/>
        </w:trPr>
        <w:tc>
          <w:tcPr>
            <w:tcW w:w="6540" w:type="dxa"/>
            <w:vAlign w:val="bottom"/>
            <w:gridSpan w:val="2"/>
          </w:tcPr>
          <w:p>
            <w:pPr>
              <w:spacing w:after="0" w:line="118" w:lineRule="exact"/>
              <w:rPr>
                <w:sz w:val="20"/>
                <w:szCs w:val="20"/>
                <w:color w:val="auto"/>
              </w:rPr>
            </w:pPr>
            <w:r>
              <w:rPr>
                <w:rFonts w:ascii="Arial" w:cs="Arial" w:eastAsia="Arial" w:hAnsi="Arial"/>
                <w:sz w:val="12"/>
                <w:szCs w:val="12"/>
                <w:color w:val="auto"/>
              </w:rPr>
              <w:t>Loss from operations</w:t>
            </w:r>
          </w:p>
        </w:tc>
        <w:tc>
          <w:tcPr>
            <w:tcW w:w="34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Arial" w:cs="Arial" w:eastAsia="Arial" w:hAnsi="Arial"/>
                <w:sz w:val="12"/>
                <w:szCs w:val="12"/>
                <w:color w:val="auto"/>
              </w:rPr>
              <w:t>(14,273)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Arial" w:cs="Arial" w:eastAsia="Arial" w:hAnsi="Arial"/>
                <w:sz w:val="12"/>
                <w:szCs w:val="12"/>
                <w:color w:val="auto"/>
              </w:rPr>
              <w:t>(12,905)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Other income (expense):</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34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18"/>
        </w:trPr>
        <w:tc>
          <w:tcPr>
            <w:tcW w:w="654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9</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18"/>
        </w:trPr>
        <w:tc>
          <w:tcPr>
            <w:tcW w:w="6540" w:type="dxa"/>
            <w:vAlign w:val="bottom"/>
            <w:gridSpan w:val="2"/>
          </w:tcPr>
          <w:p>
            <w:pPr>
              <w:spacing w:after="0" w:line="118" w:lineRule="exact"/>
              <w:rPr>
                <w:sz w:val="20"/>
                <w:szCs w:val="20"/>
                <w:color w:val="auto"/>
              </w:rPr>
            </w:pPr>
            <w:r>
              <w:rPr>
                <w:rFonts w:ascii="Arial" w:cs="Arial" w:eastAsia="Arial" w:hAnsi="Arial"/>
                <w:sz w:val="12"/>
                <w:szCs w:val="12"/>
                <w:color w:val="auto"/>
              </w:rPr>
              <w:t>Net loss</w:t>
            </w: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(14,282)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(12,896)</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(1,386)</w:t>
            </w:r>
          </w:p>
        </w:tc>
        <w:tc>
          <w:tcPr>
            <w:tcW w:w="0" w:type="dxa"/>
            <w:vAlign w:val="bottom"/>
          </w:tcPr>
          <w:p>
            <w:pPr>
              <w:spacing w:after="0"/>
              <w:rPr>
                <w:sz w:val="1"/>
                <w:szCs w:val="1"/>
                <w:color w:val="auto"/>
              </w:rPr>
            </w:pPr>
          </w:p>
        </w:tc>
      </w:tr>
    </w:tbl>
    <w:p>
      <w:pPr>
        <w:ind w:left="6" w:right="20" w:hanging="6"/>
        <w:spacing w:after="0" w:line="255" w:lineRule="auto"/>
        <w:tabs>
          <w:tab w:leader="none" w:pos="117" w:val="left"/>
        </w:tabs>
        <w:numPr>
          <w:ilvl w:val="0"/>
          <w:numId w:val="4"/>
        </w:numPr>
        <w:rPr>
          <w:rFonts w:ascii="Arial" w:cs="Arial" w:eastAsia="Arial" w:hAnsi="Arial"/>
          <w:sz w:val="12"/>
          <w:szCs w:val="12"/>
          <w:color w:val="auto"/>
        </w:rPr>
      </w:pPr>
      <w:r>
        <w:rPr>
          <w:rFonts w:ascii="Arial" w:cs="Arial" w:eastAsia="Arial" w:hAnsi="Arial"/>
          <w:sz w:val="12"/>
          <w:szCs w:val="12"/>
          <w:color w:val="auto"/>
        </w:rPr>
        <w:t>Certain 2020 amounts have been reclassified to conform to the current period presentation. Sales and marketing expenses have been reclassified out of general and administrative and presented as a separate line item. Amortization of intangible assets have been reclassified to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-179705</wp:posOffset>
            </wp:positionV>
            <wp:extent cx="30226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22600" cy="571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Revenues</w:t>
      </w:r>
    </w:p>
    <w:p>
      <w:pPr>
        <w:spacing w:after="0" w:line="115" w:lineRule="exact"/>
        <w:rPr>
          <w:sz w:val="20"/>
          <w:szCs w:val="20"/>
          <w:color w:val="auto"/>
        </w:rPr>
      </w:pPr>
    </w:p>
    <w:p>
      <w:pPr>
        <w:jc w:val="both"/>
        <w:ind w:left="6" w:right="20" w:firstLine="301"/>
        <w:spacing w:after="0" w:line="255" w:lineRule="auto"/>
        <w:rPr>
          <w:sz w:val="20"/>
          <w:szCs w:val="20"/>
          <w:color w:val="auto"/>
        </w:rPr>
      </w:pPr>
      <w:r>
        <w:rPr>
          <w:rFonts w:ascii="Arial" w:cs="Arial" w:eastAsia="Arial" w:hAnsi="Arial"/>
          <w:sz w:val="12"/>
          <w:szCs w:val="12"/>
          <w:color w:val="auto"/>
        </w:rPr>
        <w:t>Revenues increased by $0.6 million to $0.6 million for the three-month period ended September 30, 2021, from zero during the same period in 2020 because we commenced sales agreement activity in August 2021 which triggered the recognition of revenue.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Cost of Revenues</w:t>
      </w:r>
    </w:p>
    <w:p>
      <w:pPr>
        <w:spacing w:after="0" w:line="143" w:lineRule="exact"/>
        <w:rPr>
          <w:sz w:val="20"/>
          <w:szCs w:val="20"/>
          <w:color w:val="auto"/>
        </w:rPr>
      </w:pPr>
    </w:p>
    <w:p>
      <w:pPr>
        <w:jc w:val="both"/>
        <w:ind w:left="6" w:firstLine="301"/>
        <w:spacing w:after="0" w:line="272" w:lineRule="auto"/>
        <w:rPr>
          <w:sz w:val="20"/>
          <w:szCs w:val="20"/>
          <w:color w:val="auto"/>
        </w:rPr>
      </w:pPr>
      <w:r>
        <w:rPr>
          <w:rFonts w:ascii="Arial" w:cs="Arial" w:eastAsia="Arial" w:hAnsi="Arial"/>
          <w:sz w:val="11"/>
          <w:szCs w:val="11"/>
          <w:color w:val="auto"/>
        </w:rPr>
        <w:t>Cost of revenues increased by $0.7 million to $0.7 million for the three-month period ended September 30, 2021, from zero during the same period in 2020. Prior to commercialization in August 2021, all uncapitalized manufacturing related overhead costs were recorded as research and development expenses. Upon commercialization, these costs are recorded as cost of revenue. Cost of revenue for the three-month period ended September 30, 2021 consisted primarily of the uncapitalized manufacturing related overhead costs for products assembled during the quarter. All inventory sold during the three-month period ended September 30, 2021 was previously expensed.</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Research and Development</w:t>
      </w:r>
    </w:p>
    <w:p>
      <w:pPr>
        <w:spacing w:after="0" w:line="115" w:lineRule="exact"/>
        <w:rPr>
          <w:sz w:val="20"/>
          <w:szCs w:val="20"/>
          <w:color w:val="auto"/>
        </w:rPr>
      </w:pPr>
    </w:p>
    <w:p>
      <w:pPr>
        <w:jc w:val="both"/>
        <w:ind w:left="6" w:right="20" w:firstLine="301"/>
        <w:spacing w:after="0" w:line="263" w:lineRule="auto"/>
        <w:rPr>
          <w:sz w:val="20"/>
          <w:szCs w:val="20"/>
          <w:color w:val="auto"/>
        </w:rPr>
      </w:pPr>
      <w:r>
        <w:rPr>
          <w:rFonts w:ascii="Arial" w:cs="Arial" w:eastAsia="Arial" w:hAnsi="Arial"/>
          <w:sz w:val="11"/>
          <w:szCs w:val="11"/>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decreased by $0.5 million to $6.5 million for the three-month period ended September 30, 2021, from $7.0 million during the same period in 2020 primarily due to decreases of $0.8 million in stock-based compensation, $0.3 million in equipment and supplies, and $0.1 million in administrative costs. These decreases were offset by increases of $0.7 million for clinical trial and other outside research costs. Clinical trial and other outside research costs increased primarily due to new application development, medical research and studies.</w:t>
      </w:r>
    </w:p>
    <w:p>
      <w:pPr>
        <w:spacing w:after="0" w:line="22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20090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25" w:name="page26"/>
    <w:bookmarkEnd w:id="25"/>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Sales and Marketing</w:t>
      </w:r>
    </w:p>
    <w:p>
      <w:pPr>
        <w:spacing w:after="0" w:line="115" w:lineRule="exact"/>
        <w:rPr>
          <w:sz w:val="20"/>
          <w:szCs w:val="20"/>
          <w:color w:val="auto"/>
        </w:rPr>
      </w:pPr>
    </w:p>
    <w:p>
      <w:pPr>
        <w:jc w:val="both"/>
        <w:ind w:left="6" w:firstLine="301"/>
        <w:spacing w:after="0" w:line="233" w:lineRule="auto"/>
        <w:rPr>
          <w:sz w:val="20"/>
          <w:szCs w:val="20"/>
          <w:color w:val="auto"/>
        </w:rPr>
      </w:pPr>
      <w:r>
        <w:rPr>
          <w:rFonts w:ascii="Arial" w:cs="Arial" w:eastAsia="Arial" w:hAnsi="Arial"/>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$1.7 million to $3.4 million for the three-month period ended September 30, 2021, from $2.7 million during the same period in 2020 primarily due to $1.0 million of increased compensation and other employee related expenses related to increased headcount, $0.6 million of non-cash controlled launch expenses, and $0.2 million of increased paid services primarily related to market research studies and commercial preparations. The increases were offset by a decrease of $0.2 million in stock-based compensation. The increases in sales and marketing activities are attributable to our FDA clearance, CE marking approval, and Health Canada clearance as we commercialize our CellFX System.</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General and Administrative</w:t>
      </w:r>
    </w:p>
    <w:p>
      <w:pPr>
        <w:spacing w:after="0" w:line="124" w:lineRule="exact"/>
        <w:rPr>
          <w:sz w:val="20"/>
          <w:szCs w:val="20"/>
          <w:color w:val="auto"/>
        </w:rPr>
      </w:pPr>
    </w:p>
    <w:p>
      <w:pPr>
        <w:jc w:val="both"/>
        <w:ind w:left="6" w:firstLine="301"/>
        <w:spacing w:after="0" w:line="236" w:lineRule="auto"/>
        <w:rPr>
          <w:sz w:val="20"/>
          <w:szCs w:val="20"/>
          <w:color w:val="auto"/>
        </w:rPr>
      </w:pPr>
      <w:r>
        <w:rPr>
          <w:rFonts w:ascii="Arial" w:cs="Arial" w:eastAsia="Arial" w:hAnsi="Arial"/>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$0.1 million to $4.3 million for the three-month period ended September 30, 2021, from $4.2 million during the same period in 2020 primarily due to $0.5 million of increased compensation and other employee related expenses driven largely by headcount growth to support commercial growth and $0.1 million of increased equipment and supplies. These increases were offset by $0.2 million of reduced paid services and $0.1 million of reduced stock-based compensation.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Other Income (Expense)</w:t>
      </w:r>
    </w:p>
    <w:p>
      <w:pPr>
        <w:spacing w:after="0" w:line="115" w:lineRule="exact"/>
        <w:rPr>
          <w:sz w:val="20"/>
          <w:szCs w:val="20"/>
          <w:color w:val="auto"/>
        </w:rPr>
      </w:pPr>
    </w:p>
    <w:p>
      <w:pPr>
        <w:ind w:left="306"/>
        <w:spacing w:after="0"/>
        <w:rPr>
          <w:sz w:val="20"/>
          <w:szCs w:val="20"/>
          <w:color w:val="auto"/>
        </w:rPr>
      </w:pPr>
      <w:r>
        <w:rPr>
          <w:rFonts w:ascii="Arial" w:cs="Arial" w:eastAsia="Arial" w:hAnsi="Arial"/>
          <w:sz w:val="12"/>
          <w:szCs w:val="12"/>
          <w:color w:val="auto"/>
        </w:rPr>
        <w:t>Interest income and expense was flat when comparing the three-month period ended September 30, 2021 to the same period in 2020.</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Comparison of the nine-month periods ended September 30, 2021 and 2020</w:t>
      </w:r>
    </w:p>
    <w:p>
      <w:pPr>
        <w:spacing w:after="0" w:line="111" w:lineRule="exact"/>
        <w:rPr>
          <w:sz w:val="20"/>
          <w:szCs w:val="20"/>
          <w:color w:val="auto"/>
        </w:rPr>
      </w:pPr>
    </w:p>
    <w:p>
      <w:pPr>
        <w:ind w:left="306"/>
        <w:spacing w:after="0"/>
        <w:rPr>
          <w:sz w:val="20"/>
          <w:szCs w:val="20"/>
          <w:color w:val="auto"/>
        </w:rPr>
      </w:pPr>
      <w:r>
        <w:rPr>
          <w:rFonts w:ascii="Arial" w:cs="Arial" w:eastAsia="Arial" w:hAnsi="Arial"/>
          <w:sz w:val="12"/>
          <w:szCs w:val="12"/>
          <w:color w:val="auto"/>
        </w:rPr>
        <w:t>Our condensed consolidated statements of operations as discussed herein are presented below:</w:t>
      </w:r>
    </w:p>
    <w:p>
      <w:pPr>
        <w:spacing w:after="0" w:line="9"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4"/>
          </w:tcPr>
          <w:p>
            <w:pPr>
              <w:jc w:val="right"/>
              <w:ind w:right="9"/>
              <w:spacing w:after="0"/>
              <w:rPr>
                <w:sz w:val="20"/>
                <w:szCs w:val="20"/>
                <w:color w:val="auto"/>
              </w:rPr>
            </w:pPr>
            <w:r>
              <w:rPr>
                <w:rFonts w:ascii="Arial" w:cs="Arial" w:eastAsia="Arial" w:hAnsi="Arial"/>
                <w:sz w:val="10"/>
                <w:szCs w:val="10"/>
                <w:b w:val="1"/>
                <w:bCs w:val="1"/>
                <w:color w:val="auto"/>
              </w:rPr>
              <w:t>Nine-Month Periods Ended</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5940" w:type="dxa"/>
            <w:vAlign w:val="bottom"/>
            <w:vMerge w:val="restart"/>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0"/>
                <w:szCs w:val="10"/>
                <w:b w:val="1"/>
                <w:bCs w:val="1"/>
                <w:color w:val="auto"/>
              </w:rPr>
              <w:t>September 30,</w:t>
            </w:r>
          </w:p>
        </w:tc>
        <w:tc>
          <w:tcPr>
            <w:tcW w:w="9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2021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jc w:val="right"/>
              <w:ind w:right="540"/>
              <w:spacing w:after="0" w:line="82" w:lineRule="exact"/>
              <w:rPr>
                <w:sz w:val="20"/>
                <w:szCs w:val="20"/>
                <w:color w:val="auto"/>
              </w:rPr>
            </w:pPr>
            <w:r>
              <w:rPr>
                <w:rFonts w:ascii="Arial" w:cs="Arial" w:eastAsia="Arial" w:hAnsi="Arial"/>
                <w:sz w:val="9"/>
                <w:szCs w:val="9"/>
                <w:b w:val="1"/>
                <w:bCs w:val="1"/>
                <w:color w:val="auto"/>
              </w:rPr>
              <w:t>2020*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4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Revenues:</w:t>
            </w:r>
          </w:p>
        </w:tc>
        <w:tc>
          <w:tcPr>
            <w:tcW w:w="34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Product revenues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574</w:t>
            </w:r>
          </w:p>
        </w:tc>
        <w:tc>
          <w:tcPr>
            <w:tcW w:w="80" w:type="dxa"/>
            <w:vAlign w:val="bottom"/>
          </w:tcPr>
          <w:p>
            <w:pPr>
              <w:spacing w:after="0"/>
              <w:rPr>
                <w:sz w:val="11"/>
                <w:szCs w:val="11"/>
                <w:color w:val="auto"/>
              </w:rPr>
            </w:pPr>
          </w:p>
        </w:tc>
        <w:tc>
          <w:tcPr>
            <w:tcW w:w="640" w:type="dxa"/>
            <w:vAlign w:val="bottom"/>
            <w:gridSpan w:val="2"/>
          </w:tcPr>
          <w:p>
            <w:pPr>
              <w:jc w:val="right"/>
              <w:ind w:right="429"/>
              <w:spacing w:after="0" w:line="129" w:lineRule="exact"/>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18"/>
        </w:trPr>
        <w:tc>
          <w:tcPr>
            <w:tcW w:w="654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revenues</w:t>
            </w: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574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28"/>
        </w:trPr>
        <w:tc>
          <w:tcPr>
            <w:tcW w:w="6540" w:type="dxa"/>
            <w:vAlign w:val="bottom"/>
            <w:gridSpan w:val="2"/>
          </w:tcPr>
          <w:p>
            <w:pPr>
              <w:spacing w:after="0" w:line="128" w:lineRule="exact"/>
              <w:rPr>
                <w:sz w:val="20"/>
                <w:szCs w:val="20"/>
                <w:color w:val="auto"/>
              </w:rPr>
            </w:pPr>
            <w:r>
              <w:rPr>
                <w:rFonts w:ascii="Arial" w:cs="Arial" w:eastAsia="Arial" w:hAnsi="Arial"/>
                <w:sz w:val="12"/>
                <w:szCs w:val="12"/>
                <w:color w:val="auto"/>
              </w:rPr>
              <w:t>Cost and expenses: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5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Cost of revenues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w:t>
            </w:r>
          </w:p>
        </w:tc>
        <w:tc>
          <w:tcPr>
            <w:tcW w:w="0" w:type="dxa"/>
            <w:vAlign w:val="bottom"/>
          </w:tcPr>
          <w:p>
            <w:pPr>
              <w:spacing w:after="0"/>
              <w:rPr>
                <w:sz w:val="1"/>
                <w:szCs w:val="1"/>
                <w:color w:val="auto"/>
              </w:rPr>
            </w:pPr>
          </w:p>
        </w:tc>
      </w:tr>
      <w:tr>
        <w:trPr>
          <w:trHeight w:val="129"/>
        </w:trPr>
        <w:tc>
          <w:tcPr>
            <w:tcW w:w="654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22,982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rPr>
              <w:t>19,019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3,963</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10,697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4,926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5,771</w:t>
            </w:r>
          </w:p>
        </w:tc>
        <w:tc>
          <w:tcPr>
            <w:tcW w:w="0" w:type="dxa"/>
            <w:vAlign w:val="bottom"/>
          </w:tcPr>
          <w:p>
            <w:pPr>
              <w:spacing w:after="0"/>
              <w:rPr>
                <w:sz w:val="1"/>
                <w:szCs w:val="1"/>
                <w:color w:val="auto"/>
              </w:rPr>
            </w:pPr>
          </w:p>
        </w:tc>
      </w:tr>
      <w:tr>
        <w:trPr>
          <w:trHeight w:val="129"/>
        </w:trPr>
        <w:tc>
          <w:tcPr>
            <w:tcW w:w="6540" w:type="dxa"/>
            <w:vAlign w:val="bottom"/>
            <w:tcBorders>
              <w:bottom w:val="single" w:sz="8" w:color="CCEEFF"/>
            </w:tcBorders>
            <w:gridSpan w:val="2"/>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13,772</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12,264</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1,508</w:t>
            </w:r>
          </w:p>
        </w:tc>
        <w:tc>
          <w:tcPr>
            <w:tcW w:w="0" w:type="dxa"/>
            <w:vAlign w:val="bottom"/>
          </w:tcPr>
          <w:p>
            <w:pPr>
              <w:spacing w:after="0"/>
              <w:rPr>
                <w:sz w:val="1"/>
                <w:szCs w:val="1"/>
                <w:color w:val="auto"/>
              </w:rPr>
            </w:pPr>
          </w:p>
        </w:tc>
      </w:tr>
      <w:tr>
        <w:trPr>
          <w:trHeight w:val="118"/>
        </w:trPr>
        <w:tc>
          <w:tcPr>
            <w:tcW w:w="654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cost and expenses</w:t>
            </w:r>
          </w:p>
        </w:tc>
        <w:tc>
          <w:tcPr>
            <w:tcW w:w="3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48,178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36,209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11,969</w:t>
            </w:r>
          </w:p>
        </w:tc>
        <w:tc>
          <w:tcPr>
            <w:tcW w:w="0" w:type="dxa"/>
            <w:vAlign w:val="bottom"/>
          </w:tcPr>
          <w:p>
            <w:pPr>
              <w:spacing w:after="0"/>
              <w:rPr>
                <w:sz w:val="1"/>
                <w:szCs w:val="1"/>
                <w:color w:val="auto"/>
              </w:rPr>
            </w:pPr>
          </w:p>
        </w:tc>
      </w:tr>
      <w:tr>
        <w:trPr>
          <w:trHeight w:val="118"/>
        </w:trPr>
        <w:tc>
          <w:tcPr>
            <w:tcW w:w="6540" w:type="dxa"/>
            <w:vAlign w:val="bottom"/>
            <w:gridSpan w:val="2"/>
          </w:tcPr>
          <w:p>
            <w:pPr>
              <w:spacing w:after="0" w:line="118" w:lineRule="exact"/>
              <w:rPr>
                <w:sz w:val="20"/>
                <w:szCs w:val="20"/>
                <w:color w:val="auto"/>
              </w:rPr>
            </w:pPr>
            <w:r>
              <w:rPr>
                <w:rFonts w:ascii="Arial" w:cs="Arial" w:eastAsia="Arial" w:hAnsi="Arial"/>
                <w:sz w:val="12"/>
                <w:szCs w:val="12"/>
                <w:color w:val="auto"/>
              </w:rPr>
              <w:t>Loss from operations</w:t>
            </w:r>
          </w:p>
        </w:tc>
        <w:tc>
          <w:tcPr>
            <w:tcW w:w="34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Arial" w:cs="Arial" w:eastAsia="Arial" w:hAnsi="Arial"/>
                <w:sz w:val="12"/>
                <w:szCs w:val="12"/>
                <w:color w:val="auto"/>
              </w:rPr>
              <w:t>(47,604)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Arial" w:cs="Arial" w:eastAsia="Arial" w:hAnsi="Arial"/>
                <w:sz w:val="12"/>
                <w:szCs w:val="12"/>
                <w:color w:val="auto"/>
              </w:rPr>
              <w:t>(36,209)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Arial" w:cs="Arial" w:eastAsia="Arial" w:hAnsi="Arial"/>
                <w:sz w:val="12"/>
                <w:szCs w:val="12"/>
                <w:color w:val="auto"/>
              </w:rPr>
              <w:t>(11,395)</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Other income (expense):</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34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(640)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rPr>
              <w:t>108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18"/>
        </w:trPr>
        <w:tc>
          <w:tcPr>
            <w:tcW w:w="654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(640)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108</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18"/>
        </w:trPr>
        <w:tc>
          <w:tcPr>
            <w:tcW w:w="6540" w:type="dxa"/>
            <w:vAlign w:val="bottom"/>
            <w:gridSpan w:val="2"/>
          </w:tcPr>
          <w:p>
            <w:pPr>
              <w:spacing w:after="0" w:line="118" w:lineRule="exact"/>
              <w:rPr>
                <w:sz w:val="20"/>
                <w:szCs w:val="20"/>
                <w:color w:val="auto"/>
              </w:rPr>
            </w:pPr>
            <w:r>
              <w:rPr>
                <w:rFonts w:ascii="Arial" w:cs="Arial" w:eastAsia="Arial" w:hAnsi="Arial"/>
                <w:sz w:val="12"/>
                <w:szCs w:val="12"/>
                <w:color w:val="auto"/>
              </w:rPr>
              <w:t>Net loss</w:t>
            </w: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(48,244)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(36,101)</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(12,143)</w:t>
            </w:r>
          </w:p>
        </w:tc>
        <w:tc>
          <w:tcPr>
            <w:tcW w:w="0" w:type="dxa"/>
            <w:vAlign w:val="bottom"/>
          </w:tcPr>
          <w:p>
            <w:pPr>
              <w:spacing w:after="0"/>
              <w:rPr>
                <w:sz w:val="1"/>
                <w:szCs w:val="1"/>
                <w:color w:val="auto"/>
              </w:rPr>
            </w:pPr>
          </w:p>
        </w:tc>
      </w:tr>
    </w:tbl>
    <w:p>
      <w:pPr>
        <w:ind w:left="6" w:right="20" w:hanging="6"/>
        <w:spacing w:after="0" w:line="255" w:lineRule="auto"/>
        <w:tabs>
          <w:tab w:leader="none" w:pos="117" w:val="left"/>
        </w:tabs>
        <w:numPr>
          <w:ilvl w:val="0"/>
          <w:numId w:val="5"/>
        </w:numPr>
        <w:rPr>
          <w:rFonts w:ascii="Arial" w:cs="Arial" w:eastAsia="Arial" w:hAnsi="Arial"/>
          <w:sz w:val="12"/>
          <w:szCs w:val="12"/>
          <w:color w:val="auto"/>
        </w:rPr>
      </w:pPr>
      <w:r>
        <w:rPr>
          <w:rFonts w:ascii="Arial" w:cs="Arial" w:eastAsia="Arial" w:hAnsi="Arial"/>
          <w:sz w:val="12"/>
          <w:szCs w:val="12"/>
          <w:color w:val="auto"/>
        </w:rPr>
        <w:t>Certain 2020 amounts have been reclassified to conform to the current period presentation. Sales and marketing expenses have been reclassified out of general and administrative and presented as a separate line item. Amortization of intangible assets have been reclassified to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-179705</wp:posOffset>
            </wp:positionV>
            <wp:extent cx="30226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22600" cy="5715"/>
                    </a:xfrm>
                    <a:prstGeom prst="rect">
                      <a:avLst/>
                    </a:prstGeom>
                    <a:noFill/>
                  </pic:spPr>
                </pic:pic>
              </a:graphicData>
            </a:graphic>
          </wp:anchor>
        </w:drawing>
      </w: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20090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26" w:name="page27"/>
    <w:bookmarkEnd w:id="2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1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Revenues increased by $0.6 million to $0.6 million for the nine-month period ended September 30, 2021, from zero during the same period in 2020 because we commenced sales agreement activity in August 2021 which triggered the recognition of revenue.</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Revenues</w:t>
      </w:r>
    </w:p>
    <w:p>
      <w:pPr>
        <w:spacing w:after="0" w:line="143"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Cost of revenues increased by $0.7 million to $0.7 million for the nine-month period ended September 30, 2021, from zero during the same period in 2020. Prior to commercialization in August 2021, all uncapitalized manufacturing related overhead costs were recorded as research and development expenses. Upon commercialization, these costs are recorded as cost of revenue. Cost of revenue for the nine-month period ended September 30, 2021 consisted primarily of the uncapitalized manufacturing related overhead costs for products assembled during the three-month period ended September 30, 2021. All inventory sold during the nine-month period ended September 30, 2021 was previously expensed.</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increased by $4.0 million to $23.0 million for the nine-month period ended September 30, 2021, from $19.0 million during the same period in 2020 primarily due to $1.6 million of increased stock-based compensation, $1.5 million of increased compensation and other employee related expenses, and $1.6 million of increased clinical trial and other outside research costs. These increases were partially offset by $0.7 million of manufacturing absorption related to inventory production and capitalization. Compensation costs increased primarily due to headcount growth, while consulting and outside services increased primarily due to new application development, medical research and studies.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15"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$5.8 million to $10.7 million for the nine-month period ended September 30, 2021, from $4.9 million during the same period in 2020 primarily due to $2.2 million of increased compensation and other employee related expenses related to increased headcount, $1.4 million increased stock-based compensation, $1.2 million of non-cash controlled launch expenses, and $0.7 million of increased paid services primarily related to market research studies and commercial preparations. The increases in sales and marketing activity are attributable to our FDA clearance, CE marking approval, and Health Canada clearance as we commercialize our CellFX System.</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115"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$1.5 million to $13.8 million for the nine-month period ended September 30, 2021, from $12.3 million during the same period in 2020 primarily due to $1.5 million of increased compensation and other employee related expenses driven largely by headcount growth to support commercial growth.</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w:t>
      </w:r>
    </w:p>
    <w:p>
      <w:pPr>
        <w:spacing w:after="0" w:line="11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Interest expense increased by $0.7 million to $0.7 million for the nine-month period ended September 30, 2021, from zero during the same period in 2020 due to the Loan Agreement entered into in March 2021 and Insurance Loan Agreement entered into in May 2021. Interest income decreased by $0.1 million primarily due to decreased investment activity.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7" w:name="page28"/>
    <w:bookmarkEnd w:id="2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new applications for existing products and additional commercially viable products and to assess the feasibility of potential future products. Additionally, we expect that our general and administrative expenses will increase as we continue to incur substantial incremental costs associated with being a public company and our sales and marketing expenses will increase as we commercialize our CellFX System.</w:t>
      </w:r>
    </w:p>
    <w:p>
      <w:pPr>
        <w:spacing w:after="0" w:line="7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June 2020, we completed a rights offering pursuant to which we sold an aggregate of 4,279,600 shares of our common stock, par value $0.001 per share, and 641,571 warrants, for net proceeds of $29.4 million. On December 31, 2020, the Company met the requirements for redemption of these warrants. Pursuant to the redemption, the Company redeemed 5,139 warrants at a redemption price of $0.01 per warrant. 636,432 warrants were exercised, generating approximately $4.5 million of additional net proceeds to the Company.</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nine-month period ended September 30, 2021, the Company issued and sold 288,490 shares of common stock under the Sales Agreement. The shares were sold at a weighted average price of $27.73 per share for aggregate net proceeds of approximately $7.4 million, after deducting sales commissions and offering costs payable by us.</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March 2021 we entered into a Loan Agreement with Robert W. Duggan, our Board Chairman, in connection with Mr. Duggan lending the principal sum of $41.0 million to the Company. The Loan Agreement had a maturity date of June 11, 2022. Under the Loan Agreement, Mr. Duggan provided us, subject to certain conditions, an unsecured term loan facility in an original aggregate principal amount of $41.0 million. The Loan Agreement bore interest at a rate per annum equal to 5.0%, payable quarterly commencing on July 1, 2021. The Loan Agreement contained certain covenants and Events of Default.</w:t>
      </w:r>
    </w:p>
    <w:p>
      <w:pPr>
        <w:spacing w:after="0" w:line="10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On June 30, 2021, we entered into a Securities Purchase Agreement with Mr. Duggan, pursuant to which the Company issued and sold to Mr. Duggan 3,048,780 shares of the Company’s common stock, par value $0.001 per share, in a private placement, at a price per share of $16.40. The shares were paid for through (i) the conversion of the $41 million aggregate principal amount, together with all accrued and unpaid interest outstanding, pursuant to the Loan Agreement by and between the Company and Mr. Duggan (Note 8), and (ii) additional cash in the amount of approximately $8.4 million. Upon closing of this Private Placement and satisfaction of the outstanding debt, the Loan Agreement was terminated, without early termination fees or penalties being owed by the Company, and no additional amounts were owed to Mr. Duggan under the Loan Agreement. The cash proceeds of approximately $8.4 million were received by the Company in July 2021.</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condensed consolidated statements of cash flows as discussed herein are presented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gridSpan w:val="4"/>
          </w:tcPr>
          <w:p>
            <w:pPr>
              <w:jc w:val="right"/>
              <w:ind w:right="34"/>
              <w:spacing w:after="0"/>
              <w:rPr>
                <w:sz w:val="20"/>
                <w:szCs w:val="20"/>
                <w:color w:val="auto"/>
              </w:rPr>
            </w:pPr>
            <w:r>
              <w:rPr>
                <w:rFonts w:ascii="Arial" w:cs="Arial" w:eastAsia="Arial" w:hAnsi="Arial"/>
                <w:sz w:val="10"/>
                <w:szCs w:val="10"/>
                <w:b w:val="1"/>
                <w:bCs w:val="1"/>
                <w:color w:val="auto"/>
              </w:rPr>
              <w:t>Nine-Month Periods Ended</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47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0"/>
                <w:szCs w:val="10"/>
                <w:b w:val="1"/>
                <w:bCs w:val="1"/>
                <w:color w:val="auto"/>
              </w:rPr>
              <w:t>September 30,</w:t>
            </w: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4720" w:type="dxa"/>
            <w:vAlign w:val="bottom"/>
            <w:vMerge w:val="continue"/>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Arial" w:cs="Arial" w:eastAsia="Arial" w:hAnsi="Arial"/>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2020</w:t>
            </w:r>
          </w:p>
        </w:tc>
        <w:tc>
          <w:tcPr>
            <w:tcW w:w="0" w:type="dxa"/>
            <w:vAlign w:val="bottom"/>
          </w:tcPr>
          <w:p>
            <w:pPr>
              <w:spacing w:after="0"/>
              <w:rPr>
                <w:sz w:val="1"/>
                <w:szCs w:val="1"/>
                <w:color w:val="auto"/>
              </w:rPr>
            </w:pPr>
          </w:p>
        </w:tc>
      </w:tr>
      <w:tr>
        <w:trPr>
          <w:trHeight w:val="108"/>
        </w:trPr>
        <w:tc>
          <w:tcPr>
            <w:tcW w:w="532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Net cash used in operating activities</w:t>
            </w:r>
          </w:p>
        </w:tc>
        <w:tc>
          <w:tcPr>
            <w:tcW w:w="28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ind w:right="22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(41,403)</w:t>
            </w: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(26,110)</w:t>
            </w:r>
          </w:p>
        </w:tc>
        <w:tc>
          <w:tcPr>
            <w:tcW w:w="0" w:type="dxa"/>
            <w:vAlign w:val="bottom"/>
          </w:tcPr>
          <w:p>
            <w:pPr>
              <w:spacing w:after="0"/>
              <w:rPr>
                <w:sz w:val="1"/>
                <w:szCs w:val="1"/>
                <w:color w:val="auto"/>
              </w:rPr>
            </w:pPr>
          </w:p>
        </w:tc>
      </w:tr>
      <w:tr>
        <w:trPr>
          <w:trHeight w:val="129"/>
        </w:trPr>
        <w:tc>
          <w:tcPr>
            <w:tcW w:w="5320" w:type="dxa"/>
            <w:vAlign w:val="bottom"/>
            <w:gridSpan w:val="2"/>
          </w:tcPr>
          <w:p>
            <w:pPr>
              <w:spacing w:after="0" w:line="129" w:lineRule="exact"/>
              <w:rPr>
                <w:sz w:val="20"/>
                <w:szCs w:val="20"/>
                <w:color w:val="auto"/>
              </w:rPr>
            </w:pPr>
            <w:r>
              <w:rPr>
                <w:rFonts w:ascii="Arial" w:cs="Arial" w:eastAsia="Arial" w:hAnsi="Arial"/>
                <w:sz w:val="12"/>
                <w:szCs w:val="12"/>
                <w:color w:val="auto"/>
              </w:rPr>
              <w:t>Net cash provided by (used in) investing activities</w:t>
            </w:r>
          </w:p>
        </w:tc>
        <w:tc>
          <w:tcPr>
            <w:tcW w:w="2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7,697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ind w:right="2"/>
              <w:spacing w:after="0" w:line="129" w:lineRule="exact"/>
              <w:rPr>
                <w:sz w:val="20"/>
                <w:szCs w:val="20"/>
                <w:color w:val="auto"/>
              </w:rPr>
            </w:pPr>
            <w:r>
              <w:rPr>
                <w:rFonts w:ascii="Arial" w:cs="Arial" w:eastAsia="Arial" w:hAnsi="Arial"/>
                <w:sz w:val="12"/>
                <w:szCs w:val="12"/>
                <w:color w:val="auto"/>
              </w:rPr>
              <w:t>(4,168)</w:t>
            </w:r>
          </w:p>
        </w:tc>
        <w:tc>
          <w:tcPr>
            <w:tcW w:w="0" w:type="dxa"/>
            <w:vAlign w:val="bottom"/>
          </w:tcPr>
          <w:p>
            <w:pPr>
              <w:spacing w:after="0"/>
              <w:rPr>
                <w:sz w:val="1"/>
                <w:szCs w:val="1"/>
                <w:color w:val="auto"/>
              </w:rPr>
            </w:pPr>
          </w:p>
        </w:tc>
      </w:tr>
      <w:tr>
        <w:trPr>
          <w:trHeight w:val="129"/>
        </w:trPr>
        <w:tc>
          <w:tcPr>
            <w:tcW w:w="53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Net cash provided by financing activities</w:t>
            </w:r>
          </w:p>
        </w:tc>
        <w:tc>
          <w:tcPr>
            <w:tcW w:w="28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63,234</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30,449</w:t>
            </w:r>
          </w:p>
        </w:tc>
        <w:tc>
          <w:tcPr>
            <w:tcW w:w="0" w:type="dxa"/>
            <w:vAlign w:val="bottom"/>
          </w:tcPr>
          <w:p>
            <w:pPr>
              <w:spacing w:after="0"/>
              <w:rPr>
                <w:sz w:val="1"/>
                <w:szCs w:val="1"/>
                <w:color w:val="auto"/>
              </w:rPr>
            </w:pPr>
          </w:p>
        </w:tc>
      </w:tr>
      <w:tr>
        <w:trPr>
          <w:trHeight w:val="126"/>
        </w:trPr>
        <w:tc>
          <w:tcPr>
            <w:tcW w:w="5320" w:type="dxa"/>
            <w:vAlign w:val="bottom"/>
            <w:gridSpan w:val="2"/>
          </w:tcPr>
          <w:p>
            <w:pPr>
              <w:ind w:left="140"/>
              <w:spacing w:after="0" w:line="118" w:lineRule="exact"/>
              <w:rPr>
                <w:sz w:val="20"/>
                <w:szCs w:val="20"/>
                <w:color w:val="auto"/>
              </w:rPr>
            </w:pPr>
            <w:r>
              <w:rPr>
                <w:rFonts w:ascii="Arial" w:cs="Arial" w:eastAsia="Arial" w:hAnsi="Arial"/>
                <w:sz w:val="12"/>
                <w:szCs w:val="12"/>
                <w:color w:val="auto"/>
              </w:rPr>
              <w:t>Net increase in cash and cash equivalents</w:t>
            </w:r>
          </w:p>
        </w:tc>
        <w:tc>
          <w:tcPr>
            <w:tcW w:w="2860" w:type="dxa"/>
            <w:vAlign w:val="bottom"/>
          </w:tcPr>
          <w:p>
            <w:pPr>
              <w:spacing w:after="0"/>
              <w:rPr>
                <w:sz w:val="10"/>
                <w:szCs w:val="10"/>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29,528</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4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ind w:right="2"/>
              <w:spacing w:after="0" w:line="118" w:lineRule="exact"/>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To date, we have generated limited revenue and used cash in our operating activities. As a result, we have incurred significant operating losses in each year since our inception and we may continue to incur additional losses for the next several years. As of September 30, 2021, the Company had an accumulated deficit of $220.8 million, cash outflows from operations of $41.4 million for the nine months then ended, cash and cash equivalents of $42.0 million and a net loss of $14.3 million. These factors, combined with the Company’s forecast of cash required to fund operations for a period of at least twelve months from the date of issuance of the accompanying consolidated financial statements, raise substantial doubt under ASC 205-40 about the Company’s ability to continue as a going concern within one year after the issuance of these consolidated financial statements. We plan to raise additional capital in the future to fund our operations through public or private equity offerings, debt financings, or our at-the-market equity offering program, or by entering into revenue-generating collaborations. Mr. Duggan, our majority stockholder, may elect to participate in any number of our future financings, or alternatively he may offer to provide debt financing as may be needed in order to maintain the Company as a going concern. We can give no assurance, at this time, that additional financing or a collaboration will be available when needed on terms acceptable to us, however.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8" w:name="page29"/>
    <w:bookmarkEnd w:id="2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primary uses of cash in operating activities are for ongoing product development and commercialization activities relating to our product and product candidates.</w:t>
      </w:r>
    </w:p>
    <w:p>
      <w:pPr>
        <w:spacing w:after="0" w:line="111" w:lineRule="exact"/>
        <w:rPr>
          <w:sz w:val="20"/>
          <w:szCs w:val="20"/>
          <w:color w:val="auto"/>
        </w:rPr>
      </w:pPr>
    </w:p>
    <w:p>
      <w:pPr>
        <w:ind w:right="320" w:firstLine="301"/>
        <w:spacing w:after="0" w:line="255" w:lineRule="auto"/>
        <w:rPr>
          <w:sz w:val="20"/>
          <w:szCs w:val="20"/>
          <w:color w:val="auto"/>
        </w:rPr>
      </w:pPr>
      <w:r>
        <w:rPr>
          <w:rFonts w:ascii="Arial" w:cs="Arial" w:eastAsia="Arial" w:hAnsi="Arial"/>
          <w:sz w:val="12"/>
          <w:szCs w:val="12"/>
          <w:color w:val="auto"/>
        </w:rPr>
        <w:t>During the nine-month period ended September 30, 2021, we used cash in the amount of $41.4 million in operating activities. The difference between cash used in operating activities and net loss consisted primarily of stock-based compensation, depreciation and amortization, as well as increases in inventory and prepaid and other current assets.</w:t>
      </w:r>
    </w:p>
    <w:p>
      <w:pPr>
        <w:spacing w:after="0" w:line="85" w:lineRule="exact"/>
        <w:rPr>
          <w:sz w:val="20"/>
          <w:szCs w:val="20"/>
          <w:color w:val="auto"/>
        </w:rPr>
      </w:pPr>
    </w:p>
    <w:p>
      <w:pPr>
        <w:ind w:right="400" w:firstLine="301"/>
        <w:spacing w:after="0" w:line="255" w:lineRule="auto"/>
        <w:rPr>
          <w:sz w:val="20"/>
          <w:szCs w:val="20"/>
          <w:color w:val="auto"/>
        </w:rPr>
      </w:pPr>
      <w:r>
        <w:rPr>
          <w:rFonts w:ascii="Arial" w:cs="Arial" w:eastAsia="Arial" w:hAnsi="Arial"/>
          <w:sz w:val="12"/>
          <w:szCs w:val="12"/>
          <w:color w:val="auto"/>
        </w:rPr>
        <w:t>During the nine-month period ended September 30, 2020, we used cash of $26.1 million in operating activities. The difference between cash used in operating activities and net loss consisted primarily of stock-based compensation, depreciation and amortization, and decreases in prepaid expenses and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investing activities consist primarily of investment purchases, sales and maturities and capital expenditures.</w:t>
      </w:r>
    </w:p>
    <w:p>
      <w:pPr>
        <w:spacing w:after="0" w:line="111"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During the nine-month period ended September 30, 2021, $7.7 million of cash provided by investing activities was primarily from $8.0 million of cash proceeds from the maturities of investments, partially offset by the purchase of property and equipment.</w:t>
      </w:r>
    </w:p>
    <w:p>
      <w:pPr>
        <w:spacing w:after="0" w:line="8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During the nine-month period ended September 30, 2020, $4.2 million of cash used in investing activities was primarily from the purchase of investments of $25.5 million offset by the cash proceeds from the maturities and sale of investments of $21.5 million.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11"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During the nine-month period ended September 30, 2021, cash provided from financing activities was $63.2 million, primarily due to $49.3 million net cash received from our Loan Agreement and Private Placement, $7.4 million net cash received from our at-the-market equity offering, $4.9 million received from stock option and warrant exercises, $1.1 million received, net of payments made to date, from the Insurance Loan Agreement and $0.8 million received from the sale of stock under our employee stock purchase plan.</w:t>
      </w:r>
    </w:p>
    <w:p>
      <w:pPr>
        <w:spacing w:after="0" w:line="9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During the nine-month period ended September 30, 2020, cash provided from financing activities was $30.4 million, primarily due to $29.5 million net cash received from our rights offering, $0.4 million from stock option and warrant exercises, and $0.5 million from the sale of stock under our employee stock purchase plan.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have been no material changes outside the ordinary course of our business to the contractual obligations disclosed in our Annual Report on Form 10-K for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At September 30, 2021, we did not have any transactions, obligations or relationships that constitute off-balance sheet arrangements.</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9" w:name="page30"/>
    <w:bookmarkEnd w:id="2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03"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15"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Events and Uncertainties</w:t>
      </w:r>
    </w:p>
    <w:p>
      <w:pPr>
        <w:spacing w:after="0" w:line="12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commercialization of our CellFX System, including, but not limited to, additional financing through follow-on stock offerings, debt financings, or co-development agreements and /or other alternatives.</w:t>
      </w:r>
    </w:p>
    <w:p>
      <w:pPr>
        <w:spacing w:after="0" w:line="103"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91"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0" w:name="page31"/>
    <w:bookmarkEnd w:id="3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Except for the broad effects of COVID-19 as a result of its negative impact on the global economy and financial markets, there have been no material changes in market risk from the information provided in our Annual Report on Form 10-K for the year ended December 31, 2020.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2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September 30, 2021,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5"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There have been no changes in our internal control over financial reporting identified in connection with the evaluation required by Rule 13a-15(d) and 15d-15(d) of the Exchange Act, as amended, that occurred during the quarter ended September 30, 2021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on Effectiveness of Controls</w:t>
      </w:r>
    </w:p>
    <w:p>
      <w:pPr>
        <w:spacing w:after="0" w:line="115"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may not be detected.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1" w:name="page32"/>
    <w:bookmarkEnd w:id="3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results of legal proceedings and claims are inherently unpredictable. We do not believe any currently pending matters will have a material adverse effect on our business based on our current understanding of such matters. However, regardless of the outcome, any litigation could have an adverse impact on us because of defense and settlement costs, diversion of our resources and other factors.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2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limited operating history and our lack of revenue producing operations;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inability to operate without additional fundraising;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Substantial doubt about our ability to continue as a going concern;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Competition within our industry;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Health epidemics, including the coronavirus pandemic;</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reliance on certain third parties such as key suppliers;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loss of key management personnel;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security breaches, loss of data, and other disruptions to us or to our third-party service providers that could compromise sensitive information;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product liability lawsuits and other litigation;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timing, unpredictability, and expense of our clinical and product development activities;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possibility of adverse trial results and unfavorable long-term trial data;</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failure to obtain and maintain necessary regulatory clearances or approvals;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Uncertainties concerning the long-term safety and effectiveness of our CellFX System and product candidates, and the potential for adverse side effects;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2" w:name="page33"/>
    <w:bookmarkEnd w:id="3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commercial uncertainties concerning whether there will be broad adoption of our CellFX System and NPS technology;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Possible challenges enrolling patients in our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Uncertainties concerning our ability to obtain an adequate level of reimbursement by Medicare and other third-party payers;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Protection of intellectual property, potential litigation related to intellectual property, and obligations under intellectual property agreements;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Stringent domestic and foreign regulation in respect of any potential devices and products, including healthcare laws and regulations;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Healthcare policy changes;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Volatility of the price of our common stock;</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Concentration of ownership by our principal stockholder and Board Chairman, Robert W. Duggan;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Unfavorable global economic or political conditions;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material weaknesses and uncertainties concerning our ability to maintain an effective system of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Industry and Financial Condition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Because we have a limited operating history and have recently commenced revenue producing operations, it is difficult to evaluate the future of our business</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are a bioelectric medicine technology company and have recently commenced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currently have very limited product revenue and we may never become profitable.</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To date, we have not generated significant revenue and we have historically relied on financing from the sale of equity securities to fund our operations. We expect that our future financial results will depend primarily on our success in launching, selling, and supporting our therapies and procedures using our CellFX System or other products based on our NPS technology.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3" w:name="page34"/>
    <w:bookmarkEnd w:id="3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There is substantial doubt about our ability to continue as a going concern.</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To date, we have generated limited revenue from product sales and have incurred significant operating losses in each year since our inception and we anticipate that losses may continue for the next several years or until such time as we can generate substantial product revenue and achieve profitability. In connection with the preparation of this Quarterly Report for the nine months ended September 30, 2021, our management has concluded that there is substantial doubt as to whether we can continue as a going concern for the twelve months following the issuance of this Quarterly Report. We plan to raise additional capital to fund our operations through public or private equity offerings, debt financings, our at-the-market equity offering program, and/or potential new collaborations. There is no assurance, however, that any additional financing or any revenue-generating collaboration will be available when needed or that management of the Company will be able to obtain financing or enter into a collaboration on terms acceptable to the Company.</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2"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04" w:lineRule="exact"/>
        <w:rPr>
          <w:sz w:val="20"/>
          <w:szCs w:val="20"/>
          <w:color w:val="auto"/>
        </w:rPr>
      </w:pPr>
    </w:p>
    <w:p>
      <w:pPr>
        <w:jc w:val="both"/>
        <w:ind w:right="20" w:firstLine="301"/>
        <w:spacing w:after="0" w:line="300" w:lineRule="auto"/>
        <w:rPr>
          <w:sz w:val="20"/>
          <w:szCs w:val="20"/>
          <w:color w:val="auto"/>
        </w:rPr>
      </w:pPr>
      <w:r>
        <w:rPr>
          <w:rFonts w:ascii="Arial" w:cs="Arial" w:eastAsia="Arial" w:hAnsi="Arial"/>
          <w:sz w:val="11"/>
          <w:szCs w:val="11"/>
          <w:color w:val="auto"/>
        </w:rPr>
        <w:t>We will need to raise additional capital in order to continue to execute our business plan. If we are unable to raise sufficient additional funds, we will have to scale back our operations. Also, the ongoing COVID-19 pandemic and resulting negative impact on the global macroeconomic environment and capital markets may make it more difficult for us to raise additional funds. We have incurred and may further incur additional debt.</w:t>
      </w:r>
    </w:p>
    <w:p>
      <w:pPr>
        <w:spacing w:after="0" w:line="71"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95"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4" w:name="page35"/>
    <w:bookmarkEnd w:id="3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to occur, our ability to grow and support our business and to respond to market challenges could be significantly limited or we may be unable to continue operations, in which case you could lose your entire investment.</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4" w:lineRule="exact"/>
        <w:rPr>
          <w:sz w:val="20"/>
          <w:szCs w:val="20"/>
          <w:color w:val="auto"/>
        </w:rPr>
      </w:pPr>
    </w:p>
    <w:p>
      <w:pPr>
        <w:ind w:left="440" w:right="1420"/>
        <w:spacing w:after="0" w:line="449" w:lineRule="auto"/>
        <w:rPr>
          <w:sz w:val="20"/>
          <w:szCs w:val="20"/>
          <w:color w:val="auto"/>
        </w:rPr>
      </w:pPr>
      <w:r>
        <w:rPr>
          <w:rFonts w:ascii="Arial" w:cs="Arial" w:eastAsia="Arial" w:hAnsi="Arial"/>
          <w:sz w:val="12"/>
          <w:szCs w:val="12"/>
          <w:color w:val="auto"/>
        </w:rPr>
        <w:t>the timing and cost of, and level of investment in, research, development, and commercialization activities relating to our product and product candidates, which may change from time to time; the timing of receipt of approvals or clearances for our product candidates from regulatory authorities in the United States or internationally; the timing and status of enrollment for our clinical trials;</w:t>
      </w:r>
    </w:p>
    <w:p>
      <w:pPr>
        <w:ind w:left="440" w:right="20"/>
        <w:spacing w:after="0" w:line="255" w:lineRule="auto"/>
        <w:rPr>
          <w:sz w:val="20"/>
          <w:szCs w:val="20"/>
          <w:color w:val="auto"/>
        </w:rPr>
      </w:pPr>
      <w:r>
        <w:rPr>
          <w:rFonts w:ascii="Arial" w:cs="Arial" w:eastAsia="Arial" w:hAnsi="Arial"/>
          <w:sz w:val="12"/>
          <w:szCs w:val="12"/>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9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costs of manufacturing our product, as well as building out our supply chain, which may vary depending on the quantity of production and which will vary significantly depending upon the terms of our agreements with manufacturers;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expenditures that we may incur to acquire, develop or commercialize additional product candidates and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level of demand for our product and any product candidates, if approved or cleared, which may vary significantly over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litigation, including patent, employment, securities class action, stockholder derivative, general commercial, and other lawsuits;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future accounting pronouncements or changes in our accounting policies; and</w:t>
      </w:r>
    </w:p>
    <w:p>
      <w:pPr>
        <w:spacing w:after="0" w:line="120"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Because we operate in a highly competitive market, we can expect to face competition from large, well-established manufacturers of medical technologies, devices and similar products; we may not be able to compete effectively against companies with significantly more resources.</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5" w:name="page36"/>
    <w:bookmarkEnd w:id="3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academic and research institutions. We may find ourselves in competition with companies that have competitive advantages over us, such as: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significantly greater name recognition;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relationships with healthcare professionals, customers, and third-party payers;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competitive products with greater efficacy or better safety profiles;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distribution networks;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additional lines of products and the ability to offer rebates, higher discounts, or incentives to gain a competitive advantage;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experience in obtaining patents and regulatory approvals for product candidates;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experience conducting new product research and development, manufacturing therapies, conducting clinical trials, obtaining regulatory approval for products, and marketing approved products;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financial and human resources for product development, sales and marketing.</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rely on third parties for our sales, marketing, manufacturing, and/or distribution activities, and these third parties may not perform satisfactorily.</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These third parties may also be adversely impacted by COVID-19 which could affect their ability to perform satisfactorily.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95" w:lineRule="exact"/>
        <w:rPr>
          <w:sz w:val="20"/>
          <w:szCs w:val="20"/>
          <w:color w:val="auto"/>
        </w:rPr>
      </w:pPr>
    </w:p>
    <w:p>
      <w:pPr>
        <w:jc w:val="both"/>
        <w:ind w:right="20" w:firstLine="301"/>
        <w:spacing w:after="0" w:line="263" w:lineRule="auto"/>
        <w:rPr>
          <w:sz w:val="20"/>
          <w:szCs w:val="20"/>
          <w:color w:val="auto"/>
        </w:rPr>
      </w:pPr>
      <w:r>
        <w:rPr>
          <w:rFonts w:ascii="Arial" w:cs="Arial" w:eastAsia="Arial" w:hAnsi="Arial"/>
          <w:sz w:val="11"/>
          <w:szCs w:val="11"/>
          <w:color w:val="auto"/>
        </w:rPr>
        <w:t>We have recently commenced revenue-producing operations and we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6" w:name="page37"/>
    <w:bookmarkEnd w:id="3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4"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0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Rapidly changing technology in life sciences could make the products we are developing obsolete.</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manage the anticipated growth of our business, our future revenue and operating results may be harmed.</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7" w:name="page38"/>
    <w:bookmarkEnd w:id="3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b w:val="1"/>
          <w:bCs w:val="1"/>
          <w:i w:val="1"/>
          <w:iCs w:val="1"/>
          <w:color w:val="auto"/>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71"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spacing w:after="0" w:line="103" w:lineRule="exact"/>
        <w:rPr>
          <w:sz w:val="20"/>
          <w:szCs w:val="20"/>
          <w:color w:val="auto"/>
        </w:rPr>
      </w:pPr>
    </w:p>
    <w:p>
      <w:pPr>
        <w:jc w:val="both"/>
        <w:ind w:firstLine="301"/>
        <w:spacing w:after="0" w:line="249" w:lineRule="auto"/>
        <w:rPr>
          <w:sz w:val="20"/>
          <w:szCs w:val="20"/>
          <w:color w:val="auto"/>
        </w:rPr>
      </w:pPr>
      <w:r>
        <w:rPr>
          <w:rFonts w:ascii="Arial" w:cs="Arial" w:eastAsia="Arial" w:hAnsi="Arial"/>
          <w:sz w:val="11"/>
          <w:szCs w:val="11"/>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both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 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in November 2020, California voters approved a new privacy law, the California Privacy Rights Act (“CPRA”), which significantly modifies the CCPA, resulting in further uncertainty and requiring us to incur additional costs and expenses in an effort to comply. Most of the substantive provisions of the CPRA will not take effect until January 2023, however.</w:t>
      </w:r>
    </w:p>
    <w:p>
      <w:pPr>
        <w:spacing w:after="0" w:line="102"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Unauthorized access, loss or dissemination of data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8" w:name="page39"/>
    <w:bookmarkEnd w:id="3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limit commercialization of our product or any future products that we may develop.</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decreased demand for our product or any planned products that we may develop;</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injury to our reputation and significant negative media attention;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withdrawal of patients from our clinical studies or cancellation of studies;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 costs to defend the related litigation and distraction to our management team;</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substantial monetary awards to patients;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loss of revenue;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inability to commercialize any future products that we may develop.</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9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ability to utilize our net operating loss carryforwards and certain other tax attributes may be limited.</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8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9" w:name="page40"/>
    <w:bookmarkEnd w:id="3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43"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fail to maintain necessary regulatory clearance for our product, or if clearances or approvals for future devices and indications are delayed or not issued, our commercial operations would be harmed.</w:t>
      </w:r>
    </w:p>
    <w:p>
      <w:pPr>
        <w:spacing w:after="0" w:line="132"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design, development and manufacture;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laboratory, preclinical and clinical testing, labeling, packaging, and storage;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premarketing clearance or approval;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record keeping;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marketing, promotion and advertising, sales and distribution;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post-marketing surveillance, including reporting of deaths and serious injuries and recalls and correction and removals.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0" w:name="page41"/>
    <w:bookmarkEnd w:id="4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95"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February 2021, we received a 510(k) clearance from the U.S. FDA for our CellFX System for dermatologic procedures requiring ablation and resurfacing of the skin.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However, the failure to obtain further 510(k) clearances may add significant time and expense to our regulatory clearance process, may delay our ability to generate revenue, and may have a negative impact on our stock price. We may not be able to obtain the necessary clearances or approvals necessary to market our CellFX System for specific indications or such approvals or clearances may be unduly delayed, which could harm our business. If the FDA rejects our 510(k) submissions for specific indications, we may be required to obtain FDA approval through the de novo pathway, which will require additional time and resources, including the need to conduct more clinical studies to demonstrate safety and effectiveness of our candidate device.</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adverse publicity, warning letters, fines, injunctions, consent decrees, and civil penalties;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repair, replacement, refunds, recall, or seizure of our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operating restrictions, partial suspension, or total shutdown of production;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refusing our requests for 510(k) clearance or premarket approval of new devices, new intended uses or modifications to existing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withdrawing 510(k) clearance or premarket approvals that have already been granted;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criminal prosecution.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If any of these events were to occur, our business and financial condition would be harmed.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1" w:name="page42"/>
    <w:bookmarkEnd w:id="4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mechanism of action of NPS technology platform has not been fully determined or validated.</w:t>
      </w:r>
    </w:p>
    <w:p>
      <w:pPr>
        <w:spacing w:after="0" w:line="120"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 exact mechanism(s) of action(s) of the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Our product and any future product candidates may cause serious adverse side effects or have other properties that could delay or prevent their regulatory approval, limit their commercial desirability or result in significant negative consequences.</w:t>
      </w:r>
    </w:p>
    <w:p>
      <w:pPr>
        <w:spacing w:after="0" w:line="9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risk of failure of clinical development is high. For example, the vast majority of our in vivo data has been a result of animal testing, and we have only completed a limited number of feasibility studies in humans. Undesirable side effects caused by our CellFX System, NPS pulses, or any of our planned future products could cause us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Additionally, if we or others identify undesirable side effects caused by our CellFX System, a number of potentially significant negative consequences could result, including: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forced to recall such product and suspend the marketing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withdraw their approvals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require additional warnings on the label and/or narrow the indication that could diminish the usage or otherwise limit the commercial success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or other regulatory authorities may issue safety alerts, “Dear Healthcare Provider” letters, press releases, or other communications containing warnings about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may restrict distribution of our product and impose burdensome implementation requirements on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required to change the way the product is administered or conduct additional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could be sued and held liable for harm caused to subjects or patients;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reputation could suffer.</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Any of these events could prevent us from achieving or maintaining market acceptance of the CellFX System or of any future particular planned product, if approved.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is dependent upon physicians adopting our CellFX System and NPS technology, and if we fail to obtain broad adoption, our business would be adversely affected.</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Our success depends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third-party commercial payors and from the Centers for Medicare &amp; Medicaid Services (“CMS”) for the professional services they provide in administering CellFX procedures.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CellFX System or future products using our NPS technology, we may never become profitable.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2" w:name="page43"/>
    <w:bookmarkEnd w:id="4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9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Observations and developments that may be achievable under laboratory circumstances may not be able to be replicated in broader research and development phases, in commercial settings, or in the use of any of the product candidates in the field. Furthermore, CellFX procedures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Issues with our firmware and software may negatively affect the function of our devices.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03"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0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are in the process of commencing commercial-scale manufacturing of our product, and we currently rely upon third-party suppliers to manufacture and supply components for our CellFX System. We perform final assembly of our devices at our facility in California. We believe we have an adequate inventory of materials and manufacturing capacity to support all our anticipated commercial launch activities. However, if demand for our product increases significantly, we will need to either expand our manufacturing capabilities or outsource to other manufacturers. The manufacture of our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3" w:name="page44"/>
    <w:bookmarkEnd w:id="4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 in a manner that conforms to our specifications and these strict regulatory requirements, we may not be able to rely on their manufacturing facilities for the manufacture of our product.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04"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2"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believe that the commercial viability of our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05"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our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our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spacing w:after="0" w:line="103"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4" w:name="page45"/>
    <w:bookmarkEnd w:id="4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9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We work with scientific advisors and collaborators at academic research institutions in connection with our product development efforts. These scientists and collaborators are not our employees, but they serve as either independent contractors or researchers under research agreements that we have with their sponsoring clinic, academic institution or research institution. These scientists and collaborators may have other commitments limiting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including those assisting us with our clinical trials, may receive cash or equity compensation in connection with such services from time to time, these relationships and any related compensation may result in perceived or actual conflicts of interest, or cause a regulatory authority to conclude that the financial relationship may have affected the interpretation of the trial, such that the integrity of the data generated by them or by their institutions may be questioned and the utility of the data itself may be jeopardized, which could result in the delay or rejection of any marketing application we submit.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9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9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5" w:name="page46"/>
    <w:bookmarkEnd w:id="4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intellectual property rights will not necessarily provide us with competitive advantages.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others may be able to make products that are similar to our product candidates but that are not covered by the claims of the patents that we own or have exclusively licensed;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others may independently develop similar or alternative technologies without infringing on our intellectual property rights;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fail to develop additional proprietary technologies that are patentable;</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patents of others may have an adverse effect on our business, for example by preventing us from marketing one or more of our product candidates for one or more indications.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Any of the aforementioned threats to our competitive advantage could harm our business.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6" w:name="page47"/>
    <w:bookmarkEnd w:id="4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all of our employees, consultants, advisors, and any third 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0"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7" w:name="page48"/>
    <w:bookmarkEnd w:id="4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2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94"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Our CellFX System and any other potential devices and products, further development activities and manufacturing and distribution, once developed and determined,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take a significant indeterminate amount of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the expenditure of substantial resources;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rigorous preclinical and clinical testing, and possibly post-market surveillance;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modifications, repairs or replacements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design changes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limitations on the indicated uses of our products;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our never being granted the regulatory approval or clearance we seek.</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If we experience any of these occurrences, our operations may suffer, we might experience harm to our competitive standing and result in further losses that adversely affect our financial condition.</w:t>
      </w:r>
    </w:p>
    <w:p>
      <w:pPr>
        <w:spacing w:after="0" w:line="120"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continuing development of our CellFX System and other products depends upon maintaining strong working relationships with physicians.</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The development, marketing, and sale of our CellFX System,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8" w:name="page49"/>
    <w:bookmarkEnd w:id="4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94"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applicable laws and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91" w:lineRule="exact"/>
        <w:rPr>
          <w:sz w:val="20"/>
          <w:szCs w:val="20"/>
          <w:color w:val="auto"/>
        </w:rPr>
      </w:pPr>
    </w:p>
    <w:p>
      <w:pPr>
        <w:jc w:val="both"/>
        <w:ind w:left="440"/>
        <w:spacing w:after="0" w:line="233" w:lineRule="auto"/>
        <w:rPr>
          <w:sz w:val="20"/>
          <w:szCs w:val="20"/>
          <w:color w:val="auto"/>
        </w:rPr>
      </w:pPr>
      <w:r>
        <w:rPr>
          <w:rFonts w:ascii="Arial" w:cs="Arial" w:eastAsia="Arial" w:hAnsi="Arial"/>
          <w:sz w:val="12"/>
          <w:szCs w:val="12"/>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05" w:lineRule="exact"/>
        <w:rPr>
          <w:sz w:val="20"/>
          <w:szCs w:val="20"/>
          <w:color w:val="auto"/>
        </w:rPr>
      </w:pPr>
    </w:p>
    <w:p>
      <w:pPr>
        <w:jc w:val="both"/>
        <w:ind w:left="440" w:right="20"/>
        <w:spacing w:after="0" w:line="236" w:lineRule="auto"/>
        <w:rPr>
          <w:sz w:val="20"/>
          <w:szCs w:val="20"/>
          <w:color w:val="auto"/>
        </w:rPr>
      </w:pPr>
      <w:r>
        <w:rPr>
          <w:rFonts w:ascii="Arial" w:cs="Arial" w:eastAsia="Arial" w:hAnsi="Arial"/>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03"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4"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04" w:lineRule="exact"/>
        <w:rPr>
          <w:sz w:val="20"/>
          <w:szCs w:val="20"/>
          <w:color w:val="auto"/>
        </w:rPr>
      </w:pPr>
    </w:p>
    <w:p>
      <w:pPr>
        <w:jc w:val="both"/>
        <w:ind w:left="440"/>
        <w:spacing w:after="0" w:line="236" w:lineRule="auto"/>
        <w:rPr>
          <w:sz w:val="20"/>
          <w:szCs w:val="20"/>
          <w:color w:val="auto"/>
        </w:rPr>
      </w:pPr>
      <w:r>
        <w:rPr>
          <w:rFonts w:ascii="Arial" w:cs="Arial" w:eastAsia="Arial" w:hAnsi="Arial"/>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03"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the CCPA, which went into effect in January 2020,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federal consumer protection and unfair competition laws, which broadly regulate marketplace activities and activities that potentially harm consumers;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9" w:name="page50"/>
    <w:bookmarkEnd w:id="4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left="440"/>
        <w:spacing w:after="0" w:line="232" w:lineRule="auto"/>
        <w:rPr>
          <w:sz w:val="20"/>
          <w:szCs w:val="20"/>
          <w:color w:val="auto"/>
        </w:rPr>
      </w:pPr>
      <w:r>
        <w:rPr>
          <w:rFonts w:ascii="Arial" w:cs="Arial" w:eastAsia="Arial" w:hAnsi="Arial"/>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We have implemented compliance related programs and procedures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 In addition, we are subject to the risk that a person or government could allege violations of such laws, regulations and other obligations, or allege that fraud or other misconduct has taken place, even if no misconduct has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Also, any material change to any of the laws or regulations applicable to our business could harm our business, financial condition and results of operations.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not deem a technology or device to be reasonably safe or effective for any intended use or indication;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interpret data from preclinical and clinical testing differently than we do;</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determine our manufacturing facility or processes do not comply with quality system regulations;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conclude that our device does not meet quality standards for durability, long-term reliability, biocompatibility, electromagnetic compatibility, or electrical safety; or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change their approval or clearance policies or adopt new regulations in a manner that is adverse to us.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These regulators may make requests or disagree with us regarding the design or conduct of our clinical trials, resulting in an increased risk of difficulties or delays in obtaining regulatory approval or clearance on future product candidates and increased costs.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0" w:name="page51"/>
    <w:bookmarkEnd w:id="5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43"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our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will be subject to ongoing requirements and inspections that could lead to the restriction, suspension or revocation of our clearance.</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2"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1" w:name="page52"/>
    <w:bookmarkEnd w:id="5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Healthcare policy changes, including recent federal legislation to reform the U.S. healthcare system, may have a material adverse effect on us.</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Owning Our Common Stock</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results of clinical trials of our planned products or those of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actions by regulatory bodies, such as the FDA, that affect our business or have the effect of delaying or rejecting approval or clearance of our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anticipated fluctuations in our financial condition and operating results;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our customers, partners or suppliers relating directly or indirectly to our products, services or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of technological innovations by us or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changes in laws or regulations applicable to our CellFX System or to our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us or our competitors of significant acquisitions, strategic partnerships, joint ventures, capital commitments, or achievement of significant milestones;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additions or departures of key personnel;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competition from existing products or new products that may emerge;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fluctuations in the valuation of companies perceived by investors to be comparable to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disputes or other developments related to proprietary rights, including patents, litigation matters or our ability to obtain intellectual property protection for our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alleged security breaches;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2" w:name="page53"/>
    <w:bookmarkEnd w:id="5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or expectations of additional financing efforts;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sales of our common stock by us or our stockholders;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stock price and volume fluctuations attributable to inconsistent trading volume levels of our shares;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reports, guidance and ratings issued by securities or industry analysts;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overall conditions in our industry and market including the negative impact of COVID-19 on the global economy and markets;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general economic and market conditions.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Sales or purchases of shares of our common stock may adversely affect the market for our common stock.</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Board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Pulse shares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05"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Additionally, we may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do not know whether an active, liquid and orderly trading market will exist for our common stock and as a result it may be difficult for you to sell your common stock.</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3" w:name="page54"/>
    <w:bookmarkEnd w:id="5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ownership by our principal stockholder limits the ability of others to influence the outcome of director elections and other transactions requiring stockholder approval.</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A majority percentage of our outstanding stock is held by Robert W. Duggan, Chairman of our Board, who beneficially owns approximately 51% of our common stock outstanding as of the date of this Quarterly Report. As a result, Mr. Duggan has control over corporate actions requiring stockholder approval, including the following actions: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elect or defeat the election of our directors;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amend or prevent amendment of our certificate of incorporation or bylaws;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effect or prevent a merger, sale of assets or other corporate transaction;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control the outcome of any other matter submitted to our stockholders for vote.</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03"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Robert W. Duggan’s controlling ownership position may impact our stock price and may deter or prevent efforts by other companies to acquire us, which could prevent our stockholders from realizing a control premium.</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Robert W. Duggan is our Board Chairman, and beneficially owns approximately 51%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controlling ownership and position as Board Chairman,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4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4" w:name="page55"/>
    <w:bookmarkEnd w:id="5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9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05"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until the end of 2021.</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have not paid dividends in the past and have no plans to pay dividends</w:t>
      </w:r>
      <w:r>
        <w:rPr>
          <w:rFonts w:ascii="Arial" w:cs="Arial" w:eastAsia="Arial" w:hAnsi="Arial"/>
          <w:sz w:val="12"/>
          <w:szCs w:val="12"/>
          <w:color w:val="auto"/>
        </w:rPr>
        <w:t>.</w:t>
      </w:r>
    </w:p>
    <w:p>
      <w:pPr>
        <w:spacing w:after="0" w:line="120"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5" w:name="page56"/>
    <w:bookmarkEnd w:id="5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0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that any action to be taken by our stockholders be effected at a duly called annual or special meeting and not by written consent;</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establish an advance notice procedure for stockholder approvals to be brought before an annual meeting of our stockholders, including proposed nominations of persons for election to our board of directors;</w:t>
      </w:r>
    </w:p>
    <w:p>
      <w:pPr>
        <w:spacing w:after="0" w:line="132"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 our board of directors the ability to amend our bylaws by majority vote;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provide that vacancies on our board of directors may be filled only by a majority of directors then in office, even though less than a quorum.</w:t>
      </w:r>
    </w:p>
    <w:p>
      <w:pPr>
        <w:spacing w:after="0" w:line="120" w:lineRule="exact"/>
        <w:rPr>
          <w:sz w:val="20"/>
          <w:szCs w:val="20"/>
          <w:color w:val="auto"/>
        </w:rPr>
      </w:pPr>
    </w:p>
    <w:p>
      <w:pPr>
        <w:jc w:val="both"/>
        <w:ind w:firstLine="301"/>
        <w:spacing w:after="0" w:line="251" w:lineRule="auto"/>
        <w:rPr>
          <w:sz w:val="20"/>
          <w:szCs w:val="20"/>
          <w:color w:val="auto"/>
        </w:rPr>
      </w:pPr>
      <w:r>
        <w:rPr>
          <w:rFonts w:ascii="Arial" w:cs="Arial" w:eastAsia="Arial" w:hAnsi="Arial"/>
          <w:sz w:val="11"/>
          <w:szCs w:val="11"/>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6" w:name="page57"/>
    <w:bookmarkEnd w:id="5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General Risk Factors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Unfavorable global economic or political conditions could adversely affect our business, financial condition or results of operations.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the CellFX System,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4"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0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(the “JOBS Act”), which will occur at the end of 2021, or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7" w:name="page58"/>
    <w:bookmarkEnd w:id="5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become involved in litigation that may materially adversely affect us.</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may be adversely affected by health epidemics including the coronavirus pandemic.</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COVID-19 pandemic has resulted in government authorities implementing numerous measures to try to contain the virus, such as travel bans and restrictions, quarantines, shelter-in-place or stay-at-home orders, and business shutdowns.</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For most of 2020 and the first half of 2021, we required, in accordance with local and state guidelines regarding the COVID-19 pandemic, all of our employees to work remotely unless they could not perform their essential functions remotely. We also suspended all non-essential travel for our employees. While many of our employees are accustomed to working remotely or working with other remote employees, much of our workforce has not historically been remote. We continue to monitor the situation and may adjust our current policies as more information and public health guidance becomes available. Operational restrictions as a result of the COVD-19 pandemic, could harm our business, financial condition and results of operations.</w:t>
      </w:r>
    </w:p>
    <w:p>
      <w:pPr>
        <w:spacing w:after="0" w:line="103"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In addition, our clinical trials may be affected by the continuing COVID-19 pandemic. Site initiation and patient enrollment may be delayed, for example, due to prioritization of hospital resources toward the COVID-19 pandemic, travel restrictions imposed by governments, and the inability to access sites for initiation and monitoring. Also, some of our suppliers of certain materials used in the production of our CellFX System are located in areas impacted by COVID-19 which could limit our ability to obtain sufficient materials. COVID-19 has and will continue to adversely affect global economies and financial markets of many countries, resulting in an economic downturn that could affect demand for our CellFX System and other product candidates, if approved, and impact our operating results. Even after the COVID-19 pandemic has subsided, we may continue to experience an adverse impact to our business as a result of the continued global economic impact of the pandemic. Although we are continuing to monitor and assess the effects of the COVID-19 pandemic on our business, the ultimate impact of the COVID-19 pandemic or a similar health epidemic is highly uncertain and subject to change.</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8" w:name="page59"/>
    <w:bookmarkEnd w:id="5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43" w:lineRule="exact"/>
        <w:rPr>
          <w:sz w:val="20"/>
          <w:szCs w:val="20"/>
          <w:color w:val="auto"/>
        </w:rPr>
      </w:pPr>
    </w:p>
    <w:p>
      <w:pPr>
        <w:ind w:right="20" w:firstLine="301"/>
        <w:spacing w:after="0" w:line="255" w:lineRule="auto"/>
        <w:rPr>
          <w:sz w:val="20"/>
          <w:szCs w:val="20"/>
          <w:color w:val="auto"/>
        </w:rPr>
      </w:pPr>
      <w:r>
        <w:rPr>
          <w:rFonts w:ascii="Arial" w:cs="Arial" w:eastAsia="Arial" w:hAnsi="Arial"/>
          <w:sz w:val="12"/>
          <w:szCs w:val="12"/>
          <w:color w:val="auto"/>
        </w:rPr>
        <w:t>During the nine-month period ended September 30, 2021, we completed no unregistered sale of our securities, except for the sale of approximately three million shares of our common stock, in a private placement, as described elsewhere in this Quarterly Report and in our Form 8-K filed on July 1, 2021.</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 Upon Senior Securities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80" w:type="dxa"/>
            <w:vAlign w:val="bottom"/>
            <w:gridSpan w:val="3"/>
          </w:tcPr>
          <w:p>
            <w:pPr>
              <w:spacing w:after="0"/>
              <w:rPr>
                <w:sz w:val="20"/>
                <w:szCs w:val="20"/>
                <w:color w:val="auto"/>
              </w:rPr>
            </w:pPr>
            <w:r>
              <w:rPr>
                <w:rFonts w:ascii="Arial" w:cs="Arial" w:eastAsia="Arial" w:hAnsi="Arial"/>
                <w:sz w:val="9"/>
                <w:szCs w:val="9"/>
                <w:b w:val="1"/>
                <w:bCs w:val="1"/>
                <w:color w:val="auto"/>
              </w:rPr>
              <w:t>Exhibit</w:t>
            </w:r>
          </w:p>
        </w:tc>
        <w:tc>
          <w:tcPr>
            <w:tcW w:w="10120" w:type="dxa"/>
            <w:vAlign w:val="bottom"/>
            <w:gridSpan w:val="4"/>
            <w:vMerge w:val="restart"/>
          </w:tcPr>
          <w:p>
            <w:pPr>
              <w:spacing w:after="0"/>
              <w:rPr>
                <w:sz w:val="20"/>
                <w:szCs w:val="20"/>
                <w:color w:val="auto"/>
              </w:rPr>
            </w:pPr>
            <w:r>
              <w:rPr>
                <w:rFonts w:ascii="Arial" w:cs="Arial" w:eastAsia="Arial" w:hAnsi="Arial"/>
                <w:sz w:val="9"/>
                <w:szCs w:val="9"/>
                <w:b w:val="1"/>
                <w:bCs w:val="1"/>
                <w:color w:val="auto"/>
              </w:rPr>
              <w:t>Exhibit Description</w:t>
            </w:r>
          </w:p>
        </w:tc>
        <w:tc>
          <w:tcPr>
            <w:tcW w:w="0" w:type="dxa"/>
            <w:vAlign w:val="bottom"/>
          </w:tcPr>
          <w:p>
            <w:pPr>
              <w:spacing w:after="0"/>
              <w:rPr>
                <w:sz w:val="1"/>
                <w:szCs w:val="1"/>
                <w:color w:val="auto"/>
              </w:rPr>
            </w:pPr>
          </w:p>
        </w:tc>
      </w:tr>
      <w:tr>
        <w:trPr>
          <w:trHeight w:val="111"/>
        </w:trPr>
        <w:tc>
          <w:tcPr>
            <w:tcW w:w="1180" w:type="dxa"/>
            <w:vAlign w:val="bottom"/>
            <w:gridSpan w:val="3"/>
          </w:tcPr>
          <w:p>
            <w:pPr>
              <w:spacing w:after="0"/>
              <w:rPr>
                <w:sz w:val="20"/>
                <w:szCs w:val="20"/>
                <w:color w:val="auto"/>
              </w:rPr>
            </w:pPr>
            <w:r>
              <w:rPr>
                <w:rFonts w:ascii="Arial" w:cs="Arial" w:eastAsia="Arial" w:hAnsi="Arial"/>
                <w:sz w:val="9"/>
                <w:szCs w:val="9"/>
                <w:b w:val="1"/>
                <w:bCs w:val="1"/>
                <w:color w:val="auto"/>
              </w:rPr>
              <w:t>Number</w:t>
            </w:r>
          </w:p>
        </w:tc>
        <w:tc>
          <w:tcPr>
            <w:tcW w:w="10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20" w:type="dxa"/>
            <w:vAlign w:val="bottom"/>
            <w:tcBorders>
              <w:top w:val="single" w:sz="8" w:color="auto"/>
            </w:tcBorders>
            <w:shd w:val="clear" w:color="auto" w:fill="CCEEFF"/>
          </w:tcPr>
          <w:p>
            <w:pPr>
              <w:spacing w:after="0" w:line="100" w:lineRule="exact"/>
              <w:rPr>
                <w:rFonts w:ascii="Arial" w:cs="Arial" w:eastAsia="Arial" w:hAnsi="Arial"/>
                <w:sz w:val="11"/>
                <w:szCs w:val="11"/>
                <w:color w:val="0563C1"/>
                <w:w w:val="93"/>
              </w:rPr>
            </w:pPr>
            <w:hyperlink w:anchor="page61">
              <w:r>
                <w:rPr>
                  <w:rFonts w:ascii="Arial" w:cs="Arial" w:eastAsia="Arial" w:hAnsi="Arial"/>
                  <w:sz w:val="11"/>
                  <w:szCs w:val="11"/>
                  <w:color w:val="0563C1"/>
                  <w:w w:val="93"/>
                </w:rPr>
                <w:t>31.</w:t>
              </w:r>
              <w:r>
                <w:rPr>
                  <w:rFonts w:ascii="Arial" w:cs="Arial" w:eastAsia="Arial" w:hAnsi="Arial"/>
                  <w:sz w:val="11"/>
                  <w:szCs w:val="11"/>
                  <w:u w:val="single" w:color="auto"/>
                  <w:color w:val="0563C1"/>
                  <w:w w:val="93"/>
                </w:rPr>
                <w:t>1</w:t>
              </w:r>
            </w:hyperlink>
          </w:p>
        </w:tc>
        <w:tc>
          <w:tcPr>
            <w:tcW w:w="7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120" w:type="dxa"/>
            <w:vAlign w:val="bottom"/>
            <w:tcBorders>
              <w:top w:val="single" w:sz="8" w:color="auto"/>
            </w:tcBorders>
            <w:gridSpan w:val="4"/>
            <w:shd w:val="clear" w:color="auto" w:fill="CCEEFF"/>
          </w:tcPr>
          <w:p>
            <w:pPr>
              <w:spacing w:after="0" w:line="100" w:lineRule="exact"/>
              <w:rPr>
                <w:rFonts w:ascii="Arial" w:cs="Arial" w:eastAsia="Arial" w:hAnsi="Arial"/>
                <w:sz w:val="11"/>
                <w:szCs w:val="11"/>
                <w:color w:val="0563C1"/>
              </w:rPr>
            </w:pPr>
            <w:hyperlink w:anchor="page61">
              <w:r>
                <w:rPr>
                  <w:rFonts w:ascii="Arial" w:cs="Arial" w:eastAsia="Arial" w:hAnsi="Arial"/>
                  <w:sz w:val="11"/>
                  <w:szCs w:val="11"/>
                  <w:color w:val="0563C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09"/>
        </w:trPr>
        <w:tc>
          <w:tcPr>
            <w:tcW w:w="220" w:type="dxa"/>
            <w:vAlign w:val="bottom"/>
            <w:tcBorders>
              <w:top w:val="single" w:sz="8" w:color="0563C1"/>
            </w:tcBorders>
          </w:tcPr>
          <w:p>
            <w:pPr>
              <w:spacing w:after="0" w:line="109" w:lineRule="exact"/>
              <w:rPr>
                <w:rFonts w:ascii="Arial" w:cs="Arial" w:eastAsia="Arial" w:hAnsi="Arial"/>
                <w:sz w:val="12"/>
                <w:szCs w:val="12"/>
                <w:color w:val="0563C1"/>
                <w:w w:val="85"/>
              </w:rPr>
            </w:pPr>
            <w:hyperlink w:anchor="page62">
              <w:r>
                <w:rPr>
                  <w:rFonts w:ascii="Arial" w:cs="Arial" w:eastAsia="Arial" w:hAnsi="Arial"/>
                  <w:sz w:val="12"/>
                  <w:szCs w:val="12"/>
                  <w:color w:val="0563C1"/>
                  <w:w w:val="85"/>
                </w:rPr>
                <w:t>31.</w:t>
              </w:r>
              <w:r>
                <w:rPr>
                  <w:rFonts w:ascii="Arial" w:cs="Arial" w:eastAsia="Arial" w:hAnsi="Arial"/>
                  <w:sz w:val="12"/>
                  <w:szCs w:val="12"/>
                  <w:u w:val="single" w:color="auto"/>
                  <w:color w:val="0563C1"/>
                  <w:w w:val="85"/>
                </w:rPr>
                <w:t>2</w:t>
              </w:r>
            </w:hyperlink>
          </w:p>
        </w:tc>
        <w:tc>
          <w:tcPr>
            <w:tcW w:w="78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4940" w:type="dxa"/>
            <w:vAlign w:val="bottom"/>
            <w:tcBorders>
              <w:top w:val="single" w:sz="8" w:color="0563C1"/>
            </w:tcBorders>
            <w:gridSpan w:val="2"/>
          </w:tcPr>
          <w:p>
            <w:pPr>
              <w:spacing w:after="0" w:line="109" w:lineRule="exact"/>
              <w:rPr>
                <w:rFonts w:ascii="Arial" w:cs="Arial" w:eastAsia="Arial" w:hAnsi="Arial"/>
                <w:sz w:val="12"/>
                <w:szCs w:val="12"/>
                <w:color w:val="0563C1"/>
                <w:w w:val="94"/>
              </w:rPr>
            </w:pPr>
            <w:hyperlink w:anchor="page62">
              <w:r>
                <w:rPr>
                  <w:rFonts w:ascii="Arial" w:cs="Arial" w:eastAsia="Arial" w:hAnsi="Arial"/>
                  <w:sz w:val="12"/>
                  <w:szCs w:val="12"/>
                  <w:color w:val="0563C1"/>
                  <w:w w:val="94"/>
                </w:rPr>
                <w:t>Certification of Chief Financial Officer pursuant to Section 302 of the Sarbanes-Oxley Act of 2002.</w:t>
              </w:r>
            </w:hyperlink>
          </w:p>
        </w:tc>
        <w:tc>
          <w:tcPr>
            <w:tcW w:w="5180" w:type="dxa"/>
            <w:vAlign w:val="bottom"/>
            <w:tcBorders>
              <w:top w:val="single" w:sz="8" w:color="CCEEFF"/>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00" w:type="dxa"/>
            <w:vAlign w:val="bottom"/>
            <w:gridSpan w:val="2"/>
            <w:shd w:val="clear" w:color="auto" w:fill="CCEEFF"/>
          </w:tcPr>
          <w:p>
            <w:pPr>
              <w:spacing w:after="0" w:line="109" w:lineRule="exact"/>
              <w:rPr>
                <w:rFonts w:ascii="Arial" w:cs="Arial" w:eastAsia="Arial" w:hAnsi="Arial"/>
                <w:sz w:val="12"/>
                <w:szCs w:val="12"/>
                <w:color w:val="0563C1"/>
              </w:rPr>
            </w:pPr>
            <w:hyperlink w:anchor="page63">
              <w:r>
                <w:rPr>
                  <w:rFonts w:ascii="Arial" w:cs="Arial" w:eastAsia="Arial" w:hAnsi="Arial"/>
                  <w:sz w:val="12"/>
                  <w:szCs w:val="12"/>
                  <w:color w:val="0563C1"/>
                </w:rPr>
                <w:t>32.</w:t>
              </w:r>
              <w:r>
                <w:rPr>
                  <w:rFonts w:ascii="Arial" w:cs="Arial" w:eastAsia="Arial" w:hAnsi="Arial"/>
                  <w:sz w:val="12"/>
                  <w:szCs w:val="12"/>
                  <w:u w:val="single" w:color="auto"/>
                  <w:color w:val="0563C1"/>
                </w:rPr>
                <w:t>1</w:t>
              </w:r>
            </w:hyperlink>
            <w:r>
              <w:rPr>
                <w:rFonts w:ascii="Arial" w:cs="Arial" w:eastAsia="Arial" w:hAnsi="Arial"/>
                <w:sz w:val="12"/>
                <w:szCs w:val="12"/>
                <w:color w:val="000000"/>
              </w:rPr>
              <w:t>*</w:t>
            </w:r>
          </w:p>
        </w:tc>
        <w:tc>
          <w:tcPr>
            <w:tcW w:w="180" w:type="dxa"/>
            <w:vAlign w:val="bottom"/>
            <w:shd w:val="clear" w:color="auto" w:fill="CCEEFF"/>
          </w:tcPr>
          <w:p>
            <w:pPr>
              <w:spacing w:after="0"/>
              <w:rPr>
                <w:sz w:val="9"/>
                <w:szCs w:val="9"/>
                <w:color w:val="auto"/>
              </w:rPr>
            </w:pPr>
          </w:p>
        </w:tc>
        <w:tc>
          <w:tcPr>
            <w:tcW w:w="10120" w:type="dxa"/>
            <w:vAlign w:val="bottom"/>
            <w:gridSpan w:val="4"/>
            <w:shd w:val="clear" w:color="auto" w:fill="CCEEFF"/>
          </w:tcPr>
          <w:p>
            <w:pPr>
              <w:spacing w:after="0" w:line="109" w:lineRule="exact"/>
              <w:rPr>
                <w:rFonts w:ascii="Arial" w:cs="Arial" w:eastAsia="Arial" w:hAnsi="Arial"/>
                <w:sz w:val="12"/>
                <w:szCs w:val="12"/>
                <w:color w:val="0563C1"/>
              </w:rPr>
            </w:pPr>
            <w:hyperlink w:anchor="page63">
              <w:r>
                <w:rPr>
                  <w:rFonts w:ascii="Arial" w:cs="Arial" w:eastAsia="Arial" w:hAnsi="Arial"/>
                  <w:sz w:val="12"/>
                  <w:szCs w:val="12"/>
                  <w:color w:val="0563C1"/>
                </w:rPr>
                <w:t>Certification of the Chief Executive and Chief Financial Officers pursuant to Section 906 of the Sarbanes-Oxley Act of 2002 (18 U.S.C. Section 1350).</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80" w:type="dxa"/>
            <w:vAlign w:val="bottom"/>
            <w:gridSpan w:val="3"/>
          </w:tcPr>
          <w:p>
            <w:pPr>
              <w:spacing w:after="0" w:line="128" w:lineRule="exact"/>
              <w:rPr>
                <w:sz w:val="20"/>
                <w:szCs w:val="20"/>
                <w:color w:val="auto"/>
              </w:rPr>
            </w:pPr>
            <w:r>
              <w:rPr>
                <w:rFonts w:ascii="Arial" w:cs="Arial" w:eastAsia="Arial" w:hAnsi="Arial"/>
                <w:sz w:val="12"/>
                <w:szCs w:val="12"/>
                <w:color w:val="auto"/>
              </w:rPr>
              <w:t>101.INS</w:t>
            </w:r>
          </w:p>
        </w:tc>
        <w:tc>
          <w:tcPr>
            <w:tcW w:w="10120" w:type="dxa"/>
            <w:vAlign w:val="bottom"/>
            <w:gridSpan w:val="4"/>
          </w:tcPr>
          <w:p>
            <w:pPr>
              <w:spacing w:after="0" w:line="128" w:lineRule="exact"/>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129"/>
        </w:trPr>
        <w:tc>
          <w:tcPr>
            <w:tcW w:w="118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101.SCH</w:t>
            </w:r>
          </w:p>
        </w:tc>
        <w:tc>
          <w:tcPr>
            <w:tcW w:w="10120" w:type="dxa"/>
            <w:vAlign w:val="bottom"/>
            <w:gridSpan w:val="4"/>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1180" w:type="dxa"/>
            <w:vAlign w:val="bottom"/>
            <w:gridSpan w:val="3"/>
          </w:tcPr>
          <w:p>
            <w:pPr>
              <w:spacing w:after="0" w:line="129" w:lineRule="exact"/>
              <w:rPr>
                <w:sz w:val="20"/>
                <w:szCs w:val="20"/>
                <w:color w:val="auto"/>
              </w:rPr>
            </w:pPr>
            <w:r>
              <w:rPr>
                <w:rFonts w:ascii="Arial" w:cs="Arial" w:eastAsia="Arial" w:hAnsi="Arial"/>
                <w:sz w:val="12"/>
                <w:szCs w:val="12"/>
                <w:color w:val="auto"/>
              </w:rPr>
              <w:t>101.CAL</w:t>
            </w:r>
          </w:p>
        </w:tc>
        <w:tc>
          <w:tcPr>
            <w:tcW w:w="10120" w:type="dxa"/>
            <w:vAlign w:val="bottom"/>
            <w:gridSpan w:val="4"/>
          </w:tcPr>
          <w:p>
            <w:pPr>
              <w:spacing w:after="0" w:line="129" w:lineRule="exact"/>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118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101.DEF</w:t>
            </w:r>
          </w:p>
        </w:tc>
        <w:tc>
          <w:tcPr>
            <w:tcW w:w="10120" w:type="dxa"/>
            <w:vAlign w:val="bottom"/>
            <w:gridSpan w:val="4"/>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11"/>
        </w:trPr>
        <w:tc>
          <w:tcPr>
            <w:tcW w:w="1180" w:type="dxa"/>
            <w:vAlign w:val="bottom"/>
            <w:gridSpan w:val="3"/>
          </w:tcPr>
          <w:p>
            <w:pPr>
              <w:spacing w:after="0" w:line="111" w:lineRule="exact"/>
              <w:rPr>
                <w:sz w:val="20"/>
                <w:szCs w:val="20"/>
                <w:color w:val="auto"/>
              </w:rPr>
            </w:pPr>
            <w:r>
              <w:rPr>
                <w:rFonts w:ascii="Arial" w:cs="Arial" w:eastAsia="Arial" w:hAnsi="Arial"/>
                <w:sz w:val="12"/>
                <w:szCs w:val="12"/>
                <w:color w:val="auto"/>
              </w:rPr>
              <w:t>101.LAB</w:t>
            </w:r>
          </w:p>
        </w:tc>
        <w:tc>
          <w:tcPr>
            <w:tcW w:w="10120" w:type="dxa"/>
            <w:vAlign w:val="bottom"/>
            <w:gridSpan w:val="4"/>
          </w:tcPr>
          <w:p>
            <w:pPr>
              <w:spacing w:after="0" w:line="111" w:lineRule="exact"/>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39"/>
        </w:trPr>
        <w:tc>
          <w:tcPr>
            <w:tcW w:w="1180" w:type="dxa"/>
            <w:vAlign w:val="bottom"/>
            <w:gridSpan w:val="3"/>
          </w:tcPr>
          <w:p>
            <w:pPr>
              <w:spacing w:after="0"/>
              <w:rPr>
                <w:sz w:val="20"/>
                <w:szCs w:val="20"/>
                <w:color w:val="auto"/>
              </w:rPr>
            </w:pPr>
            <w:r>
              <w:rPr>
                <w:rFonts w:ascii="Arial" w:cs="Arial" w:eastAsia="Arial" w:hAnsi="Arial"/>
                <w:sz w:val="12"/>
                <w:szCs w:val="12"/>
                <w:color w:val="auto"/>
              </w:rPr>
              <w:t>101.PRE</w:t>
            </w:r>
          </w:p>
        </w:tc>
        <w:tc>
          <w:tcPr>
            <w:tcW w:w="10120" w:type="dxa"/>
            <w:vAlign w:val="bottom"/>
            <w:gridSpan w:val="4"/>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5500" cy="81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104</w:t>
      </w:r>
      <w:r>
        <w:rPr>
          <w:rFonts w:ascii="Arial" w:cs="Arial" w:eastAsia="Arial" w:hAnsi="Arial"/>
          <w:sz w:val="11"/>
          <w:szCs w:val="11"/>
          <w:color w:val="auto"/>
        </w:rPr>
        <w:t>Cover Page Interactive Data File (formatted as Inline XBRL and contained in Exhibit 101)</w:t>
      </w:r>
    </w:p>
    <w:p>
      <w:pPr>
        <w:spacing w:after="0" w:line="110" w:lineRule="exact"/>
        <w:rPr>
          <w:sz w:val="20"/>
          <w:szCs w:val="20"/>
          <w:color w:val="auto"/>
        </w:rPr>
      </w:pPr>
    </w:p>
    <w:p>
      <w:pPr>
        <w:ind w:right="100"/>
        <w:spacing w:after="0" w:line="239" w:lineRule="auto"/>
        <w:rPr>
          <w:sz w:val="20"/>
          <w:szCs w:val="20"/>
          <w:color w:val="auto"/>
        </w:rPr>
      </w:pPr>
      <w:r>
        <w:rPr>
          <w:rFonts w:ascii="Arial" w:cs="Arial" w:eastAsia="Arial" w:hAnsi="Arial"/>
          <w:sz w:val="12"/>
          <w:szCs w:val="12"/>
          <w:color w:val="auto"/>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9" w:name="page60"/>
    <w:bookmarkEnd w:id="5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Signatures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Pursuant to the requirements of the Securities Act of 1934, the registrant has duly caused this report to be signed on its behalf by the undersigned thereunto duly authorized.</w:t>
      </w:r>
    </w:p>
    <w:p>
      <w:pPr>
        <w:spacing w:after="0" w:line="255" w:lineRule="exact"/>
        <w:rPr>
          <w:sz w:val="20"/>
          <w:szCs w:val="20"/>
          <w:color w:val="auto"/>
        </w:rPr>
      </w:pPr>
    </w:p>
    <w:p>
      <w:pPr>
        <w:ind w:left="5760"/>
        <w:spacing w:after="0"/>
        <w:rPr>
          <w:sz w:val="20"/>
          <w:szCs w:val="20"/>
          <w:color w:val="auto"/>
        </w:rPr>
      </w:pPr>
      <w:r>
        <w:rPr>
          <w:rFonts w:ascii="Arial" w:cs="Arial" w:eastAsia="Arial" w:hAnsi="Arial"/>
          <w:sz w:val="12"/>
          <w:szCs w:val="12"/>
          <w:b w:val="1"/>
          <w:bCs w:val="1"/>
          <w:color w:val="auto"/>
        </w:rPr>
        <w:t>PULSE BIOSCIENCES, INC.</w:t>
      </w:r>
    </w:p>
    <w:p>
      <w:pPr>
        <w:spacing w:after="0" w:line="124" w:lineRule="exact"/>
        <w:rPr>
          <w:sz w:val="20"/>
          <w:szCs w:val="20"/>
          <w:color w:val="auto"/>
        </w:rPr>
      </w:pPr>
    </w:p>
    <w:p>
      <w:pPr>
        <w:spacing w:after="0"/>
        <w:tabs>
          <w:tab w:leader="none" w:pos="5740" w:val="left"/>
          <w:tab w:leader="none" w:pos="6240" w:val="left"/>
        </w:tabs>
        <w:rPr>
          <w:sz w:val="20"/>
          <w:szCs w:val="20"/>
          <w:color w:val="auto"/>
        </w:rPr>
      </w:pPr>
      <w:r>
        <w:rPr>
          <w:rFonts w:ascii="Arial" w:cs="Arial" w:eastAsia="Arial" w:hAnsi="Arial"/>
          <w:sz w:val="12"/>
          <w:szCs w:val="12"/>
          <w:color w:val="auto"/>
        </w:rPr>
        <w:t>Date: November 15,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5715</wp:posOffset>
            </wp:positionV>
            <wp:extent cx="28822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82265" cy="571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1"/>
          <w:szCs w:val="11"/>
          <w:b w:val="1"/>
          <w:bCs w:val="1"/>
          <w:color w:val="auto"/>
        </w:rPr>
        <w:t>Sandra A. Gardiner</w:t>
      </w:r>
    </w:p>
    <w:p>
      <w:pPr>
        <w:ind w:left="6260"/>
        <w:spacing w:after="0" w:line="231" w:lineRule="auto"/>
        <w:rPr>
          <w:sz w:val="20"/>
          <w:szCs w:val="20"/>
          <w:color w:val="auto"/>
        </w:rPr>
      </w:pPr>
      <w:r>
        <w:rPr>
          <w:rFonts w:ascii="Arial" w:cs="Arial" w:eastAsia="Arial" w:hAnsi="Arial"/>
          <w:sz w:val="10"/>
          <w:szCs w:val="10"/>
          <w:b w:val="1"/>
          <w:bCs w:val="1"/>
          <w:color w:val="auto"/>
        </w:rPr>
        <w:t>Chief Financial Officer, Executive Vice President of Finance and Administration, and Treasurer</w:t>
      </w:r>
    </w:p>
    <w:p>
      <w:pPr>
        <w:ind w:left="626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Principal Financial and Accounting Officer</w:t>
      </w:r>
      <w:r>
        <w:rPr>
          <w:rFonts w:ascii="Arial" w:cs="Arial" w:eastAsia="Arial" w:hAnsi="Arial"/>
          <w:sz w:val="11"/>
          <w:szCs w:val="11"/>
          <w:b w:val="1"/>
          <w:bCs w:val="1"/>
          <w:color w:val="auto"/>
        </w:rPr>
        <w:t>)</w:t>
      </w:r>
    </w:p>
    <w:p>
      <w:pPr>
        <w:spacing w:after="0" w:line="231" w:lineRule="exact"/>
        <w:rPr>
          <w:sz w:val="20"/>
          <w:szCs w:val="20"/>
          <w:color w:val="auto"/>
        </w:rPr>
      </w:pPr>
    </w:p>
    <w:p>
      <w:pPr>
        <w:jc w:val="center"/>
        <w:ind w:right="-49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780"/>
          </w:cols>
          <w:pgMar w:left="300" w:top="118" w:right="819"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t>Exhibit 31.1</w:t>
      </w:r>
    </w:p>
    <w:p>
      <w:pPr>
        <w:spacing w:after="0" w:line="93"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EXECUTIVE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Darrin R. Uecker, certify that:</w:t>
      </w:r>
    </w:p>
    <w:p>
      <w:pPr>
        <w:spacing w:after="0" w:line="83" w:lineRule="exact"/>
        <w:rPr>
          <w:sz w:val="20"/>
          <w:szCs w:val="20"/>
          <w:color w:val="auto"/>
        </w:rPr>
      </w:pPr>
    </w:p>
    <w:p>
      <w:pPr>
        <w:ind w:left="222" w:hanging="222"/>
        <w:spacing w:after="0"/>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September 30, 2021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
        <w:spacing w:after="0"/>
        <w:tabs>
          <w:tab w:leader="none" w:pos="4882" w:val="left"/>
          <w:tab w:leader="none" w:pos="5362" w:val="left"/>
        </w:tabs>
        <w:rPr>
          <w:sz w:val="20"/>
          <w:szCs w:val="20"/>
          <w:color w:val="auto"/>
        </w:rPr>
      </w:pPr>
      <w:r>
        <w:rPr>
          <w:rFonts w:ascii="Arial" w:cs="Arial" w:eastAsia="Arial" w:hAnsi="Arial"/>
          <w:sz w:val="12"/>
          <w:szCs w:val="12"/>
          <w:color w:val="auto"/>
        </w:rPr>
        <w:t>Date: November 15,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0</wp:posOffset>
            </wp:positionV>
            <wp:extent cx="286448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Arial" w:cs="Arial" w:eastAsia="Arial" w:hAnsi="Arial"/>
          <w:sz w:val="12"/>
          <w:szCs w:val="12"/>
          <w:color w:val="auto"/>
        </w:rPr>
        <w:t>Darrin R. Uecker</w:t>
      </w:r>
    </w:p>
    <w:p>
      <w:pPr>
        <w:ind w:left="5382"/>
        <w:spacing w:after="0" w:line="209" w:lineRule="auto"/>
        <w:rPr>
          <w:sz w:val="20"/>
          <w:szCs w:val="20"/>
          <w:color w:val="auto"/>
        </w:rPr>
      </w:pPr>
      <w:r>
        <w:rPr>
          <w:rFonts w:ascii="Arial" w:cs="Arial" w:eastAsia="Arial" w:hAnsi="Arial"/>
          <w:sz w:val="12"/>
          <w:szCs w:val="12"/>
          <w:color w:val="auto"/>
        </w:rPr>
        <w:t>President and Chief Executive Officer</w:t>
      </w:r>
    </w:p>
    <w:p>
      <w:pPr>
        <w:ind w:left="5382"/>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636905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31.2</w:t>
      </w:r>
    </w:p>
    <w:p>
      <w:pPr>
        <w:spacing w:after="0" w:line="93"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FINANCIAL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Sandra A. Gardiner, certify that:</w:t>
      </w:r>
    </w:p>
    <w:p>
      <w:pPr>
        <w:spacing w:after="0" w:line="83" w:lineRule="exact"/>
        <w:rPr>
          <w:sz w:val="20"/>
          <w:szCs w:val="20"/>
          <w:color w:val="auto"/>
        </w:rPr>
      </w:pPr>
    </w:p>
    <w:p>
      <w:pPr>
        <w:ind w:left="222" w:hanging="222"/>
        <w:spacing w:after="0"/>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September 30, 2021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
        <w:spacing w:after="0"/>
        <w:tabs>
          <w:tab w:leader="none" w:pos="4882" w:val="left"/>
          <w:tab w:leader="none" w:pos="5362" w:val="left"/>
        </w:tabs>
        <w:rPr>
          <w:sz w:val="20"/>
          <w:szCs w:val="20"/>
          <w:color w:val="auto"/>
        </w:rPr>
      </w:pPr>
      <w:r>
        <w:rPr>
          <w:rFonts w:ascii="Arial" w:cs="Arial" w:eastAsia="Arial" w:hAnsi="Arial"/>
          <w:sz w:val="12"/>
          <w:szCs w:val="12"/>
          <w:color w:val="auto"/>
        </w:rPr>
        <w:t>Date: November 15,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0</wp:posOffset>
            </wp:positionV>
            <wp:extent cx="286448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Arial" w:cs="Arial" w:eastAsia="Arial" w:hAnsi="Arial"/>
          <w:sz w:val="12"/>
          <w:szCs w:val="12"/>
          <w:color w:val="auto"/>
        </w:rPr>
        <w:t>Sandra A. Gardiner</w:t>
      </w:r>
    </w:p>
    <w:p>
      <w:pPr>
        <w:ind w:left="5382"/>
        <w:spacing w:after="0" w:line="209" w:lineRule="auto"/>
        <w:rPr>
          <w:sz w:val="20"/>
          <w:szCs w:val="20"/>
          <w:color w:val="auto"/>
        </w:rPr>
      </w:pPr>
      <w:r>
        <w:rPr>
          <w:rFonts w:ascii="Arial" w:cs="Arial" w:eastAsia="Arial" w:hAnsi="Arial"/>
          <w:sz w:val="12"/>
          <w:szCs w:val="12"/>
          <w:color w:val="auto"/>
        </w:rPr>
        <w:t>Chief Financial Officer, Executive Vice President of Finance and Administration, and</w:t>
      </w:r>
    </w:p>
    <w:p>
      <w:pPr>
        <w:ind w:left="5382"/>
        <w:spacing w:after="0" w:line="208" w:lineRule="auto"/>
        <w:rPr>
          <w:sz w:val="20"/>
          <w:szCs w:val="20"/>
          <w:color w:val="auto"/>
        </w:rPr>
      </w:pPr>
      <w:r>
        <w:rPr>
          <w:rFonts w:ascii="Arial" w:cs="Arial" w:eastAsia="Arial" w:hAnsi="Arial"/>
          <w:sz w:val="12"/>
          <w:szCs w:val="12"/>
          <w:color w:val="auto"/>
        </w:rPr>
        <w:t>Treasurer</w:t>
      </w:r>
    </w:p>
    <w:p>
      <w:pPr>
        <w:ind w:left="5382"/>
        <w:spacing w:after="0"/>
        <w:rPr>
          <w:sz w:val="20"/>
          <w:szCs w:val="20"/>
          <w:color w:val="auto"/>
        </w:rPr>
      </w:pPr>
      <w:r>
        <w:rPr>
          <w:rFonts w:ascii="Arial" w:cs="Arial" w:eastAsia="Arial" w:hAnsi="Arial"/>
          <w:sz w:val="12"/>
          <w:szCs w:val="12"/>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636905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PURSUANT TO</w:t>
      </w:r>
    </w:p>
    <w:p>
      <w:pPr>
        <w:ind w:left="3420"/>
        <w:spacing w:after="0" w:line="208" w:lineRule="auto"/>
        <w:rPr>
          <w:sz w:val="20"/>
          <w:szCs w:val="20"/>
          <w:color w:val="auto"/>
        </w:rPr>
      </w:pPr>
      <w:r>
        <w:rPr>
          <w:rFonts w:ascii="Arial" w:cs="Arial" w:eastAsia="Arial" w:hAnsi="Arial"/>
          <w:sz w:val="12"/>
          <w:szCs w:val="12"/>
          <w:b w:val="1"/>
          <w:bCs w:val="1"/>
          <w:color w:val="auto"/>
        </w:rPr>
        <w:t>18 U.S.C. SECTION 1350, AS ADOPTED PURSUANT TO</w:t>
      </w:r>
    </w:p>
    <w:p>
      <w:pPr>
        <w:ind w:left="33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20" w:lineRule="exact"/>
        <w:rPr>
          <w:sz w:val="20"/>
          <w:szCs w:val="20"/>
          <w:color w:val="auto"/>
        </w:rPr>
      </w:pPr>
    </w:p>
    <w:p>
      <w:pPr>
        <w:jc w:val="both"/>
        <w:ind w:right="20" w:firstLine="301"/>
        <w:spacing w:after="0" w:line="229" w:lineRule="auto"/>
        <w:rPr>
          <w:sz w:val="20"/>
          <w:szCs w:val="20"/>
          <w:color w:val="auto"/>
        </w:rPr>
      </w:pPr>
      <w:r>
        <w:rPr>
          <w:rFonts w:ascii="Arial" w:cs="Arial" w:eastAsia="Arial" w:hAnsi="Arial"/>
          <w:sz w:val="12"/>
          <w:szCs w:val="12"/>
          <w:color w:val="auto"/>
        </w:rPr>
        <w:t>In connection with the Quarterly Report of Pulse Biosciences, Inc. (the “Company”) on Form 10-Q for the period ended September 30, 2021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29" w:lineRule="exact"/>
        <w:rPr>
          <w:sz w:val="20"/>
          <w:szCs w:val="20"/>
          <w:color w:val="auto"/>
        </w:rPr>
      </w:pPr>
    </w:p>
    <w:p>
      <w:pPr>
        <w:ind w:left="560" w:hanging="261"/>
        <w:spacing w:after="0"/>
        <w:tabs>
          <w:tab w:leader="none" w:pos="5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29" w:lineRule="exact"/>
        <w:rPr>
          <w:rFonts w:ascii="Arial" w:cs="Arial" w:eastAsia="Arial" w:hAnsi="Arial"/>
          <w:sz w:val="12"/>
          <w:szCs w:val="12"/>
          <w:color w:val="auto"/>
        </w:rPr>
      </w:pPr>
    </w:p>
    <w:p>
      <w:pPr>
        <w:ind w:left="560" w:hanging="261"/>
        <w:spacing w:after="0"/>
        <w:tabs>
          <w:tab w:leader="none" w:pos="5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undersigned have set their hands hereto as of the 15</w:t>
      </w:r>
      <w:r>
        <w:rPr>
          <w:rFonts w:ascii="Arial" w:cs="Arial" w:eastAsia="Arial" w:hAnsi="Arial"/>
          <w:sz w:val="6"/>
          <w:szCs w:val="6"/>
          <w:color w:val="auto"/>
        </w:rPr>
        <w:t>th</w:t>
      </w:r>
      <w:r>
        <w:rPr>
          <w:rFonts w:ascii="Arial" w:cs="Arial" w:eastAsia="Arial" w:hAnsi="Arial"/>
          <w:sz w:val="12"/>
          <w:szCs w:val="12"/>
          <w:color w:val="auto"/>
        </w:rPr>
        <w:t xml:space="preserve"> day of November 2021.</w:t>
      </w:r>
    </w:p>
    <w:p>
      <w:pPr>
        <w:spacing w:after="0" w:line="11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Darrin R. Uecker</w:t>
      </w:r>
    </w:p>
    <w:p>
      <w:pPr>
        <w:ind w:left="5380"/>
        <w:spacing w:after="0" w:line="209" w:lineRule="auto"/>
        <w:rPr>
          <w:sz w:val="20"/>
          <w:szCs w:val="20"/>
          <w:color w:val="auto"/>
        </w:rPr>
      </w:pPr>
      <w:r>
        <w:rPr>
          <w:rFonts w:ascii="Arial" w:cs="Arial" w:eastAsia="Arial" w:hAnsi="Arial"/>
          <w:sz w:val="12"/>
          <w:szCs w:val="12"/>
          <w:color w:val="auto"/>
        </w:rPr>
        <w:t>President and Chief Executive Officer</w:t>
      </w:r>
    </w:p>
    <w:p>
      <w:pPr>
        <w:ind w:left="5380"/>
        <w:spacing w:after="0"/>
        <w:rPr>
          <w:sz w:val="20"/>
          <w:szCs w:val="20"/>
          <w:color w:val="auto"/>
        </w:rPr>
      </w:pPr>
      <w:r>
        <w:rPr>
          <w:rFonts w:ascii="Arial" w:cs="Arial" w:eastAsia="Arial" w:hAnsi="Arial"/>
          <w:sz w:val="12"/>
          <w:szCs w:val="12"/>
          <w:color w:val="auto"/>
        </w:rPr>
        <w:t>(Principal Executive Officer)</w:t>
      </w:r>
    </w:p>
    <w:p>
      <w:pPr>
        <w:spacing w:after="0" w:line="10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Sandra A. Gardiner</w:t>
      </w:r>
    </w:p>
    <w:p>
      <w:pPr>
        <w:ind w:left="5380"/>
        <w:spacing w:after="0" w:line="209" w:lineRule="auto"/>
        <w:rPr>
          <w:sz w:val="20"/>
          <w:szCs w:val="20"/>
          <w:color w:val="auto"/>
        </w:rPr>
      </w:pPr>
      <w:r>
        <w:rPr>
          <w:rFonts w:ascii="Arial" w:cs="Arial" w:eastAsia="Arial" w:hAnsi="Arial"/>
          <w:sz w:val="12"/>
          <w:szCs w:val="12"/>
          <w:color w:val="auto"/>
        </w:rPr>
        <w:t>Chief Financial Officer, Executive Vice President of Finance and Administration, and</w:t>
      </w:r>
    </w:p>
    <w:p>
      <w:pPr>
        <w:ind w:left="5380"/>
        <w:spacing w:after="0" w:line="208" w:lineRule="auto"/>
        <w:rPr>
          <w:sz w:val="20"/>
          <w:szCs w:val="20"/>
          <w:color w:val="auto"/>
        </w:rPr>
      </w:pPr>
      <w:r>
        <w:rPr>
          <w:rFonts w:ascii="Arial" w:cs="Arial" w:eastAsia="Arial" w:hAnsi="Arial"/>
          <w:sz w:val="12"/>
          <w:szCs w:val="12"/>
          <w:color w:val="auto"/>
        </w:rPr>
        <w:t>Treasurer</w:t>
      </w:r>
    </w:p>
    <w:p>
      <w:pPr>
        <w:ind w:left="5380"/>
        <w:spacing w:after="0"/>
        <w:rPr>
          <w:sz w:val="20"/>
          <w:szCs w:val="20"/>
          <w:color w:val="auto"/>
        </w:rPr>
      </w:pPr>
      <w:r>
        <w:rPr>
          <w:rFonts w:ascii="Arial" w:cs="Arial" w:eastAsia="Arial" w:hAnsi="Arial"/>
          <w:sz w:val="12"/>
          <w:szCs w:val="12"/>
          <w:color w:val="auto"/>
        </w:rPr>
        <w:t>(Principal Financial and Accounting Officer)</w:t>
      </w:r>
    </w:p>
    <w:p>
      <w:pPr>
        <w:spacing w:after="0" w:line="239" w:lineRule="exact"/>
        <w:rPr>
          <w:sz w:val="20"/>
          <w:szCs w:val="20"/>
          <w:color w:val="auto"/>
        </w:rPr>
      </w:pPr>
    </w:p>
    <w:p>
      <w:pPr>
        <w:jc w:val="both"/>
        <w:ind w:right="20" w:firstLine="301"/>
        <w:spacing w:after="0" w:line="229" w:lineRule="auto"/>
        <w:rPr>
          <w:sz w:val="20"/>
          <w:szCs w:val="20"/>
          <w:color w:val="auto"/>
        </w:rPr>
      </w:pPr>
      <w:r>
        <w:rPr>
          <w:rFonts w:ascii="Arial" w:cs="Arial" w:eastAsia="Arial" w:hAnsi="Arial"/>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222250</wp:posOffset>
            </wp:positionV>
            <wp:extent cx="636905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sectPr>
      <w:pgSz w:w="11900" w:h="16838" w:orient="portrait"/>
      <w:cols w:equalWidth="0" w:num="1">
        <w:col w:w="9980"/>
      </w:cols>
      <w:pgMar w:left="960" w:top="11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8"/>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2021-11-15T16:24:25Z</dcterms:created>
  <dcterms:modified xsi:type="dcterms:W3CDTF">2021-11-15T16:24:25Z</dcterms:modified>
</cp:coreProperties>
</file>